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header8.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FE76F" w14:textId="77777777" w:rsidR="00ED751C" w:rsidRPr="00046E14" w:rsidRDefault="00ED751C" w:rsidP="004348BE">
      <w:pPr>
        <w:pStyle w:val="SubSubPar"/>
        <w:numPr>
          <w:ilvl w:val="0"/>
          <w:numId w:val="0"/>
        </w:numPr>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00C1154C" w:rsidRPr="00046E14">
        <w:rPr>
          <w:rFonts w:ascii="Arial" w:hAnsi="Arial" w:cs="Arial"/>
          <w:smallCaps/>
          <w:sz w:val="22"/>
          <w:szCs w:val="22"/>
          <w:lang w:val="es-ES"/>
        </w:rPr>
        <w:t>d</w:t>
      </w:r>
      <w:r w:rsidRPr="00046E14">
        <w:rPr>
          <w:rFonts w:ascii="Arial" w:hAnsi="Arial" w:cs="Arial"/>
          <w:smallCaps/>
          <w:sz w:val="22"/>
          <w:szCs w:val="22"/>
          <w:lang w:val="es-ES"/>
        </w:rPr>
        <w:t>e Desarrollo</w:t>
      </w:r>
    </w:p>
    <w:p w14:paraId="0FEE5FE6"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46E1B479"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5BD56F74"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2621ABC1"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74C6D331"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0AA0F4F7" w14:textId="77777777" w:rsidR="00F54AAD" w:rsidRPr="00046E14" w:rsidRDefault="00F54AAD" w:rsidP="00A26F9F">
      <w:pPr>
        <w:tabs>
          <w:tab w:val="left" w:pos="1440"/>
          <w:tab w:val="left" w:pos="3060"/>
        </w:tabs>
        <w:jc w:val="center"/>
        <w:rPr>
          <w:rFonts w:ascii="Arial" w:hAnsi="Arial" w:cs="Arial"/>
          <w:smallCaps/>
          <w:sz w:val="22"/>
          <w:szCs w:val="22"/>
          <w:lang w:val="es-ES"/>
        </w:rPr>
      </w:pPr>
    </w:p>
    <w:p w14:paraId="5BE26C70" w14:textId="77777777" w:rsidR="00F54AAD" w:rsidRPr="00046E14" w:rsidRDefault="00F54AAD" w:rsidP="00A26F9F">
      <w:pPr>
        <w:tabs>
          <w:tab w:val="left" w:pos="1440"/>
          <w:tab w:val="left" w:pos="3060"/>
        </w:tabs>
        <w:jc w:val="center"/>
        <w:rPr>
          <w:rFonts w:ascii="Arial" w:hAnsi="Arial" w:cs="Arial"/>
          <w:smallCaps/>
          <w:sz w:val="22"/>
          <w:szCs w:val="22"/>
          <w:lang w:val="es-ES"/>
        </w:rPr>
      </w:pPr>
    </w:p>
    <w:p w14:paraId="1866F42F" w14:textId="77777777" w:rsidR="00ED751C" w:rsidRPr="00046E14" w:rsidRDefault="00ED751C" w:rsidP="00A26F9F">
      <w:pPr>
        <w:tabs>
          <w:tab w:val="left" w:pos="1440"/>
          <w:tab w:val="left" w:pos="3060"/>
        </w:tabs>
        <w:jc w:val="center"/>
        <w:rPr>
          <w:rFonts w:ascii="Arial" w:hAnsi="Arial" w:cs="Arial"/>
          <w:smallCaps/>
          <w:sz w:val="22"/>
          <w:szCs w:val="22"/>
          <w:lang w:val="es-ES"/>
        </w:rPr>
      </w:pPr>
    </w:p>
    <w:p w14:paraId="40B26D57" w14:textId="77777777" w:rsidR="00ED751C" w:rsidRDefault="00E97056" w:rsidP="004348BE">
      <w:pPr>
        <w:tabs>
          <w:tab w:val="left" w:pos="1440"/>
          <w:tab w:val="left" w:pos="3060"/>
        </w:tabs>
        <w:spacing w:before="120" w:after="120"/>
        <w:jc w:val="center"/>
        <w:rPr>
          <w:rFonts w:ascii="Arial" w:hAnsi="Arial" w:cs="Arial"/>
          <w:b/>
          <w:smallCaps/>
          <w:sz w:val="28"/>
          <w:szCs w:val="28"/>
          <w:lang w:val="es-ES"/>
        </w:rPr>
      </w:pPr>
      <w:r>
        <w:rPr>
          <w:rFonts w:ascii="Arial" w:hAnsi="Arial" w:cs="Arial"/>
          <w:b/>
          <w:smallCaps/>
          <w:sz w:val="28"/>
          <w:szCs w:val="28"/>
          <w:lang w:val="es-ES"/>
        </w:rPr>
        <w:t>Guatemala</w:t>
      </w:r>
    </w:p>
    <w:p w14:paraId="18197A46" w14:textId="77777777" w:rsidR="006F7E62" w:rsidRPr="00A26F9F" w:rsidRDefault="006F7E62" w:rsidP="00A26F9F">
      <w:pPr>
        <w:tabs>
          <w:tab w:val="left" w:pos="1440"/>
          <w:tab w:val="left" w:pos="3060"/>
        </w:tabs>
        <w:jc w:val="center"/>
        <w:rPr>
          <w:rFonts w:ascii="Arial" w:hAnsi="Arial" w:cs="Arial"/>
          <w:b/>
          <w:smallCaps/>
          <w:szCs w:val="24"/>
          <w:lang w:val="es-ES"/>
        </w:rPr>
      </w:pPr>
    </w:p>
    <w:p w14:paraId="247496D7" w14:textId="77777777" w:rsidR="006F7E62" w:rsidRPr="00A26F9F" w:rsidRDefault="006F7E62" w:rsidP="00A26F9F">
      <w:pPr>
        <w:tabs>
          <w:tab w:val="left" w:pos="1440"/>
          <w:tab w:val="left" w:pos="3060"/>
        </w:tabs>
        <w:jc w:val="center"/>
        <w:rPr>
          <w:rFonts w:ascii="Arial" w:hAnsi="Arial" w:cs="Arial"/>
          <w:b/>
          <w:smallCaps/>
          <w:szCs w:val="24"/>
          <w:lang w:val="es-ES"/>
        </w:rPr>
      </w:pPr>
    </w:p>
    <w:p w14:paraId="27CB6D8E" w14:textId="77777777" w:rsidR="006F7E62" w:rsidRPr="00A26F9F" w:rsidRDefault="006F7E62" w:rsidP="00A26F9F">
      <w:pPr>
        <w:tabs>
          <w:tab w:val="left" w:pos="1440"/>
          <w:tab w:val="left" w:pos="3060"/>
        </w:tabs>
        <w:jc w:val="center"/>
        <w:rPr>
          <w:rFonts w:ascii="Arial" w:hAnsi="Arial" w:cs="Arial"/>
          <w:b/>
          <w:smallCaps/>
          <w:szCs w:val="24"/>
          <w:lang w:val="es-ES"/>
        </w:rPr>
      </w:pPr>
    </w:p>
    <w:p w14:paraId="4236A3F2" w14:textId="77777777" w:rsidR="00ED751C" w:rsidRPr="00A26F9F" w:rsidRDefault="00ED751C" w:rsidP="00A26F9F">
      <w:pPr>
        <w:tabs>
          <w:tab w:val="left" w:pos="1440"/>
          <w:tab w:val="left" w:pos="3060"/>
        </w:tabs>
        <w:jc w:val="center"/>
        <w:rPr>
          <w:rFonts w:ascii="Arial" w:hAnsi="Arial" w:cs="Arial"/>
          <w:smallCaps/>
          <w:szCs w:val="24"/>
          <w:lang w:val="es-ES"/>
        </w:rPr>
      </w:pPr>
    </w:p>
    <w:p w14:paraId="453C6011" w14:textId="77777777" w:rsidR="006F7E62" w:rsidRPr="00A26F9F" w:rsidRDefault="006F7E62" w:rsidP="00A26F9F">
      <w:pPr>
        <w:tabs>
          <w:tab w:val="left" w:pos="1440"/>
          <w:tab w:val="left" w:pos="3060"/>
        </w:tabs>
        <w:jc w:val="center"/>
        <w:rPr>
          <w:rFonts w:ascii="Arial" w:hAnsi="Arial" w:cs="Arial"/>
          <w:smallCaps/>
          <w:szCs w:val="24"/>
          <w:lang w:val="es-ES"/>
        </w:rPr>
      </w:pPr>
    </w:p>
    <w:p w14:paraId="383E4E42" w14:textId="77777777" w:rsidR="006F7E62" w:rsidRPr="00A26F9F" w:rsidRDefault="006F7E62" w:rsidP="00A26F9F">
      <w:pPr>
        <w:tabs>
          <w:tab w:val="left" w:pos="1440"/>
          <w:tab w:val="left" w:pos="3060"/>
        </w:tabs>
        <w:jc w:val="center"/>
        <w:rPr>
          <w:rFonts w:ascii="Arial" w:hAnsi="Arial" w:cs="Arial"/>
          <w:smallCaps/>
          <w:szCs w:val="24"/>
          <w:lang w:val="es-ES"/>
        </w:rPr>
      </w:pPr>
    </w:p>
    <w:p w14:paraId="494D0AE6" w14:textId="77777777" w:rsidR="006F7E62" w:rsidRPr="00A26F9F" w:rsidRDefault="006F7E62" w:rsidP="00A26F9F">
      <w:pPr>
        <w:tabs>
          <w:tab w:val="left" w:pos="1440"/>
          <w:tab w:val="left" w:pos="3060"/>
        </w:tabs>
        <w:jc w:val="center"/>
        <w:rPr>
          <w:rFonts w:ascii="Arial" w:hAnsi="Arial" w:cs="Arial"/>
          <w:smallCaps/>
          <w:szCs w:val="24"/>
          <w:lang w:val="es-ES"/>
        </w:rPr>
      </w:pPr>
    </w:p>
    <w:p w14:paraId="2BA7F9FD" w14:textId="77777777" w:rsidR="006F7E62" w:rsidRPr="00A26F9F" w:rsidRDefault="006F7E62" w:rsidP="00A26F9F">
      <w:pPr>
        <w:tabs>
          <w:tab w:val="left" w:pos="1440"/>
          <w:tab w:val="left" w:pos="3060"/>
        </w:tabs>
        <w:jc w:val="center"/>
        <w:rPr>
          <w:rFonts w:ascii="Arial" w:hAnsi="Arial" w:cs="Arial"/>
          <w:smallCaps/>
          <w:szCs w:val="24"/>
          <w:lang w:val="es-ES"/>
        </w:rPr>
      </w:pPr>
    </w:p>
    <w:p w14:paraId="662E2FFB" w14:textId="77777777" w:rsidR="00972FAD" w:rsidRPr="00972FAD" w:rsidRDefault="00972FAD" w:rsidP="00972FAD">
      <w:pPr>
        <w:pStyle w:val="Newpage"/>
        <w:rPr>
          <w:rFonts w:ascii="Arial" w:hAnsi="Arial" w:cs="Arial"/>
          <w:sz w:val="28"/>
          <w:szCs w:val="24"/>
        </w:rPr>
      </w:pPr>
      <w:r w:rsidRPr="00972FAD">
        <w:rPr>
          <w:rFonts w:ascii="Arial" w:hAnsi="Arial" w:cs="Arial"/>
          <w:sz w:val="28"/>
          <w:szCs w:val="24"/>
        </w:rPr>
        <w:t>Programa de Administración Tributaria y Transparencia</w:t>
      </w:r>
    </w:p>
    <w:p w14:paraId="14F39E8E" w14:textId="77777777" w:rsidR="00E97056" w:rsidRDefault="00E97056" w:rsidP="00A26F9F">
      <w:pPr>
        <w:tabs>
          <w:tab w:val="left" w:pos="1440"/>
          <w:tab w:val="left" w:pos="3060"/>
        </w:tabs>
        <w:jc w:val="center"/>
        <w:rPr>
          <w:rFonts w:ascii="Arial" w:hAnsi="Arial" w:cs="Arial"/>
          <w:b/>
          <w:smallCaps/>
          <w:sz w:val="28"/>
          <w:szCs w:val="28"/>
          <w:lang w:val="es-ES"/>
        </w:rPr>
      </w:pPr>
    </w:p>
    <w:p w14:paraId="6116766A" w14:textId="77777777" w:rsidR="003F69C9" w:rsidRDefault="00E97056" w:rsidP="004348BE">
      <w:pPr>
        <w:tabs>
          <w:tab w:val="left" w:pos="1440"/>
          <w:tab w:val="left" w:pos="3060"/>
        </w:tabs>
        <w:spacing w:before="120" w:after="120"/>
        <w:jc w:val="center"/>
        <w:rPr>
          <w:rFonts w:ascii="Arial" w:hAnsi="Arial" w:cs="Arial"/>
          <w:b/>
          <w:smallCaps/>
          <w:sz w:val="28"/>
          <w:szCs w:val="28"/>
          <w:lang w:val="es-ES"/>
        </w:rPr>
      </w:pPr>
      <w:r w:rsidRPr="00E97056">
        <w:rPr>
          <w:rFonts w:ascii="Arial" w:hAnsi="Arial" w:cs="Arial"/>
          <w:b/>
          <w:smallCaps/>
          <w:sz w:val="28"/>
          <w:szCs w:val="28"/>
          <w:lang w:val="es-ES"/>
        </w:rPr>
        <w:t>(GU-L1096)</w:t>
      </w:r>
    </w:p>
    <w:p w14:paraId="35C9AFA1" w14:textId="77777777" w:rsidR="003F69C9" w:rsidRDefault="003F69C9" w:rsidP="00A26F9F">
      <w:pPr>
        <w:tabs>
          <w:tab w:val="left" w:pos="1440"/>
          <w:tab w:val="left" w:pos="3060"/>
        </w:tabs>
        <w:jc w:val="center"/>
        <w:rPr>
          <w:rFonts w:ascii="Arial" w:hAnsi="Arial" w:cs="Arial"/>
          <w:b/>
          <w:smallCaps/>
          <w:sz w:val="28"/>
          <w:szCs w:val="28"/>
          <w:lang w:val="es-ES"/>
        </w:rPr>
      </w:pPr>
    </w:p>
    <w:p w14:paraId="15637547" w14:textId="77777777" w:rsidR="00E97056" w:rsidRDefault="00E97056" w:rsidP="00A26F9F">
      <w:pPr>
        <w:tabs>
          <w:tab w:val="left" w:pos="1440"/>
          <w:tab w:val="left" w:pos="3060"/>
        </w:tabs>
        <w:jc w:val="center"/>
        <w:rPr>
          <w:rFonts w:ascii="Arial" w:hAnsi="Arial" w:cs="Arial"/>
          <w:b/>
          <w:smallCaps/>
          <w:sz w:val="28"/>
          <w:szCs w:val="28"/>
          <w:lang w:val="es-ES"/>
        </w:rPr>
      </w:pPr>
    </w:p>
    <w:p w14:paraId="2396EAB4" w14:textId="77777777" w:rsidR="003F69C9" w:rsidRDefault="003F69C9" w:rsidP="004348BE">
      <w:pPr>
        <w:tabs>
          <w:tab w:val="left" w:pos="1440"/>
          <w:tab w:val="left" w:pos="3060"/>
        </w:tabs>
        <w:spacing w:before="120" w:after="120"/>
        <w:jc w:val="center"/>
        <w:rPr>
          <w:rFonts w:ascii="Arial" w:hAnsi="Arial" w:cs="Arial"/>
          <w:b/>
          <w:smallCaps/>
          <w:sz w:val="28"/>
          <w:szCs w:val="28"/>
          <w:lang w:val="es-ES"/>
        </w:rPr>
      </w:pPr>
      <w:r>
        <w:rPr>
          <w:rFonts w:ascii="Arial" w:hAnsi="Arial" w:cs="Arial"/>
          <w:b/>
          <w:smallCaps/>
          <w:sz w:val="28"/>
          <w:szCs w:val="28"/>
          <w:lang w:val="es-ES"/>
        </w:rPr>
        <w:t xml:space="preserve">Plan de Monitoreo y </w:t>
      </w:r>
      <w:r w:rsidR="00A26F9F">
        <w:rPr>
          <w:rFonts w:ascii="Arial" w:hAnsi="Arial" w:cs="Arial"/>
          <w:b/>
          <w:smallCaps/>
          <w:sz w:val="28"/>
          <w:szCs w:val="28"/>
          <w:lang w:val="es-ES"/>
        </w:rPr>
        <w:t>E</w:t>
      </w:r>
      <w:r>
        <w:rPr>
          <w:rFonts w:ascii="Arial" w:hAnsi="Arial" w:cs="Arial"/>
          <w:b/>
          <w:smallCaps/>
          <w:sz w:val="28"/>
          <w:szCs w:val="28"/>
          <w:lang w:val="es-ES"/>
        </w:rPr>
        <w:t xml:space="preserve">valuación </w:t>
      </w:r>
    </w:p>
    <w:p w14:paraId="6FB6C0EC" w14:textId="77777777" w:rsidR="00ED751C" w:rsidRPr="00046E14" w:rsidRDefault="00ED751C" w:rsidP="00A26F9F">
      <w:pPr>
        <w:tabs>
          <w:tab w:val="left" w:pos="1440"/>
          <w:tab w:val="left" w:pos="3060"/>
        </w:tabs>
        <w:jc w:val="center"/>
        <w:rPr>
          <w:rFonts w:ascii="Arial" w:hAnsi="Arial" w:cs="Arial"/>
          <w:sz w:val="22"/>
          <w:szCs w:val="22"/>
          <w:lang w:val="es-ES"/>
        </w:rPr>
      </w:pPr>
    </w:p>
    <w:p w14:paraId="51140D27" w14:textId="77777777" w:rsidR="00ED751C" w:rsidRPr="00046E14" w:rsidRDefault="00ED751C" w:rsidP="00A26F9F">
      <w:pPr>
        <w:tabs>
          <w:tab w:val="left" w:pos="1440"/>
          <w:tab w:val="left" w:pos="3060"/>
        </w:tabs>
        <w:jc w:val="center"/>
        <w:rPr>
          <w:rFonts w:ascii="Arial" w:hAnsi="Arial" w:cs="Arial"/>
          <w:sz w:val="22"/>
          <w:szCs w:val="22"/>
          <w:lang w:val="es-ES"/>
        </w:rPr>
      </w:pPr>
    </w:p>
    <w:p w14:paraId="09496EE8" w14:textId="77777777" w:rsidR="00ED751C" w:rsidRPr="00046E14" w:rsidRDefault="00ED751C" w:rsidP="00A26F9F">
      <w:pPr>
        <w:tabs>
          <w:tab w:val="left" w:pos="1440"/>
          <w:tab w:val="left" w:pos="3060"/>
        </w:tabs>
        <w:jc w:val="center"/>
        <w:rPr>
          <w:rFonts w:ascii="Arial" w:hAnsi="Arial" w:cs="Arial"/>
          <w:sz w:val="22"/>
          <w:szCs w:val="22"/>
          <w:lang w:val="es-ES"/>
        </w:rPr>
      </w:pPr>
    </w:p>
    <w:p w14:paraId="613076AC" w14:textId="77777777" w:rsidR="00ED751C" w:rsidRPr="00046E14" w:rsidRDefault="00ED751C" w:rsidP="00A26F9F">
      <w:pPr>
        <w:tabs>
          <w:tab w:val="left" w:pos="1440"/>
          <w:tab w:val="left" w:pos="3060"/>
        </w:tabs>
        <w:jc w:val="center"/>
        <w:rPr>
          <w:rFonts w:ascii="Arial" w:hAnsi="Arial" w:cs="Arial"/>
          <w:sz w:val="22"/>
          <w:szCs w:val="22"/>
          <w:lang w:val="es-ES"/>
        </w:rPr>
      </w:pPr>
    </w:p>
    <w:p w14:paraId="1B458DC3" w14:textId="77777777" w:rsidR="00ED751C" w:rsidRPr="00046E14" w:rsidRDefault="00ED751C" w:rsidP="00A26F9F">
      <w:pPr>
        <w:tabs>
          <w:tab w:val="left" w:pos="1440"/>
          <w:tab w:val="left" w:pos="3060"/>
        </w:tabs>
        <w:jc w:val="center"/>
        <w:rPr>
          <w:rFonts w:ascii="Arial" w:hAnsi="Arial" w:cs="Arial"/>
          <w:sz w:val="22"/>
          <w:szCs w:val="22"/>
          <w:lang w:val="es-ES"/>
        </w:rPr>
      </w:pPr>
    </w:p>
    <w:p w14:paraId="565C2D2F" w14:textId="77777777" w:rsidR="00ED751C" w:rsidRPr="00046E14" w:rsidRDefault="00ED751C" w:rsidP="00A26F9F">
      <w:pPr>
        <w:tabs>
          <w:tab w:val="left" w:pos="1440"/>
          <w:tab w:val="left" w:pos="3060"/>
        </w:tabs>
        <w:jc w:val="center"/>
        <w:rPr>
          <w:rFonts w:ascii="Arial" w:hAnsi="Arial" w:cs="Arial"/>
          <w:sz w:val="22"/>
          <w:szCs w:val="22"/>
          <w:lang w:val="es-ES"/>
        </w:rPr>
      </w:pPr>
    </w:p>
    <w:p w14:paraId="293E3885" w14:textId="77777777" w:rsidR="006F7E62" w:rsidRDefault="006F7E62" w:rsidP="00A26F9F">
      <w:pPr>
        <w:tabs>
          <w:tab w:val="left" w:pos="1440"/>
          <w:tab w:val="left" w:pos="3060"/>
        </w:tabs>
        <w:jc w:val="center"/>
        <w:rPr>
          <w:rFonts w:ascii="Arial" w:hAnsi="Arial" w:cs="Arial"/>
          <w:sz w:val="22"/>
          <w:szCs w:val="22"/>
          <w:lang w:val="es-ES"/>
        </w:rPr>
      </w:pPr>
    </w:p>
    <w:p w14:paraId="530B14FE" w14:textId="77777777" w:rsidR="006F7E62" w:rsidRDefault="006F7E62" w:rsidP="00A26F9F">
      <w:pPr>
        <w:tabs>
          <w:tab w:val="left" w:pos="1440"/>
          <w:tab w:val="left" w:pos="3060"/>
        </w:tabs>
        <w:jc w:val="center"/>
        <w:rPr>
          <w:rFonts w:ascii="Arial" w:hAnsi="Arial" w:cs="Arial"/>
          <w:sz w:val="22"/>
          <w:szCs w:val="22"/>
          <w:lang w:val="es-ES"/>
        </w:rPr>
      </w:pPr>
    </w:p>
    <w:p w14:paraId="6B312378" w14:textId="77777777" w:rsidR="00ED751C" w:rsidRPr="00046E14" w:rsidRDefault="00ED751C" w:rsidP="00A26F9F">
      <w:pPr>
        <w:tabs>
          <w:tab w:val="left" w:pos="1440"/>
          <w:tab w:val="left" w:pos="3060"/>
        </w:tabs>
        <w:jc w:val="center"/>
        <w:rPr>
          <w:rFonts w:ascii="Arial" w:hAnsi="Arial" w:cs="Arial"/>
          <w:sz w:val="22"/>
          <w:szCs w:val="22"/>
          <w:lang w:val="es-ES"/>
        </w:rPr>
      </w:pPr>
    </w:p>
    <w:p w14:paraId="572AB292" w14:textId="77777777" w:rsidR="00ED751C" w:rsidRPr="00046E14" w:rsidRDefault="00ED751C" w:rsidP="00A26F9F">
      <w:pPr>
        <w:tabs>
          <w:tab w:val="left" w:pos="1440"/>
          <w:tab w:val="left" w:pos="3060"/>
        </w:tabs>
        <w:jc w:val="center"/>
        <w:rPr>
          <w:rFonts w:ascii="Arial" w:hAnsi="Arial" w:cs="Arial"/>
          <w:sz w:val="22"/>
          <w:szCs w:val="22"/>
          <w:lang w:val="es-ES"/>
        </w:rPr>
      </w:pPr>
    </w:p>
    <w:p w14:paraId="1C116E2C" w14:textId="77777777" w:rsidR="00ED751C" w:rsidRPr="00046E14" w:rsidRDefault="00ED751C" w:rsidP="00A26F9F">
      <w:pPr>
        <w:tabs>
          <w:tab w:val="left" w:pos="1440"/>
          <w:tab w:val="left" w:pos="3060"/>
        </w:tabs>
        <w:jc w:val="center"/>
        <w:rPr>
          <w:rFonts w:ascii="Arial" w:hAnsi="Arial" w:cs="Arial"/>
          <w:sz w:val="22"/>
          <w:szCs w:val="22"/>
          <w:lang w:val="es-ES"/>
        </w:rPr>
      </w:pPr>
    </w:p>
    <w:p w14:paraId="63BC4D5F" w14:textId="77777777" w:rsidR="00ED751C" w:rsidRPr="003F69C9" w:rsidRDefault="00ED751C" w:rsidP="004348BE">
      <w:pPr>
        <w:pStyle w:val="BodyText"/>
        <w:pBdr>
          <w:top w:val="single" w:sz="4" w:space="1" w:color="auto"/>
          <w:left w:val="single" w:sz="4" w:space="4" w:color="auto"/>
          <w:bottom w:val="single" w:sz="4" w:space="1" w:color="auto"/>
          <w:right w:val="single" w:sz="4" w:space="4" w:color="auto"/>
        </w:pBdr>
        <w:tabs>
          <w:tab w:val="left" w:pos="1440"/>
        </w:tabs>
        <w:spacing w:before="120" w:after="120"/>
        <w:jc w:val="both"/>
        <w:rPr>
          <w:rFonts w:ascii="Arial" w:hAnsi="Arial" w:cs="Arial"/>
          <w:b/>
          <w:sz w:val="22"/>
          <w:szCs w:val="22"/>
          <w:lang w:val="es-ES"/>
        </w:rPr>
      </w:pPr>
      <w:r w:rsidRPr="003F69C9">
        <w:rPr>
          <w:rFonts w:ascii="Arial" w:hAnsi="Arial" w:cs="Arial"/>
          <w:sz w:val="22"/>
          <w:szCs w:val="22"/>
          <w:lang w:val="es-ES"/>
        </w:rPr>
        <w:t xml:space="preserve">Este documento fue preparado por: </w:t>
      </w:r>
      <w:r w:rsidR="00E9637C">
        <w:rPr>
          <w:rFonts w:ascii="Arial" w:hAnsi="Arial" w:cs="Arial"/>
          <w:sz w:val="22"/>
          <w:szCs w:val="22"/>
          <w:lang w:val="es-ES"/>
        </w:rPr>
        <w:t>Carlos Pimenta (IFD/FMM), Marina Massini (IFD-FMM)</w:t>
      </w:r>
      <w:r w:rsidR="00444583">
        <w:rPr>
          <w:rFonts w:ascii="Arial" w:hAnsi="Arial" w:cs="Arial"/>
          <w:sz w:val="22"/>
          <w:szCs w:val="22"/>
          <w:lang w:val="es-ES"/>
        </w:rPr>
        <w:t>, Rodrigo Suescun (IFD/FMM)</w:t>
      </w:r>
      <w:r w:rsidR="00A26F9F">
        <w:rPr>
          <w:rFonts w:ascii="Arial" w:hAnsi="Arial" w:cs="Arial"/>
          <w:sz w:val="22"/>
          <w:szCs w:val="22"/>
          <w:lang w:val="es-ES"/>
        </w:rPr>
        <w:t>,</w:t>
      </w:r>
      <w:r w:rsidR="00E9637C">
        <w:rPr>
          <w:rFonts w:ascii="Arial" w:hAnsi="Arial" w:cs="Arial"/>
          <w:sz w:val="22"/>
          <w:szCs w:val="22"/>
          <w:lang w:val="es-ES"/>
        </w:rPr>
        <w:t xml:space="preserve"> y otros miembros del equipo.</w:t>
      </w:r>
    </w:p>
    <w:p w14:paraId="49F128FA" w14:textId="77777777" w:rsidR="00ED751C" w:rsidRPr="00046E14" w:rsidRDefault="00ED751C" w:rsidP="004348BE">
      <w:pPr>
        <w:tabs>
          <w:tab w:val="left" w:pos="1440"/>
          <w:tab w:val="left" w:pos="3060"/>
        </w:tabs>
        <w:spacing w:before="120" w:after="120"/>
        <w:outlineLvl w:val="0"/>
        <w:rPr>
          <w:rFonts w:ascii="Arial" w:hAnsi="Arial" w:cs="Arial"/>
          <w:sz w:val="20"/>
          <w:lang w:val="es-ES"/>
        </w:rPr>
      </w:pPr>
    </w:p>
    <w:p w14:paraId="43BDD523" w14:textId="77777777" w:rsidR="00ED751C" w:rsidRPr="00046E14" w:rsidRDefault="00ED751C" w:rsidP="004348BE">
      <w:pPr>
        <w:tabs>
          <w:tab w:val="left" w:pos="1440"/>
          <w:tab w:val="left" w:pos="3060"/>
        </w:tabs>
        <w:spacing w:before="120" w:after="120"/>
        <w:outlineLvl w:val="0"/>
        <w:rPr>
          <w:rFonts w:ascii="Arial" w:hAnsi="Arial" w:cs="Arial"/>
          <w:sz w:val="22"/>
          <w:szCs w:val="22"/>
          <w:lang w:val="es-ES"/>
        </w:rPr>
        <w:sectPr w:rsidR="00ED751C" w:rsidRPr="00046E14" w:rsidSect="004348BE">
          <w:headerReference w:type="even" r:id="rId9"/>
          <w:headerReference w:type="default" r:id="rId10"/>
          <w:footerReference w:type="even" r:id="rId11"/>
          <w:footerReference w:type="default" r:id="rId12"/>
          <w:type w:val="nextColumn"/>
          <w:pgSz w:w="12240" w:h="15840" w:code="1"/>
          <w:pgMar w:top="1440" w:right="1800" w:bottom="1440" w:left="1800" w:header="706" w:footer="706" w:gutter="0"/>
          <w:pgNumType w:fmt="lowerRoman" w:start="1"/>
          <w:cols w:space="720"/>
          <w:formProt w:val="0"/>
          <w:titlePg/>
        </w:sectPr>
      </w:pPr>
    </w:p>
    <w:p w14:paraId="64A68325" w14:textId="77777777" w:rsidR="00ED751C" w:rsidRPr="003F69C9" w:rsidRDefault="00ED751C" w:rsidP="004348BE">
      <w:pPr>
        <w:pStyle w:val="Newpage"/>
        <w:spacing w:before="120" w:after="120"/>
        <w:rPr>
          <w:rFonts w:ascii="Arial" w:hAnsi="Arial" w:cs="Arial"/>
          <w:szCs w:val="24"/>
        </w:rPr>
      </w:pPr>
      <w:r w:rsidRPr="00A97B06">
        <w:rPr>
          <w:rFonts w:ascii="Arial" w:hAnsi="Arial" w:cs="Arial"/>
          <w:szCs w:val="24"/>
        </w:rPr>
        <w:lastRenderedPageBreak/>
        <w:t>Índice</w:t>
      </w:r>
    </w:p>
    <w:p w14:paraId="6301FDB4" w14:textId="77777777" w:rsidR="00ED751C" w:rsidRPr="00046E14" w:rsidRDefault="00ED751C" w:rsidP="004348BE">
      <w:pPr>
        <w:pStyle w:val="Newpage"/>
        <w:spacing w:before="120" w:after="120"/>
        <w:rPr>
          <w:rFonts w:ascii="Arial" w:hAnsi="Arial" w:cs="Arial"/>
          <w:sz w:val="22"/>
          <w:szCs w:val="22"/>
        </w:rPr>
      </w:pPr>
    </w:p>
    <w:p w14:paraId="5E6EC55F" w14:textId="77777777" w:rsidR="00C12D5D" w:rsidRPr="00B3684F" w:rsidRDefault="00E3347F" w:rsidP="004348BE">
      <w:pPr>
        <w:pStyle w:val="TOC1"/>
        <w:spacing w:before="120" w:after="120"/>
        <w:rPr>
          <w:rFonts w:eastAsiaTheme="minorEastAsia"/>
          <w:b w:val="0"/>
          <w:smallCaps w:val="0"/>
          <w:sz w:val="22"/>
          <w:szCs w:val="22"/>
          <w:lang w:eastAsia="es-ES_tradnl"/>
        </w:rPr>
      </w:pPr>
      <w:r w:rsidRPr="00B3684F">
        <w:rPr>
          <w:noProof w:val="0"/>
          <w:sz w:val="22"/>
          <w:szCs w:val="22"/>
          <w:lang w:val="es-ES"/>
        </w:rPr>
        <w:fldChar w:fldCharType="begin"/>
      </w:r>
      <w:r w:rsidR="00ED751C" w:rsidRPr="00B3684F">
        <w:rPr>
          <w:noProof w:val="0"/>
          <w:sz w:val="22"/>
          <w:szCs w:val="22"/>
          <w:lang w:val="es-ES"/>
        </w:rPr>
        <w:instrText xml:space="preserve"> TOC \f \t "Chapter,1,FirstHeading,2,SecHeading,3" </w:instrText>
      </w:r>
      <w:r w:rsidRPr="00B3684F">
        <w:rPr>
          <w:noProof w:val="0"/>
          <w:sz w:val="22"/>
          <w:szCs w:val="22"/>
          <w:lang w:val="es-ES"/>
        </w:rPr>
        <w:fldChar w:fldCharType="separate"/>
      </w:r>
      <w:r w:rsidR="00C12D5D" w:rsidRPr="00B3684F">
        <w:rPr>
          <w:sz w:val="22"/>
          <w:szCs w:val="22"/>
        </w:rPr>
        <w:t>I.</w:t>
      </w:r>
      <w:r w:rsidR="00C12D5D" w:rsidRPr="00B3684F">
        <w:rPr>
          <w:rFonts w:eastAsiaTheme="minorEastAsia"/>
          <w:b w:val="0"/>
          <w:smallCaps w:val="0"/>
          <w:sz w:val="22"/>
          <w:szCs w:val="22"/>
          <w:lang w:eastAsia="es-ES_tradnl"/>
        </w:rPr>
        <w:tab/>
      </w:r>
      <w:r w:rsidR="00C12D5D" w:rsidRPr="00B3684F">
        <w:rPr>
          <w:sz w:val="22"/>
          <w:szCs w:val="22"/>
        </w:rPr>
        <w:t>Introducción</w:t>
      </w:r>
      <w:r w:rsidR="00C12D5D" w:rsidRPr="00B3684F">
        <w:rPr>
          <w:sz w:val="22"/>
          <w:szCs w:val="22"/>
        </w:rPr>
        <w:tab/>
      </w:r>
      <w:r w:rsidR="00C12D5D" w:rsidRPr="00B3684F">
        <w:rPr>
          <w:sz w:val="22"/>
          <w:szCs w:val="22"/>
        </w:rPr>
        <w:fldChar w:fldCharType="begin"/>
      </w:r>
      <w:r w:rsidR="00C12D5D" w:rsidRPr="00B3684F">
        <w:rPr>
          <w:sz w:val="22"/>
          <w:szCs w:val="22"/>
        </w:rPr>
        <w:instrText xml:space="preserve"> PAGEREF _Toc455669841 \h </w:instrText>
      </w:r>
      <w:r w:rsidR="00C12D5D" w:rsidRPr="00B3684F">
        <w:rPr>
          <w:sz w:val="22"/>
          <w:szCs w:val="22"/>
        </w:rPr>
      </w:r>
      <w:r w:rsidR="00C12D5D" w:rsidRPr="00B3684F">
        <w:rPr>
          <w:sz w:val="22"/>
          <w:szCs w:val="22"/>
        </w:rPr>
        <w:fldChar w:fldCharType="separate"/>
      </w:r>
      <w:r w:rsidR="00F75023">
        <w:rPr>
          <w:sz w:val="22"/>
          <w:szCs w:val="22"/>
        </w:rPr>
        <w:t>1</w:t>
      </w:r>
      <w:r w:rsidR="00C12D5D" w:rsidRPr="00B3684F">
        <w:rPr>
          <w:sz w:val="22"/>
          <w:szCs w:val="22"/>
        </w:rPr>
        <w:fldChar w:fldCharType="end"/>
      </w:r>
    </w:p>
    <w:p w14:paraId="5A96A554" w14:textId="77777777" w:rsidR="00C12D5D" w:rsidRPr="00B3684F" w:rsidRDefault="00C12D5D" w:rsidP="004348BE">
      <w:pPr>
        <w:pStyle w:val="TOC1"/>
        <w:spacing w:before="120" w:after="120"/>
        <w:rPr>
          <w:rFonts w:eastAsiaTheme="minorEastAsia"/>
          <w:b w:val="0"/>
          <w:smallCaps w:val="0"/>
          <w:sz w:val="22"/>
          <w:szCs w:val="22"/>
          <w:lang w:eastAsia="es-ES_tradnl"/>
        </w:rPr>
      </w:pPr>
      <w:r w:rsidRPr="00B3684F">
        <w:rPr>
          <w:sz w:val="22"/>
          <w:szCs w:val="22"/>
        </w:rPr>
        <w:t>II.</w:t>
      </w:r>
      <w:r w:rsidRPr="00B3684F">
        <w:rPr>
          <w:rFonts w:eastAsiaTheme="minorEastAsia"/>
          <w:b w:val="0"/>
          <w:smallCaps w:val="0"/>
          <w:sz w:val="22"/>
          <w:szCs w:val="22"/>
          <w:lang w:eastAsia="es-ES_tradnl"/>
        </w:rPr>
        <w:tab/>
      </w:r>
      <w:r w:rsidRPr="00B3684F">
        <w:rPr>
          <w:sz w:val="22"/>
          <w:szCs w:val="22"/>
        </w:rPr>
        <w:t>Monitoreo</w:t>
      </w:r>
      <w:r w:rsidRPr="00B3684F">
        <w:rPr>
          <w:sz w:val="22"/>
          <w:szCs w:val="22"/>
        </w:rPr>
        <w:tab/>
      </w:r>
      <w:r w:rsidRPr="00B3684F">
        <w:rPr>
          <w:sz w:val="22"/>
          <w:szCs w:val="22"/>
        </w:rPr>
        <w:fldChar w:fldCharType="begin"/>
      </w:r>
      <w:r w:rsidRPr="00B3684F">
        <w:rPr>
          <w:sz w:val="22"/>
          <w:szCs w:val="22"/>
        </w:rPr>
        <w:instrText xml:space="preserve"> PAGEREF _Toc455669842 \h </w:instrText>
      </w:r>
      <w:r w:rsidRPr="00B3684F">
        <w:rPr>
          <w:sz w:val="22"/>
          <w:szCs w:val="22"/>
        </w:rPr>
      </w:r>
      <w:r w:rsidRPr="00B3684F">
        <w:rPr>
          <w:sz w:val="22"/>
          <w:szCs w:val="22"/>
        </w:rPr>
        <w:fldChar w:fldCharType="separate"/>
      </w:r>
      <w:r w:rsidR="00F75023">
        <w:rPr>
          <w:sz w:val="22"/>
          <w:szCs w:val="22"/>
        </w:rPr>
        <w:t>1</w:t>
      </w:r>
      <w:r w:rsidRPr="00B3684F">
        <w:rPr>
          <w:sz w:val="22"/>
          <w:szCs w:val="22"/>
        </w:rPr>
        <w:fldChar w:fldCharType="end"/>
      </w:r>
    </w:p>
    <w:p w14:paraId="60515CDB" w14:textId="77777777"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A.</w:t>
      </w:r>
      <w:r w:rsidRPr="00B3684F">
        <w:rPr>
          <w:rFonts w:ascii="Arial" w:eastAsiaTheme="minorEastAsia" w:hAnsi="Arial" w:cs="Arial"/>
          <w:sz w:val="22"/>
          <w:szCs w:val="22"/>
          <w:lang w:eastAsia="es-ES_tradnl"/>
        </w:rPr>
        <w:tab/>
      </w:r>
      <w:r w:rsidRPr="00B3684F">
        <w:rPr>
          <w:rFonts w:ascii="Arial" w:hAnsi="Arial" w:cs="Arial"/>
          <w:sz w:val="22"/>
          <w:szCs w:val="22"/>
        </w:rPr>
        <w:t>Indicadores</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_Toc455669843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1</w:t>
      </w:r>
      <w:r w:rsidRPr="00B3684F">
        <w:rPr>
          <w:rFonts w:ascii="Arial" w:hAnsi="Arial" w:cs="Arial"/>
          <w:sz w:val="22"/>
          <w:szCs w:val="22"/>
        </w:rPr>
        <w:fldChar w:fldCharType="end"/>
      </w:r>
    </w:p>
    <w:p w14:paraId="2C64397E" w14:textId="77777777"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B.</w:t>
      </w:r>
      <w:r w:rsidRPr="00B3684F">
        <w:rPr>
          <w:rFonts w:ascii="Arial" w:eastAsiaTheme="minorEastAsia" w:hAnsi="Arial" w:cs="Arial"/>
          <w:sz w:val="22"/>
          <w:szCs w:val="22"/>
          <w:lang w:eastAsia="es-ES_tradnl"/>
        </w:rPr>
        <w:tab/>
      </w:r>
      <w:r w:rsidRPr="00B3684F">
        <w:rPr>
          <w:rFonts w:ascii="Arial" w:hAnsi="Arial" w:cs="Arial"/>
          <w:sz w:val="22"/>
          <w:szCs w:val="22"/>
        </w:rPr>
        <w:t>Recopilación de Datos e Instrumentos</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_Toc455669844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5</w:t>
      </w:r>
      <w:r w:rsidRPr="00B3684F">
        <w:rPr>
          <w:rFonts w:ascii="Arial" w:hAnsi="Arial" w:cs="Arial"/>
          <w:sz w:val="22"/>
          <w:szCs w:val="22"/>
        </w:rPr>
        <w:fldChar w:fldCharType="end"/>
      </w:r>
    </w:p>
    <w:p w14:paraId="1BFE5AE3" w14:textId="1E6BA503"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C.</w:t>
      </w:r>
      <w:r w:rsidRPr="00B3684F">
        <w:rPr>
          <w:rFonts w:ascii="Arial" w:eastAsiaTheme="minorEastAsia" w:hAnsi="Arial" w:cs="Arial"/>
          <w:sz w:val="22"/>
          <w:szCs w:val="22"/>
          <w:lang w:eastAsia="es-ES_tradnl"/>
        </w:rPr>
        <w:tab/>
      </w:r>
      <w:r w:rsidRPr="00B3684F">
        <w:rPr>
          <w:rFonts w:ascii="Arial" w:hAnsi="Arial" w:cs="Arial"/>
          <w:sz w:val="22"/>
          <w:szCs w:val="22"/>
        </w:rPr>
        <w:t>Presentación de Informes</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_Toc455669845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7</w:t>
      </w:r>
      <w:r w:rsidRPr="00B3684F">
        <w:rPr>
          <w:rFonts w:ascii="Arial" w:hAnsi="Arial" w:cs="Arial"/>
          <w:sz w:val="22"/>
          <w:szCs w:val="22"/>
        </w:rPr>
        <w:fldChar w:fldCharType="end"/>
      </w:r>
    </w:p>
    <w:p w14:paraId="07F16E37" w14:textId="47B46270"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D.</w:t>
      </w:r>
      <w:r w:rsidRPr="00B3684F">
        <w:rPr>
          <w:rFonts w:ascii="Arial" w:eastAsiaTheme="minorEastAsia" w:hAnsi="Arial" w:cs="Arial"/>
          <w:sz w:val="22"/>
          <w:szCs w:val="22"/>
          <w:lang w:eastAsia="es-ES_tradnl"/>
        </w:rPr>
        <w:tab/>
      </w:r>
      <w:r w:rsidRPr="00B3684F">
        <w:rPr>
          <w:rFonts w:ascii="Arial" w:hAnsi="Arial" w:cs="Arial"/>
          <w:sz w:val="22"/>
          <w:szCs w:val="22"/>
        </w:rPr>
        <w:t>Coordinación, plan de trabajo y presupuesto del seguimiento</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_Toc455669846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7</w:t>
      </w:r>
      <w:r w:rsidRPr="00B3684F">
        <w:rPr>
          <w:rFonts w:ascii="Arial" w:hAnsi="Arial" w:cs="Arial"/>
          <w:sz w:val="22"/>
          <w:szCs w:val="22"/>
        </w:rPr>
        <w:fldChar w:fldCharType="end"/>
      </w:r>
    </w:p>
    <w:p w14:paraId="541DECDA" w14:textId="6E314CEF" w:rsidR="00C12D5D" w:rsidRPr="00B3684F" w:rsidRDefault="00C12D5D" w:rsidP="004348BE">
      <w:pPr>
        <w:pStyle w:val="TOC1"/>
        <w:spacing w:before="120" w:after="120"/>
        <w:rPr>
          <w:rFonts w:eastAsiaTheme="minorEastAsia"/>
          <w:b w:val="0"/>
          <w:smallCaps w:val="0"/>
          <w:sz w:val="22"/>
          <w:szCs w:val="22"/>
          <w:lang w:eastAsia="es-ES_tradnl"/>
        </w:rPr>
      </w:pPr>
      <w:r w:rsidRPr="00B3684F">
        <w:rPr>
          <w:sz w:val="22"/>
          <w:szCs w:val="22"/>
        </w:rPr>
        <w:t>III.</w:t>
      </w:r>
      <w:r w:rsidRPr="00B3684F">
        <w:rPr>
          <w:rFonts w:eastAsiaTheme="minorEastAsia"/>
          <w:b w:val="0"/>
          <w:smallCaps w:val="0"/>
          <w:sz w:val="22"/>
          <w:szCs w:val="22"/>
          <w:lang w:eastAsia="es-ES_tradnl"/>
        </w:rPr>
        <w:tab/>
      </w:r>
      <w:r w:rsidRPr="00B3684F">
        <w:rPr>
          <w:sz w:val="22"/>
          <w:szCs w:val="22"/>
        </w:rPr>
        <w:t>Evaluación</w:t>
      </w:r>
      <w:r w:rsidRPr="00B3684F">
        <w:rPr>
          <w:sz w:val="22"/>
          <w:szCs w:val="22"/>
        </w:rPr>
        <w:tab/>
      </w:r>
      <w:r w:rsidRPr="00B3684F">
        <w:rPr>
          <w:sz w:val="22"/>
          <w:szCs w:val="22"/>
        </w:rPr>
        <w:fldChar w:fldCharType="begin"/>
      </w:r>
      <w:r w:rsidRPr="00B3684F">
        <w:rPr>
          <w:sz w:val="22"/>
          <w:szCs w:val="22"/>
        </w:rPr>
        <w:instrText xml:space="preserve"> PAGEREF _Toc455669847 \h </w:instrText>
      </w:r>
      <w:r w:rsidRPr="00B3684F">
        <w:rPr>
          <w:sz w:val="22"/>
          <w:szCs w:val="22"/>
        </w:rPr>
      </w:r>
      <w:r w:rsidRPr="00B3684F">
        <w:rPr>
          <w:sz w:val="22"/>
          <w:szCs w:val="22"/>
        </w:rPr>
        <w:fldChar w:fldCharType="separate"/>
      </w:r>
      <w:r w:rsidR="00F75023">
        <w:rPr>
          <w:sz w:val="22"/>
          <w:szCs w:val="22"/>
        </w:rPr>
        <w:t>8</w:t>
      </w:r>
      <w:r w:rsidRPr="00B3684F">
        <w:rPr>
          <w:sz w:val="22"/>
          <w:szCs w:val="22"/>
        </w:rPr>
        <w:fldChar w:fldCharType="end"/>
      </w:r>
    </w:p>
    <w:p w14:paraId="1B143BDE" w14:textId="74615C64"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A.</w:t>
      </w:r>
      <w:r w:rsidRPr="00B3684F">
        <w:rPr>
          <w:rFonts w:ascii="Arial" w:eastAsiaTheme="minorEastAsia" w:hAnsi="Arial" w:cs="Arial"/>
          <w:sz w:val="22"/>
          <w:szCs w:val="22"/>
          <w:lang w:eastAsia="es-ES_tradnl"/>
        </w:rPr>
        <w:tab/>
      </w:r>
      <w:r w:rsidRPr="00B3684F">
        <w:rPr>
          <w:rFonts w:ascii="Arial" w:hAnsi="Arial" w:cs="Arial"/>
          <w:sz w:val="22"/>
          <w:szCs w:val="22"/>
        </w:rPr>
        <w:t>Principales Preguntas de la Evaluación</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_Toc455669848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8</w:t>
      </w:r>
      <w:r w:rsidRPr="00B3684F">
        <w:rPr>
          <w:rFonts w:ascii="Arial" w:hAnsi="Arial" w:cs="Arial"/>
          <w:sz w:val="22"/>
          <w:szCs w:val="22"/>
        </w:rPr>
        <w:fldChar w:fldCharType="end"/>
      </w:r>
    </w:p>
    <w:p w14:paraId="724970DD" w14:textId="56225400"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B.</w:t>
      </w:r>
      <w:r w:rsidRPr="00B3684F">
        <w:rPr>
          <w:rFonts w:ascii="Arial" w:eastAsiaTheme="minorEastAsia" w:hAnsi="Arial" w:cs="Arial"/>
          <w:sz w:val="22"/>
          <w:szCs w:val="22"/>
          <w:lang w:eastAsia="es-ES_tradnl"/>
        </w:rPr>
        <w:tab/>
      </w:r>
      <w:r w:rsidRPr="00B3684F">
        <w:rPr>
          <w:rFonts w:ascii="Arial" w:hAnsi="Arial" w:cs="Arial"/>
          <w:sz w:val="22"/>
          <w:szCs w:val="22"/>
        </w:rPr>
        <w:t>Conocimiento existente (evaluaciones previas, análisis financiero ex ante)</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_Toc455669849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9</w:t>
      </w:r>
      <w:r w:rsidRPr="00B3684F">
        <w:rPr>
          <w:rFonts w:ascii="Arial" w:hAnsi="Arial" w:cs="Arial"/>
          <w:sz w:val="22"/>
          <w:szCs w:val="22"/>
        </w:rPr>
        <w:fldChar w:fldCharType="end"/>
      </w:r>
    </w:p>
    <w:p w14:paraId="067BB77D" w14:textId="7DFD5E96"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C.</w:t>
      </w:r>
      <w:r w:rsidRPr="00B3684F">
        <w:rPr>
          <w:rFonts w:ascii="Arial" w:eastAsiaTheme="minorEastAsia" w:hAnsi="Arial" w:cs="Arial"/>
          <w:sz w:val="22"/>
          <w:szCs w:val="22"/>
          <w:lang w:eastAsia="es-ES_tradnl"/>
        </w:rPr>
        <w:tab/>
      </w:r>
      <w:r w:rsidR="00D12E8D" w:rsidRPr="00B3684F">
        <w:rPr>
          <w:rFonts w:ascii="Arial" w:eastAsiaTheme="minorEastAsia" w:hAnsi="Arial" w:cs="Arial"/>
          <w:sz w:val="22"/>
          <w:szCs w:val="22"/>
          <w:lang w:eastAsia="es-ES_tradnl"/>
        </w:rPr>
        <w:t>M</w:t>
      </w:r>
      <w:r w:rsidRPr="00B3684F">
        <w:rPr>
          <w:rFonts w:ascii="Arial" w:hAnsi="Arial" w:cs="Arial"/>
          <w:sz w:val="22"/>
          <w:szCs w:val="22"/>
        </w:rPr>
        <w:t>etodología de Evaluación</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_Toc455669851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10</w:t>
      </w:r>
      <w:r w:rsidRPr="00B3684F">
        <w:rPr>
          <w:rFonts w:ascii="Arial" w:hAnsi="Arial" w:cs="Arial"/>
          <w:sz w:val="22"/>
          <w:szCs w:val="22"/>
        </w:rPr>
        <w:fldChar w:fldCharType="end"/>
      </w:r>
    </w:p>
    <w:p w14:paraId="164DF996" w14:textId="333CC001" w:rsidR="00C12D5D" w:rsidRPr="00B3684F" w:rsidRDefault="00C12D5D" w:rsidP="004348BE">
      <w:pPr>
        <w:pStyle w:val="TOC2"/>
        <w:spacing w:before="120" w:after="120"/>
        <w:rPr>
          <w:rFonts w:ascii="Arial" w:eastAsiaTheme="minorEastAsia" w:hAnsi="Arial" w:cs="Arial"/>
          <w:sz w:val="22"/>
          <w:szCs w:val="22"/>
          <w:lang w:eastAsia="es-ES_tradnl"/>
        </w:rPr>
      </w:pPr>
      <w:r w:rsidRPr="00B3684F">
        <w:rPr>
          <w:rFonts w:ascii="Arial" w:hAnsi="Arial" w:cs="Arial"/>
          <w:sz w:val="22"/>
          <w:szCs w:val="22"/>
        </w:rPr>
        <w:t>F.</w:t>
      </w:r>
      <w:r w:rsidRPr="00B3684F">
        <w:rPr>
          <w:rFonts w:ascii="Arial" w:eastAsiaTheme="minorEastAsia" w:hAnsi="Arial" w:cs="Arial"/>
          <w:sz w:val="22"/>
          <w:szCs w:val="22"/>
          <w:lang w:eastAsia="es-ES_tradnl"/>
        </w:rPr>
        <w:tab/>
      </w:r>
      <w:r w:rsidRPr="00B3684F">
        <w:rPr>
          <w:rFonts w:ascii="Arial" w:hAnsi="Arial" w:cs="Arial"/>
          <w:sz w:val="22"/>
          <w:szCs w:val="22"/>
        </w:rPr>
        <w:t>Aspectos técnicos de la evaluación ex post</w:t>
      </w:r>
      <w:r w:rsidRPr="00B3684F">
        <w:rPr>
          <w:rFonts w:ascii="Arial" w:hAnsi="Arial" w:cs="Arial"/>
          <w:sz w:val="22"/>
          <w:szCs w:val="22"/>
        </w:rPr>
        <w:tab/>
      </w:r>
      <w:r w:rsidRPr="00B3684F">
        <w:rPr>
          <w:rFonts w:ascii="Arial" w:hAnsi="Arial" w:cs="Arial"/>
          <w:sz w:val="22"/>
          <w:szCs w:val="22"/>
        </w:rPr>
        <w:fldChar w:fldCharType="begin"/>
      </w:r>
      <w:r w:rsidRPr="00B3684F">
        <w:rPr>
          <w:rFonts w:ascii="Arial" w:hAnsi="Arial" w:cs="Arial"/>
          <w:sz w:val="22"/>
          <w:szCs w:val="22"/>
        </w:rPr>
        <w:instrText xml:space="preserve"> PAGEREF _Toc455669853 \h </w:instrText>
      </w:r>
      <w:r w:rsidRPr="00B3684F">
        <w:rPr>
          <w:rFonts w:ascii="Arial" w:hAnsi="Arial" w:cs="Arial"/>
          <w:sz w:val="22"/>
          <w:szCs w:val="22"/>
        </w:rPr>
      </w:r>
      <w:r w:rsidRPr="00B3684F">
        <w:rPr>
          <w:rFonts w:ascii="Arial" w:hAnsi="Arial" w:cs="Arial"/>
          <w:sz w:val="22"/>
          <w:szCs w:val="22"/>
        </w:rPr>
        <w:fldChar w:fldCharType="separate"/>
      </w:r>
      <w:r w:rsidR="00F75023">
        <w:rPr>
          <w:rFonts w:ascii="Arial" w:hAnsi="Arial" w:cs="Arial"/>
          <w:sz w:val="22"/>
          <w:szCs w:val="22"/>
        </w:rPr>
        <w:t>11</w:t>
      </w:r>
      <w:r w:rsidRPr="00B3684F">
        <w:rPr>
          <w:rFonts w:ascii="Arial" w:hAnsi="Arial" w:cs="Arial"/>
          <w:sz w:val="22"/>
          <w:szCs w:val="22"/>
        </w:rPr>
        <w:fldChar w:fldCharType="end"/>
      </w:r>
    </w:p>
    <w:p w14:paraId="486CBDCB" w14:textId="77777777" w:rsidR="003F69C9" w:rsidRDefault="00E3347F" w:rsidP="004348BE">
      <w:pPr>
        <w:pStyle w:val="TOC3"/>
        <w:spacing w:before="120" w:after="120"/>
        <w:rPr>
          <w:rFonts w:ascii="Arial" w:hAnsi="Arial" w:cs="Arial"/>
          <w:sz w:val="22"/>
          <w:szCs w:val="22"/>
        </w:rPr>
      </w:pPr>
      <w:r w:rsidRPr="00B3684F">
        <w:rPr>
          <w:rFonts w:ascii="Arial" w:hAnsi="Arial" w:cs="Arial"/>
          <w:sz w:val="22"/>
          <w:szCs w:val="22"/>
        </w:rPr>
        <w:fldChar w:fldCharType="end"/>
      </w:r>
    </w:p>
    <w:p w14:paraId="0EB9E778" w14:textId="77777777" w:rsidR="00A26F9F" w:rsidRDefault="00A26F9F">
      <w:pPr>
        <w:spacing w:after="200" w:line="276" w:lineRule="auto"/>
        <w:rPr>
          <w:rFonts w:ascii="Arial" w:hAnsi="Arial" w:cs="Arial"/>
          <w:sz w:val="22"/>
          <w:szCs w:val="22"/>
          <w:lang w:val="es-ES"/>
        </w:rPr>
      </w:pPr>
      <w:r>
        <w:rPr>
          <w:rFonts w:ascii="Arial" w:hAnsi="Arial" w:cs="Arial"/>
          <w:sz w:val="22"/>
          <w:szCs w:val="22"/>
          <w:lang w:val="es-ES"/>
        </w:rPr>
        <w:br w:type="page"/>
      </w:r>
    </w:p>
    <w:p w14:paraId="0CF1AE74" w14:textId="77777777" w:rsidR="003F69C9" w:rsidRPr="00046E14" w:rsidRDefault="003F69C9" w:rsidP="004348BE">
      <w:pPr>
        <w:spacing w:before="120" w:after="120"/>
        <w:rPr>
          <w:rFonts w:ascii="Arial" w:hAnsi="Arial" w:cs="Arial"/>
          <w:b/>
          <w:sz w:val="22"/>
          <w:szCs w:val="22"/>
          <w:lang w:val="es-ES"/>
        </w:rPr>
      </w:pPr>
    </w:p>
    <w:tbl>
      <w:tblPr>
        <w:tblW w:w="8640" w:type="dxa"/>
        <w:tblInd w:w="108" w:type="dxa"/>
        <w:tblBorders>
          <w:left w:val="single" w:sz="4" w:space="0" w:color="auto"/>
          <w:bottom w:val="single" w:sz="4" w:space="0" w:color="auto"/>
          <w:right w:val="single" w:sz="4" w:space="0" w:color="auto"/>
        </w:tblBorders>
        <w:tblLook w:val="01E0" w:firstRow="1" w:lastRow="1" w:firstColumn="1" w:lastColumn="1" w:noHBand="0" w:noVBand="0"/>
      </w:tblPr>
      <w:tblGrid>
        <w:gridCol w:w="1512"/>
        <w:gridCol w:w="7128"/>
      </w:tblGrid>
      <w:tr w:rsidR="00C62367" w:rsidRPr="00046E14" w14:paraId="56845144" w14:textId="77777777" w:rsidTr="00A31859">
        <w:trPr>
          <w:cantSplit/>
          <w:trHeight w:val="423"/>
        </w:trPr>
        <w:tc>
          <w:tcPr>
            <w:tcW w:w="8640" w:type="dxa"/>
            <w:gridSpan w:val="2"/>
            <w:tcBorders>
              <w:top w:val="single" w:sz="4" w:space="0" w:color="auto"/>
              <w:bottom w:val="single" w:sz="4" w:space="0" w:color="auto"/>
            </w:tcBorders>
            <w:shd w:val="clear" w:color="auto" w:fill="C0C0C0"/>
            <w:vAlign w:val="center"/>
          </w:tcPr>
          <w:p w14:paraId="2EBE5309" w14:textId="77777777" w:rsidR="00C62367" w:rsidRPr="00046E14" w:rsidRDefault="00C62367" w:rsidP="004348BE">
            <w:pPr>
              <w:spacing w:before="120" w:after="120"/>
              <w:jc w:val="center"/>
              <w:rPr>
                <w:rFonts w:ascii="Arial" w:eastAsia="Arial Unicode MS" w:hAnsi="Arial" w:cs="Arial"/>
                <w:b/>
                <w:bCs/>
                <w:smallCaps/>
                <w:sz w:val="22"/>
                <w:szCs w:val="22"/>
                <w:lang w:val="es-ES"/>
              </w:rPr>
            </w:pPr>
            <w:r w:rsidRPr="00B3684F">
              <w:rPr>
                <w:rFonts w:ascii="Arial" w:eastAsia="Arial Unicode MS" w:hAnsi="Arial" w:cs="Arial"/>
                <w:b/>
                <w:bCs/>
                <w:smallCaps/>
                <w:sz w:val="22"/>
                <w:szCs w:val="22"/>
                <w:lang w:val="es-ES"/>
              </w:rPr>
              <w:t>Abreviaturas</w:t>
            </w:r>
          </w:p>
        </w:tc>
      </w:tr>
      <w:tr w:rsidR="00A31859" w:rsidRPr="00046E14" w14:paraId="7D0FE638" w14:textId="77777777" w:rsidTr="00A31859">
        <w:trPr>
          <w:cantSplit/>
        </w:trPr>
        <w:tc>
          <w:tcPr>
            <w:tcW w:w="1512" w:type="dxa"/>
            <w:tcBorders>
              <w:top w:val="single" w:sz="4" w:space="0" w:color="auto"/>
            </w:tcBorders>
          </w:tcPr>
          <w:p w14:paraId="2D2E851B" w14:textId="2D5B06BD" w:rsidR="00D97448" w:rsidRPr="00DE2E88" w:rsidRDefault="00A31859" w:rsidP="00DA0BA9">
            <w:pPr>
              <w:spacing w:before="60" w:after="60"/>
              <w:rPr>
                <w:rFonts w:ascii="Arial" w:hAnsi="Arial" w:cs="Arial"/>
                <w:sz w:val="22"/>
                <w:szCs w:val="22"/>
                <w:lang w:val="en-US"/>
              </w:rPr>
            </w:pPr>
            <w:r w:rsidRPr="00DE2E88">
              <w:rPr>
                <w:rFonts w:ascii="Arial" w:hAnsi="Arial" w:cs="Arial"/>
                <w:sz w:val="22"/>
                <w:szCs w:val="22"/>
                <w:lang w:val="en-US"/>
              </w:rPr>
              <w:t>B</w:t>
            </w:r>
            <w:r w:rsidRPr="00A31859">
              <w:rPr>
                <w:rFonts w:ascii="Arial" w:hAnsi="Arial" w:cs="Arial"/>
                <w:b/>
                <w:sz w:val="22"/>
                <w:szCs w:val="22"/>
                <w:lang w:val="en-US"/>
              </w:rPr>
              <w:t>I</w:t>
            </w:r>
            <w:r w:rsidRPr="00DE2E88">
              <w:rPr>
                <w:rFonts w:ascii="Arial" w:hAnsi="Arial" w:cs="Arial"/>
                <w:sz w:val="22"/>
                <w:szCs w:val="22"/>
                <w:lang w:val="en-US"/>
              </w:rPr>
              <w:t>D</w:t>
            </w:r>
          </w:p>
        </w:tc>
        <w:tc>
          <w:tcPr>
            <w:tcW w:w="7128" w:type="dxa"/>
            <w:tcBorders>
              <w:top w:val="single" w:sz="4" w:space="0" w:color="auto"/>
            </w:tcBorders>
          </w:tcPr>
          <w:p w14:paraId="6CB529C2" w14:textId="77777777" w:rsidR="00A31859" w:rsidRDefault="00A31859" w:rsidP="00B3684F">
            <w:pPr>
              <w:spacing w:before="60" w:after="60"/>
              <w:rPr>
                <w:rFonts w:ascii="Arial" w:eastAsiaTheme="minorHAnsi" w:hAnsi="Arial" w:cs="Arial"/>
                <w:sz w:val="22"/>
                <w:szCs w:val="22"/>
                <w:lang w:val="es-MX"/>
              </w:rPr>
            </w:pPr>
            <w:r>
              <w:rPr>
                <w:rFonts w:ascii="Arial" w:eastAsiaTheme="minorHAnsi" w:hAnsi="Arial" w:cs="Arial"/>
                <w:sz w:val="22"/>
                <w:szCs w:val="22"/>
                <w:lang w:val="es-MX"/>
              </w:rPr>
              <w:t>Banco Interamericano de Desarrollo</w:t>
            </w:r>
          </w:p>
        </w:tc>
      </w:tr>
      <w:tr w:rsidR="00DA0BA9" w:rsidRPr="00046E14" w14:paraId="0CF4E2A1" w14:textId="77777777" w:rsidTr="00E835AA">
        <w:trPr>
          <w:cantSplit/>
        </w:trPr>
        <w:tc>
          <w:tcPr>
            <w:tcW w:w="1512" w:type="dxa"/>
          </w:tcPr>
          <w:p w14:paraId="65FFDE04" w14:textId="77777777" w:rsidR="00DA0BA9" w:rsidRPr="009004F8" w:rsidRDefault="00DA0BA9" w:rsidP="00E835AA">
            <w:pPr>
              <w:spacing w:before="60" w:after="60"/>
              <w:rPr>
                <w:rFonts w:ascii="Arial" w:hAnsi="Arial" w:cs="Arial"/>
                <w:sz w:val="22"/>
                <w:szCs w:val="22"/>
                <w:lang w:val="en-US"/>
              </w:rPr>
            </w:pPr>
            <w:r>
              <w:rPr>
                <w:rFonts w:ascii="Arial" w:hAnsi="Arial" w:cs="Arial"/>
                <w:sz w:val="22"/>
                <w:szCs w:val="22"/>
                <w:lang w:val="en-US"/>
              </w:rPr>
              <w:t>CICIG</w:t>
            </w:r>
          </w:p>
        </w:tc>
        <w:tc>
          <w:tcPr>
            <w:tcW w:w="7128" w:type="dxa"/>
          </w:tcPr>
          <w:p w14:paraId="23F51A0B" w14:textId="77777777" w:rsidR="00DA0BA9" w:rsidRPr="009004F8" w:rsidRDefault="00DA0BA9" w:rsidP="00E835AA">
            <w:pPr>
              <w:spacing w:before="60" w:after="60"/>
              <w:rPr>
                <w:rFonts w:ascii="Arial" w:hAnsi="Arial" w:cs="Arial"/>
                <w:sz w:val="22"/>
                <w:szCs w:val="22"/>
                <w:lang w:val="es-ES"/>
              </w:rPr>
            </w:pPr>
            <w:r w:rsidRPr="00DA0BA9">
              <w:rPr>
                <w:rFonts w:ascii="Arial" w:hAnsi="Arial" w:cs="Arial"/>
                <w:sz w:val="22"/>
                <w:szCs w:val="22"/>
                <w:lang w:val="es-ES"/>
              </w:rPr>
              <w:t>Comisión Internacional Contra la Impunidad en Guatemala</w:t>
            </w:r>
          </w:p>
        </w:tc>
      </w:tr>
      <w:tr w:rsidR="00A31859" w:rsidRPr="00046E14" w14:paraId="31C38B9F" w14:textId="77777777" w:rsidTr="00A31859">
        <w:trPr>
          <w:cantSplit/>
        </w:trPr>
        <w:tc>
          <w:tcPr>
            <w:tcW w:w="1512" w:type="dxa"/>
          </w:tcPr>
          <w:p w14:paraId="29A6EAAB" w14:textId="77777777" w:rsidR="00A31859" w:rsidRPr="009004F8" w:rsidRDefault="00A31859" w:rsidP="00B3684F">
            <w:pPr>
              <w:spacing w:before="60" w:after="60"/>
              <w:rPr>
                <w:rFonts w:ascii="Arial" w:hAnsi="Arial" w:cs="Arial"/>
                <w:sz w:val="22"/>
                <w:szCs w:val="22"/>
                <w:lang w:val="en-US"/>
              </w:rPr>
            </w:pPr>
            <w:r>
              <w:rPr>
                <w:rFonts w:ascii="Arial" w:hAnsi="Arial" w:cs="Arial"/>
                <w:sz w:val="22"/>
                <w:szCs w:val="22"/>
                <w:lang w:val="en-US"/>
              </w:rPr>
              <w:t>GAFI</w:t>
            </w:r>
          </w:p>
        </w:tc>
        <w:tc>
          <w:tcPr>
            <w:tcW w:w="7128" w:type="dxa"/>
          </w:tcPr>
          <w:p w14:paraId="03857419" w14:textId="77777777" w:rsidR="00A31859" w:rsidRPr="009004F8" w:rsidRDefault="00A31859" w:rsidP="00B3684F">
            <w:pPr>
              <w:spacing w:before="60" w:after="60"/>
              <w:rPr>
                <w:rFonts w:ascii="Arial" w:hAnsi="Arial" w:cs="Arial"/>
                <w:sz w:val="22"/>
                <w:szCs w:val="22"/>
                <w:lang w:val="es-ES"/>
              </w:rPr>
            </w:pPr>
            <w:r>
              <w:rPr>
                <w:rFonts w:ascii="Arial" w:hAnsi="Arial" w:cs="Arial"/>
                <w:sz w:val="22"/>
                <w:szCs w:val="22"/>
                <w:lang w:val="es-ES"/>
              </w:rPr>
              <w:t>Grupo de Acción Financiero</w:t>
            </w:r>
          </w:p>
        </w:tc>
      </w:tr>
      <w:tr w:rsidR="00A31859" w:rsidRPr="00046E14" w14:paraId="06F626CB" w14:textId="77777777" w:rsidTr="00A31859">
        <w:trPr>
          <w:cantSplit/>
        </w:trPr>
        <w:tc>
          <w:tcPr>
            <w:tcW w:w="1512" w:type="dxa"/>
          </w:tcPr>
          <w:p w14:paraId="35D01081" w14:textId="77777777" w:rsidR="00A31859" w:rsidRPr="00A31859" w:rsidRDefault="00A31859" w:rsidP="00B3684F">
            <w:pPr>
              <w:spacing w:before="60" w:after="60"/>
              <w:rPr>
                <w:rFonts w:ascii="Arial" w:hAnsi="Arial" w:cs="Arial"/>
                <w:sz w:val="22"/>
                <w:szCs w:val="22"/>
              </w:rPr>
            </w:pPr>
            <w:r>
              <w:rPr>
                <w:rFonts w:ascii="Arial" w:hAnsi="Arial" w:cs="Arial"/>
                <w:sz w:val="22"/>
                <w:szCs w:val="22"/>
              </w:rPr>
              <w:t>IAMC</w:t>
            </w:r>
          </w:p>
        </w:tc>
        <w:tc>
          <w:tcPr>
            <w:tcW w:w="7128" w:type="dxa"/>
          </w:tcPr>
          <w:p w14:paraId="0A15F21E" w14:textId="77777777" w:rsidR="00A31859" w:rsidRPr="00A31859" w:rsidRDefault="00A31859" w:rsidP="00747EE4">
            <w:pPr>
              <w:spacing w:before="60" w:after="60"/>
              <w:rPr>
                <w:rFonts w:ascii="Arial" w:hAnsi="Arial" w:cs="Arial"/>
                <w:sz w:val="22"/>
                <w:szCs w:val="22"/>
              </w:rPr>
            </w:pPr>
            <w:r>
              <w:rPr>
                <w:rFonts w:ascii="Arial" w:hAnsi="Arial" w:cs="Arial"/>
                <w:sz w:val="22"/>
                <w:szCs w:val="22"/>
              </w:rPr>
              <w:t>Evaluación Independiente de Condiciones Macroeconómicas</w:t>
            </w:r>
          </w:p>
        </w:tc>
      </w:tr>
      <w:tr w:rsidR="00A31859" w:rsidRPr="00046E14" w14:paraId="6CB655A8" w14:textId="77777777" w:rsidTr="00A31859">
        <w:trPr>
          <w:cantSplit/>
        </w:trPr>
        <w:tc>
          <w:tcPr>
            <w:tcW w:w="1512" w:type="dxa"/>
          </w:tcPr>
          <w:p w14:paraId="2C3AEE92" w14:textId="77777777" w:rsidR="00A31859" w:rsidRPr="009004F8" w:rsidRDefault="00A31859" w:rsidP="00B3684F">
            <w:pPr>
              <w:spacing w:before="60" w:after="60"/>
              <w:rPr>
                <w:rFonts w:ascii="Arial" w:hAnsi="Arial" w:cs="Arial"/>
                <w:sz w:val="22"/>
                <w:szCs w:val="22"/>
                <w:lang w:val="en-US"/>
              </w:rPr>
            </w:pPr>
            <w:r>
              <w:rPr>
                <w:rFonts w:ascii="Arial" w:hAnsi="Arial" w:cs="Arial"/>
                <w:sz w:val="22"/>
                <w:szCs w:val="22"/>
                <w:lang w:val="en-US"/>
              </w:rPr>
              <w:t>ISR</w:t>
            </w:r>
          </w:p>
        </w:tc>
        <w:tc>
          <w:tcPr>
            <w:tcW w:w="7128" w:type="dxa"/>
          </w:tcPr>
          <w:p w14:paraId="6BDF330C" w14:textId="77777777" w:rsidR="00A31859" w:rsidRPr="009004F8" w:rsidRDefault="00A31859" w:rsidP="00B3684F">
            <w:pPr>
              <w:spacing w:before="60" w:after="60"/>
              <w:rPr>
                <w:rFonts w:ascii="Arial" w:hAnsi="Arial" w:cs="Arial"/>
                <w:sz w:val="22"/>
                <w:szCs w:val="22"/>
                <w:lang w:val="es-ES"/>
              </w:rPr>
            </w:pPr>
            <w:r>
              <w:rPr>
                <w:rFonts w:ascii="Arial" w:hAnsi="Arial" w:cs="Arial"/>
                <w:sz w:val="22"/>
                <w:szCs w:val="22"/>
                <w:lang w:val="es-ES"/>
              </w:rPr>
              <w:t>Impuesto sobre las Rentas</w:t>
            </w:r>
          </w:p>
        </w:tc>
      </w:tr>
      <w:tr w:rsidR="00A31859" w:rsidRPr="00046E14" w14:paraId="51576CDA" w14:textId="77777777" w:rsidTr="00A31859">
        <w:trPr>
          <w:cantSplit/>
        </w:trPr>
        <w:tc>
          <w:tcPr>
            <w:tcW w:w="1512" w:type="dxa"/>
          </w:tcPr>
          <w:p w14:paraId="2A010971" w14:textId="77777777" w:rsidR="00A31859" w:rsidRDefault="00A31859" w:rsidP="00B3684F">
            <w:pPr>
              <w:spacing w:before="60" w:after="60"/>
              <w:rPr>
                <w:rFonts w:ascii="Arial" w:hAnsi="Arial" w:cs="Arial"/>
                <w:sz w:val="22"/>
                <w:szCs w:val="22"/>
                <w:lang w:val="en-US"/>
              </w:rPr>
            </w:pPr>
            <w:r w:rsidRPr="00D10AB6">
              <w:rPr>
                <w:rFonts w:ascii="Arial" w:hAnsi="Arial" w:cs="Arial"/>
                <w:sz w:val="22"/>
                <w:szCs w:val="22"/>
                <w:lang w:val="fr-FR"/>
              </w:rPr>
              <w:t>IVA</w:t>
            </w:r>
          </w:p>
        </w:tc>
        <w:tc>
          <w:tcPr>
            <w:tcW w:w="7128" w:type="dxa"/>
          </w:tcPr>
          <w:p w14:paraId="04D3EDD3" w14:textId="77777777" w:rsidR="00A31859" w:rsidRDefault="00A31859" w:rsidP="00B3684F">
            <w:pPr>
              <w:spacing w:before="60" w:after="60"/>
              <w:rPr>
                <w:rFonts w:ascii="Arial" w:hAnsi="Arial" w:cs="Arial"/>
                <w:sz w:val="22"/>
                <w:szCs w:val="22"/>
                <w:lang w:val="es-ES"/>
              </w:rPr>
            </w:pPr>
            <w:r w:rsidRPr="003F69C9">
              <w:rPr>
                <w:rFonts w:ascii="Arial" w:hAnsi="Arial" w:cs="Arial"/>
                <w:sz w:val="22"/>
                <w:szCs w:val="22"/>
                <w:lang w:val="es-MX"/>
              </w:rPr>
              <w:t>Impuesto al Valor Agregado</w:t>
            </w:r>
          </w:p>
        </w:tc>
      </w:tr>
      <w:tr w:rsidR="00A31859" w:rsidRPr="00046E14" w14:paraId="5CA24FE8" w14:textId="77777777" w:rsidTr="00A31859">
        <w:trPr>
          <w:cantSplit/>
        </w:trPr>
        <w:tc>
          <w:tcPr>
            <w:tcW w:w="1512" w:type="dxa"/>
          </w:tcPr>
          <w:p w14:paraId="21F7BFB0" w14:textId="77777777" w:rsidR="00A31859" w:rsidRPr="009004F8" w:rsidRDefault="00A31859" w:rsidP="00B3684F">
            <w:pPr>
              <w:spacing w:before="60" w:after="60"/>
              <w:rPr>
                <w:rFonts w:ascii="Arial" w:hAnsi="Arial" w:cs="Arial"/>
                <w:sz w:val="22"/>
                <w:szCs w:val="22"/>
                <w:lang w:val="en-US"/>
              </w:rPr>
            </w:pPr>
            <w:r>
              <w:rPr>
                <w:rFonts w:ascii="Arial" w:hAnsi="Arial" w:cs="Arial"/>
                <w:sz w:val="22"/>
                <w:szCs w:val="22"/>
                <w:lang w:val="en-US"/>
              </w:rPr>
              <w:t>MINFIN</w:t>
            </w:r>
          </w:p>
        </w:tc>
        <w:tc>
          <w:tcPr>
            <w:tcW w:w="7128" w:type="dxa"/>
          </w:tcPr>
          <w:p w14:paraId="38818A45" w14:textId="77777777" w:rsidR="00A31859" w:rsidRPr="009004F8" w:rsidRDefault="00A31859" w:rsidP="00B3684F">
            <w:pPr>
              <w:spacing w:before="60" w:after="60"/>
              <w:rPr>
                <w:rFonts w:ascii="Arial" w:hAnsi="Arial" w:cs="Arial"/>
                <w:sz w:val="22"/>
                <w:szCs w:val="22"/>
                <w:lang w:val="es-ES"/>
              </w:rPr>
            </w:pPr>
            <w:r>
              <w:rPr>
                <w:rFonts w:ascii="Arial" w:hAnsi="Arial" w:cs="Arial"/>
                <w:sz w:val="22"/>
                <w:szCs w:val="22"/>
                <w:lang w:val="es-ES"/>
              </w:rPr>
              <w:t>Ministerio de Finanzas</w:t>
            </w:r>
          </w:p>
        </w:tc>
      </w:tr>
      <w:tr w:rsidR="00940C40" w:rsidRPr="00046E14" w14:paraId="27699206" w14:textId="77777777" w:rsidTr="00A31859">
        <w:trPr>
          <w:cantSplit/>
        </w:trPr>
        <w:tc>
          <w:tcPr>
            <w:tcW w:w="1512" w:type="dxa"/>
          </w:tcPr>
          <w:p w14:paraId="59E06520" w14:textId="77777777" w:rsidR="00940C40" w:rsidRDefault="00940C40" w:rsidP="00B3684F">
            <w:pPr>
              <w:spacing w:before="60" w:after="60"/>
              <w:rPr>
                <w:rFonts w:ascii="Arial" w:hAnsi="Arial" w:cs="Arial"/>
                <w:sz w:val="22"/>
                <w:szCs w:val="22"/>
                <w:lang w:val="en-US"/>
              </w:rPr>
            </w:pPr>
            <w:r>
              <w:rPr>
                <w:rFonts w:ascii="Arial" w:hAnsi="Arial" w:cs="Arial"/>
                <w:sz w:val="22"/>
                <w:szCs w:val="22"/>
                <w:lang w:val="en-US"/>
              </w:rPr>
              <w:t>MP</w:t>
            </w:r>
          </w:p>
        </w:tc>
        <w:tc>
          <w:tcPr>
            <w:tcW w:w="7128" w:type="dxa"/>
          </w:tcPr>
          <w:p w14:paraId="10946168" w14:textId="77777777" w:rsidR="00940C40" w:rsidRDefault="00940C40" w:rsidP="00B3684F">
            <w:pPr>
              <w:spacing w:before="60" w:after="60"/>
              <w:rPr>
                <w:rFonts w:ascii="Arial" w:hAnsi="Arial" w:cs="Arial"/>
                <w:sz w:val="22"/>
                <w:szCs w:val="22"/>
                <w:lang w:val="es-ES"/>
              </w:rPr>
            </w:pPr>
            <w:r>
              <w:rPr>
                <w:rFonts w:ascii="Arial" w:hAnsi="Arial" w:cs="Arial"/>
                <w:sz w:val="22"/>
                <w:szCs w:val="22"/>
                <w:lang w:val="es-ES"/>
              </w:rPr>
              <w:t>Ministerio Público</w:t>
            </w:r>
          </w:p>
        </w:tc>
      </w:tr>
      <w:tr w:rsidR="00A31859" w:rsidRPr="00046E14" w14:paraId="52539AB9" w14:textId="77777777" w:rsidTr="00A31859">
        <w:trPr>
          <w:cantSplit/>
        </w:trPr>
        <w:tc>
          <w:tcPr>
            <w:tcW w:w="1512" w:type="dxa"/>
          </w:tcPr>
          <w:p w14:paraId="1813AF59" w14:textId="77777777" w:rsidR="00A31859" w:rsidRDefault="00A31859" w:rsidP="00B3684F">
            <w:pPr>
              <w:spacing w:before="60" w:after="60"/>
              <w:rPr>
                <w:rFonts w:ascii="Arial" w:hAnsi="Arial" w:cs="Arial"/>
                <w:sz w:val="22"/>
                <w:szCs w:val="22"/>
                <w:lang w:val="en-US"/>
              </w:rPr>
            </w:pPr>
            <w:r>
              <w:rPr>
                <w:rFonts w:ascii="Arial" w:hAnsi="Arial" w:cs="Arial"/>
                <w:sz w:val="22"/>
                <w:szCs w:val="22"/>
                <w:lang w:val="fr-FR"/>
              </w:rPr>
              <w:t>PCR</w:t>
            </w:r>
          </w:p>
        </w:tc>
        <w:tc>
          <w:tcPr>
            <w:tcW w:w="7128" w:type="dxa"/>
          </w:tcPr>
          <w:p w14:paraId="463AA187" w14:textId="77777777" w:rsidR="00A31859" w:rsidRDefault="00A31859" w:rsidP="00B3684F">
            <w:pPr>
              <w:spacing w:before="60" w:after="60"/>
              <w:rPr>
                <w:rFonts w:ascii="Arial" w:hAnsi="Arial" w:cs="Arial"/>
                <w:sz w:val="22"/>
                <w:szCs w:val="22"/>
                <w:lang w:val="es-ES"/>
              </w:rPr>
            </w:pPr>
            <w:r w:rsidRPr="003F69C9">
              <w:rPr>
                <w:rFonts w:ascii="Arial" w:hAnsi="Arial" w:cs="Arial"/>
                <w:sz w:val="22"/>
                <w:szCs w:val="22"/>
                <w:lang w:val="es-ES"/>
              </w:rPr>
              <w:t>Informe de Terminación de Proyecto (</w:t>
            </w:r>
            <w:r w:rsidRPr="002129FA">
              <w:rPr>
                <w:rFonts w:ascii="Arial" w:hAnsi="Arial" w:cs="Arial"/>
                <w:i/>
                <w:sz w:val="22"/>
                <w:szCs w:val="22"/>
                <w:lang w:val="es-ES"/>
              </w:rPr>
              <w:t xml:space="preserve">Project </w:t>
            </w:r>
            <w:r w:rsidRPr="002129FA">
              <w:rPr>
                <w:rFonts w:ascii="Arial" w:hAnsi="Arial" w:cs="Arial"/>
                <w:i/>
                <w:sz w:val="22"/>
                <w:szCs w:val="22"/>
                <w:lang w:val="es-MX"/>
              </w:rPr>
              <w:t>Completion</w:t>
            </w:r>
            <w:r w:rsidRPr="002129FA">
              <w:rPr>
                <w:rFonts w:ascii="Arial" w:hAnsi="Arial" w:cs="Arial"/>
                <w:i/>
                <w:sz w:val="22"/>
                <w:szCs w:val="22"/>
                <w:lang w:val="es-ES"/>
              </w:rPr>
              <w:t xml:space="preserve"> Report</w:t>
            </w:r>
            <w:r w:rsidRPr="003F69C9">
              <w:rPr>
                <w:rFonts w:ascii="Arial" w:hAnsi="Arial" w:cs="Arial"/>
                <w:sz w:val="22"/>
                <w:szCs w:val="22"/>
                <w:lang w:val="es-ES"/>
              </w:rPr>
              <w:t>)</w:t>
            </w:r>
          </w:p>
        </w:tc>
      </w:tr>
      <w:tr w:rsidR="00A31859" w:rsidRPr="00046E14" w14:paraId="163A9D05" w14:textId="77777777" w:rsidTr="00A31859">
        <w:trPr>
          <w:cantSplit/>
        </w:trPr>
        <w:tc>
          <w:tcPr>
            <w:tcW w:w="1512" w:type="dxa"/>
          </w:tcPr>
          <w:p w14:paraId="6C638D83" w14:textId="77777777" w:rsidR="00A31859" w:rsidRPr="00DE2E88" w:rsidRDefault="00A31859" w:rsidP="00B3684F">
            <w:pPr>
              <w:spacing w:before="60" w:after="60"/>
              <w:rPr>
                <w:rFonts w:ascii="Arial" w:hAnsi="Arial" w:cs="Arial"/>
                <w:sz w:val="22"/>
                <w:szCs w:val="22"/>
                <w:lang w:val="en-US"/>
              </w:rPr>
            </w:pPr>
            <w:r>
              <w:rPr>
                <w:rFonts w:ascii="Arial" w:hAnsi="Arial" w:cs="Arial"/>
                <w:sz w:val="22"/>
                <w:szCs w:val="22"/>
                <w:lang w:val="en-US"/>
              </w:rPr>
              <w:t>PIB</w:t>
            </w:r>
          </w:p>
        </w:tc>
        <w:tc>
          <w:tcPr>
            <w:tcW w:w="7128" w:type="dxa"/>
          </w:tcPr>
          <w:p w14:paraId="4238C06B" w14:textId="77777777" w:rsidR="00A31859" w:rsidRPr="00A31859" w:rsidRDefault="00A31859" w:rsidP="00B3684F">
            <w:pPr>
              <w:spacing w:before="60" w:after="60"/>
              <w:rPr>
                <w:rFonts w:ascii="Arial" w:hAnsi="Arial" w:cs="Arial"/>
                <w:i/>
                <w:sz w:val="22"/>
                <w:szCs w:val="22"/>
                <w:lang w:val="es-ES"/>
              </w:rPr>
            </w:pPr>
            <w:r>
              <w:rPr>
                <w:rFonts w:ascii="Arial" w:hAnsi="Arial" w:cs="Arial"/>
                <w:sz w:val="22"/>
                <w:szCs w:val="22"/>
                <w:lang w:val="es-ES"/>
              </w:rPr>
              <w:t>Producto</w:t>
            </w:r>
            <w:r w:rsidRPr="00A31859">
              <w:rPr>
                <w:rFonts w:ascii="Arial" w:hAnsi="Arial" w:cs="Arial"/>
                <w:sz w:val="22"/>
                <w:szCs w:val="22"/>
                <w:lang w:val="es-ES"/>
              </w:rPr>
              <w:t xml:space="preserve"> </w:t>
            </w:r>
            <w:r>
              <w:rPr>
                <w:rFonts w:ascii="Arial" w:hAnsi="Arial" w:cs="Arial"/>
                <w:sz w:val="22"/>
                <w:szCs w:val="22"/>
                <w:lang w:val="es-ES"/>
              </w:rPr>
              <w:t>I</w:t>
            </w:r>
            <w:r w:rsidRPr="00A31859">
              <w:rPr>
                <w:rFonts w:ascii="Arial" w:hAnsi="Arial" w:cs="Arial"/>
                <w:sz w:val="22"/>
                <w:szCs w:val="22"/>
                <w:lang w:val="es-ES"/>
              </w:rPr>
              <w:t>nterno Bruto</w:t>
            </w:r>
          </w:p>
        </w:tc>
      </w:tr>
      <w:tr w:rsidR="00A31859" w:rsidRPr="00046E14" w14:paraId="3DCAC9BF" w14:textId="77777777" w:rsidTr="00A31859">
        <w:trPr>
          <w:cantSplit/>
        </w:trPr>
        <w:tc>
          <w:tcPr>
            <w:tcW w:w="1512" w:type="dxa"/>
          </w:tcPr>
          <w:p w14:paraId="61A67B9E" w14:textId="77777777" w:rsidR="00A31859" w:rsidRDefault="00A31859" w:rsidP="00B3684F">
            <w:pPr>
              <w:spacing w:before="60" w:after="60"/>
              <w:rPr>
                <w:rFonts w:ascii="Arial" w:hAnsi="Arial" w:cs="Arial"/>
                <w:sz w:val="22"/>
                <w:szCs w:val="22"/>
                <w:lang w:val="en-US"/>
              </w:rPr>
            </w:pPr>
            <w:r w:rsidRPr="00D10AB6">
              <w:rPr>
                <w:rFonts w:ascii="Arial" w:hAnsi="Arial" w:cs="Arial"/>
                <w:sz w:val="22"/>
                <w:szCs w:val="22"/>
                <w:lang w:val="fr-FR"/>
              </w:rPr>
              <w:t>PIB</w:t>
            </w:r>
          </w:p>
        </w:tc>
        <w:tc>
          <w:tcPr>
            <w:tcW w:w="7128" w:type="dxa"/>
          </w:tcPr>
          <w:p w14:paraId="4AE13C15" w14:textId="77777777" w:rsidR="00A31859" w:rsidRDefault="00A31859" w:rsidP="00B3684F">
            <w:pPr>
              <w:spacing w:before="60" w:after="60"/>
              <w:rPr>
                <w:rFonts w:ascii="Arial" w:hAnsi="Arial" w:cs="Arial"/>
                <w:sz w:val="22"/>
                <w:szCs w:val="22"/>
                <w:lang w:val="es-ES"/>
              </w:rPr>
            </w:pPr>
            <w:r w:rsidRPr="003F69C9">
              <w:rPr>
                <w:rFonts w:ascii="Arial" w:eastAsiaTheme="minorHAnsi" w:hAnsi="Arial" w:cs="Arial"/>
                <w:sz w:val="22"/>
                <w:szCs w:val="22"/>
                <w:lang w:val="es-MX"/>
              </w:rPr>
              <w:t>Producto Interno Bruto</w:t>
            </w:r>
          </w:p>
        </w:tc>
      </w:tr>
      <w:tr w:rsidR="00A31859" w:rsidRPr="00046E14" w14:paraId="0225C049" w14:textId="77777777" w:rsidTr="00A31859">
        <w:trPr>
          <w:cantSplit/>
        </w:trPr>
        <w:tc>
          <w:tcPr>
            <w:tcW w:w="1512" w:type="dxa"/>
          </w:tcPr>
          <w:p w14:paraId="27AA6F3E" w14:textId="5DA86782" w:rsidR="00D97448" w:rsidRDefault="00A31859" w:rsidP="00B3684F">
            <w:pPr>
              <w:spacing w:before="60" w:after="60"/>
              <w:rPr>
                <w:rFonts w:ascii="Arial" w:hAnsi="Arial" w:cs="Arial"/>
                <w:sz w:val="22"/>
                <w:szCs w:val="22"/>
                <w:lang w:val="en-US"/>
              </w:rPr>
            </w:pPr>
            <w:r>
              <w:rPr>
                <w:rFonts w:ascii="Arial" w:hAnsi="Arial" w:cs="Arial"/>
                <w:sz w:val="22"/>
                <w:szCs w:val="22"/>
                <w:lang w:val="en-US"/>
              </w:rPr>
              <w:t>POD</w:t>
            </w:r>
          </w:p>
        </w:tc>
        <w:tc>
          <w:tcPr>
            <w:tcW w:w="7128" w:type="dxa"/>
          </w:tcPr>
          <w:p w14:paraId="507A629B" w14:textId="77777777" w:rsidR="00A31859" w:rsidRDefault="00A31859" w:rsidP="00B3684F">
            <w:pPr>
              <w:spacing w:before="60" w:after="60"/>
              <w:rPr>
                <w:rFonts w:ascii="Arial" w:hAnsi="Arial" w:cs="Arial"/>
                <w:sz w:val="22"/>
                <w:szCs w:val="22"/>
                <w:lang w:val="es-ES"/>
              </w:rPr>
            </w:pPr>
            <w:r w:rsidRPr="009004F8">
              <w:rPr>
                <w:rFonts w:ascii="Arial" w:hAnsi="Arial" w:cs="Arial"/>
                <w:sz w:val="22"/>
                <w:szCs w:val="22"/>
                <w:lang w:val="es-ES"/>
              </w:rPr>
              <w:t>Propuesta para el Desarrollo de la Operación</w:t>
            </w:r>
          </w:p>
        </w:tc>
      </w:tr>
      <w:tr w:rsidR="003E1617" w:rsidRPr="00046E14" w14:paraId="406D3A6A" w14:textId="77777777" w:rsidTr="00E835AA">
        <w:trPr>
          <w:cantSplit/>
        </w:trPr>
        <w:tc>
          <w:tcPr>
            <w:tcW w:w="1512" w:type="dxa"/>
          </w:tcPr>
          <w:p w14:paraId="7D4E5A2D" w14:textId="77777777" w:rsidR="003E1617" w:rsidRPr="00046E14" w:rsidRDefault="003E1617" w:rsidP="00E835AA">
            <w:pPr>
              <w:spacing w:before="60" w:after="60"/>
              <w:rPr>
                <w:rFonts w:ascii="Arial" w:hAnsi="Arial" w:cs="Arial"/>
                <w:sz w:val="22"/>
                <w:szCs w:val="22"/>
                <w:lang w:val="es-ES"/>
              </w:rPr>
            </w:pPr>
            <w:r>
              <w:rPr>
                <w:rFonts w:ascii="Arial" w:hAnsi="Arial" w:cs="Arial"/>
                <w:sz w:val="22"/>
                <w:szCs w:val="22"/>
                <w:lang w:val="es-ES"/>
              </w:rPr>
              <w:t>PQ</w:t>
            </w:r>
          </w:p>
        </w:tc>
        <w:tc>
          <w:tcPr>
            <w:tcW w:w="7128" w:type="dxa"/>
          </w:tcPr>
          <w:p w14:paraId="41E67041" w14:textId="77777777" w:rsidR="003E1617" w:rsidRPr="00A31859" w:rsidRDefault="003E1617" w:rsidP="00E835AA">
            <w:pPr>
              <w:spacing w:before="60" w:after="60"/>
              <w:rPr>
                <w:rFonts w:ascii="Arial" w:hAnsi="Arial" w:cs="Arial"/>
                <w:sz w:val="22"/>
                <w:szCs w:val="22"/>
                <w:lang w:val="es-ES"/>
              </w:rPr>
            </w:pPr>
            <w:r>
              <w:rPr>
                <w:rFonts w:ascii="Arial" w:hAnsi="Arial" w:cs="Arial"/>
                <w:sz w:val="22"/>
                <w:szCs w:val="22"/>
                <w:lang w:val="es-ES"/>
              </w:rPr>
              <w:t>Puerto Quetzal</w:t>
            </w:r>
          </w:p>
        </w:tc>
      </w:tr>
      <w:tr w:rsidR="00A31859" w:rsidRPr="00046E14" w14:paraId="0EDFBD96" w14:textId="77777777" w:rsidTr="00A31859">
        <w:trPr>
          <w:cantSplit/>
        </w:trPr>
        <w:tc>
          <w:tcPr>
            <w:tcW w:w="1512" w:type="dxa"/>
          </w:tcPr>
          <w:p w14:paraId="3966D551" w14:textId="77777777" w:rsidR="00A31859" w:rsidRPr="00046E14" w:rsidRDefault="00A31859" w:rsidP="00B3684F">
            <w:pPr>
              <w:spacing w:before="60" w:after="60"/>
              <w:rPr>
                <w:rFonts w:ascii="Arial" w:hAnsi="Arial" w:cs="Arial"/>
                <w:sz w:val="22"/>
                <w:szCs w:val="22"/>
                <w:lang w:val="es-ES"/>
              </w:rPr>
            </w:pPr>
            <w:r>
              <w:rPr>
                <w:rFonts w:ascii="Arial" w:hAnsi="Arial" w:cs="Arial"/>
                <w:sz w:val="22"/>
                <w:szCs w:val="22"/>
                <w:lang w:val="es-ES"/>
              </w:rPr>
              <w:t>RTU</w:t>
            </w:r>
          </w:p>
        </w:tc>
        <w:tc>
          <w:tcPr>
            <w:tcW w:w="7128" w:type="dxa"/>
          </w:tcPr>
          <w:p w14:paraId="391251FA" w14:textId="77777777" w:rsidR="00A31859" w:rsidRPr="00A31859" w:rsidRDefault="00A31859" w:rsidP="00B3684F">
            <w:pPr>
              <w:spacing w:before="60" w:after="60"/>
              <w:rPr>
                <w:rFonts w:ascii="Arial" w:hAnsi="Arial" w:cs="Arial"/>
                <w:sz w:val="22"/>
                <w:szCs w:val="22"/>
                <w:lang w:val="es-ES"/>
              </w:rPr>
            </w:pPr>
            <w:r>
              <w:rPr>
                <w:rFonts w:ascii="Arial" w:hAnsi="Arial" w:cs="Arial"/>
                <w:sz w:val="22"/>
                <w:szCs w:val="22"/>
                <w:lang w:val="es-ES"/>
              </w:rPr>
              <w:t>Registro Tributario Unificado</w:t>
            </w:r>
          </w:p>
        </w:tc>
      </w:tr>
      <w:tr w:rsidR="00A31859" w:rsidRPr="00046E14" w14:paraId="27B6A7B3" w14:textId="77777777" w:rsidTr="00A31859">
        <w:trPr>
          <w:cantSplit/>
        </w:trPr>
        <w:tc>
          <w:tcPr>
            <w:tcW w:w="1512" w:type="dxa"/>
          </w:tcPr>
          <w:p w14:paraId="3878EE32" w14:textId="77777777" w:rsidR="00A31859" w:rsidRPr="00D10AB6" w:rsidRDefault="00A31859" w:rsidP="00B3684F">
            <w:pPr>
              <w:spacing w:before="60" w:after="60"/>
              <w:rPr>
                <w:rFonts w:ascii="Arial" w:hAnsi="Arial" w:cs="Arial"/>
                <w:sz w:val="22"/>
                <w:szCs w:val="22"/>
                <w:lang w:val="fr-FR"/>
              </w:rPr>
            </w:pPr>
            <w:r>
              <w:rPr>
                <w:rFonts w:ascii="Arial" w:hAnsi="Arial" w:cs="Arial"/>
                <w:sz w:val="22"/>
                <w:szCs w:val="22"/>
                <w:lang w:val="en-US"/>
              </w:rPr>
              <w:t>SAT</w:t>
            </w:r>
          </w:p>
        </w:tc>
        <w:tc>
          <w:tcPr>
            <w:tcW w:w="7128" w:type="dxa"/>
          </w:tcPr>
          <w:p w14:paraId="1256D1AD" w14:textId="77777777" w:rsidR="00A31859" w:rsidRPr="003F69C9" w:rsidRDefault="00A31859" w:rsidP="00B3684F">
            <w:pPr>
              <w:spacing w:before="60" w:after="60"/>
              <w:rPr>
                <w:rFonts w:ascii="Arial" w:hAnsi="Arial" w:cs="Arial"/>
                <w:sz w:val="22"/>
                <w:szCs w:val="22"/>
                <w:lang w:val="es-MX"/>
              </w:rPr>
            </w:pPr>
            <w:r>
              <w:rPr>
                <w:rFonts w:ascii="Arial" w:hAnsi="Arial" w:cs="Arial"/>
                <w:sz w:val="22"/>
                <w:szCs w:val="22"/>
                <w:lang w:val="es-ES"/>
              </w:rPr>
              <w:t>Superintendencia de Administración Tributaria</w:t>
            </w:r>
          </w:p>
        </w:tc>
      </w:tr>
      <w:tr w:rsidR="00A31859" w:rsidRPr="00046E14" w14:paraId="237E1D99" w14:textId="77777777" w:rsidTr="00A31859">
        <w:trPr>
          <w:cantSplit/>
        </w:trPr>
        <w:tc>
          <w:tcPr>
            <w:tcW w:w="1512" w:type="dxa"/>
          </w:tcPr>
          <w:p w14:paraId="254C4D4E" w14:textId="4B395E63" w:rsidR="00A31859" w:rsidRPr="009004F8" w:rsidRDefault="00A31859" w:rsidP="00B3684F">
            <w:pPr>
              <w:spacing w:before="60" w:after="60"/>
              <w:rPr>
                <w:rFonts w:ascii="Arial" w:hAnsi="Arial" w:cs="Arial"/>
                <w:sz w:val="22"/>
                <w:szCs w:val="22"/>
                <w:lang w:val="en-US"/>
              </w:rPr>
            </w:pPr>
            <w:r>
              <w:rPr>
                <w:rFonts w:ascii="Arial" w:hAnsi="Arial" w:cs="Arial"/>
                <w:sz w:val="22"/>
                <w:szCs w:val="22"/>
                <w:lang w:val="en-US"/>
              </w:rPr>
              <w:t>S</w:t>
            </w:r>
            <w:r w:rsidR="002B692F">
              <w:rPr>
                <w:rFonts w:ascii="Arial" w:hAnsi="Arial" w:cs="Arial"/>
                <w:sz w:val="22"/>
                <w:szCs w:val="22"/>
                <w:lang w:val="en-US"/>
              </w:rPr>
              <w:t>I</w:t>
            </w:r>
            <w:r>
              <w:rPr>
                <w:rFonts w:ascii="Arial" w:hAnsi="Arial" w:cs="Arial"/>
                <w:sz w:val="22"/>
                <w:szCs w:val="22"/>
                <w:lang w:val="en-US"/>
              </w:rPr>
              <w:t>B</w:t>
            </w:r>
          </w:p>
        </w:tc>
        <w:tc>
          <w:tcPr>
            <w:tcW w:w="7128" w:type="dxa"/>
          </w:tcPr>
          <w:p w14:paraId="7B3E638D" w14:textId="77777777" w:rsidR="00A31859" w:rsidRPr="009004F8" w:rsidRDefault="00A31859" w:rsidP="00B3684F">
            <w:pPr>
              <w:spacing w:before="60" w:after="60"/>
              <w:rPr>
                <w:rFonts w:ascii="Arial" w:hAnsi="Arial" w:cs="Arial"/>
                <w:sz w:val="22"/>
                <w:szCs w:val="22"/>
                <w:lang w:val="es-ES"/>
              </w:rPr>
            </w:pPr>
            <w:r>
              <w:rPr>
                <w:rFonts w:ascii="Arial" w:hAnsi="Arial" w:cs="Arial"/>
                <w:sz w:val="22"/>
                <w:szCs w:val="22"/>
                <w:lang w:val="es-ES"/>
              </w:rPr>
              <w:t>Superintendencia de Banca de Guatemala</w:t>
            </w:r>
          </w:p>
        </w:tc>
      </w:tr>
    </w:tbl>
    <w:p w14:paraId="38423659" w14:textId="77777777" w:rsidR="00ED751C" w:rsidRPr="00046E14" w:rsidRDefault="00ED751C" w:rsidP="004348BE">
      <w:pPr>
        <w:pStyle w:val="AbbrDesc"/>
        <w:tabs>
          <w:tab w:val="left" w:pos="1440"/>
        </w:tabs>
        <w:spacing w:before="120" w:after="120"/>
        <w:rPr>
          <w:rFonts w:ascii="Arial" w:hAnsi="Arial" w:cs="Arial"/>
          <w:sz w:val="22"/>
          <w:szCs w:val="22"/>
          <w:lang w:val="es-ES"/>
        </w:rPr>
        <w:sectPr w:rsidR="00ED751C" w:rsidRPr="00046E14" w:rsidSect="00A31859">
          <w:headerReference w:type="first" r:id="rId13"/>
          <w:type w:val="nextColumn"/>
          <w:pgSz w:w="12240" w:h="15840" w:code="1"/>
          <w:pgMar w:top="1440" w:right="1800" w:bottom="1440" w:left="1800" w:header="706" w:footer="706" w:gutter="0"/>
          <w:pgNumType w:fmt="lowerRoman" w:start="1"/>
          <w:cols w:space="720"/>
          <w:formProt w:val="0"/>
          <w:titlePg/>
        </w:sectPr>
      </w:pPr>
    </w:p>
    <w:p w14:paraId="5F2BBDE9" w14:textId="77777777" w:rsidR="00ED751C" w:rsidRPr="00EB0154" w:rsidRDefault="007C1307" w:rsidP="004348BE">
      <w:pPr>
        <w:pStyle w:val="Chapter"/>
        <w:spacing w:before="120" w:after="120"/>
        <w:rPr>
          <w:rFonts w:ascii="Arial" w:hAnsi="Arial" w:cs="Arial"/>
          <w:szCs w:val="22"/>
        </w:rPr>
      </w:pPr>
      <w:bookmarkStart w:id="0" w:name="_Toc455669841"/>
      <w:r>
        <w:rPr>
          <w:rFonts w:ascii="Arial" w:hAnsi="Arial" w:cs="Arial"/>
          <w:szCs w:val="22"/>
        </w:rPr>
        <w:lastRenderedPageBreak/>
        <w:t>Introducción</w:t>
      </w:r>
      <w:bookmarkEnd w:id="0"/>
      <w:r>
        <w:rPr>
          <w:rFonts w:ascii="Arial" w:hAnsi="Arial" w:cs="Arial"/>
          <w:szCs w:val="22"/>
        </w:rPr>
        <w:t xml:space="preserve"> </w:t>
      </w:r>
    </w:p>
    <w:p w14:paraId="2C217BB9" w14:textId="77777777" w:rsidR="007C1307" w:rsidRPr="008566D6" w:rsidRDefault="008566D6" w:rsidP="004348BE">
      <w:pPr>
        <w:pStyle w:val="Paragraph"/>
        <w:ind w:left="720" w:hanging="720"/>
        <w:rPr>
          <w:rFonts w:ascii="Arial" w:hAnsi="Arial" w:cs="Arial"/>
          <w:sz w:val="22"/>
          <w:szCs w:val="22"/>
        </w:rPr>
      </w:pPr>
      <w:r w:rsidRPr="008566D6">
        <w:rPr>
          <w:rFonts w:ascii="Arial" w:hAnsi="Arial" w:cs="Arial"/>
          <w:sz w:val="22"/>
          <w:szCs w:val="22"/>
        </w:rPr>
        <w:t xml:space="preserve">El objetivo del programa es mejorar la </w:t>
      </w:r>
      <w:r w:rsidR="00747EE4">
        <w:rPr>
          <w:rFonts w:ascii="Arial" w:hAnsi="Arial" w:cs="Arial"/>
          <w:sz w:val="22"/>
          <w:szCs w:val="22"/>
        </w:rPr>
        <w:t xml:space="preserve">administración tributaria, </w:t>
      </w:r>
      <w:r w:rsidRPr="008566D6">
        <w:rPr>
          <w:rFonts w:ascii="Arial" w:hAnsi="Arial" w:cs="Arial"/>
          <w:sz w:val="22"/>
          <w:szCs w:val="22"/>
        </w:rPr>
        <w:t>y la transparencia del sector financiero en Guatemala</w:t>
      </w:r>
      <w:r w:rsidR="00747EE4">
        <w:rPr>
          <w:rFonts w:ascii="Arial" w:hAnsi="Arial" w:cs="Arial"/>
          <w:sz w:val="22"/>
          <w:szCs w:val="22"/>
        </w:rPr>
        <w:t>, por medio de medidas de política orientadas al</w:t>
      </w:r>
      <w:r w:rsidRPr="008566D6">
        <w:rPr>
          <w:rFonts w:ascii="Arial" w:hAnsi="Arial" w:cs="Arial"/>
          <w:sz w:val="22"/>
          <w:szCs w:val="22"/>
        </w:rPr>
        <w:t xml:space="preserve"> incremento de los ingresos tributarios y fortalec</w:t>
      </w:r>
      <w:r w:rsidR="00747EE4">
        <w:rPr>
          <w:rFonts w:ascii="Arial" w:hAnsi="Arial" w:cs="Arial"/>
          <w:sz w:val="22"/>
          <w:szCs w:val="22"/>
        </w:rPr>
        <w:t>imiento de</w:t>
      </w:r>
      <w:r w:rsidRPr="008566D6">
        <w:rPr>
          <w:rFonts w:ascii="Arial" w:hAnsi="Arial" w:cs="Arial"/>
          <w:sz w:val="22"/>
          <w:szCs w:val="22"/>
        </w:rPr>
        <w:t xml:space="preserve"> la prevención del lavado de activos. </w:t>
      </w:r>
      <w:r w:rsidR="00747EE4">
        <w:rPr>
          <w:rFonts w:ascii="Arial" w:hAnsi="Arial" w:cs="Arial"/>
          <w:sz w:val="22"/>
          <w:szCs w:val="22"/>
        </w:rPr>
        <w:t xml:space="preserve">El Programa se estructura bajo la </w:t>
      </w:r>
      <w:r w:rsidRPr="008566D6">
        <w:rPr>
          <w:rFonts w:ascii="Arial" w:hAnsi="Arial" w:cs="Arial"/>
          <w:sz w:val="22"/>
          <w:szCs w:val="22"/>
        </w:rPr>
        <w:t xml:space="preserve">modalidad </w:t>
      </w:r>
      <w:r w:rsidR="00747EE4">
        <w:rPr>
          <w:rFonts w:ascii="Arial" w:hAnsi="Arial" w:cs="Arial"/>
          <w:sz w:val="22"/>
          <w:szCs w:val="22"/>
        </w:rPr>
        <w:t>de un préstamo</w:t>
      </w:r>
      <w:r w:rsidRPr="008566D6">
        <w:rPr>
          <w:rFonts w:ascii="Arial" w:hAnsi="Arial" w:cs="Arial"/>
          <w:sz w:val="22"/>
          <w:szCs w:val="22"/>
        </w:rPr>
        <w:t xml:space="preserve"> </w:t>
      </w:r>
      <w:r w:rsidR="00747EE4">
        <w:rPr>
          <w:rFonts w:ascii="Arial" w:hAnsi="Arial" w:cs="Arial"/>
          <w:sz w:val="22"/>
          <w:szCs w:val="22"/>
        </w:rPr>
        <w:t>en</w:t>
      </w:r>
      <w:r w:rsidRPr="008566D6">
        <w:rPr>
          <w:rFonts w:ascii="Arial" w:hAnsi="Arial" w:cs="Arial"/>
          <w:sz w:val="22"/>
          <w:szCs w:val="22"/>
        </w:rPr>
        <w:t xml:space="preserve"> Apoyo a Reformas de Políticas (PBL) de tramos múltiples, dividido en dos tramos de desembolsos</w:t>
      </w:r>
      <w:r w:rsidR="007C1307" w:rsidRPr="007C1307">
        <w:rPr>
          <w:rFonts w:ascii="Arial" w:hAnsi="Arial" w:cs="Arial"/>
          <w:sz w:val="22"/>
          <w:szCs w:val="22"/>
        </w:rPr>
        <w:t>.</w:t>
      </w:r>
      <w:r>
        <w:rPr>
          <w:rFonts w:ascii="Arial" w:hAnsi="Arial" w:cs="Arial"/>
          <w:sz w:val="22"/>
          <w:szCs w:val="22"/>
        </w:rPr>
        <w:t xml:space="preserve"> La operación </w:t>
      </w:r>
      <w:r w:rsidR="00940746">
        <w:rPr>
          <w:rFonts w:ascii="Arial" w:hAnsi="Arial" w:cs="Arial"/>
          <w:sz w:val="22"/>
          <w:szCs w:val="22"/>
        </w:rPr>
        <w:t>está</w:t>
      </w:r>
      <w:r>
        <w:rPr>
          <w:rFonts w:ascii="Arial" w:hAnsi="Arial" w:cs="Arial"/>
          <w:sz w:val="22"/>
          <w:szCs w:val="22"/>
        </w:rPr>
        <w:t xml:space="preserve"> diseñada con tres componentes: </w:t>
      </w:r>
      <w:r w:rsidR="00940746">
        <w:rPr>
          <w:rFonts w:ascii="Arial" w:hAnsi="Arial" w:cs="Arial"/>
          <w:sz w:val="22"/>
          <w:szCs w:val="22"/>
        </w:rPr>
        <w:t>(i) </w:t>
      </w:r>
      <w:r w:rsidRPr="008566D6">
        <w:rPr>
          <w:rFonts w:ascii="Arial" w:hAnsi="Arial" w:cs="Arial"/>
          <w:sz w:val="22"/>
          <w:szCs w:val="22"/>
        </w:rPr>
        <w:t xml:space="preserve">Componente I: </w:t>
      </w:r>
      <w:r w:rsidR="00EA172C">
        <w:rPr>
          <w:rFonts w:ascii="Arial" w:hAnsi="Arial" w:cs="Arial"/>
          <w:sz w:val="22"/>
        </w:rPr>
        <w:t>E</w:t>
      </w:r>
      <w:r w:rsidRPr="008566D6">
        <w:rPr>
          <w:rFonts w:ascii="Arial" w:hAnsi="Arial" w:cs="Arial"/>
          <w:sz w:val="22"/>
        </w:rPr>
        <w:t>stabilidad macroeconómica; (ii)</w:t>
      </w:r>
      <w:r w:rsidR="00940746">
        <w:rPr>
          <w:rFonts w:ascii="Arial" w:hAnsi="Arial" w:cs="Arial"/>
          <w:sz w:val="22"/>
        </w:rPr>
        <w:t> </w:t>
      </w:r>
      <w:r w:rsidRPr="008566D6">
        <w:rPr>
          <w:rFonts w:ascii="Arial" w:hAnsi="Arial" w:cs="Arial"/>
          <w:sz w:val="22"/>
        </w:rPr>
        <w:t xml:space="preserve">Componente II: </w:t>
      </w:r>
      <w:r w:rsidR="00747EE4">
        <w:rPr>
          <w:rFonts w:ascii="Arial" w:hAnsi="Arial" w:cs="Arial"/>
          <w:sz w:val="22"/>
        </w:rPr>
        <w:t>Mejora de</w:t>
      </w:r>
      <w:r w:rsidRPr="008566D6">
        <w:rPr>
          <w:rFonts w:ascii="Arial" w:hAnsi="Arial" w:cs="Arial"/>
          <w:sz w:val="22"/>
        </w:rPr>
        <w:t xml:space="preserve"> la eficiencia y la efectividad en la recaudación tributaria; y (iii)</w:t>
      </w:r>
      <w:r w:rsidR="00940746">
        <w:rPr>
          <w:rFonts w:ascii="Arial" w:hAnsi="Arial" w:cs="Arial"/>
          <w:sz w:val="22"/>
        </w:rPr>
        <w:t> </w:t>
      </w:r>
      <w:r w:rsidRPr="008566D6">
        <w:rPr>
          <w:rFonts w:ascii="Arial" w:hAnsi="Arial" w:cs="Arial"/>
          <w:sz w:val="22"/>
        </w:rPr>
        <w:t xml:space="preserve">Componente III: </w:t>
      </w:r>
      <w:r w:rsidR="00EA172C">
        <w:rPr>
          <w:rFonts w:ascii="Arial" w:hAnsi="Arial" w:cs="Arial"/>
          <w:sz w:val="22"/>
        </w:rPr>
        <w:t>M</w:t>
      </w:r>
      <w:r w:rsidRPr="008566D6">
        <w:rPr>
          <w:rFonts w:ascii="Arial" w:hAnsi="Arial" w:cs="Arial"/>
          <w:sz w:val="22"/>
        </w:rPr>
        <w:t xml:space="preserve">ejorar la transparencia del sector financiero y de las actividades </w:t>
      </w:r>
      <w:r w:rsidRPr="008566D6">
        <w:rPr>
          <w:rFonts w:ascii="Arial" w:hAnsi="Arial" w:cs="Arial"/>
          <w:i/>
          <w:sz w:val="22"/>
        </w:rPr>
        <w:t>off-shore.</w:t>
      </w:r>
    </w:p>
    <w:p w14:paraId="1B942726" w14:textId="69E7038E" w:rsidR="007C1307" w:rsidRDefault="007C1307" w:rsidP="004348BE">
      <w:pPr>
        <w:pStyle w:val="Paragraph"/>
        <w:ind w:left="720" w:hanging="720"/>
        <w:rPr>
          <w:rFonts w:ascii="Arial" w:hAnsi="Arial" w:cs="Arial"/>
          <w:sz w:val="22"/>
          <w:szCs w:val="22"/>
        </w:rPr>
      </w:pPr>
      <w:r w:rsidRPr="007C1307">
        <w:rPr>
          <w:rFonts w:ascii="Arial" w:hAnsi="Arial" w:cs="Arial"/>
          <w:sz w:val="22"/>
          <w:szCs w:val="22"/>
        </w:rPr>
        <w:t xml:space="preserve">El </w:t>
      </w:r>
      <w:r w:rsidR="00A26F9F" w:rsidRPr="007C1307">
        <w:rPr>
          <w:rFonts w:ascii="Arial" w:hAnsi="Arial" w:cs="Arial"/>
          <w:sz w:val="22"/>
          <w:szCs w:val="22"/>
        </w:rPr>
        <w:t>P</w:t>
      </w:r>
      <w:r w:rsidRPr="007C1307">
        <w:rPr>
          <w:rFonts w:ascii="Arial" w:hAnsi="Arial" w:cs="Arial"/>
          <w:sz w:val="22"/>
          <w:szCs w:val="22"/>
        </w:rPr>
        <w:t xml:space="preserve">lan de </w:t>
      </w:r>
      <w:r w:rsidR="00A26F9F" w:rsidRPr="007C1307">
        <w:rPr>
          <w:rFonts w:ascii="Arial" w:hAnsi="Arial" w:cs="Arial"/>
          <w:sz w:val="22"/>
          <w:szCs w:val="22"/>
        </w:rPr>
        <w:t>M</w:t>
      </w:r>
      <w:r w:rsidRPr="007C1307">
        <w:rPr>
          <w:rFonts w:ascii="Arial" w:hAnsi="Arial" w:cs="Arial"/>
          <w:sz w:val="22"/>
          <w:szCs w:val="22"/>
        </w:rPr>
        <w:t xml:space="preserve">onitoreo y </w:t>
      </w:r>
      <w:r w:rsidR="00A26F9F" w:rsidRPr="007C1307">
        <w:rPr>
          <w:rFonts w:ascii="Arial" w:hAnsi="Arial" w:cs="Arial"/>
          <w:sz w:val="22"/>
          <w:szCs w:val="22"/>
        </w:rPr>
        <w:t>E</w:t>
      </w:r>
      <w:r w:rsidRPr="007C1307">
        <w:rPr>
          <w:rFonts w:ascii="Arial" w:hAnsi="Arial" w:cs="Arial"/>
          <w:sz w:val="22"/>
          <w:szCs w:val="22"/>
        </w:rPr>
        <w:t xml:space="preserve">valuación comprende dos secciones. </w:t>
      </w:r>
      <w:r w:rsidR="00A92510">
        <w:rPr>
          <w:rFonts w:ascii="Arial" w:hAnsi="Arial" w:cs="Arial"/>
          <w:sz w:val="22"/>
          <w:szCs w:val="22"/>
        </w:rPr>
        <w:t>La</w:t>
      </w:r>
      <w:r w:rsidRPr="007C1307">
        <w:rPr>
          <w:rFonts w:ascii="Arial" w:hAnsi="Arial" w:cs="Arial"/>
          <w:sz w:val="22"/>
          <w:szCs w:val="22"/>
        </w:rPr>
        <w:t xml:space="preserve"> primer</w:t>
      </w:r>
      <w:r w:rsidR="00A92510">
        <w:rPr>
          <w:rFonts w:ascii="Arial" w:hAnsi="Arial" w:cs="Arial"/>
          <w:sz w:val="22"/>
          <w:szCs w:val="22"/>
        </w:rPr>
        <w:t>a</w:t>
      </w:r>
      <w:r w:rsidRPr="007C1307">
        <w:rPr>
          <w:rFonts w:ascii="Arial" w:hAnsi="Arial" w:cs="Arial"/>
          <w:sz w:val="22"/>
          <w:szCs w:val="22"/>
        </w:rPr>
        <w:t xml:space="preserve"> es relativ</w:t>
      </w:r>
      <w:r w:rsidR="00A92510">
        <w:rPr>
          <w:rFonts w:ascii="Arial" w:hAnsi="Arial" w:cs="Arial"/>
          <w:sz w:val="22"/>
          <w:szCs w:val="22"/>
        </w:rPr>
        <w:t>a</w:t>
      </w:r>
      <w:r w:rsidRPr="007C1307">
        <w:rPr>
          <w:rFonts w:ascii="Arial" w:hAnsi="Arial" w:cs="Arial"/>
          <w:sz w:val="22"/>
          <w:szCs w:val="22"/>
        </w:rPr>
        <w:t xml:space="preserve"> al monitoreo del programa, el que se realizará principalmente a través de</w:t>
      </w:r>
      <w:r w:rsidR="00A92510">
        <w:rPr>
          <w:rFonts w:ascii="Arial" w:hAnsi="Arial" w:cs="Arial"/>
          <w:sz w:val="22"/>
          <w:szCs w:val="22"/>
        </w:rPr>
        <w:t>l seguimiento por parte del equipo del proyecto e</w:t>
      </w:r>
      <w:r w:rsidRPr="007C1307">
        <w:rPr>
          <w:rFonts w:ascii="Arial" w:hAnsi="Arial" w:cs="Arial"/>
          <w:sz w:val="22"/>
          <w:szCs w:val="22"/>
        </w:rPr>
        <w:t xml:space="preserve"> informes de consultores independientes </w:t>
      </w:r>
      <w:r w:rsidR="00A92510">
        <w:rPr>
          <w:rFonts w:ascii="Arial" w:hAnsi="Arial" w:cs="Arial"/>
          <w:sz w:val="22"/>
          <w:szCs w:val="22"/>
        </w:rPr>
        <w:t xml:space="preserve">que apoyarán el levantamiento y </w:t>
      </w:r>
      <w:r w:rsidR="00D75A7A">
        <w:rPr>
          <w:rFonts w:ascii="Arial" w:hAnsi="Arial" w:cs="Arial"/>
          <w:sz w:val="22"/>
          <w:szCs w:val="22"/>
        </w:rPr>
        <w:t xml:space="preserve">verificación </w:t>
      </w:r>
      <w:r w:rsidR="00A92510">
        <w:rPr>
          <w:rFonts w:ascii="Arial" w:hAnsi="Arial" w:cs="Arial"/>
          <w:sz w:val="22"/>
          <w:szCs w:val="22"/>
        </w:rPr>
        <w:t>de datos</w:t>
      </w:r>
      <w:r w:rsidRPr="007C1307">
        <w:rPr>
          <w:rFonts w:ascii="Arial" w:hAnsi="Arial" w:cs="Arial"/>
          <w:sz w:val="22"/>
          <w:szCs w:val="22"/>
        </w:rPr>
        <w:t xml:space="preserve">. La evaluación </w:t>
      </w:r>
      <w:r w:rsidR="00417620">
        <w:rPr>
          <w:rFonts w:ascii="Arial" w:hAnsi="Arial" w:cs="Arial"/>
          <w:sz w:val="22"/>
          <w:szCs w:val="22"/>
        </w:rPr>
        <w:t xml:space="preserve">económica ex post </w:t>
      </w:r>
      <w:r w:rsidRPr="007C1307">
        <w:rPr>
          <w:rFonts w:ascii="Arial" w:hAnsi="Arial" w:cs="Arial"/>
          <w:sz w:val="22"/>
          <w:szCs w:val="22"/>
        </w:rPr>
        <w:t xml:space="preserve">del programa medirá su impacto </w:t>
      </w:r>
      <w:r w:rsidR="00417620">
        <w:rPr>
          <w:rFonts w:ascii="Arial" w:hAnsi="Arial" w:cs="Arial"/>
          <w:sz w:val="22"/>
          <w:szCs w:val="22"/>
        </w:rPr>
        <w:t xml:space="preserve">y resultados </w:t>
      </w:r>
      <w:r w:rsidRPr="007C1307">
        <w:rPr>
          <w:rFonts w:ascii="Arial" w:hAnsi="Arial" w:cs="Arial"/>
          <w:sz w:val="22"/>
          <w:szCs w:val="22"/>
        </w:rPr>
        <w:t xml:space="preserve">través de </w:t>
      </w:r>
      <w:r w:rsidR="001E3C2F">
        <w:rPr>
          <w:rFonts w:ascii="Arial" w:hAnsi="Arial" w:cs="Arial"/>
          <w:sz w:val="22"/>
          <w:szCs w:val="22"/>
        </w:rPr>
        <w:t>algunos</w:t>
      </w:r>
      <w:r w:rsidRPr="007C1307">
        <w:rPr>
          <w:rFonts w:ascii="Arial" w:hAnsi="Arial" w:cs="Arial"/>
          <w:sz w:val="22"/>
          <w:szCs w:val="22"/>
        </w:rPr>
        <w:t xml:space="preserve"> estudios que determinarán si se logró el impacto deseado en términos de recaudación</w:t>
      </w:r>
      <w:r w:rsidR="001E3C2F">
        <w:rPr>
          <w:rFonts w:ascii="Arial" w:hAnsi="Arial" w:cs="Arial"/>
          <w:sz w:val="22"/>
          <w:szCs w:val="22"/>
        </w:rPr>
        <w:t xml:space="preserve"> y de incremento de la transparencia financiera</w:t>
      </w:r>
      <w:r w:rsidRPr="007C1307">
        <w:rPr>
          <w:rFonts w:ascii="Arial" w:hAnsi="Arial" w:cs="Arial"/>
          <w:sz w:val="22"/>
          <w:szCs w:val="22"/>
        </w:rPr>
        <w:t xml:space="preserve">. Asimismo, se evaluarán los resultados de las principales reformas de </w:t>
      </w:r>
      <w:r w:rsidR="001E3C2F">
        <w:rPr>
          <w:rFonts w:ascii="Arial" w:hAnsi="Arial" w:cs="Arial"/>
          <w:sz w:val="22"/>
          <w:szCs w:val="22"/>
        </w:rPr>
        <w:t xml:space="preserve">la </w:t>
      </w:r>
      <w:r w:rsidRPr="007C1307">
        <w:rPr>
          <w:rFonts w:ascii="Arial" w:hAnsi="Arial" w:cs="Arial"/>
          <w:sz w:val="22"/>
          <w:szCs w:val="22"/>
        </w:rPr>
        <w:t>administración tributaria adoptadas.</w:t>
      </w:r>
    </w:p>
    <w:p w14:paraId="1DAEA676" w14:textId="7B60744C" w:rsidR="00D75A7A" w:rsidRDefault="00D75A7A" w:rsidP="004348BE">
      <w:pPr>
        <w:pStyle w:val="Paragraph"/>
        <w:ind w:left="720" w:hanging="720"/>
        <w:rPr>
          <w:rFonts w:ascii="Arial" w:hAnsi="Arial" w:cs="Arial"/>
          <w:sz w:val="22"/>
          <w:szCs w:val="22"/>
        </w:rPr>
      </w:pPr>
      <w:r w:rsidRPr="00A71909">
        <w:rPr>
          <w:rFonts w:ascii="Arial" w:hAnsi="Arial" w:cs="Arial"/>
          <w:b/>
          <w:sz w:val="22"/>
        </w:rPr>
        <w:t xml:space="preserve">Resultados </w:t>
      </w:r>
      <w:r>
        <w:rPr>
          <w:rFonts w:ascii="Arial" w:hAnsi="Arial" w:cs="Arial"/>
          <w:b/>
          <w:sz w:val="22"/>
        </w:rPr>
        <w:t>clave</w:t>
      </w:r>
      <w:r w:rsidRPr="00A71909">
        <w:rPr>
          <w:rFonts w:ascii="Arial" w:hAnsi="Arial" w:cs="Arial"/>
          <w:b/>
          <w:sz w:val="22"/>
        </w:rPr>
        <w:t>.</w:t>
      </w:r>
      <w:r w:rsidRPr="00A71909">
        <w:rPr>
          <w:rFonts w:ascii="Arial" w:hAnsi="Arial" w:cs="Arial"/>
          <w:sz w:val="22"/>
        </w:rPr>
        <w:t xml:space="preserve"> Como impacto se estima un incremento en la recaudación neta de 10,2% del PIB en el 2015 a</w:t>
      </w:r>
      <w:r>
        <w:rPr>
          <w:rFonts w:ascii="Arial" w:hAnsi="Arial" w:cs="Arial"/>
          <w:sz w:val="22"/>
        </w:rPr>
        <w:t xml:space="preserve"> por lo menos el</w:t>
      </w:r>
      <w:r w:rsidRPr="00A71909">
        <w:rPr>
          <w:rFonts w:ascii="Arial" w:hAnsi="Arial" w:cs="Arial"/>
          <w:sz w:val="22"/>
        </w:rPr>
        <w:t xml:space="preserve"> 1</w:t>
      </w:r>
      <w:r>
        <w:rPr>
          <w:rFonts w:ascii="Arial" w:hAnsi="Arial" w:cs="Arial"/>
          <w:sz w:val="22"/>
        </w:rPr>
        <w:t>1</w:t>
      </w:r>
      <w:r w:rsidRPr="00A71909">
        <w:rPr>
          <w:rFonts w:ascii="Arial" w:hAnsi="Arial" w:cs="Arial"/>
          <w:sz w:val="22"/>
        </w:rPr>
        <w:t xml:space="preserve">% del PIB en el 2018, y una mejora de </w:t>
      </w:r>
      <w:r>
        <w:rPr>
          <w:rFonts w:ascii="Arial" w:hAnsi="Arial" w:cs="Arial"/>
          <w:sz w:val="22"/>
        </w:rPr>
        <w:t>5</w:t>
      </w:r>
      <w:r w:rsidRPr="00A71909">
        <w:rPr>
          <w:rFonts w:ascii="Arial" w:hAnsi="Arial" w:cs="Arial"/>
          <w:sz w:val="22"/>
        </w:rPr>
        <w:t xml:space="preserve">% en el puntaje del </w:t>
      </w:r>
      <w:hyperlink r:id="rId14" w:history="1">
        <w:r w:rsidRPr="00D75A7A">
          <w:rPr>
            <w:rStyle w:val="Hyperlink"/>
            <w:rFonts w:ascii="Arial" w:hAnsi="Arial" w:cs="Arial"/>
            <w:sz w:val="22"/>
          </w:rPr>
          <w:t>Índice de Lavado de Dinero de Guatemala</w:t>
        </w:r>
      </w:hyperlink>
      <w:r w:rsidRPr="00A71909">
        <w:rPr>
          <w:rFonts w:ascii="Arial" w:hAnsi="Arial" w:cs="Arial"/>
          <w:sz w:val="22"/>
        </w:rPr>
        <w:t xml:space="preserve"> (producido por el Instituto de Gobernanza de Basilea) en el 2018. Se espera alcanzar los siguientes resultados: (i) una mayor eficiencia </w:t>
      </w:r>
      <w:r w:rsidR="00E654E1">
        <w:rPr>
          <w:rFonts w:ascii="Arial" w:hAnsi="Arial" w:cs="Arial"/>
          <w:sz w:val="22"/>
        </w:rPr>
        <w:t>de</w:t>
      </w:r>
      <w:r w:rsidRPr="00A71909">
        <w:rPr>
          <w:rFonts w:ascii="Arial" w:hAnsi="Arial" w:cs="Arial"/>
          <w:sz w:val="22"/>
        </w:rPr>
        <w:t xml:space="preserve"> la SAT con el incremento de la recaudación anual/funcionarios activos de la SAT, de 11,6 millones de </w:t>
      </w:r>
      <w:r w:rsidR="00734C86" w:rsidRPr="00A71909">
        <w:rPr>
          <w:rFonts w:ascii="Arial" w:hAnsi="Arial" w:cs="Arial"/>
          <w:sz w:val="22"/>
        </w:rPr>
        <w:t>q</w:t>
      </w:r>
      <w:r w:rsidRPr="00A71909">
        <w:rPr>
          <w:rFonts w:ascii="Arial" w:hAnsi="Arial" w:cs="Arial"/>
          <w:sz w:val="22"/>
        </w:rPr>
        <w:t>uetzales anuales en el promedio 2014</w:t>
      </w:r>
      <w:r w:rsidR="00734C86">
        <w:rPr>
          <w:rFonts w:ascii="Arial" w:hAnsi="Arial" w:cs="Arial"/>
          <w:sz w:val="22"/>
        </w:rPr>
        <w:noBreakHyphen/>
      </w:r>
      <w:r w:rsidRPr="00A71909">
        <w:rPr>
          <w:rFonts w:ascii="Arial" w:hAnsi="Arial" w:cs="Arial"/>
          <w:sz w:val="22"/>
        </w:rPr>
        <w:t>2015 a 1</w:t>
      </w:r>
      <w:r>
        <w:rPr>
          <w:rFonts w:ascii="Arial" w:hAnsi="Arial" w:cs="Arial"/>
          <w:sz w:val="22"/>
        </w:rPr>
        <w:t>2,5</w:t>
      </w:r>
      <w:r w:rsidRPr="00A71909">
        <w:rPr>
          <w:rFonts w:ascii="Arial" w:hAnsi="Arial" w:cs="Arial"/>
          <w:sz w:val="22"/>
        </w:rPr>
        <w:t xml:space="preserve"> millones de </w:t>
      </w:r>
      <w:r w:rsidR="00734C86" w:rsidRPr="00A71909">
        <w:rPr>
          <w:rFonts w:ascii="Arial" w:hAnsi="Arial" w:cs="Arial"/>
          <w:sz w:val="22"/>
        </w:rPr>
        <w:t>q</w:t>
      </w:r>
      <w:r w:rsidRPr="00A71909">
        <w:rPr>
          <w:rFonts w:ascii="Arial" w:hAnsi="Arial" w:cs="Arial"/>
          <w:sz w:val="22"/>
        </w:rPr>
        <w:t>uetzales anuales en el 2018; y (ii) </w:t>
      </w:r>
      <w:hyperlink r:id="rId15" w:history="1">
        <w:r w:rsidR="00734C86">
          <w:rPr>
            <w:rStyle w:val="Hyperlink"/>
            <w:rFonts w:ascii="Arial" w:hAnsi="Arial" w:cs="Arial"/>
            <w:sz w:val="22"/>
          </w:rPr>
          <w:t>resultados del GAFI (Grupo de Acción Financiera) para Guatemala</w:t>
        </w:r>
      </w:hyperlink>
      <w:r w:rsidR="00747EE4" w:rsidRPr="00747EE4">
        <w:rPr>
          <w:rFonts w:ascii="Arial" w:hAnsi="Arial" w:cs="Arial"/>
          <w:sz w:val="22"/>
        </w:rPr>
        <w:t xml:space="preserve"> </w:t>
      </w:r>
      <w:r w:rsidR="00747EE4" w:rsidRPr="00A71909">
        <w:rPr>
          <w:rFonts w:ascii="Arial" w:hAnsi="Arial" w:cs="Arial"/>
          <w:sz w:val="22"/>
        </w:rPr>
        <w:t>en 2016</w:t>
      </w:r>
      <w:r w:rsidRPr="00A71909">
        <w:rPr>
          <w:rFonts w:ascii="Arial" w:hAnsi="Arial" w:cs="Arial"/>
          <w:sz w:val="22"/>
        </w:rPr>
        <w:t xml:space="preserve">, califica como </w:t>
      </w:r>
      <w:r w:rsidR="00747EE4">
        <w:rPr>
          <w:rFonts w:ascii="Arial" w:hAnsi="Arial" w:cs="Arial"/>
          <w:sz w:val="22"/>
        </w:rPr>
        <w:t>“</w:t>
      </w:r>
      <w:r w:rsidR="00747EE4">
        <w:rPr>
          <w:rFonts w:ascii="Arial" w:hAnsi="Arial" w:cs="Arial"/>
          <w:i/>
          <w:sz w:val="22"/>
        </w:rPr>
        <w:t>Cumplida”</w:t>
      </w:r>
      <w:r w:rsidRPr="00A71909">
        <w:rPr>
          <w:rFonts w:ascii="Arial" w:hAnsi="Arial" w:cs="Arial"/>
          <w:sz w:val="22"/>
        </w:rPr>
        <w:t xml:space="preserve"> </w:t>
      </w:r>
      <w:r w:rsidR="00747EE4">
        <w:rPr>
          <w:rFonts w:ascii="Arial" w:hAnsi="Arial" w:cs="Arial"/>
          <w:sz w:val="22"/>
        </w:rPr>
        <w:t xml:space="preserve">la recomendación sobre controles internos y sucursales </w:t>
      </w:r>
      <w:r w:rsidR="00747EE4" w:rsidRPr="00747EE4">
        <w:rPr>
          <w:rFonts w:ascii="Arial" w:hAnsi="Arial" w:cs="Arial"/>
          <w:sz w:val="22"/>
          <w:lang w:val="es-ES_tradnl"/>
        </w:rPr>
        <w:t>extranjeras</w:t>
      </w:r>
      <w:r w:rsidR="00747EE4" w:rsidRPr="00747EE4">
        <w:rPr>
          <w:rFonts w:ascii="Arial" w:hAnsi="Arial" w:cs="Arial"/>
          <w:sz w:val="22"/>
          <w:vertAlign w:val="superscript"/>
          <w:lang w:val="es-ES_tradnl"/>
        </w:rPr>
        <w:footnoteReference w:id="2"/>
      </w:r>
      <w:r w:rsidR="00747EE4" w:rsidRPr="00747EE4">
        <w:rPr>
          <w:rFonts w:ascii="Arial" w:hAnsi="Arial" w:cs="Arial"/>
          <w:sz w:val="22"/>
          <w:lang w:val="es-ES_tradnl"/>
        </w:rPr>
        <w:t>.</w:t>
      </w:r>
      <w:r>
        <w:rPr>
          <w:rFonts w:ascii="Arial" w:hAnsi="Arial" w:cs="Arial"/>
          <w:sz w:val="22"/>
        </w:rPr>
        <w:t xml:space="preserve"> Otros resultados y productos están detallados en la Matriz de Resultados</w:t>
      </w:r>
      <w:r w:rsidR="00747EE4">
        <w:rPr>
          <w:rFonts w:ascii="Arial" w:hAnsi="Arial" w:cs="Arial"/>
          <w:sz w:val="22"/>
        </w:rPr>
        <w:t xml:space="preserve">, en el Anexo </w:t>
      </w:r>
      <w:r w:rsidR="006C185D">
        <w:rPr>
          <w:rFonts w:ascii="Arial" w:hAnsi="Arial" w:cs="Arial"/>
          <w:sz w:val="22"/>
        </w:rPr>
        <w:t>3</w:t>
      </w:r>
      <w:r w:rsidR="00747EE4">
        <w:rPr>
          <w:rFonts w:ascii="Arial" w:hAnsi="Arial" w:cs="Arial"/>
          <w:sz w:val="22"/>
        </w:rPr>
        <w:t xml:space="preserve"> de este Plan</w:t>
      </w:r>
      <w:r>
        <w:rPr>
          <w:rFonts w:ascii="Arial" w:hAnsi="Arial" w:cs="Arial"/>
          <w:sz w:val="22"/>
        </w:rPr>
        <w:t>.</w:t>
      </w:r>
    </w:p>
    <w:p w14:paraId="5034C58C" w14:textId="77777777" w:rsidR="00ED751C" w:rsidRPr="00EB0154" w:rsidRDefault="007C1307" w:rsidP="00B3684F">
      <w:pPr>
        <w:pStyle w:val="Chapter"/>
        <w:keepNext w:val="0"/>
        <w:widowControl w:val="0"/>
        <w:rPr>
          <w:rFonts w:ascii="Arial" w:hAnsi="Arial" w:cs="Arial"/>
          <w:szCs w:val="22"/>
        </w:rPr>
      </w:pPr>
      <w:bookmarkStart w:id="1" w:name="_Toc455669842"/>
      <w:r>
        <w:rPr>
          <w:rFonts w:ascii="Arial" w:hAnsi="Arial" w:cs="Arial"/>
          <w:szCs w:val="22"/>
        </w:rPr>
        <w:t>Monitoreo</w:t>
      </w:r>
      <w:bookmarkEnd w:id="1"/>
    </w:p>
    <w:p w14:paraId="138B6D0B" w14:textId="77777777" w:rsidR="00960179" w:rsidRPr="00960179" w:rsidRDefault="00EB0154" w:rsidP="004348BE">
      <w:pPr>
        <w:pStyle w:val="FirstHeading"/>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00445A2A">
        <w:rPr>
          <w:rFonts w:ascii="Arial" w:hAnsi="Arial" w:cs="Arial"/>
          <w:sz w:val="22"/>
          <w:szCs w:val="22"/>
        </w:rPr>
        <w:instrText>3</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2" w:name="_Toc455669843"/>
      <w:r w:rsidR="00445A2A">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7C1307">
        <w:rPr>
          <w:rFonts w:ascii="Arial" w:hAnsi="Arial" w:cs="Arial"/>
          <w:sz w:val="22"/>
          <w:szCs w:val="22"/>
        </w:rPr>
        <w:t>Indicadores</w:t>
      </w:r>
      <w:bookmarkEnd w:id="2"/>
    </w:p>
    <w:p w14:paraId="66E30906" w14:textId="77777777" w:rsidR="00A8303C" w:rsidRPr="00B3684F" w:rsidRDefault="00EA172C" w:rsidP="004348BE">
      <w:pPr>
        <w:pStyle w:val="Paragraph"/>
        <w:ind w:left="720" w:hanging="720"/>
        <w:rPr>
          <w:rFonts w:ascii="Arial" w:hAnsi="Arial" w:cs="Arial"/>
          <w:sz w:val="22"/>
          <w:szCs w:val="22"/>
        </w:rPr>
      </w:pPr>
      <w:r>
        <w:rPr>
          <w:rFonts w:ascii="Arial" w:hAnsi="Arial" w:cs="Arial"/>
          <w:color w:val="000000"/>
          <w:sz w:val="22"/>
          <w:szCs w:val="22"/>
        </w:rPr>
        <w:t>El C</w:t>
      </w:r>
      <w:r w:rsidR="007C1307" w:rsidRPr="007C1307">
        <w:rPr>
          <w:rFonts w:ascii="Arial" w:hAnsi="Arial" w:cs="Arial"/>
          <w:color w:val="000000"/>
          <w:sz w:val="22"/>
          <w:szCs w:val="22"/>
        </w:rPr>
        <w:t xml:space="preserve">uadro 1 describe los indicadores </w:t>
      </w:r>
      <w:r w:rsidR="00481C69">
        <w:rPr>
          <w:rFonts w:ascii="Arial" w:hAnsi="Arial" w:cs="Arial"/>
          <w:color w:val="000000"/>
          <w:sz w:val="22"/>
          <w:szCs w:val="22"/>
        </w:rPr>
        <w:t xml:space="preserve">de impacto </w:t>
      </w:r>
      <w:r w:rsidR="007C1307" w:rsidRPr="007C1307">
        <w:rPr>
          <w:rFonts w:ascii="Arial" w:hAnsi="Arial" w:cs="Arial"/>
          <w:color w:val="000000"/>
          <w:sz w:val="22"/>
          <w:szCs w:val="22"/>
        </w:rPr>
        <w:t>a los que se hará seguimiento durante la ejecución del programa</w:t>
      </w:r>
      <w:r w:rsidR="00A8303C">
        <w:rPr>
          <w:rFonts w:ascii="Arial" w:hAnsi="Arial" w:cs="Arial"/>
          <w:color w:val="000000"/>
          <w:sz w:val="22"/>
          <w:szCs w:val="22"/>
        </w:rPr>
        <w:t>, y una verificación final en el 2018-</w:t>
      </w:r>
      <w:r w:rsidR="00734C86">
        <w:rPr>
          <w:rFonts w:ascii="Arial" w:hAnsi="Arial" w:cs="Arial"/>
          <w:color w:val="000000"/>
          <w:sz w:val="22"/>
          <w:szCs w:val="22"/>
        </w:rPr>
        <w:t>20</w:t>
      </w:r>
      <w:r w:rsidR="00A8303C">
        <w:rPr>
          <w:rFonts w:ascii="Arial" w:hAnsi="Arial" w:cs="Arial"/>
          <w:color w:val="000000"/>
          <w:sz w:val="22"/>
          <w:szCs w:val="22"/>
        </w:rPr>
        <w:t>1</w:t>
      </w:r>
      <w:r w:rsidR="00276673">
        <w:rPr>
          <w:rFonts w:ascii="Arial" w:hAnsi="Arial" w:cs="Arial"/>
          <w:color w:val="000000"/>
          <w:sz w:val="22"/>
          <w:szCs w:val="22"/>
        </w:rPr>
        <w:t>9</w:t>
      </w:r>
      <w:r w:rsidR="00A8303C">
        <w:rPr>
          <w:rFonts w:ascii="Arial" w:hAnsi="Arial" w:cs="Arial"/>
          <w:color w:val="000000"/>
          <w:sz w:val="22"/>
          <w:szCs w:val="22"/>
        </w:rPr>
        <w:t xml:space="preserve">, cuando las reformas ya </w:t>
      </w:r>
      <w:r w:rsidR="00734C86">
        <w:rPr>
          <w:rFonts w:ascii="Arial" w:hAnsi="Arial" w:cs="Arial"/>
          <w:color w:val="000000"/>
          <w:sz w:val="22"/>
          <w:szCs w:val="22"/>
        </w:rPr>
        <w:t xml:space="preserve">habrán </w:t>
      </w:r>
      <w:r w:rsidR="00A8303C">
        <w:rPr>
          <w:rFonts w:ascii="Arial" w:hAnsi="Arial" w:cs="Arial"/>
          <w:color w:val="000000"/>
          <w:sz w:val="22"/>
          <w:szCs w:val="22"/>
        </w:rPr>
        <w:t xml:space="preserve">terminado de producir los impactos </w:t>
      </w:r>
      <w:r w:rsidR="00EA5E36">
        <w:rPr>
          <w:rFonts w:ascii="Arial" w:hAnsi="Arial" w:cs="Arial"/>
          <w:color w:val="000000"/>
          <w:sz w:val="22"/>
          <w:szCs w:val="22"/>
        </w:rPr>
        <w:t xml:space="preserve">iniciales </w:t>
      </w:r>
      <w:r w:rsidR="00A8303C">
        <w:rPr>
          <w:rFonts w:ascii="Arial" w:hAnsi="Arial" w:cs="Arial"/>
          <w:color w:val="000000"/>
          <w:sz w:val="22"/>
          <w:szCs w:val="22"/>
        </w:rPr>
        <w:t>esperados</w:t>
      </w:r>
      <w:r w:rsidR="00276673">
        <w:rPr>
          <w:rFonts w:ascii="Arial" w:hAnsi="Arial" w:cs="Arial"/>
          <w:color w:val="000000"/>
          <w:sz w:val="22"/>
          <w:szCs w:val="22"/>
        </w:rPr>
        <w:t>.</w:t>
      </w:r>
    </w:p>
    <w:p w14:paraId="2EDE16B4" w14:textId="4F128398" w:rsidR="007942EF" w:rsidRPr="007942EF" w:rsidRDefault="00734C86" w:rsidP="007942EF">
      <w:pPr>
        <w:pStyle w:val="Paragraph"/>
        <w:spacing w:before="240"/>
        <w:ind w:left="720" w:hanging="720"/>
        <w:rPr>
          <w:rFonts w:ascii="Arial" w:hAnsi="Arial" w:cs="Arial"/>
          <w:sz w:val="22"/>
          <w:szCs w:val="22"/>
        </w:rPr>
      </w:pPr>
      <w:r>
        <w:rPr>
          <w:rFonts w:ascii="Arial" w:hAnsi="Arial" w:cs="Arial"/>
          <w:sz w:val="22"/>
          <w:szCs w:val="22"/>
          <w:lang w:val="es-ES_tradnl"/>
        </w:rPr>
        <w:lastRenderedPageBreak/>
        <w:t>La</w:t>
      </w:r>
      <w:r w:rsidRPr="003970C0">
        <w:rPr>
          <w:rFonts w:ascii="Arial" w:hAnsi="Arial" w:cs="Arial"/>
          <w:sz w:val="22"/>
          <w:szCs w:val="22"/>
          <w:lang w:val="es-ES_tradnl"/>
        </w:rPr>
        <w:t xml:space="preserve"> recaudación tributaria</w:t>
      </w:r>
      <w:r>
        <w:rPr>
          <w:rFonts w:ascii="Arial" w:hAnsi="Arial" w:cs="Arial"/>
          <w:sz w:val="22"/>
          <w:szCs w:val="22"/>
          <w:lang w:val="es-ES_tradnl"/>
        </w:rPr>
        <w:t xml:space="preserve"> en Guatemala</w:t>
      </w:r>
      <w:r w:rsidRPr="003970C0">
        <w:rPr>
          <w:rFonts w:ascii="Arial" w:hAnsi="Arial" w:cs="Arial"/>
          <w:sz w:val="22"/>
          <w:szCs w:val="22"/>
          <w:lang w:val="es-ES_tradnl"/>
        </w:rPr>
        <w:t xml:space="preserve">, que había alcanzado su máximo en la última década en 2007 con 12,1% del </w:t>
      </w:r>
      <w:r w:rsidR="00085319">
        <w:rPr>
          <w:rFonts w:ascii="Arial" w:hAnsi="Arial" w:cs="Arial"/>
          <w:sz w:val="22"/>
          <w:szCs w:val="22"/>
          <w:lang w:val="es-ES_tradnl"/>
        </w:rPr>
        <w:t>Producto Interno Bruto (</w:t>
      </w:r>
      <w:r w:rsidRPr="003970C0">
        <w:rPr>
          <w:rFonts w:ascii="Arial" w:hAnsi="Arial" w:cs="Arial"/>
          <w:sz w:val="22"/>
          <w:szCs w:val="22"/>
          <w:lang w:val="es-ES_tradnl"/>
        </w:rPr>
        <w:t>PIB</w:t>
      </w:r>
      <w:r w:rsidR="00085319">
        <w:rPr>
          <w:rFonts w:ascii="Arial" w:hAnsi="Arial" w:cs="Arial"/>
          <w:sz w:val="22"/>
          <w:szCs w:val="22"/>
          <w:lang w:val="es-ES_tradnl"/>
        </w:rPr>
        <w:t>)</w:t>
      </w:r>
      <w:r w:rsidRPr="003970C0">
        <w:rPr>
          <w:rFonts w:ascii="Arial" w:hAnsi="Arial" w:cs="Arial"/>
          <w:sz w:val="22"/>
          <w:szCs w:val="22"/>
          <w:lang w:val="es-ES_tradnl"/>
        </w:rPr>
        <w:t xml:space="preserve">, en 2015 cayó al nivel más bajo en este mismo período, el 10,2% del PIB. Entre el 2014 y el 2015 la presión tributaria disminuyó </w:t>
      </w:r>
      <w:r w:rsidR="00EA5E36">
        <w:rPr>
          <w:rFonts w:ascii="Arial" w:hAnsi="Arial" w:cs="Arial"/>
          <w:sz w:val="22"/>
          <w:szCs w:val="22"/>
          <w:lang w:val="es-ES_tradnl"/>
        </w:rPr>
        <w:t>en</w:t>
      </w:r>
      <w:r w:rsidRPr="003970C0">
        <w:rPr>
          <w:rFonts w:ascii="Arial" w:hAnsi="Arial" w:cs="Arial"/>
          <w:sz w:val="22"/>
          <w:szCs w:val="22"/>
          <w:lang w:val="es-ES_tradnl"/>
        </w:rPr>
        <w:t xml:space="preserve"> 0,6% del PIB, mientras que el PIB creció el 4,1%</w:t>
      </w:r>
      <w:r>
        <w:rPr>
          <w:rFonts w:ascii="Arial" w:hAnsi="Arial" w:cs="Arial"/>
          <w:sz w:val="22"/>
          <w:szCs w:val="22"/>
          <w:lang w:val="es-ES_tradnl"/>
        </w:rPr>
        <w:t xml:space="preserve">. El impacto principal </w:t>
      </w:r>
      <w:r w:rsidR="005C0468">
        <w:rPr>
          <w:rFonts w:ascii="Arial" w:hAnsi="Arial" w:cs="Arial"/>
          <w:sz w:val="22"/>
          <w:szCs w:val="22"/>
          <w:lang w:val="es-ES_tradnl"/>
        </w:rPr>
        <w:t xml:space="preserve">para la mejora de la administración tributaria, </w:t>
      </w:r>
      <w:r>
        <w:rPr>
          <w:rFonts w:ascii="Arial" w:hAnsi="Arial" w:cs="Arial"/>
          <w:sz w:val="22"/>
          <w:szCs w:val="22"/>
          <w:lang w:val="es-ES_tradnl"/>
        </w:rPr>
        <w:t>será contribuir a recuperar la recaudación tributaria a un nivel superior al promedio de los últimos 8 años.</w:t>
      </w:r>
    </w:p>
    <w:p w14:paraId="1919C3F8" w14:textId="77777777" w:rsidR="007942EF" w:rsidRPr="00B3684F" w:rsidRDefault="007942EF" w:rsidP="007942EF">
      <w:pPr>
        <w:pStyle w:val="Paragraph"/>
        <w:spacing w:before="240"/>
        <w:ind w:left="720" w:hanging="720"/>
        <w:rPr>
          <w:rFonts w:ascii="Arial" w:hAnsi="Arial" w:cs="Arial"/>
          <w:sz w:val="22"/>
          <w:szCs w:val="22"/>
        </w:rPr>
      </w:pPr>
      <w:r w:rsidRPr="00B3684F">
        <w:rPr>
          <w:rFonts w:ascii="Arial" w:hAnsi="Arial" w:cs="Arial"/>
          <w:sz w:val="22"/>
          <w:szCs w:val="22"/>
          <w:lang w:val="es-ES_tradnl"/>
        </w:rPr>
        <w:t>Sobre el índice de lavado de dinero de Guatemala, producido por el Instituto de Gobernanza de Basilea, fue la mejor aproximación encontrada para medir las mejoras en la transparencia financiera del país. Inicialmente se consideró la posibilidad de usar otro índice compuesto, un puntaje promedio de las calificaciones del GAFI</w:t>
      </w:r>
      <w:r>
        <w:rPr>
          <w:rFonts w:ascii="Arial" w:hAnsi="Arial" w:cs="Arial"/>
          <w:sz w:val="22"/>
          <w:szCs w:val="22"/>
          <w:lang w:val="es-ES_tradnl"/>
        </w:rPr>
        <w:t>,</w:t>
      </w:r>
      <w:r w:rsidRPr="00B3684F">
        <w:rPr>
          <w:rFonts w:ascii="Arial" w:hAnsi="Arial" w:cs="Arial"/>
          <w:sz w:val="22"/>
          <w:szCs w:val="22"/>
          <w:lang w:val="es-ES_tradnl"/>
        </w:rPr>
        <w:t xml:space="preserve"> pero sería más difícil de comparar con otros países y la metodología cambió recientemente, afectando la posibilidad de realizar análisis históricos consistentes.</w:t>
      </w:r>
    </w:p>
    <w:p w14:paraId="0C7FCD00" w14:textId="04BA6A03" w:rsidR="007C1307" w:rsidRPr="00483D73" w:rsidRDefault="007C1307" w:rsidP="00B3684F">
      <w:pPr>
        <w:spacing w:before="120" w:after="60"/>
        <w:jc w:val="center"/>
        <w:rPr>
          <w:rFonts w:ascii="Arial" w:hAnsi="Arial" w:cs="Arial"/>
          <w:b/>
          <w:sz w:val="20"/>
          <w:szCs w:val="22"/>
          <w:lang w:val="es-ES"/>
        </w:rPr>
      </w:pPr>
      <w:r w:rsidRPr="00483D73">
        <w:rPr>
          <w:rFonts w:ascii="Arial" w:hAnsi="Arial" w:cs="Arial"/>
          <w:b/>
          <w:sz w:val="20"/>
          <w:szCs w:val="22"/>
          <w:lang w:val="es-ES"/>
        </w:rPr>
        <w:t xml:space="preserve">Cuadro 1: Indicadores de </w:t>
      </w:r>
      <w:r w:rsidR="001E3C2F">
        <w:rPr>
          <w:rFonts w:ascii="Arial" w:hAnsi="Arial" w:cs="Arial"/>
          <w:b/>
          <w:sz w:val="20"/>
          <w:szCs w:val="22"/>
          <w:lang w:val="es-ES"/>
        </w:rPr>
        <w:t>Impacto</w:t>
      </w:r>
      <w:r w:rsidR="001716E9" w:rsidRPr="001716E9">
        <w:rPr>
          <w:rFonts w:ascii="Arial" w:eastAsiaTheme="minorHAnsi" w:hAnsi="Arial" w:cs="Arial"/>
          <w:b/>
          <w:color w:val="7030A0"/>
          <w:sz w:val="18"/>
          <w:szCs w:val="22"/>
          <w:lang w:val="es-ES"/>
        </w:rPr>
        <w:t xml:space="preserve"> </w:t>
      </w:r>
      <w:r w:rsidR="001716E9" w:rsidRPr="001716E9">
        <w:rPr>
          <w:rFonts w:ascii="Arial" w:hAnsi="Arial" w:cs="Arial"/>
          <w:b/>
          <w:sz w:val="20"/>
          <w:szCs w:val="22"/>
          <w:lang w:val="es-ES"/>
        </w:rPr>
        <w:t>para la medición de mejorar la administración tributaria, y la transparencia</w:t>
      </w:r>
    </w:p>
    <w:tbl>
      <w:tblPr>
        <w:tblStyle w:val="TableGrid"/>
        <w:tblW w:w="0" w:type="auto"/>
        <w:tblInd w:w="828" w:type="dxa"/>
        <w:tblLayout w:type="fixed"/>
        <w:tblLook w:val="04A0" w:firstRow="1" w:lastRow="0" w:firstColumn="1" w:lastColumn="0" w:noHBand="0" w:noVBand="1"/>
      </w:tblPr>
      <w:tblGrid>
        <w:gridCol w:w="2610"/>
        <w:gridCol w:w="1080"/>
        <w:gridCol w:w="2250"/>
        <w:gridCol w:w="2088"/>
      </w:tblGrid>
      <w:tr w:rsidR="00085319" w:rsidRPr="00B3684F" w14:paraId="37A68BAB" w14:textId="77777777" w:rsidTr="00B3684F">
        <w:trPr>
          <w:trHeight w:val="20"/>
          <w:tblHeader/>
        </w:trPr>
        <w:tc>
          <w:tcPr>
            <w:tcW w:w="2610" w:type="dxa"/>
            <w:tcBorders>
              <w:bottom w:val="single" w:sz="4" w:space="0" w:color="auto"/>
            </w:tcBorders>
            <w:shd w:val="clear" w:color="auto" w:fill="B6DDE8" w:themeFill="accent5" w:themeFillTint="66"/>
            <w:vAlign w:val="center"/>
          </w:tcPr>
          <w:p w14:paraId="1DE82C8E" w14:textId="77777777" w:rsidR="00271E38" w:rsidRPr="00B3684F" w:rsidRDefault="00271E38" w:rsidP="00B3684F">
            <w:pPr>
              <w:jc w:val="center"/>
              <w:rPr>
                <w:rFonts w:ascii="Arial" w:hAnsi="Arial" w:cs="Arial"/>
                <w:b/>
                <w:sz w:val="20"/>
                <w:lang w:val="es-ES"/>
              </w:rPr>
            </w:pPr>
            <w:r w:rsidRPr="00B3684F">
              <w:rPr>
                <w:rFonts w:ascii="Arial" w:hAnsi="Arial" w:cs="Arial"/>
                <w:b/>
                <w:sz w:val="20"/>
                <w:lang w:val="es-ES"/>
              </w:rPr>
              <w:t>Indicador</w:t>
            </w:r>
          </w:p>
        </w:tc>
        <w:tc>
          <w:tcPr>
            <w:tcW w:w="1080" w:type="dxa"/>
            <w:tcBorders>
              <w:bottom w:val="single" w:sz="4" w:space="0" w:color="auto"/>
            </w:tcBorders>
            <w:shd w:val="clear" w:color="auto" w:fill="B6DDE8" w:themeFill="accent5" w:themeFillTint="66"/>
            <w:vAlign w:val="center"/>
          </w:tcPr>
          <w:p w14:paraId="6F01F5DC" w14:textId="77777777" w:rsidR="00271E38" w:rsidRPr="00B3684F" w:rsidRDefault="00271E38" w:rsidP="00B3684F">
            <w:pPr>
              <w:ind w:left="-108" w:right="-108"/>
              <w:jc w:val="center"/>
              <w:rPr>
                <w:rFonts w:ascii="Arial" w:hAnsi="Arial" w:cs="Arial"/>
                <w:b/>
                <w:sz w:val="20"/>
                <w:lang w:val="es-ES"/>
              </w:rPr>
            </w:pPr>
            <w:r w:rsidRPr="00B3684F">
              <w:rPr>
                <w:rFonts w:ascii="Arial" w:hAnsi="Arial" w:cs="Arial"/>
                <w:b/>
                <w:sz w:val="20"/>
                <w:lang w:val="es-ES"/>
              </w:rPr>
              <w:t>Frecuencia</w:t>
            </w:r>
          </w:p>
        </w:tc>
        <w:tc>
          <w:tcPr>
            <w:tcW w:w="2250" w:type="dxa"/>
            <w:tcBorders>
              <w:bottom w:val="single" w:sz="4" w:space="0" w:color="auto"/>
            </w:tcBorders>
            <w:shd w:val="clear" w:color="auto" w:fill="B6DDE8" w:themeFill="accent5" w:themeFillTint="66"/>
            <w:vAlign w:val="center"/>
          </w:tcPr>
          <w:p w14:paraId="3941F48E" w14:textId="77777777" w:rsidR="00271E38" w:rsidRPr="00B3684F" w:rsidRDefault="00483D73" w:rsidP="00B3684F">
            <w:pPr>
              <w:jc w:val="center"/>
              <w:rPr>
                <w:rFonts w:ascii="Arial" w:hAnsi="Arial" w:cs="Arial"/>
                <w:b/>
                <w:sz w:val="20"/>
                <w:lang w:val="es-ES"/>
              </w:rPr>
            </w:pPr>
            <w:r w:rsidRPr="00B3684F">
              <w:rPr>
                <w:rFonts w:ascii="Arial" w:hAnsi="Arial" w:cs="Arial"/>
                <w:b/>
                <w:sz w:val="20"/>
                <w:lang w:val="es-ES"/>
              </w:rPr>
              <w:t>Medio</w:t>
            </w:r>
            <w:r w:rsidR="00271E38" w:rsidRPr="00B3684F">
              <w:rPr>
                <w:rFonts w:ascii="Arial" w:hAnsi="Arial" w:cs="Arial"/>
                <w:b/>
                <w:sz w:val="20"/>
                <w:lang w:val="es-ES"/>
              </w:rPr>
              <w:t xml:space="preserve"> de Verificación</w:t>
            </w:r>
          </w:p>
        </w:tc>
        <w:tc>
          <w:tcPr>
            <w:tcW w:w="2088" w:type="dxa"/>
            <w:tcBorders>
              <w:bottom w:val="single" w:sz="4" w:space="0" w:color="auto"/>
            </w:tcBorders>
            <w:shd w:val="clear" w:color="auto" w:fill="B6DDE8" w:themeFill="accent5" w:themeFillTint="66"/>
            <w:vAlign w:val="center"/>
          </w:tcPr>
          <w:p w14:paraId="324FBA30" w14:textId="77777777" w:rsidR="00271E38" w:rsidRPr="00B3684F" w:rsidRDefault="00271E38" w:rsidP="00B3684F">
            <w:pPr>
              <w:jc w:val="center"/>
              <w:rPr>
                <w:rFonts w:ascii="Arial" w:hAnsi="Arial" w:cs="Arial"/>
                <w:b/>
                <w:sz w:val="20"/>
                <w:lang w:val="es-ES"/>
              </w:rPr>
            </w:pPr>
            <w:r w:rsidRPr="00B3684F">
              <w:rPr>
                <w:rFonts w:ascii="Arial" w:hAnsi="Arial" w:cs="Arial"/>
                <w:b/>
                <w:sz w:val="20"/>
                <w:lang w:val="es-ES"/>
              </w:rPr>
              <w:t>Observaciones</w:t>
            </w:r>
          </w:p>
        </w:tc>
      </w:tr>
      <w:tr w:rsidR="00271E38" w:rsidRPr="00B3684F" w14:paraId="0A194051" w14:textId="77777777" w:rsidTr="00B3684F">
        <w:trPr>
          <w:trHeight w:val="20"/>
        </w:trPr>
        <w:tc>
          <w:tcPr>
            <w:tcW w:w="8028" w:type="dxa"/>
            <w:gridSpan w:val="4"/>
            <w:shd w:val="clear" w:color="auto" w:fill="D9D9D9" w:themeFill="background1" w:themeFillShade="D9"/>
            <w:vAlign w:val="center"/>
          </w:tcPr>
          <w:p w14:paraId="0B48FCDC" w14:textId="77777777" w:rsidR="00271E38" w:rsidRPr="00B3684F" w:rsidRDefault="00271E38" w:rsidP="00B3684F">
            <w:pPr>
              <w:rPr>
                <w:rFonts w:ascii="Arial" w:hAnsi="Arial" w:cs="Arial"/>
                <w:b/>
                <w:sz w:val="20"/>
                <w:lang w:val="es-ES"/>
              </w:rPr>
            </w:pPr>
            <w:r w:rsidRPr="00B3684F">
              <w:rPr>
                <w:rFonts w:ascii="Arial" w:hAnsi="Arial" w:cs="Arial"/>
                <w:b/>
                <w:sz w:val="20"/>
                <w:lang w:val="es-ES"/>
              </w:rPr>
              <w:t>Impacto</w:t>
            </w:r>
            <w:r w:rsidR="006F45B4" w:rsidRPr="00B3684F">
              <w:rPr>
                <w:rFonts w:ascii="Arial" w:hAnsi="Arial" w:cs="Arial"/>
                <w:b/>
                <w:sz w:val="20"/>
                <w:lang w:val="es-ES"/>
              </w:rPr>
              <w:t>s</w:t>
            </w:r>
          </w:p>
        </w:tc>
      </w:tr>
      <w:tr w:rsidR="00085319" w:rsidRPr="00B3684F" w14:paraId="66AFE4E6" w14:textId="77777777" w:rsidTr="00B3684F">
        <w:trPr>
          <w:trHeight w:val="20"/>
        </w:trPr>
        <w:tc>
          <w:tcPr>
            <w:tcW w:w="2610" w:type="dxa"/>
          </w:tcPr>
          <w:p w14:paraId="05C52657" w14:textId="77777777" w:rsidR="00483D73" w:rsidRPr="00B3684F" w:rsidRDefault="00DB181C" w:rsidP="00B3684F">
            <w:pPr>
              <w:pStyle w:val="ListParagraph"/>
              <w:ind w:left="342" w:hanging="342"/>
              <w:rPr>
                <w:rFonts w:ascii="Arial" w:hAnsi="Arial" w:cs="Arial"/>
                <w:sz w:val="20"/>
                <w:lang w:val="es-ES"/>
              </w:rPr>
            </w:pPr>
            <w:r w:rsidRPr="00B3684F">
              <w:rPr>
                <w:rFonts w:ascii="Arial" w:hAnsi="Arial" w:cs="Arial"/>
                <w:sz w:val="20"/>
                <w:lang w:val="es-ES"/>
              </w:rPr>
              <w:t xml:space="preserve">1.1 </w:t>
            </w:r>
            <w:r w:rsidR="00085319">
              <w:rPr>
                <w:rFonts w:ascii="Arial" w:hAnsi="Arial" w:cs="Arial"/>
                <w:sz w:val="20"/>
                <w:lang w:val="es-ES"/>
              </w:rPr>
              <w:tab/>
            </w:r>
            <w:r w:rsidR="00483D73" w:rsidRPr="00B3684F">
              <w:rPr>
                <w:rFonts w:ascii="Arial" w:hAnsi="Arial" w:cs="Arial"/>
                <w:sz w:val="20"/>
                <w:lang w:val="es-ES"/>
              </w:rPr>
              <w:t>Recaudación Tributaria Neta / PIB</w:t>
            </w:r>
          </w:p>
        </w:tc>
        <w:tc>
          <w:tcPr>
            <w:tcW w:w="1080" w:type="dxa"/>
          </w:tcPr>
          <w:p w14:paraId="775C92F2" w14:textId="77777777" w:rsidR="00483D73" w:rsidRPr="00B3684F" w:rsidRDefault="001E3C2F" w:rsidP="00B3684F">
            <w:pPr>
              <w:rPr>
                <w:rFonts w:ascii="Arial" w:hAnsi="Arial" w:cs="Arial"/>
                <w:sz w:val="20"/>
                <w:lang w:val="es-ES"/>
              </w:rPr>
            </w:pPr>
            <w:r w:rsidRPr="00B3684F">
              <w:rPr>
                <w:rFonts w:ascii="Arial" w:hAnsi="Arial" w:cs="Arial"/>
                <w:sz w:val="20"/>
                <w:lang w:val="es-ES"/>
              </w:rPr>
              <w:t>Anual</w:t>
            </w:r>
          </w:p>
        </w:tc>
        <w:tc>
          <w:tcPr>
            <w:tcW w:w="2250" w:type="dxa"/>
          </w:tcPr>
          <w:p w14:paraId="357E48B9" w14:textId="77777777" w:rsidR="00483D73" w:rsidRPr="00B3684F" w:rsidRDefault="00483D73" w:rsidP="00B3684F">
            <w:pPr>
              <w:rPr>
                <w:rFonts w:ascii="Arial" w:hAnsi="Arial" w:cs="Arial"/>
                <w:sz w:val="20"/>
                <w:lang w:val="es-ES"/>
              </w:rPr>
            </w:pPr>
            <w:r w:rsidRPr="00B3684F">
              <w:rPr>
                <w:rFonts w:ascii="Arial" w:hAnsi="Arial" w:cs="Arial"/>
                <w:sz w:val="20"/>
                <w:lang w:val="es-ES"/>
              </w:rPr>
              <w:t xml:space="preserve">Ministerio de Finanzas </w:t>
            </w:r>
            <w:r w:rsidR="00085319" w:rsidRPr="00FD18F2">
              <w:rPr>
                <w:rFonts w:ascii="Arial" w:hAnsi="Arial" w:cs="Arial"/>
                <w:sz w:val="20"/>
                <w:lang w:val="es-ES"/>
              </w:rPr>
              <w:t>(MINFIN)</w:t>
            </w:r>
            <w:r w:rsidR="00085319">
              <w:rPr>
                <w:rFonts w:ascii="Arial" w:hAnsi="Arial" w:cs="Arial"/>
                <w:sz w:val="20"/>
                <w:lang w:val="es-ES"/>
              </w:rPr>
              <w:t xml:space="preserve"> </w:t>
            </w:r>
            <w:r w:rsidRPr="00B3684F">
              <w:rPr>
                <w:rFonts w:ascii="Arial" w:hAnsi="Arial" w:cs="Arial"/>
                <w:sz w:val="20"/>
                <w:lang w:val="es-ES"/>
              </w:rPr>
              <w:t xml:space="preserve">de Guatemala </w:t>
            </w:r>
            <w:r w:rsidR="001E0C96">
              <w:rPr>
                <w:rFonts w:ascii="Arial" w:hAnsi="Arial" w:cs="Arial"/>
                <w:sz w:val="20"/>
                <w:lang w:val="es-ES"/>
              </w:rPr>
              <w:t>y Superintendencia de Administración Tributaria (SAT)</w:t>
            </w:r>
          </w:p>
        </w:tc>
        <w:tc>
          <w:tcPr>
            <w:tcW w:w="2088" w:type="dxa"/>
          </w:tcPr>
          <w:p w14:paraId="48B8AFF5" w14:textId="77777777" w:rsidR="00483D73" w:rsidRDefault="00483D73" w:rsidP="00B3684F">
            <w:pPr>
              <w:rPr>
                <w:rFonts w:ascii="Arial" w:hAnsi="Arial" w:cs="Arial"/>
                <w:sz w:val="20"/>
                <w:lang w:val="es-ES"/>
              </w:rPr>
            </w:pPr>
            <w:r w:rsidRPr="00B3684F">
              <w:rPr>
                <w:rFonts w:ascii="Arial" w:hAnsi="Arial" w:cs="Arial"/>
                <w:sz w:val="20"/>
                <w:lang w:val="es-ES"/>
              </w:rPr>
              <w:t>Se refiere a solamente la Recaudación Tributaria y no al total de ingresos públicos.</w:t>
            </w:r>
          </w:p>
          <w:p w14:paraId="7043202B" w14:textId="77777777" w:rsidR="00A74DA1" w:rsidRPr="00B3684F" w:rsidRDefault="00A74DA1" w:rsidP="00B3684F">
            <w:pPr>
              <w:rPr>
                <w:rFonts w:ascii="Arial" w:hAnsi="Arial" w:cs="Arial"/>
                <w:sz w:val="20"/>
                <w:lang w:val="es-ES"/>
              </w:rPr>
            </w:pPr>
            <w:r>
              <w:rPr>
                <w:rFonts w:ascii="Arial" w:hAnsi="Arial" w:cs="Arial"/>
                <w:sz w:val="20"/>
                <w:lang w:val="es-ES"/>
              </w:rPr>
              <w:t>Se estima un incremento de 10,2% del PIB (2015) al 11% del PIB (2018).</w:t>
            </w:r>
          </w:p>
          <w:p w14:paraId="5A360D7A" w14:textId="77777777" w:rsidR="00276673" w:rsidRPr="00B3684F" w:rsidRDefault="00276673" w:rsidP="00B3684F">
            <w:pPr>
              <w:rPr>
                <w:rFonts w:ascii="Arial" w:hAnsi="Arial" w:cs="Arial"/>
                <w:sz w:val="20"/>
                <w:lang w:val="es-ES"/>
              </w:rPr>
            </w:pPr>
          </w:p>
        </w:tc>
      </w:tr>
      <w:tr w:rsidR="00085319" w:rsidRPr="00B3684F" w14:paraId="1DEA3334" w14:textId="77777777" w:rsidTr="00B3684F">
        <w:trPr>
          <w:trHeight w:val="20"/>
        </w:trPr>
        <w:tc>
          <w:tcPr>
            <w:tcW w:w="2610" w:type="dxa"/>
            <w:tcBorders>
              <w:bottom w:val="single" w:sz="4" w:space="0" w:color="auto"/>
            </w:tcBorders>
          </w:tcPr>
          <w:p w14:paraId="04ED34C2" w14:textId="77777777" w:rsidR="00483D73" w:rsidRPr="00B3684F" w:rsidRDefault="00DB181C" w:rsidP="00B3684F">
            <w:pPr>
              <w:pStyle w:val="ListParagraph"/>
              <w:ind w:left="342" w:hanging="342"/>
              <w:rPr>
                <w:rFonts w:ascii="Arial" w:hAnsi="Arial" w:cs="Arial"/>
                <w:sz w:val="20"/>
                <w:lang w:val="es-ES"/>
              </w:rPr>
            </w:pPr>
            <w:r w:rsidRPr="00B3684F">
              <w:rPr>
                <w:rFonts w:ascii="Arial" w:hAnsi="Arial" w:cs="Arial"/>
                <w:sz w:val="20"/>
                <w:lang w:val="es-ES"/>
              </w:rPr>
              <w:t xml:space="preserve">1.2 </w:t>
            </w:r>
            <w:r w:rsidR="00085319">
              <w:rPr>
                <w:rFonts w:ascii="Arial" w:hAnsi="Arial" w:cs="Arial"/>
                <w:sz w:val="20"/>
                <w:lang w:val="es-ES"/>
              </w:rPr>
              <w:tab/>
            </w:r>
            <w:r w:rsidR="00483D73" w:rsidRPr="00B3684F">
              <w:rPr>
                <w:rFonts w:ascii="Arial" w:hAnsi="Arial" w:cs="Arial"/>
                <w:sz w:val="20"/>
                <w:lang w:val="es-ES"/>
              </w:rPr>
              <w:t>Índice de Lavado de Dinero de Guatemala. El índice mide el nivel de riesgo de lavado de dinero basado en la agregación de 14 indicadores que evalúan la fortaleza del marco institucional contra el lavado de dinero y la corrupción, así como la transparencia financiera y el estado de derecho.</w:t>
            </w:r>
          </w:p>
        </w:tc>
        <w:tc>
          <w:tcPr>
            <w:tcW w:w="1080" w:type="dxa"/>
            <w:tcBorders>
              <w:bottom w:val="single" w:sz="4" w:space="0" w:color="auto"/>
            </w:tcBorders>
          </w:tcPr>
          <w:p w14:paraId="1B0DAADB" w14:textId="77777777" w:rsidR="00483D73" w:rsidRPr="00B3684F" w:rsidRDefault="00C57712" w:rsidP="00B3684F">
            <w:pPr>
              <w:rPr>
                <w:rFonts w:ascii="Arial" w:hAnsi="Arial" w:cs="Arial"/>
                <w:sz w:val="20"/>
                <w:lang w:val="es-ES"/>
              </w:rPr>
            </w:pPr>
            <w:r w:rsidRPr="00B3684F">
              <w:rPr>
                <w:rFonts w:ascii="Arial" w:hAnsi="Arial" w:cs="Arial"/>
                <w:sz w:val="20"/>
                <w:lang w:val="es-ES"/>
              </w:rPr>
              <w:t>Anual</w:t>
            </w:r>
          </w:p>
        </w:tc>
        <w:tc>
          <w:tcPr>
            <w:tcW w:w="2250" w:type="dxa"/>
            <w:tcBorders>
              <w:bottom w:val="single" w:sz="4" w:space="0" w:color="auto"/>
            </w:tcBorders>
          </w:tcPr>
          <w:p w14:paraId="766045C2" w14:textId="77777777" w:rsidR="00483D73" w:rsidRPr="00B3684F" w:rsidRDefault="006E38F8" w:rsidP="00B3684F">
            <w:pPr>
              <w:rPr>
                <w:rFonts w:ascii="Arial" w:hAnsi="Arial" w:cs="Arial"/>
                <w:sz w:val="20"/>
                <w:lang w:val="es-ES"/>
              </w:rPr>
            </w:pPr>
            <w:hyperlink r:id="rId16" w:history="1">
              <w:r w:rsidR="00483D73" w:rsidRPr="00B3684F">
                <w:rPr>
                  <w:rStyle w:val="Hyperlink"/>
                  <w:rFonts w:ascii="Arial" w:hAnsi="Arial" w:cs="Arial"/>
                  <w:sz w:val="20"/>
                  <w:lang w:val="es-ES"/>
                </w:rPr>
                <w:t>Índice de Lavado de Dinero</w:t>
              </w:r>
            </w:hyperlink>
            <w:r w:rsidR="00483D73" w:rsidRPr="00B3684F">
              <w:rPr>
                <w:rFonts w:ascii="Arial" w:hAnsi="Arial" w:cs="Arial"/>
                <w:sz w:val="20"/>
                <w:lang w:val="es-ES"/>
              </w:rPr>
              <w:t xml:space="preserve"> producido por el Instituto de Gobernanza de Basilea</w:t>
            </w:r>
          </w:p>
        </w:tc>
        <w:tc>
          <w:tcPr>
            <w:tcW w:w="2088" w:type="dxa"/>
            <w:tcBorders>
              <w:bottom w:val="single" w:sz="4" w:space="0" w:color="auto"/>
            </w:tcBorders>
          </w:tcPr>
          <w:p w14:paraId="66611823" w14:textId="77777777" w:rsidR="00483D73" w:rsidRDefault="00483D73" w:rsidP="00B3684F">
            <w:pPr>
              <w:rPr>
                <w:rFonts w:ascii="Arial" w:hAnsi="Arial" w:cs="Arial"/>
                <w:sz w:val="20"/>
                <w:lang w:val="es-ES"/>
              </w:rPr>
            </w:pPr>
            <w:r w:rsidRPr="00B3684F">
              <w:rPr>
                <w:rFonts w:ascii="Arial" w:hAnsi="Arial" w:cs="Arial"/>
                <w:sz w:val="20"/>
                <w:lang w:val="es-ES"/>
              </w:rPr>
              <w:t xml:space="preserve">El índice presenta para el 2015 que Guatemala enfrenta un nivel de riesgo medio (en la posición 77 entre 152 países). Se estima una mejora de 5% con las acciones de política del </w:t>
            </w:r>
            <w:r w:rsidR="00724AE6">
              <w:rPr>
                <w:rFonts w:ascii="Arial" w:hAnsi="Arial" w:cs="Arial"/>
                <w:sz w:val="20"/>
                <w:lang w:val="es-ES"/>
              </w:rPr>
              <w:t>programa</w:t>
            </w:r>
            <w:r w:rsidR="00C57712" w:rsidRPr="00B3684F">
              <w:rPr>
                <w:rFonts w:ascii="Arial" w:hAnsi="Arial" w:cs="Arial"/>
                <w:sz w:val="20"/>
                <w:lang w:val="es-ES"/>
              </w:rPr>
              <w:t xml:space="preserve"> para el 2018-19</w:t>
            </w:r>
            <w:r w:rsidRPr="00B3684F">
              <w:rPr>
                <w:rFonts w:ascii="Arial" w:hAnsi="Arial" w:cs="Arial"/>
                <w:sz w:val="20"/>
                <w:lang w:val="es-ES"/>
              </w:rPr>
              <w:t>.</w:t>
            </w:r>
          </w:p>
          <w:p w14:paraId="35E7EFE0" w14:textId="77777777" w:rsidR="00A74DA1" w:rsidRPr="00B3684F" w:rsidRDefault="00A74DA1" w:rsidP="00A74DA1">
            <w:pPr>
              <w:rPr>
                <w:rFonts w:ascii="Arial" w:hAnsi="Arial" w:cs="Arial"/>
                <w:sz w:val="20"/>
                <w:lang w:val="es-ES"/>
              </w:rPr>
            </w:pPr>
            <w:r>
              <w:rPr>
                <w:rFonts w:ascii="Arial" w:hAnsi="Arial" w:cs="Arial"/>
                <w:sz w:val="20"/>
                <w:lang w:val="es-ES"/>
              </w:rPr>
              <w:t>Se estima una mejora de 5,78 puntos (2015) a 5,49 puntos (2018).</w:t>
            </w:r>
          </w:p>
        </w:tc>
      </w:tr>
    </w:tbl>
    <w:p w14:paraId="3CBB08AA" w14:textId="3F53276F" w:rsidR="00276673" w:rsidRPr="00AD5F81" w:rsidRDefault="00276673" w:rsidP="007942EF">
      <w:pPr>
        <w:pStyle w:val="Paragraph"/>
        <w:spacing w:before="240"/>
        <w:ind w:left="720" w:hanging="720"/>
        <w:rPr>
          <w:rFonts w:ascii="Arial" w:hAnsi="Arial" w:cs="Arial"/>
          <w:sz w:val="22"/>
          <w:szCs w:val="22"/>
        </w:rPr>
      </w:pPr>
      <w:r w:rsidRPr="00276673">
        <w:rPr>
          <w:rFonts w:ascii="Arial" w:hAnsi="Arial" w:cs="Arial"/>
          <w:sz w:val="22"/>
          <w:szCs w:val="22"/>
          <w:lang w:val="es-ES_tradnl"/>
        </w:rPr>
        <w:t xml:space="preserve">El Cuadro </w:t>
      </w:r>
      <w:r>
        <w:rPr>
          <w:rFonts w:ascii="Arial" w:hAnsi="Arial" w:cs="Arial"/>
          <w:sz w:val="22"/>
          <w:szCs w:val="22"/>
          <w:lang w:val="es-ES_tradnl"/>
        </w:rPr>
        <w:t>2</w:t>
      </w:r>
      <w:r w:rsidR="00C95CCC">
        <w:rPr>
          <w:rFonts w:ascii="Arial" w:hAnsi="Arial" w:cs="Arial"/>
          <w:sz w:val="22"/>
          <w:szCs w:val="22"/>
          <w:lang w:val="es-ES_tradnl"/>
        </w:rPr>
        <w:t>a</w:t>
      </w:r>
      <w:r w:rsidRPr="00276673">
        <w:rPr>
          <w:rFonts w:ascii="Arial" w:hAnsi="Arial" w:cs="Arial"/>
          <w:sz w:val="22"/>
          <w:szCs w:val="22"/>
          <w:lang w:val="es-ES_tradnl"/>
        </w:rPr>
        <w:t xml:space="preserve"> describe los indicadores de </w:t>
      </w:r>
      <w:r>
        <w:rPr>
          <w:rFonts w:ascii="Arial" w:hAnsi="Arial" w:cs="Arial"/>
          <w:sz w:val="22"/>
          <w:szCs w:val="22"/>
          <w:lang w:val="es-ES_tradnl"/>
        </w:rPr>
        <w:t xml:space="preserve">resultados </w:t>
      </w:r>
      <w:r w:rsidR="00417620">
        <w:rPr>
          <w:rFonts w:ascii="Arial" w:hAnsi="Arial" w:cs="Arial"/>
          <w:sz w:val="22"/>
          <w:szCs w:val="22"/>
          <w:lang w:val="es-ES_tradnl"/>
        </w:rPr>
        <w:t>finales</w:t>
      </w:r>
      <w:r>
        <w:rPr>
          <w:rFonts w:ascii="Arial" w:hAnsi="Arial" w:cs="Arial"/>
          <w:sz w:val="22"/>
          <w:szCs w:val="22"/>
          <w:lang w:val="es-ES_tradnl"/>
        </w:rPr>
        <w:t xml:space="preserve"> para </w:t>
      </w:r>
      <w:r w:rsidR="007942EF">
        <w:rPr>
          <w:rFonts w:ascii="Arial" w:hAnsi="Arial" w:cs="Arial"/>
          <w:sz w:val="22"/>
          <w:szCs w:val="22"/>
          <w:lang w:val="es-ES_tradnl"/>
        </w:rPr>
        <w:t>mejorar</w:t>
      </w:r>
      <w:r w:rsidRPr="00276673">
        <w:rPr>
          <w:rFonts w:ascii="Arial" w:hAnsi="Arial" w:cs="Arial"/>
          <w:sz w:val="22"/>
          <w:szCs w:val="22"/>
          <w:lang w:val="es-ES_tradnl"/>
        </w:rPr>
        <w:t xml:space="preserve"> la eficiencia y la efectividad en la recaudación tributaria</w:t>
      </w:r>
      <w:r>
        <w:rPr>
          <w:rFonts w:ascii="Arial" w:hAnsi="Arial" w:cs="Arial"/>
          <w:sz w:val="22"/>
          <w:szCs w:val="22"/>
          <w:lang w:val="es-ES_tradnl"/>
        </w:rPr>
        <w:t xml:space="preserve">. Todos los indicadores </w:t>
      </w:r>
      <w:r>
        <w:rPr>
          <w:rFonts w:ascii="Arial" w:hAnsi="Arial" w:cs="Arial"/>
          <w:sz w:val="22"/>
          <w:szCs w:val="22"/>
          <w:lang w:val="es-ES_tradnl"/>
        </w:rPr>
        <w:lastRenderedPageBreak/>
        <w:t xml:space="preserve">cuentan con línea de base y meta, detallados en la </w:t>
      </w:r>
      <w:hyperlink r:id="rId17" w:history="1">
        <w:r w:rsidRPr="00276673">
          <w:rPr>
            <w:rStyle w:val="Hyperlink"/>
            <w:rFonts w:ascii="Arial" w:hAnsi="Arial" w:cs="Arial"/>
            <w:sz w:val="22"/>
            <w:szCs w:val="22"/>
            <w:lang w:val="es-ES_tradnl"/>
          </w:rPr>
          <w:t>Matriz de Resultados</w:t>
        </w:r>
      </w:hyperlink>
      <w:r>
        <w:rPr>
          <w:rFonts w:ascii="Arial" w:hAnsi="Arial" w:cs="Arial"/>
          <w:sz w:val="22"/>
          <w:szCs w:val="22"/>
          <w:lang w:val="es-ES_tradnl"/>
        </w:rPr>
        <w:t xml:space="preserve">, incluida como </w:t>
      </w:r>
      <w:r w:rsidR="007942EF">
        <w:rPr>
          <w:rFonts w:ascii="Arial" w:hAnsi="Arial" w:cs="Arial"/>
          <w:sz w:val="22"/>
          <w:szCs w:val="22"/>
          <w:lang w:val="es-ES_tradnl"/>
        </w:rPr>
        <w:t xml:space="preserve">Anexo </w:t>
      </w:r>
      <w:r w:rsidR="009C7648">
        <w:rPr>
          <w:rFonts w:ascii="Arial" w:hAnsi="Arial" w:cs="Arial"/>
          <w:sz w:val="22"/>
          <w:szCs w:val="22"/>
          <w:lang w:val="es-ES_tradnl"/>
        </w:rPr>
        <w:t>5</w:t>
      </w:r>
      <w:r>
        <w:rPr>
          <w:rFonts w:ascii="Arial" w:hAnsi="Arial" w:cs="Arial"/>
          <w:sz w:val="22"/>
          <w:szCs w:val="22"/>
          <w:lang w:val="es-ES_tradnl"/>
        </w:rPr>
        <w:t xml:space="preserve"> de este Plan de Monitoreo y Evaluación.</w:t>
      </w:r>
    </w:p>
    <w:p w14:paraId="6E483321" w14:textId="06D8BFBA" w:rsidR="00AD5F81" w:rsidRPr="00AD5F81" w:rsidRDefault="00AD5F81" w:rsidP="004348BE">
      <w:pPr>
        <w:pStyle w:val="Paragraph"/>
        <w:ind w:left="720" w:hanging="720"/>
        <w:rPr>
          <w:rFonts w:ascii="Arial" w:hAnsi="Arial" w:cs="Arial"/>
          <w:sz w:val="22"/>
          <w:szCs w:val="22"/>
        </w:rPr>
      </w:pPr>
      <w:r w:rsidRPr="00AD5F81">
        <w:rPr>
          <w:rFonts w:ascii="Arial" w:hAnsi="Arial" w:cs="Arial"/>
          <w:sz w:val="22"/>
          <w:szCs w:val="22"/>
          <w:lang w:val="es-ES_tradnl"/>
        </w:rPr>
        <w:t xml:space="preserve">Los </w:t>
      </w:r>
      <w:r w:rsidR="00417620">
        <w:rPr>
          <w:rFonts w:ascii="Arial" w:hAnsi="Arial" w:cs="Arial"/>
          <w:sz w:val="22"/>
          <w:szCs w:val="22"/>
          <w:lang w:val="es-ES_tradnl"/>
        </w:rPr>
        <w:t>dos</w:t>
      </w:r>
      <w:r w:rsidR="00417620" w:rsidRPr="00AD5F81">
        <w:rPr>
          <w:rFonts w:ascii="Arial" w:hAnsi="Arial" w:cs="Arial"/>
          <w:sz w:val="22"/>
          <w:szCs w:val="22"/>
          <w:lang w:val="es-ES_tradnl"/>
        </w:rPr>
        <w:t xml:space="preserve"> </w:t>
      </w:r>
      <w:r w:rsidRPr="00AD5F81">
        <w:rPr>
          <w:rFonts w:ascii="Arial" w:hAnsi="Arial" w:cs="Arial"/>
          <w:sz w:val="22"/>
          <w:szCs w:val="22"/>
          <w:lang w:val="es-ES_tradnl"/>
        </w:rPr>
        <w:t xml:space="preserve">indicadores que serán usados para monitorear los resultados de </w:t>
      </w:r>
      <w:r w:rsidR="005C0468">
        <w:rPr>
          <w:rFonts w:ascii="Arial" w:hAnsi="Arial" w:cs="Arial"/>
          <w:sz w:val="22"/>
          <w:szCs w:val="22"/>
          <w:lang w:val="es-ES_tradnl"/>
        </w:rPr>
        <w:t xml:space="preserve">mejora </w:t>
      </w:r>
      <w:r w:rsidRPr="00AD5F81">
        <w:rPr>
          <w:rFonts w:ascii="Arial" w:hAnsi="Arial" w:cs="Arial"/>
          <w:sz w:val="22"/>
          <w:szCs w:val="22"/>
          <w:lang w:val="es-ES_tradnl"/>
        </w:rPr>
        <w:t xml:space="preserve">de </w:t>
      </w:r>
      <w:r w:rsidR="005C0468">
        <w:rPr>
          <w:rFonts w:ascii="Arial" w:hAnsi="Arial" w:cs="Arial"/>
          <w:sz w:val="22"/>
          <w:szCs w:val="22"/>
          <w:lang w:val="es-ES_tradnl"/>
        </w:rPr>
        <w:t xml:space="preserve">la </w:t>
      </w:r>
      <w:r w:rsidRPr="00AD5F81">
        <w:rPr>
          <w:rFonts w:ascii="Arial" w:hAnsi="Arial" w:cs="Arial"/>
          <w:sz w:val="22"/>
          <w:szCs w:val="22"/>
          <w:lang w:val="es-ES_tradnl"/>
        </w:rPr>
        <w:t>administración tributaria, son cuantitativos y calculados con los da</w:t>
      </w:r>
      <w:r w:rsidR="00E654E1">
        <w:rPr>
          <w:rFonts w:ascii="Arial" w:hAnsi="Arial" w:cs="Arial"/>
          <w:sz w:val="22"/>
          <w:szCs w:val="22"/>
          <w:lang w:val="es-ES_tradnl"/>
        </w:rPr>
        <w:t>t</w:t>
      </w:r>
      <w:r w:rsidRPr="00AD5F81">
        <w:rPr>
          <w:rFonts w:ascii="Arial" w:hAnsi="Arial" w:cs="Arial"/>
          <w:sz w:val="22"/>
          <w:szCs w:val="22"/>
          <w:lang w:val="es-ES_tradnl"/>
        </w:rPr>
        <w:t xml:space="preserve">os que publica la </w:t>
      </w:r>
      <w:r w:rsidR="00327478" w:rsidRPr="00A71909">
        <w:rPr>
          <w:rFonts w:ascii="Arial" w:hAnsi="Arial" w:cs="Arial"/>
          <w:sz w:val="22"/>
          <w:szCs w:val="22"/>
        </w:rPr>
        <w:t>Superintendencia de Administración Tributaria</w:t>
      </w:r>
      <w:r w:rsidR="00327478" w:rsidRPr="00AD5F81">
        <w:rPr>
          <w:rFonts w:ascii="Arial" w:hAnsi="Arial" w:cs="Arial"/>
          <w:sz w:val="22"/>
          <w:szCs w:val="22"/>
          <w:lang w:val="es-ES_tradnl"/>
        </w:rPr>
        <w:t xml:space="preserve"> </w:t>
      </w:r>
      <w:r w:rsidR="00327478">
        <w:rPr>
          <w:rFonts w:ascii="Arial" w:hAnsi="Arial" w:cs="Arial"/>
          <w:sz w:val="22"/>
          <w:szCs w:val="22"/>
          <w:lang w:val="es-ES_tradnl"/>
        </w:rPr>
        <w:t>(</w:t>
      </w:r>
      <w:r w:rsidRPr="00AD5F81">
        <w:rPr>
          <w:rFonts w:ascii="Arial" w:hAnsi="Arial" w:cs="Arial"/>
          <w:sz w:val="22"/>
          <w:szCs w:val="22"/>
          <w:lang w:val="es-ES_tradnl"/>
        </w:rPr>
        <w:t>SAT</w:t>
      </w:r>
      <w:r w:rsidR="00327478">
        <w:rPr>
          <w:rFonts w:ascii="Arial" w:hAnsi="Arial" w:cs="Arial"/>
          <w:sz w:val="22"/>
          <w:szCs w:val="22"/>
          <w:lang w:val="es-ES_tradnl"/>
        </w:rPr>
        <w:t>)</w:t>
      </w:r>
      <w:r w:rsidRPr="00AD5F81">
        <w:rPr>
          <w:rFonts w:ascii="Arial" w:hAnsi="Arial" w:cs="Arial"/>
          <w:sz w:val="22"/>
          <w:szCs w:val="22"/>
          <w:lang w:val="es-ES_tradnl"/>
        </w:rPr>
        <w:t>. La Gerencia de Planificación y Desarrollo Institucional de la SAT participó e</w:t>
      </w:r>
      <w:r w:rsidR="00E654E1">
        <w:rPr>
          <w:rFonts w:ascii="Arial" w:hAnsi="Arial" w:cs="Arial"/>
          <w:sz w:val="22"/>
          <w:szCs w:val="22"/>
          <w:lang w:val="es-ES_tradnl"/>
        </w:rPr>
        <w:t>n</w:t>
      </w:r>
      <w:r w:rsidRPr="00AD5F81">
        <w:rPr>
          <w:rFonts w:ascii="Arial" w:hAnsi="Arial" w:cs="Arial"/>
          <w:sz w:val="22"/>
          <w:szCs w:val="22"/>
          <w:lang w:val="es-ES_tradnl"/>
        </w:rPr>
        <w:t xml:space="preserve"> la preparación de la Matriz de Resultados, y fueron priorizados los indicadores que tienen un seguimiento formal en la SAT, mayormente son indicadores usados en todas las administraciones tributarias de la región, lo que facilitará su monitoreo y eventual comparación.</w:t>
      </w:r>
    </w:p>
    <w:p w14:paraId="62DE5CDE" w14:textId="77777777" w:rsidR="00AD5F81" w:rsidRPr="00AD5F81" w:rsidRDefault="00AD5F81" w:rsidP="004348BE">
      <w:pPr>
        <w:pStyle w:val="Paragraph"/>
        <w:ind w:left="720" w:hanging="720"/>
        <w:rPr>
          <w:rFonts w:ascii="Arial" w:hAnsi="Arial" w:cs="Arial"/>
          <w:sz w:val="22"/>
          <w:szCs w:val="22"/>
        </w:rPr>
      </w:pPr>
      <w:r w:rsidRPr="00AD5F81">
        <w:rPr>
          <w:rFonts w:ascii="Arial" w:hAnsi="Arial" w:cs="Arial"/>
          <w:sz w:val="22"/>
          <w:szCs w:val="22"/>
          <w:lang w:val="es-ES_tradnl"/>
        </w:rPr>
        <w:t xml:space="preserve">Se estima que la combinación de </w:t>
      </w:r>
      <w:r>
        <w:rPr>
          <w:rFonts w:ascii="Arial" w:hAnsi="Arial" w:cs="Arial"/>
          <w:sz w:val="22"/>
          <w:szCs w:val="22"/>
          <w:lang w:val="es-ES_tradnl"/>
        </w:rPr>
        <w:t>las reformas de</w:t>
      </w:r>
      <w:r w:rsidRPr="00AD5F81">
        <w:rPr>
          <w:rFonts w:ascii="Arial" w:hAnsi="Arial" w:cs="Arial"/>
          <w:sz w:val="22"/>
          <w:szCs w:val="22"/>
          <w:lang w:val="es-ES_tradnl"/>
        </w:rPr>
        <w:t xml:space="preserve"> políticas </w:t>
      </w:r>
      <w:r>
        <w:rPr>
          <w:rFonts w:ascii="Arial" w:hAnsi="Arial" w:cs="Arial"/>
          <w:sz w:val="22"/>
          <w:szCs w:val="22"/>
          <w:lang w:val="es-ES_tradnl"/>
        </w:rPr>
        <w:t xml:space="preserve">del </w:t>
      </w:r>
      <w:r w:rsidR="00327478">
        <w:rPr>
          <w:rFonts w:ascii="Arial" w:hAnsi="Arial" w:cs="Arial"/>
          <w:sz w:val="22"/>
          <w:szCs w:val="22"/>
          <w:lang w:val="es-ES_tradnl"/>
        </w:rPr>
        <w:t>p</w:t>
      </w:r>
      <w:r>
        <w:rPr>
          <w:rFonts w:ascii="Arial" w:hAnsi="Arial" w:cs="Arial"/>
          <w:sz w:val="22"/>
          <w:szCs w:val="22"/>
          <w:lang w:val="es-ES_tradnl"/>
        </w:rPr>
        <w:t xml:space="preserve">rograma sobre la administración tributaria </w:t>
      </w:r>
      <w:r w:rsidRPr="00AD5F81">
        <w:rPr>
          <w:rFonts w:ascii="Arial" w:hAnsi="Arial" w:cs="Arial"/>
          <w:sz w:val="22"/>
          <w:szCs w:val="22"/>
          <w:lang w:val="es-ES_tradnl"/>
        </w:rPr>
        <w:t>permitirá</w:t>
      </w:r>
      <w:r w:rsidR="00E94844">
        <w:rPr>
          <w:rFonts w:ascii="Arial" w:hAnsi="Arial" w:cs="Arial"/>
          <w:sz w:val="22"/>
          <w:szCs w:val="22"/>
          <w:lang w:val="es-ES_tradnl"/>
        </w:rPr>
        <w:t xml:space="preserve">n una reingeniería integral de </w:t>
      </w:r>
      <w:r w:rsidRPr="00AD5F81">
        <w:rPr>
          <w:rFonts w:ascii="Arial" w:hAnsi="Arial" w:cs="Arial"/>
          <w:sz w:val="22"/>
          <w:szCs w:val="22"/>
          <w:lang w:val="es-ES_tradnl"/>
        </w:rPr>
        <w:t>la SAT y mejorar su articulación con el Ministerio Público</w:t>
      </w:r>
      <w:r w:rsidR="00940C40">
        <w:rPr>
          <w:rFonts w:ascii="Arial" w:hAnsi="Arial" w:cs="Arial"/>
          <w:sz w:val="22"/>
          <w:szCs w:val="22"/>
          <w:lang w:val="es-ES_tradnl"/>
        </w:rPr>
        <w:t xml:space="preserve"> (MP)</w:t>
      </w:r>
      <w:r w:rsidRPr="00AD5F81">
        <w:rPr>
          <w:rFonts w:ascii="Arial" w:hAnsi="Arial" w:cs="Arial"/>
          <w:sz w:val="22"/>
          <w:szCs w:val="22"/>
          <w:lang w:val="es-ES_tradnl"/>
        </w:rPr>
        <w:t>, contribuyendo a renovar el cuadro de personal de la SAT y mejorar el control sobre sus funcionarios, institucionalizar un modelo de inteligencia fiscal en la entidad, depurar el catastro de contribuyentes, revisar los principales macro procesos de</w:t>
      </w:r>
      <w:r w:rsidR="00327478">
        <w:rPr>
          <w:rFonts w:ascii="Arial" w:hAnsi="Arial" w:cs="Arial"/>
          <w:sz w:val="22"/>
          <w:szCs w:val="22"/>
          <w:lang w:val="es-ES_tradnl"/>
        </w:rPr>
        <w:t xml:space="preserve">l </w:t>
      </w:r>
      <w:r w:rsidRPr="00AD5F81">
        <w:rPr>
          <w:rFonts w:ascii="Arial" w:hAnsi="Arial" w:cs="Arial"/>
          <w:sz w:val="22"/>
          <w:szCs w:val="22"/>
          <w:lang w:val="es-ES_tradnl"/>
        </w:rPr>
        <w:t>I</w:t>
      </w:r>
      <w:r w:rsidR="00327478">
        <w:rPr>
          <w:rFonts w:ascii="Arial" w:hAnsi="Arial" w:cs="Arial"/>
          <w:sz w:val="22"/>
          <w:szCs w:val="22"/>
          <w:lang w:val="es-ES_tradnl"/>
        </w:rPr>
        <w:t>mpuesto al Valor Agregado (I</w:t>
      </w:r>
      <w:r w:rsidRPr="00AD5F81">
        <w:rPr>
          <w:rFonts w:ascii="Arial" w:hAnsi="Arial" w:cs="Arial"/>
          <w:sz w:val="22"/>
          <w:szCs w:val="22"/>
          <w:lang w:val="es-ES_tradnl"/>
        </w:rPr>
        <w:t>VA</w:t>
      </w:r>
      <w:r w:rsidR="00327478">
        <w:rPr>
          <w:rFonts w:ascii="Arial" w:hAnsi="Arial" w:cs="Arial"/>
          <w:sz w:val="22"/>
          <w:szCs w:val="22"/>
          <w:lang w:val="es-ES_tradnl"/>
        </w:rPr>
        <w:t>)</w:t>
      </w:r>
      <w:r w:rsidRPr="00AD5F81">
        <w:rPr>
          <w:rFonts w:ascii="Arial" w:hAnsi="Arial" w:cs="Arial"/>
          <w:sz w:val="22"/>
          <w:szCs w:val="22"/>
          <w:lang w:val="es-ES_tradnl"/>
        </w:rPr>
        <w:t xml:space="preserve">, </w:t>
      </w:r>
      <w:r w:rsidR="00E94844" w:rsidRPr="00AD5F81">
        <w:rPr>
          <w:rFonts w:ascii="Arial" w:hAnsi="Arial" w:cs="Arial"/>
          <w:sz w:val="22"/>
          <w:szCs w:val="22"/>
          <w:lang w:val="es-ES_tradnl"/>
        </w:rPr>
        <w:t xml:space="preserve">Aduanas </w:t>
      </w:r>
      <w:r w:rsidRPr="00AD5F81">
        <w:rPr>
          <w:rFonts w:ascii="Arial" w:hAnsi="Arial" w:cs="Arial"/>
          <w:sz w:val="22"/>
          <w:szCs w:val="22"/>
          <w:lang w:val="es-ES_tradnl"/>
        </w:rPr>
        <w:t xml:space="preserve">e </w:t>
      </w:r>
      <w:r w:rsidR="00327478">
        <w:rPr>
          <w:rFonts w:ascii="Arial" w:hAnsi="Arial" w:cs="Arial"/>
          <w:sz w:val="22"/>
          <w:szCs w:val="22"/>
          <w:lang w:val="es-ES_tradnl"/>
        </w:rPr>
        <w:t>Impuesto sobre la Renta (</w:t>
      </w:r>
      <w:r w:rsidRPr="00AD5F81">
        <w:rPr>
          <w:rFonts w:ascii="Arial" w:hAnsi="Arial" w:cs="Arial"/>
          <w:sz w:val="22"/>
          <w:szCs w:val="22"/>
          <w:lang w:val="es-ES_tradnl"/>
        </w:rPr>
        <w:t>ISR</w:t>
      </w:r>
      <w:r w:rsidR="00327478">
        <w:rPr>
          <w:rFonts w:ascii="Arial" w:hAnsi="Arial" w:cs="Arial"/>
          <w:sz w:val="22"/>
          <w:szCs w:val="22"/>
          <w:lang w:val="es-ES_tradnl"/>
        </w:rPr>
        <w:t>)</w:t>
      </w:r>
      <w:r w:rsidRPr="00AD5F81">
        <w:rPr>
          <w:rFonts w:ascii="Arial" w:hAnsi="Arial" w:cs="Arial"/>
          <w:sz w:val="22"/>
          <w:szCs w:val="22"/>
          <w:lang w:val="es-ES_tradnl"/>
        </w:rPr>
        <w:t>, e intervenir en el control de la carga en Puerto Quetzal; contribuyendo a la reducción de la brecha de evasión fiscal y al incremento en la recaudación tributaria.</w:t>
      </w:r>
    </w:p>
    <w:p w14:paraId="079D8F70" w14:textId="3D08D333" w:rsidR="006F45B4" w:rsidRPr="005C0468" w:rsidRDefault="006F45B4" w:rsidP="00B3684F">
      <w:pPr>
        <w:spacing w:before="120" w:after="120"/>
        <w:ind w:left="720"/>
        <w:jc w:val="center"/>
        <w:rPr>
          <w:rFonts w:ascii="Arial" w:hAnsi="Arial" w:cs="Arial"/>
          <w:b/>
          <w:sz w:val="20"/>
          <w:szCs w:val="22"/>
          <w:lang w:val="es-ES"/>
        </w:rPr>
      </w:pPr>
      <w:r w:rsidRPr="00483D73">
        <w:rPr>
          <w:rFonts w:ascii="Arial" w:hAnsi="Arial" w:cs="Arial"/>
          <w:b/>
          <w:sz w:val="20"/>
          <w:szCs w:val="22"/>
          <w:lang w:val="es-ES"/>
        </w:rPr>
        <w:t xml:space="preserve">Cuadro </w:t>
      </w:r>
      <w:r>
        <w:rPr>
          <w:rFonts w:ascii="Arial" w:hAnsi="Arial" w:cs="Arial"/>
          <w:b/>
          <w:sz w:val="20"/>
          <w:szCs w:val="22"/>
          <w:lang w:val="es-ES"/>
        </w:rPr>
        <w:t>2</w:t>
      </w:r>
      <w:r w:rsidR="00483FDC">
        <w:rPr>
          <w:rFonts w:ascii="Arial" w:hAnsi="Arial" w:cs="Arial"/>
          <w:b/>
          <w:sz w:val="20"/>
          <w:szCs w:val="22"/>
          <w:lang w:val="es-ES"/>
        </w:rPr>
        <w:t>a</w:t>
      </w:r>
      <w:r w:rsidRPr="00483D73">
        <w:rPr>
          <w:rFonts w:ascii="Arial" w:hAnsi="Arial" w:cs="Arial"/>
          <w:b/>
          <w:sz w:val="20"/>
          <w:szCs w:val="22"/>
          <w:lang w:val="es-ES"/>
        </w:rPr>
        <w:t xml:space="preserve">: Indicadores de </w:t>
      </w:r>
      <w:r>
        <w:rPr>
          <w:rFonts w:ascii="Arial" w:hAnsi="Arial" w:cs="Arial"/>
          <w:b/>
          <w:sz w:val="20"/>
          <w:szCs w:val="22"/>
          <w:lang w:val="es-ES"/>
        </w:rPr>
        <w:t>Resultado</w:t>
      </w:r>
      <w:r w:rsidR="003C71FE">
        <w:rPr>
          <w:rFonts w:ascii="Arial" w:hAnsi="Arial" w:cs="Arial"/>
          <w:b/>
          <w:sz w:val="20"/>
          <w:szCs w:val="22"/>
          <w:lang w:val="es-ES"/>
        </w:rPr>
        <w:t xml:space="preserve"> </w:t>
      </w:r>
      <w:r w:rsidR="00C46D3E" w:rsidRPr="005C0468">
        <w:rPr>
          <w:rFonts w:ascii="Arial" w:hAnsi="Arial" w:cs="Arial"/>
          <w:b/>
          <w:sz w:val="20"/>
          <w:szCs w:val="22"/>
          <w:lang w:val="es-ES"/>
        </w:rPr>
        <w:t xml:space="preserve">para </w:t>
      </w:r>
      <w:r w:rsidR="00C46D3E" w:rsidRPr="005C0468">
        <w:rPr>
          <w:rFonts w:ascii="Arial" w:hAnsi="Arial" w:cs="Arial"/>
          <w:b/>
          <w:sz w:val="20"/>
          <w:szCs w:val="22"/>
        </w:rPr>
        <w:t xml:space="preserve">la </w:t>
      </w:r>
      <w:r w:rsidR="001716E9" w:rsidRPr="001716E9">
        <w:rPr>
          <w:rFonts w:ascii="Arial" w:hAnsi="Arial" w:cs="Arial"/>
          <w:b/>
          <w:sz w:val="20"/>
          <w:szCs w:val="22"/>
          <w:lang w:val="es-ES"/>
        </w:rPr>
        <w:t>para la medición del incremento en los ingresos tributarios</w:t>
      </w:r>
      <w:r w:rsidR="001716E9" w:rsidRPr="001716E9" w:rsidDel="00C46D3E">
        <w:rPr>
          <w:rFonts w:ascii="Arial" w:hAnsi="Arial" w:cs="Arial"/>
          <w:b/>
          <w:sz w:val="20"/>
          <w:szCs w:val="22"/>
          <w:lang w:val="es-ES"/>
        </w:rPr>
        <w:t xml:space="preserve"> </w:t>
      </w:r>
    </w:p>
    <w:tbl>
      <w:tblPr>
        <w:tblStyle w:val="TableGrid"/>
        <w:tblW w:w="8460" w:type="dxa"/>
        <w:tblInd w:w="558" w:type="dxa"/>
        <w:tblLayout w:type="fixed"/>
        <w:tblLook w:val="04A0" w:firstRow="1" w:lastRow="0" w:firstColumn="1" w:lastColumn="0" w:noHBand="0" w:noVBand="1"/>
      </w:tblPr>
      <w:tblGrid>
        <w:gridCol w:w="2430"/>
        <w:gridCol w:w="1170"/>
        <w:gridCol w:w="1350"/>
        <w:gridCol w:w="3510"/>
      </w:tblGrid>
      <w:tr w:rsidR="00E22CEA" w:rsidRPr="00112314" w14:paraId="236A1B7A" w14:textId="77777777" w:rsidTr="001818F1">
        <w:trPr>
          <w:trHeight w:val="20"/>
          <w:tblHeader/>
        </w:trPr>
        <w:tc>
          <w:tcPr>
            <w:tcW w:w="2430" w:type="dxa"/>
            <w:tcBorders>
              <w:bottom w:val="single" w:sz="4" w:space="0" w:color="auto"/>
            </w:tcBorders>
            <w:shd w:val="clear" w:color="auto" w:fill="B6DDE8" w:themeFill="accent5" w:themeFillTint="66"/>
            <w:vAlign w:val="center"/>
          </w:tcPr>
          <w:p w14:paraId="6B26456C" w14:textId="77777777" w:rsidR="00AA434E" w:rsidRPr="00112314" w:rsidRDefault="00AA434E" w:rsidP="00B3684F">
            <w:pPr>
              <w:jc w:val="center"/>
              <w:rPr>
                <w:rFonts w:ascii="Arial" w:hAnsi="Arial" w:cs="Arial"/>
                <w:b/>
                <w:sz w:val="18"/>
                <w:szCs w:val="18"/>
                <w:lang w:val="es-ES"/>
              </w:rPr>
            </w:pPr>
            <w:r w:rsidRPr="00112314">
              <w:rPr>
                <w:rFonts w:ascii="Arial" w:hAnsi="Arial" w:cs="Arial"/>
                <w:b/>
                <w:sz w:val="18"/>
                <w:szCs w:val="18"/>
                <w:lang w:val="es-ES"/>
              </w:rPr>
              <w:t>Indicador</w:t>
            </w:r>
          </w:p>
        </w:tc>
        <w:tc>
          <w:tcPr>
            <w:tcW w:w="1170" w:type="dxa"/>
            <w:tcBorders>
              <w:bottom w:val="single" w:sz="4" w:space="0" w:color="auto"/>
            </w:tcBorders>
            <w:shd w:val="clear" w:color="auto" w:fill="B6DDE8" w:themeFill="accent5" w:themeFillTint="66"/>
            <w:vAlign w:val="center"/>
          </w:tcPr>
          <w:p w14:paraId="3642301A" w14:textId="77777777" w:rsidR="00AA434E" w:rsidRPr="00112314" w:rsidRDefault="00AA434E" w:rsidP="00B3684F">
            <w:pPr>
              <w:jc w:val="center"/>
              <w:rPr>
                <w:rFonts w:ascii="Arial" w:hAnsi="Arial" w:cs="Arial"/>
                <w:b/>
                <w:sz w:val="18"/>
                <w:szCs w:val="18"/>
                <w:lang w:val="es-ES"/>
              </w:rPr>
            </w:pPr>
            <w:r w:rsidRPr="00112314">
              <w:rPr>
                <w:rFonts w:ascii="Arial" w:hAnsi="Arial" w:cs="Arial"/>
                <w:b/>
                <w:sz w:val="18"/>
                <w:szCs w:val="18"/>
                <w:lang w:val="es-ES"/>
              </w:rPr>
              <w:t>Frecuenci</w:t>
            </w:r>
            <w:r>
              <w:rPr>
                <w:rFonts w:ascii="Arial" w:hAnsi="Arial" w:cs="Arial"/>
                <w:b/>
                <w:sz w:val="18"/>
                <w:szCs w:val="18"/>
                <w:lang w:val="es-ES"/>
              </w:rPr>
              <w:t>a</w:t>
            </w:r>
          </w:p>
        </w:tc>
        <w:tc>
          <w:tcPr>
            <w:tcW w:w="1350" w:type="dxa"/>
            <w:tcBorders>
              <w:bottom w:val="single" w:sz="4" w:space="0" w:color="auto"/>
            </w:tcBorders>
            <w:shd w:val="clear" w:color="auto" w:fill="B6DDE8" w:themeFill="accent5" w:themeFillTint="66"/>
            <w:vAlign w:val="center"/>
          </w:tcPr>
          <w:p w14:paraId="243C36A1" w14:textId="77777777" w:rsidR="00AA434E" w:rsidRPr="00112314" w:rsidRDefault="00AA434E" w:rsidP="00B3684F">
            <w:pPr>
              <w:jc w:val="center"/>
              <w:rPr>
                <w:rFonts w:ascii="Arial" w:hAnsi="Arial" w:cs="Arial"/>
                <w:b/>
                <w:sz w:val="18"/>
                <w:szCs w:val="18"/>
                <w:lang w:val="es-ES"/>
              </w:rPr>
            </w:pPr>
            <w:r>
              <w:rPr>
                <w:rFonts w:ascii="Arial" w:hAnsi="Arial" w:cs="Arial"/>
                <w:b/>
                <w:sz w:val="18"/>
                <w:szCs w:val="18"/>
                <w:lang w:val="es-ES"/>
              </w:rPr>
              <w:t>Medio</w:t>
            </w:r>
            <w:r w:rsidRPr="00112314">
              <w:rPr>
                <w:rFonts w:ascii="Arial" w:hAnsi="Arial" w:cs="Arial"/>
                <w:b/>
                <w:sz w:val="18"/>
                <w:szCs w:val="18"/>
                <w:lang w:val="es-ES"/>
              </w:rPr>
              <w:t xml:space="preserve"> de Verificación</w:t>
            </w:r>
          </w:p>
        </w:tc>
        <w:tc>
          <w:tcPr>
            <w:tcW w:w="3510" w:type="dxa"/>
            <w:tcBorders>
              <w:bottom w:val="single" w:sz="4" w:space="0" w:color="auto"/>
            </w:tcBorders>
            <w:shd w:val="clear" w:color="auto" w:fill="B6DDE8" w:themeFill="accent5" w:themeFillTint="66"/>
            <w:vAlign w:val="center"/>
          </w:tcPr>
          <w:p w14:paraId="35088885" w14:textId="77777777" w:rsidR="00AA434E" w:rsidRPr="00112314" w:rsidRDefault="00AA434E" w:rsidP="004348BE">
            <w:pPr>
              <w:spacing w:before="120" w:after="120"/>
              <w:jc w:val="center"/>
              <w:rPr>
                <w:rFonts w:ascii="Arial" w:hAnsi="Arial" w:cs="Arial"/>
                <w:b/>
                <w:sz w:val="18"/>
                <w:szCs w:val="18"/>
                <w:lang w:val="es-ES"/>
              </w:rPr>
            </w:pPr>
            <w:r>
              <w:rPr>
                <w:rFonts w:ascii="Arial" w:hAnsi="Arial" w:cs="Arial"/>
                <w:b/>
                <w:sz w:val="18"/>
                <w:szCs w:val="18"/>
                <w:lang w:val="es-ES"/>
              </w:rPr>
              <w:t>Observaciones</w:t>
            </w:r>
          </w:p>
        </w:tc>
      </w:tr>
      <w:tr w:rsidR="00E22CEA" w:rsidRPr="00112314" w14:paraId="783B181F" w14:textId="77777777" w:rsidTr="001818F1">
        <w:trPr>
          <w:trHeight w:val="20"/>
        </w:trPr>
        <w:tc>
          <w:tcPr>
            <w:tcW w:w="2430" w:type="dxa"/>
          </w:tcPr>
          <w:p w14:paraId="223AE745" w14:textId="4D7C2FBE" w:rsidR="00483D73" w:rsidRPr="00483D73" w:rsidRDefault="00483D73" w:rsidP="00483FDC">
            <w:pPr>
              <w:ind w:left="342" w:hanging="360"/>
              <w:rPr>
                <w:rFonts w:ascii="Arial" w:hAnsi="Arial" w:cs="Arial"/>
                <w:sz w:val="18"/>
                <w:szCs w:val="18"/>
                <w:lang w:val="es-ES"/>
              </w:rPr>
            </w:pPr>
            <w:r w:rsidRPr="00483D73">
              <w:rPr>
                <w:rFonts w:ascii="Arial" w:hAnsi="Arial" w:cs="Arial"/>
                <w:sz w:val="18"/>
                <w:szCs w:val="18"/>
                <w:lang w:val="es-ES"/>
              </w:rPr>
              <w:t>Recaudación total promedio por funcionario de la SAT.</w:t>
            </w:r>
          </w:p>
        </w:tc>
        <w:tc>
          <w:tcPr>
            <w:tcW w:w="1170" w:type="dxa"/>
          </w:tcPr>
          <w:p w14:paraId="48C6FC6F" w14:textId="77777777" w:rsidR="00483D73" w:rsidRPr="00483D73" w:rsidRDefault="00E21BD7" w:rsidP="00B3684F">
            <w:pPr>
              <w:rPr>
                <w:rFonts w:ascii="Arial" w:hAnsi="Arial" w:cs="Arial"/>
                <w:sz w:val="18"/>
                <w:szCs w:val="18"/>
                <w:lang w:val="es-ES"/>
              </w:rPr>
            </w:pPr>
            <w:r>
              <w:rPr>
                <w:rFonts w:ascii="Arial" w:hAnsi="Arial" w:cs="Arial"/>
                <w:sz w:val="18"/>
                <w:szCs w:val="18"/>
                <w:lang w:val="es-ES"/>
              </w:rPr>
              <w:t>Anual</w:t>
            </w:r>
          </w:p>
        </w:tc>
        <w:tc>
          <w:tcPr>
            <w:tcW w:w="1350" w:type="dxa"/>
          </w:tcPr>
          <w:p w14:paraId="14CF1B46" w14:textId="77777777" w:rsidR="00483D73" w:rsidRPr="00483D73" w:rsidRDefault="00483D73" w:rsidP="00B3684F">
            <w:pPr>
              <w:rPr>
                <w:rFonts w:ascii="Arial" w:hAnsi="Arial" w:cs="Arial"/>
                <w:sz w:val="18"/>
                <w:szCs w:val="18"/>
                <w:lang w:val="es-ES"/>
              </w:rPr>
            </w:pPr>
            <w:r w:rsidRPr="00483D73">
              <w:rPr>
                <w:rFonts w:ascii="Arial" w:hAnsi="Arial" w:cs="Arial"/>
                <w:sz w:val="18"/>
                <w:szCs w:val="18"/>
                <w:lang w:val="es-ES"/>
              </w:rPr>
              <w:t>SAT</w:t>
            </w:r>
          </w:p>
        </w:tc>
        <w:tc>
          <w:tcPr>
            <w:tcW w:w="3510" w:type="dxa"/>
          </w:tcPr>
          <w:p w14:paraId="685603F3" w14:textId="77777777" w:rsidR="00483D73" w:rsidRDefault="00AA434E" w:rsidP="00B3684F">
            <w:pPr>
              <w:rPr>
                <w:rFonts w:ascii="Arial" w:hAnsi="Arial" w:cs="Arial"/>
                <w:sz w:val="18"/>
                <w:szCs w:val="18"/>
                <w:lang w:val="es-ES"/>
              </w:rPr>
            </w:pPr>
            <w:r>
              <w:rPr>
                <w:rFonts w:ascii="Arial" w:hAnsi="Arial" w:cs="Arial"/>
                <w:sz w:val="18"/>
                <w:szCs w:val="18"/>
                <w:lang w:val="es-ES"/>
              </w:rPr>
              <w:t>Mide la eficiencia de</w:t>
            </w:r>
            <w:r w:rsidR="00483FDC">
              <w:rPr>
                <w:rFonts w:ascii="Arial" w:hAnsi="Arial" w:cs="Arial"/>
                <w:sz w:val="18"/>
                <w:szCs w:val="18"/>
                <w:lang w:val="es-ES"/>
              </w:rPr>
              <w:t xml:space="preserve"> los funcionarios de</w:t>
            </w:r>
            <w:r>
              <w:rPr>
                <w:rFonts w:ascii="Arial" w:hAnsi="Arial" w:cs="Arial"/>
                <w:sz w:val="18"/>
                <w:szCs w:val="18"/>
                <w:lang w:val="es-ES"/>
              </w:rPr>
              <w:t xml:space="preserve"> la SAT en la recaudación. </w:t>
            </w:r>
            <w:r w:rsidR="00483D73" w:rsidRPr="00483D73">
              <w:rPr>
                <w:rFonts w:ascii="Arial" w:hAnsi="Arial" w:cs="Arial"/>
                <w:sz w:val="18"/>
                <w:szCs w:val="18"/>
                <w:lang w:val="es-ES"/>
              </w:rPr>
              <w:t xml:space="preserve">La recaudación total promedio por funcionario de la SAT cayó </w:t>
            </w:r>
            <w:r w:rsidR="0047119A">
              <w:rPr>
                <w:rFonts w:ascii="Arial" w:hAnsi="Arial" w:cs="Arial"/>
                <w:sz w:val="18"/>
                <w:szCs w:val="18"/>
                <w:lang w:val="es-ES"/>
              </w:rPr>
              <w:t>7,</w:t>
            </w:r>
            <w:r w:rsidR="00483D73" w:rsidRPr="00483D73">
              <w:rPr>
                <w:rFonts w:ascii="Arial" w:hAnsi="Arial" w:cs="Arial"/>
                <w:sz w:val="18"/>
                <w:szCs w:val="18"/>
                <w:lang w:val="es-ES"/>
              </w:rPr>
              <w:t>3% en términos reales entre el 2013 y el 2015</w:t>
            </w:r>
            <w:r w:rsidR="00E21BD7">
              <w:rPr>
                <w:rFonts w:ascii="Arial" w:hAnsi="Arial" w:cs="Arial"/>
                <w:sz w:val="18"/>
                <w:szCs w:val="18"/>
                <w:lang w:val="es-ES"/>
              </w:rPr>
              <w:t>.</w:t>
            </w:r>
          </w:p>
          <w:p w14:paraId="46E271F8" w14:textId="77777777" w:rsidR="00A74DA1" w:rsidRPr="00483D73" w:rsidRDefault="00A74DA1" w:rsidP="00A74DA1">
            <w:pPr>
              <w:rPr>
                <w:rFonts w:ascii="Arial" w:hAnsi="Arial" w:cs="Arial"/>
                <w:sz w:val="18"/>
                <w:szCs w:val="18"/>
                <w:lang w:val="es-ES"/>
              </w:rPr>
            </w:pPr>
            <w:r>
              <w:rPr>
                <w:rFonts w:ascii="Arial" w:hAnsi="Arial" w:cs="Arial"/>
                <w:sz w:val="18"/>
                <w:szCs w:val="18"/>
                <w:lang w:val="es-ES"/>
              </w:rPr>
              <w:t>Se estima una mejora de Q.11,6 millones (promedio 2014-2015 por funcionario de la SAT) a Q.12,5 millones (2018).</w:t>
            </w:r>
          </w:p>
        </w:tc>
      </w:tr>
      <w:tr w:rsidR="00E22CEA" w:rsidRPr="00112314" w14:paraId="4F4CEE6A" w14:textId="77777777" w:rsidTr="001818F1">
        <w:trPr>
          <w:trHeight w:val="20"/>
        </w:trPr>
        <w:tc>
          <w:tcPr>
            <w:tcW w:w="2430" w:type="dxa"/>
          </w:tcPr>
          <w:p w14:paraId="0E196616" w14:textId="313D44B5" w:rsidR="00483D73" w:rsidRPr="00483D73" w:rsidRDefault="00483D73" w:rsidP="00483FDC">
            <w:pPr>
              <w:ind w:left="342" w:hanging="360"/>
              <w:rPr>
                <w:rFonts w:ascii="Arial" w:hAnsi="Arial" w:cs="Arial"/>
                <w:sz w:val="18"/>
                <w:szCs w:val="18"/>
                <w:lang w:val="es-ES"/>
              </w:rPr>
            </w:pPr>
            <w:r w:rsidRPr="00483D73">
              <w:rPr>
                <w:rFonts w:ascii="Arial" w:hAnsi="Arial" w:cs="Arial"/>
                <w:sz w:val="18"/>
                <w:szCs w:val="18"/>
                <w:lang w:val="es-ES"/>
              </w:rPr>
              <w:t>Tasa de evasión del IVA</w:t>
            </w:r>
          </w:p>
        </w:tc>
        <w:tc>
          <w:tcPr>
            <w:tcW w:w="1170" w:type="dxa"/>
          </w:tcPr>
          <w:p w14:paraId="7F6E0107" w14:textId="77777777" w:rsidR="00483D73" w:rsidRPr="00483D73" w:rsidRDefault="00E21BD7" w:rsidP="00B3684F">
            <w:pPr>
              <w:rPr>
                <w:rFonts w:ascii="Arial" w:hAnsi="Arial" w:cs="Arial"/>
                <w:sz w:val="18"/>
                <w:szCs w:val="18"/>
                <w:lang w:val="es-ES"/>
              </w:rPr>
            </w:pPr>
            <w:r>
              <w:rPr>
                <w:rFonts w:ascii="Arial" w:hAnsi="Arial" w:cs="Arial"/>
                <w:sz w:val="18"/>
                <w:szCs w:val="18"/>
                <w:lang w:val="es-ES"/>
              </w:rPr>
              <w:t>Anual</w:t>
            </w:r>
          </w:p>
        </w:tc>
        <w:tc>
          <w:tcPr>
            <w:tcW w:w="1350" w:type="dxa"/>
          </w:tcPr>
          <w:p w14:paraId="3DD8BFAB" w14:textId="77777777" w:rsidR="00483D73" w:rsidRDefault="00483D73" w:rsidP="00D440CD">
            <w:pPr>
              <w:rPr>
                <w:rFonts w:ascii="Arial" w:hAnsi="Arial" w:cs="Arial"/>
                <w:sz w:val="18"/>
                <w:szCs w:val="18"/>
                <w:lang w:val="es-ES"/>
              </w:rPr>
            </w:pPr>
            <w:r w:rsidRPr="00483D73">
              <w:rPr>
                <w:rFonts w:ascii="Arial" w:hAnsi="Arial" w:cs="Arial"/>
                <w:sz w:val="18"/>
                <w:szCs w:val="18"/>
                <w:lang w:val="es-ES"/>
              </w:rPr>
              <w:t xml:space="preserve">Página web de la </w:t>
            </w:r>
            <w:r w:rsidR="007E583D">
              <w:rPr>
                <w:rFonts w:ascii="Arial" w:hAnsi="Arial" w:cs="Arial"/>
                <w:sz w:val="18"/>
                <w:szCs w:val="18"/>
                <w:lang w:val="es-ES"/>
              </w:rPr>
              <w:t>SAT</w:t>
            </w:r>
          </w:p>
          <w:p w14:paraId="3A2A5BBC" w14:textId="5F44AAA3" w:rsidR="007E583D" w:rsidRPr="00483D73" w:rsidRDefault="007E583D" w:rsidP="00D440CD">
            <w:pPr>
              <w:rPr>
                <w:rFonts w:ascii="Arial" w:hAnsi="Arial" w:cs="Arial"/>
                <w:sz w:val="18"/>
                <w:szCs w:val="18"/>
                <w:lang w:val="es-ES"/>
              </w:rPr>
            </w:pPr>
            <w:r w:rsidRPr="0045601B">
              <w:rPr>
                <w:rFonts w:ascii="Arial" w:hAnsi="Arial" w:cs="Arial"/>
                <w:sz w:val="18"/>
                <w:szCs w:val="18"/>
              </w:rPr>
              <w:t>(</w:t>
            </w:r>
            <w:hyperlink r:id="rId18" w:history="1">
              <w:r w:rsidRPr="0045601B">
                <w:rPr>
                  <w:rStyle w:val="Hyperlink"/>
                  <w:rFonts w:ascii="Arial" w:hAnsi="Arial" w:cs="Arial"/>
                  <w:sz w:val="18"/>
                  <w:szCs w:val="18"/>
                </w:rPr>
                <w:t>Boletín Estadístico de la SAT</w:t>
              </w:r>
            </w:hyperlink>
            <w:r>
              <w:rPr>
                <w:rFonts w:ascii="Arial" w:hAnsi="Arial" w:cs="Arial"/>
                <w:sz w:val="18"/>
                <w:szCs w:val="18"/>
                <w:lang w:val="es-ES"/>
              </w:rPr>
              <w:t>)</w:t>
            </w:r>
          </w:p>
        </w:tc>
        <w:tc>
          <w:tcPr>
            <w:tcW w:w="3510" w:type="dxa"/>
          </w:tcPr>
          <w:p w14:paraId="060E0E3F" w14:textId="77777777" w:rsidR="00483D73" w:rsidRDefault="00483FDC" w:rsidP="00B3684F">
            <w:pPr>
              <w:rPr>
                <w:rFonts w:ascii="Arial" w:hAnsi="Arial"/>
                <w:sz w:val="18"/>
                <w:szCs w:val="18"/>
                <w:lang w:val="es-ES"/>
              </w:rPr>
            </w:pPr>
            <w:r w:rsidRPr="00483FDC">
              <w:rPr>
                <w:rFonts w:ascii="Arial" w:hAnsi="Arial" w:cs="Arial"/>
                <w:sz w:val="18"/>
                <w:szCs w:val="18"/>
                <w:lang w:val="es-ES"/>
              </w:rPr>
              <w:t xml:space="preserve">Mide la reducción en la tasa de evasión fiscal del IVA. </w:t>
            </w:r>
            <w:r w:rsidR="00483D73" w:rsidRPr="00483D73">
              <w:rPr>
                <w:rFonts w:ascii="Arial" w:hAnsi="Arial" w:cs="Arial"/>
                <w:sz w:val="18"/>
                <w:szCs w:val="18"/>
                <w:lang w:val="es-ES"/>
              </w:rPr>
              <w:t>La metodología a aplicar es la que se encuentra publicada de manera oficial en el sitio</w:t>
            </w:r>
            <w:r w:rsidR="00483D73" w:rsidRPr="00483D73">
              <w:rPr>
                <w:rFonts w:ascii="Arial" w:hAnsi="Arial"/>
                <w:sz w:val="18"/>
                <w:szCs w:val="18"/>
                <w:lang w:val="es-ES"/>
              </w:rPr>
              <w:t xml:space="preserve"> web </w:t>
            </w:r>
            <w:r w:rsidR="00483D73" w:rsidRPr="00483D73">
              <w:rPr>
                <w:rFonts w:ascii="Arial" w:hAnsi="Arial" w:cs="Arial"/>
                <w:sz w:val="18"/>
                <w:szCs w:val="18"/>
                <w:lang w:val="es-ES"/>
              </w:rPr>
              <w:t>de SAT</w:t>
            </w:r>
            <w:r w:rsidR="00483D73" w:rsidRPr="00483D73">
              <w:rPr>
                <w:rFonts w:ascii="Arial" w:hAnsi="Arial"/>
                <w:sz w:val="18"/>
                <w:szCs w:val="18"/>
                <w:lang w:val="es-ES"/>
              </w:rPr>
              <w:t>.</w:t>
            </w:r>
          </w:p>
          <w:p w14:paraId="64453D48" w14:textId="77777777" w:rsidR="00A74DA1" w:rsidRPr="00483D73" w:rsidRDefault="00A74DA1" w:rsidP="00B3684F">
            <w:pPr>
              <w:rPr>
                <w:rFonts w:ascii="Arial" w:hAnsi="Arial" w:cs="Arial"/>
                <w:sz w:val="18"/>
                <w:szCs w:val="18"/>
                <w:lang w:val="es-ES"/>
              </w:rPr>
            </w:pPr>
            <w:r>
              <w:rPr>
                <w:rFonts w:ascii="Arial" w:hAnsi="Arial"/>
                <w:sz w:val="18"/>
                <w:szCs w:val="18"/>
                <w:lang w:val="es-ES"/>
              </w:rPr>
              <w:t>Se estima una reducción de la evasión del IVA de 34,2% /2015) a 25% (2018).</w:t>
            </w:r>
          </w:p>
        </w:tc>
      </w:tr>
    </w:tbl>
    <w:p w14:paraId="16A3E103" w14:textId="55CD9D29" w:rsidR="00483FDC" w:rsidRPr="000843D5" w:rsidRDefault="00483FDC" w:rsidP="000843D5">
      <w:pPr>
        <w:pStyle w:val="Paragraph"/>
        <w:numPr>
          <w:ilvl w:val="0"/>
          <w:numId w:val="0"/>
        </w:numPr>
        <w:spacing w:before="240"/>
        <w:ind w:left="720"/>
        <w:jc w:val="center"/>
        <w:rPr>
          <w:rFonts w:ascii="Arial" w:hAnsi="Arial" w:cs="Arial"/>
          <w:b/>
          <w:sz w:val="20"/>
          <w:szCs w:val="22"/>
        </w:rPr>
      </w:pPr>
      <w:r w:rsidRPr="000843D5">
        <w:rPr>
          <w:rFonts w:ascii="Arial" w:hAnsi="Arial" w:cs="Arial"/>
          <w:b/>
          <w:sz w:val="20"/>
          <w:szCs w:val="22"/>
        </w:rPr>
        <w:t xml:space="preserve">Cuadro 2b: Indicadores de Resultados Intermedios </w:t>
      </w:r>
      <w:r w:rsidR="00E62755" w:rsidRPr="000843D5">
        <w:rPr>
          <w:rFonts w:ascii="Arial" w:hAnsi="Arial" w:cs="Arial"/>
          <w:b/>
          <w:sz w:val="20"/>
          <w:szCs w:val="22"/>
        </w:rPr>
        <w:t xml:space="preserve">para mejorar la </w:t>
      </w:r>
      <w:r w:rsidRPr="000843D5">
        <w:rPr>
          <w:rFonts w:ascii="Arial" w:hAnsi="Arial" w:cs="Arial"/>
          <w:b/>
          <w:sz w:val="20"/>
          <w:szCs w:val="22"/>
        </w:rPr>
        <w:t>Administración Tributaria</w:t>
      </w:r>
    </w:p>
    <w:tbl>
      <w:tblPr>
        <w:tblStyle w:val="TableGrid"/>
        <w:tblW w:w="8460" w:type="dxa"/>
        <w:tblInd w:w="558" w:type="dxa"/>
        <w:tblLayout w:type="fixed"/>
        <w:tblLook w:val="04A0" w:firstRow="1" w:lastRow="0" w:firstColumn="1" w:lastColumn="0" w:noHBand="0" w:noVBand="1"/>
      </w:tblPr>
      <w:tblGrid>
        <w:gridCol w:w="2160"/>
        <w:gridCol w:w="1170"/>
        <w:gridCol w:w="1710"/>
        <w:gridCol w:w="3420"/>
      </w:tblGrid>
      <w:tr w:rsidR="00483FDC" w:rsidRPr="00112314" w14:paraId="74C171FE" w14:textId="77777777" w:rsidTr="0045601B">
        <w:trPr>
          <w:trHeight w:val="20"/>
          <w:tblHeader/>
        </w:trPr>
        <w:tc>
          <w:tcPr>
            <w:tcW w:w="2160" w:type="dxa"/>
            <w:tcBorders>
              <w:bottom w:val="single" w:sz="4" w:space="0" w:color="auto"/>
            </w:tcBorders>
            <w:shd w:val="clear" w:color="auto" w:fill="B6DDE8" w:themeFill="accent5" w:themeFillTint="66"/>
            <w:vAlign w:val="center"/>
          </w:tcPr>
          <w:p w14:paraId="33D48DA7" w14:textId="77777777" w:rsidR="00483FDC" w:rsidRPr="00112314" w:rsidRDefault="00483FDC" w:rsidP="00E835AA">
            <w:pPr>
              <w:jc w:val="center"/>
              <w:rPr>
                <w:rFonts w:ascii="Arial" w:hAnsi="Arial" w:cs="Arial"/>
                <w:b/>
                <w:sz w:val="18"/>
                <w:szCs w:val="18"/>
                <w:lang w:val="es-ES"/>
              </w:rPr>
            </w:pPr>
            <w:r w:rsidRPr="00112314">
              <w:rPr>
                <w:rFonts w:ascii="Arial" w:hAnsi="Arial" w:cs="Arial"/>
                <w:b/>
                <w:sz w:val="18"/>
                <w:szCs w:val="18"/>
                <w:lang w:val="es-ES"/>
              </w:rPr>
              <w:t>Indicador</w:t>
            </w:r>
          </w:p>
        </w:tc>
        <w:tc>
          <w:tcPr>
            <w:tcW w:w="1170" w:type="dxa"/>
            <w:tcBorders>
              <w:bottom w:val="single" w:sz="4" w:space="0" w:color="auto"/>
            </w:tcBorders>
            <w:shd w:val="clear" w:color="auto" w:fill="B6DDE8" w:themeFill="accent5" w:themeFillTint="66"/>
            <w:vAlign w:val="center"/>
          </w:tcPr>
          <w:p w14:paraId="7C4B1036" w14:textId="77777777" w:rsidR="00483FDC" w:rsidRPr="00112314" w:rsidRDefault="00483FDC" w:rsidP="00E835AA">
            <w:pPr>
              <w:jc w:val="center"/>
              <w:rPr>
                <w:rFonts w:ascii="Arial" w:hAnsi="Arial" w:cs="Arial"/>
                <w:b/>
                <w:sz w:val="18"/>
                <w:szCs w:val="18"/>
                <w:lang w:val="es-ES"/>
              </w:rPr>
            </w:pPr>
            <w:r w:rsidRPr="00112314">
              <w:rPr>
                <w:rFonts w:ascii="Arial" w:hAnsi="Arial" w:cs="Arial"/>
                <w:b/>
                <w:sz w:val="18"/>
                <w:szCs w:val="18"/>
                <w:lang w:val="es-ES"/>
              </w:rPr>
              <w:t>Frecuenci</w:t>
            </w:r>
            <w:r>
              <w:rPr>
                <w:rFonts w:ascii="Arial" w:hAnsi="Arial" w:cs="Arial"/>
                <w:b/>
                <w:sz w:val="18"/>
                <w:szCs w:val="18"/>
                <w:lang w:val="es-ES"/>
              </w:rPr>
              <w:t>a</w:t>
            </w:r>
          </w:p>
        </w:tc>
        <w:tc>
          <w:tcPr>
            <w:tcW w:w="1710" w:type="dxa"/>
            <w:tcBorders>
              <w:bottom w:val="single" w:sz="4" w:space="0" w:color="auto"/>
            </w:tcBorders>
            <w:shd w:val="clear" w:color="auto" w:fill="B6DDE8" w:themeFill="accent5" w:themeFillTint="66"/>
            <w:vAlign w:val="center"/>
          </w:tcPr>
          <w:p w14:paraId="66B9F1EF" w14:textId="77777777" w:rsidR="00483FDC" w:rsidRPr="00112314" w:rsidRDefault="00483FDC" w:rsidP="00E835AA">
            <w:pPr>
              <w:jc w:val="center"/>
              <w:rPr>
                <w:rFonts w:ascii="Arial" w:hAnsi="Arial" w:cs="Arial"/>
                <w:b/>
                <w:sz w:val="18"/>
                <w:szCs w:val="18"/>
                <w:lang w:val="es-ES"/>
              </w:rPr>
            </w:pPr>
            <w:r>
              <w:rPr>
                <w:rFonts w:ascii="Arial" w:hAnsi="Arial" w:cs="Arial"/>
                <w:b/>
                <w:sz w:val="18"/>
                <w:szCs w:val="18"/>
                <w:lang w:val="es-ES"/>
              </w:rPr>
              <w:t>Medio</w:t>
            </w:r>
            <w:r w:rsidRPr="00112314">
              <w:rPr>
                <w:rFonts w:ascii="Arial" w:hAnsi="Arial" w:cs="Arial"/>
                <w:b/>
                <w:sz w:val="18"/>
                <w:szCs w:val="18"/>
                <w:lang w:val="es-ES"/>
              </w:rPr>
              <w:t xml:space="preserve"> de Verificación</w:t>
            </w:r>
          </w:p>
        </w:tc>
        <w:tc>
          <w:tcPr>
            <w:tcW w:w="3420" w:type="dxa"/>
            <w:tcBorders>
              <w:bottom w:val="single" w:sz="4" w:space="0" w:color="auto"/>
            </w:tcBorders>
            <w:shd w:val="clear" w:color="auto" w:fill="B6DDE8" w:themeFill="accent5" w:themeFillTint="66"/>
            <w:vAlign w:val="center"/>
          </w:tcPr>
          <w:p w14:paraId="06834381" w14:textId="77777777" w:rsidR="00483FDC" w:rsidRPr="00112314" w:rsidRDefault="00483FDC" w:rsidP="00E835AA">
            <w:pPr>
              <w:spacing w:before="120" w:after="120"/>
              <w:jc w:val="center"/>
              <w:rPr>
                <w:rFonts w:ascii="Arial" w:hAnsi="Arial" w:cs="Arial"/>
                <w:b/>
                <w:sz w:val="18"/>
                <w:szCs w:val="18"/>
                <w:lang w:val="es-ES"/>
              </w:rPr>
            </w:pPr>
            <w:r>
              <w:rPr>
                <w:rFonts w:ascii="Arial" w:hAnsi="Arial" w:cs="Arial"/>
                <w:b/>
                <w:sz w:val="18"/>
                <w:szCs w:val="18"/>
                <w:lang w:val="es-ES"/>
              </w:rPr>
              <w:t>Observaciones</w:t>
            </w:r>
          </w:p>
        </w:tc>
      </w:tr>
      <w:tr w:rsidR="00483FDC" w:rsidRPr="00ED2994" w14:paraId="4A2EC592" w14:textId="77777777" w:rsidTr="0045601B">
        <w:trPr>
          <w:trHeight w:val="20"/>
        </w:trPr>
        <w:tc>
          <w:tcPr>
            <w:tcW w:w="2160" w:type="dxa"/>
          </w:tcPr>
          <w:p w14:paraId="3C3F1E13" w14:textId="77777777" w:rsidR="00483FDC" w:rsidRPr="00483D73" w:rsidRDefault="00483FDC" w:rsidP="00EC285D">
            <w:pPr>
              <w:ind w:left="-14"/>
              <w:rPr>
                <w:rFonts w:ascii="Arial" w:hAnsi="Arial" w:cs="Arial"/>
                <w:sz w:val="18"/>
                <w:szCs w:val="18"/>
                <w:lang w:val="es-ES"/>
              </w:rPr>
            </w:pPr>
            <w:r w:rsidRPr="00483D73">
              <w:rPr>
                <w:rFonts w:ascii="Arial" w:hAnsi="Arial" w:cs="Arial"/>
                <w:sz w:val="18"/>
                <w:lang w:val="es-ES"/>
              </w:rPr>
              <w:t>Número de actos administrativos recurridos ante la vía gubernativa con fallo a favor de la administración.</w:t>
            </w:r>
          </w:p>
        </w:tc>
        <w:tc>
          <w:tcPr>
            <w:tcW w:w="1170" w:type="dxa"/>
          </w:tcPr>
          <w:p w14:paraId="5C71A208"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Pr>
          <w:p w14:paraId="0E61F2AA" w14:textId="77777777" w:rsidR="00483FDC" w:rsidRPr="00483D73" w:rsidRDefault="009071A7" w:rsidP="00E835AA">
            <w:pPr>
              <w:rPr>
                <w:rFonts w:ascii="Arial" w:hAnsi="Arial" w:cs="Arial"/>
                <w:sz w:val="18"/>
                <w:lang w:val="es-ES"/>
              </w:rPr>
            </w:pPr>
            <w:r w:rsidRPr="009071A7">
              <w:rPr>
                <w:rFonts w:ascii="Arial" w:hAnsi="Arial" w:cs="Arial"/>
                <w:sz w:val="18"/>
                <w:lang w:val="es-ES"/>
              </w:rPr>
              <w:t xml:space="preserve">Informe de gestión anual de la </w:t>
            </w:r>
            <w:r w:rsidRPr="009071A7">
              <w:rPr>
                <w:rFonts w:ascii="Arial" w:hAnsi="Arial" w:cs="Arial"/>
                <w:sz w:val="18"/>
                <w:lang w:val="es-GT"/>
              </w:rPr>
              <w:t xml:space="preserve">Gerencia de Planificación y Desarrollo Institucional  </w:t>
            </w:r>
            <w:r w:rsidRPr="009071A7">
              <w:rPr>
                <w:rFonts w:ascii="Arial" w:hAnsi="Arial" w:cs="Arial"/>
                <w:sz w:val="18"/>
                <w:lang w:val="es-ES"/>
              </w:rPr>
              <w:t xml:space="preserve">de la </w:t>
            </w:r>
            <w:r w:rsidR="00483FDC" w:rsidRPr="00483D73">
              <w:rPr>
                <w:rFonts w:ascii="Arial" w:hAnsi="Arial" w:cs="Arial"/>
                <w:sz w:val="18"/>
                <w:lang w:val="es-ES"/>
              </w:rPr>
              <w:t>SAT</w:t>
            </w:r>
          </w:p>
        </w:tc>
        <w:tc>
          <w:tcPr>
            <w:tcW w:w="3420" w:type="dxa"/>
          </w:tcPr>
          <w:p w14:paraId="5EA70A7F" w14:textId="77777777" w:rsidR="00483FDC" w:rsidRDefault="00483FDC" w:rsidP="00E835AA">
            <w:pPr>
              <w:rPr>
                <w:rFonts w:ascii="Arial" w:hAnsi="Arial" w:cs="Arial"/>
                <w:sz w:val="18"/>
                <w:lang w:val="es-ES"/>
              </w:rPr>
            </w:pPr>
            <w:r w:rsidRPr="00483D73">
              <w:rPr>
                <w:rFonts w:ascii="Arial" w:hAnsi="Arial" w:cs="Arial"/>
                <w:sz w:val="18"/>
                <w:lang w:val="es-ES"/>
              </w:rPr>
              <w:t>Al contar con un tribunal experto en asuntos aduaneros y tributarios, y al eliminar los conflictos de interés</w:t>
            </w:r>
            <w:r w:rsidR="00885294">
              <w:rPr>
                <w:rFonts w:ascii="Arial" w:hAnsi="Arial" w:cs="Arial"/>
                <w:sz w:val="18"/>
                <w:lang w:val="es-ES"/>
              </w:rPr>
              <w:t xml:space="preserve"> del Directorio</w:t>
            </w:r>
            <w:r w:rsidRPr="00483D73">
              <w:rPr>
                <w:rFonts w:ascii="Arial" w:hAnsi="Arial" w:cs="Arial"/>
                <w:sz w:val="18"/>
                <w:lang w:val="es-ES"/>
              </w:rPr>
              <w:t xml:space="preserve">, los actos administrativos expedidos por la SAT, solo serán fallados a favor del contribuyente cuando existan yerros jurídicos insalvables en el expediente original. Los intereses privados dejarán de </w:t>
            </w:r>
            <w:r w:rsidRPr="00483D73">
              <w:rPr>
                <w:rFonts w:ascii="Arial" w:hAnsi="Arial" w:cs="Arial"/>
                <w:sz w:val="18"/>
                <w:lang w:val="es-ES"/>
              </w:rPr>
              <w:lastRenderedPageBreak/>
              <w:t>influenciar el proceso.</w:t>
            </w:r>
          </w:p>
          <w:p w14:paraId="494A8074" w14:textId="4C130E67" w:rsidR="007F1140" w:rsidRPr="00483D73" w:rsidRDefault="006D7E90">
            <w:pPr>
              <w:rPr>
                <w:rFonts w:ascii="Arial" w:hAnsi="Arial" w:cs="Arial"/>
                <w:sz w:val="18"/>
                <w:lang w:val="es-ES"/>
              </w:rPr>
            </w:pPr>
            <w:r>
              <w:rPr>
                <w:rFonts w:ascii="Arial" w:hAnsi="Arial" w:cs="Arial"/>
                <w:sz w:val="18"/>
                <w:lang w:val="es-ES"/>
              </w:rPr>
              <w:t>Hubo</w:t>
            </w:r>
            <w:r w:rsidR="007F1140">
              <w:rPr>
                <w:rFonts w:ascii="Arial" w:hAnsi="Arial" w:cs="Arial"/>
                <w:sz w:val="18"/>
                <w:lang w:val="es-ES"/>
              </w:rPr>
              <w:t xml:space="preserve"> 373 actos a favor </w:t>
            </w:r>
            <w:r w:rsidR="00885294">
              <w:rPr>
                <w:rFonts w:ascii="Arial" w:hAnsi="Arial" w:cs="Arial"/>
                <w:sz w:val="18"/>
                <w:lang w:val="es-ES"/>
              </w:rPr>
              <w:t xml:space="preserve">de la SAT </w:t>
            </w:r>
            <w:r w:rsidR="007F1140">
              <w:rPr>
                <w:rFonts w:ascii="Arial" w:hAnsi="Arial" w:cs="Arial"/>
                <w:sz w:val="18"/>
                <w:lang w:val="es-ES"/>
              </w:rPr>
              <w:t>entre enero del 2015 y junio del 2016 (promedio de 20,72 al mes). Se estima que se incrementarían a un promedio de 25 mensuales al 2018.</w:t>
            </w:r>
          </w:p>
        </w:tc>
      </w:tr>
      <w:tr w:rsidR="00D47519" w:rsidRPr="00112314" w14:paraId="26FC78CA" w14:textId="77777777" w:rsidTr="00D47519">
        <w:trPr>
          <w:trHeight w:val="20"/>
          <w:tblHeader/>
        </w:trPr>
        <w:tc>
          <w:tcPr>
            <w:tcW w:w="2160" w:type="dxa"/>
            <w:tcBorders>
              <w:bottom w:val="single" w:sz="4" w:space="0" w:color="auto"/>
            </w:tcBorders>
            <w:shd w:val="clear" w:color="auto" w:fill="B6DDE8" w:themeFill="accent5" w:themeFillTint="66"/>
            <w:vAlign w:val="center"/>
          </w:tcPr>
          <w:p w14:paraId="0BB92A48" w14:textId="77777777" w:rsidR="00D47519" w:rsidRPr="00112314" w:rsidRDefault="00D47519" w:rsidP="00DF2E6C">
            <w:pPr>
              <w:jc w:val="center"/>
              <w:rPr>
                <w:rFonts w:ascii="Arial" w:hAnsi="Arial" w:cs="Arial"/>
                <w:b/>
                <w:sz w:val="18"/>
                <w:szCs w:val="18"/>
                <w:lang w:val="es-ES"/>
              </w:rPr>
            </w:pPr>
            <w:r w:rsidRPr="00112314">
              <w:rPr>
                <w:rFonts w:ascii="Arial" w:hAnsi="Arial" w:cs="Arial"/>
                <w:b/>
                <w:sz w:val="18"/>
                <w:szCs w:val="18"/>
                <w:lang w:val="es-ES"/>
              </w:rPr>
              <w:lastRenderedPageBreak/>
              <w:t>Indicador</w:t>
            </w:r>
          </w:p>
        </w:tc>
        <w:tc>
          <w:tcPr>
            <w:tcW w:w="1170" w:type="dxa"/>
            <w:tcBorders>
              <w:bottom w:val="single" w:sz="4" w:space="0" w:color="auto"/>
            </w:tcBorders>
            <w:shd w:val="clear" w:color="auto" w:fill="B6DDE8" w:themeFill="accent5" w:themeFillTint="66"/>
            <w:vAlign w:val="center"/>
          </w:tcPr>
          <w:p w14:paraId="5997CB18" w14:textId="77777777" w:rsidR="00D47519" w:rsidRPr="00112314" w:rsidRDefault="00D47519" w:rsidP="00DF2E6C">
            <w:pPr>
              <w:jc w:val="center"/>
              <w:rPr>
                <w:rFonts w:ascii="Arial" w:hAnsi="Arial" w:cs="Arial"/>
                <w:b/>
                <w:sz w:val="18"/>
                <w:szCs w:val="18"/>
                <w:lang w:val="es-ES"/>
              </w:rPr>
            </w:pPr>
            <w:r w:rsidRPr="00112314">
              <w:rPr>
                <w:rFonts w:ascii="Arial" w:hAnsi="Arial" w:cs="Arial"/>
                <w:b/>
                <w:sz w:val="18"/>
                <w:szCs w:val="18"/>
                <w:lang w:val="es-ES"/>
              </w:rPr>
              <w:t>Frecuenci</w:t>
            </w:r>
            <w:r>
              <w:rPr>
                <w:rFonts w:ascii="Arial" w:hAnsi="Arial" w:cs="Arial"/>
                <w:b/>
                <w:sz w:val="18"/>
                <w:szCs w:val="18"/>
                <w:lang w:val="es-ES"/>
              </w:rPr>
              <w:t>a</w:t>
            </w:r>
          </w:p>
        </w:tc>
        <w:tc>
          <w:tcPr>
            <w:tcW w:w="1710" w:type="dxa"/>
            <w:tcBorders>
              <w:bottom w:val="single" w:sz="4" w:space="0" w:color="auto"/>
            </w:tcBorders>
            <w:shd w:val="clear" w:color="auto" w:fill="B6DDE8" w:themeFill="accent5" w:themeFillTint="66"/>
            <w:vAlign w:val="center"/>
          </w:tcPr>
          <w:p w14:paraId="2F5747BD" w14:textId="77777777" w:rsidR="00D47519" w:rsidRPr="00112314" w:rsidRDefault="00D47519" w:rsidP="00DF2E6C">
            <w:pPr>
              <w:jc w:val="center"/>
              <w:rPr>
                <w:rFonts w:ascii="Arial" w:hAnsi="Arial" w:cs="Arial"/>
                <w:b/>
                <w:sz w:val="18"/>
                <w:szCs w:val="18"/>
                <w:lang w:val="es-ES"/>
              </w:rPr>
            </w:pPr>
            <w:r>
              <w:rPr>
                <w:rFonts w:ascii="Arial" w:hAnsi="Arial" w:cs="Arial"/>
                <w:b/>
                <w:sz w:val="18"/>
                <w:szCs w:val="18"/>
                <w:lang w:val="es-ES"/>
              </w:rPr>
              <w:t>Medio</w:t>
            </w:r>
            <w:r w:rsidRPr="00112314">
              <w:rPr>
                <w:rFonts w:ascii="Arial" w:hAnsi="Arial" w:cs="Arial"/>
                <w:b/>
                <w:sz w:val="18"/>
                <w:szCs w:val="18"/>
                <w:lang w:val="es-ES"/>
              </w:rPr>
              <w:t xml:space="preserve"> de Verificación</w:t>
            </w:r>
          </w:p>
        </w:tc>
        <w:tc>
          <w:tcPr>
            <w:tcW w:w="3420" w:type="dxa"/>
            <w:tcBorders>
              <w:bottom w:val="single" w:sz="4" w:space="0" w:color="auto"/>
            </w:tcBorders>
            <w:shd w:val="clear" w:color="auto" w:fill="B6DDE8" w:themeFill="accent5" w:themeFillTint="66"/>
            <w:vAlign w:val="center"/>
          </w:tcPr>
          <w:p w14:paraId="4267E657" w14:textId="77777777" w:rsidR="00D47519" w:rsidRPr="00112314" w:rsidRDefault="00D47519" w:rsidP="00DF2E6C">
            <w:pPr>
              <w:spacing w:before="120" w:after="120"/>
              <w:jc w:val="center"/>
              <w:rPr>
                <w:rFonts w:ascii="Arial" w:hAnsi="Arial" w:cs="Arial"/>
                <w:b/>
                <w:sz w:val="18"/>
                <w:szCs w:val="18"/>
                <w:lang w:val="es-ES"/>
              </w:rPr>
            </w:pPr>
            <w:r>
              <w:rPr>
                <w:rFonts w:ascii="Arial" w:hAnsi="Arial" w:cs="Arial"/>
                <w:b/>
                <w:sz w:val="18"/>
                <w:szCs w:val="18"/>
                <w:lang w:val="es-ES"/>
              </w:rPr>
              <w:t>Observaciones</w:t>
            </w:r>
          </w:p>
        </w:tc>
      </w:tr>
      <w:tr w:rsidR="00483FDC" w:rsidRPr="00112314" w14:paraId="1E32B7BC" w14:textId="77777777" w:rsidTr="0045601B">
        <w:trPr>
          <w:trHeight w:val="20"/>
        </w:trPr>
        <w:tc>
          <w:tcPr>
            <w:tcW w:w="2160" w:type="dxa"/>
          </w:tcPr>
          <w:p w14:paraId="7F5E4D4C" w14:textId="77777777" w:rsidR="00483FDC" w:rsidRPr="00483D73" w:rsidRDefault="00483FDC" w:rsidP="00EC285D">
            <w:pPr>
              <w:ind w:left="-14"/>
              <w:contextualSpacing/>
              <w:rPr>
                <w:rFonts w:ascii="Arial" w:hAnsi="Arial" w:cs="Arial"/>
                <w:sz w:val="18"/>
                <w:szCs w:val="18"/>
                <w:lang w:val="es-ES"/>
              </w:rPr>
            </w:pPr>
            <w:r w:rsidRPr="00483D73">
              <w:rPr>
                <w:rFonts w:ascii="Arial" w:hAnsi="Arial" w:cs="Arial"/>
                <w:sz w:val="18"/>
                <w:szCs w:val="18"/>
                <w:lang w:val="es-ES"/>
              </w:rPr>
              <w:t>Porcentaje del total de funcionarios evaluados de la SAT con revisiones de declaraciones patrimoniales (funcionarios y empleados y su núcleo familiar: cónyuge e hijos, padres y hermanos).</w:t>
            </w:r>
          </w:p>
        </w:tc>
        <w:tc>
          <w:tcPr>
            <w:tcW w:w="1170" w:type="dxa"/>
          </w:tcPr>
          <w:p w14:paraId="5FC865F4"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Pr>
          <w:p w14:paraId="25FC1989" w14:textId="77777777" w:rsidR="00483FDC" w:rsidRPr="00483D73" w:rsidRDefault="001E737C" w:rsidP="00E835AA">
            <w:pPr>
              <w:rPr>
                <w:rFonts w:ascii="Arial" w:hAnsi="Arial" w:cs="Arial"/>
                <w:sz w:val="18"/>
                <w:szCs w:val="18"/>
                <w:lang w:val="es-ES"/>
              </w:rPr>
            </w:pPr>
            <w:r w:rsidRPr="001E737C">
              <w:rPr>
                <w:rFonts w:ascii="Arial" w:hAnsi="Arial" w:cs="Arial"/>
                <w:sz w:val="18"/>
                <w:szCs w:val="18"/>
                <w:lang w:val="es-ES"/>
              </w:rPr>
              <w:t xml:space="preserve">Informe de gestión anual de la Unidad de Asuntos Internos de la </w:t>
            </w:r>
            <w:r w:rsidR="00483FDC" w:rsidRPr="00483D73">
              <w:rPr>
                <w:rFonts w:ascii="Arial" w:hAnsi="Arial" w:cs="Arial"/>
                <w:sz w:val="18"/>
                <w:szCs w:val="18"/>
                <w:lang w:val="es-ES"/>
              </w:rPr>
              <w:t>SAT</w:t>
            </w:r>
          </w:p>
        </w:tc>
        <w:tc>
          <w:tcPr>
            <w:tcW w:w="3420" w:type="dxa"/>
          </w:tcPr>
          <w:p w14:paraId="536C52B8" w14:textId="77777777" w:rsidR="00483FDC" w:rsidRDefault="00483FDC" w:rsidP="00E835AA">
            <w:pPr>
              <w:rPr>
                <w:rFonts w:ascii="Arial" w:hAnsi="Arial" w:cs="Arial"/>
                <w:sz w:val="18"/>
                <w:szCs w:val="18"/>
                <w:lang w:val="es-ES"/>
              </w:rPr>
            </w:pPr>
            <w:r w:rsidRPr="00483D73">
              <w:rPr>
                <w:rFonts w:ascii="Arial" w:hAnsi="Arial" w:cs="Arial"/>
                <w:sz w:val="18"/>
                <w:szCs w:val="18"/>
                <w:lang w:val="es-ES"/>
              </w:rPr>
              <w:t>El número de funcionarios sujetos a control y evaluación aumentará, y el contar con una Gerencia dedicada a esta función, le permitirá perfilar mejor y ser más efectivo en el número de hallazgos a ser encontrados año a año.</w:t>
            </w:r>
          </w:p>
          <w:p w14:paraId="7DAE2E4A" w14:textId="77777777" w:rsidR="001E737C" w:rsidRPr="00483D73" w:rsidRDefault="001E737C" w:rsidP="001E737C">
            <w:pPr>
              <w:rPr>
                <w:rFonts w:ascii="Arial" w:hAnsi="Arial" w:cs="Arial"/>
                <w:sz w:val="18"/>
                <w:szCs w:val="18"/>
                <w:lang w:val="es-ES"/>
              </w:rPr>
            </w:pPr>
            <w:r>
              <w:rPr>
                <w:rFonts w:ascii="Arial" w:hAnsi="Arial" w:cs="Arial"/>
                <w:sz w:val="18"/>
                <w:szCs w:val="18"/>
                <w:lang w:val="es-ES"/>
              </w:rPr>
              <w:t xml:space="preserve">En el 2015 solamente el 26,5% de los funcionarios de la SAT tuvieron </w:t>
            </w:r>
            <w:r w:rsidRPr="001E737C">
              <w:rPr>
                <w:rFonts w:ascii="Arial" w:hAnsi="Arial" w:cs="Arial"/>
                <w:sz w:val="18"/>
                <w:szCs w:val="18"/>
                <w:lang w:val="es-ES"/>
              </w:rPr>
              <w:t>revisiones de declaraciones patrimoniales</w:t>
            </w:r>
            <w:r>
              <w:rPr>
                <w:rFonts w:ascii="Arial" w:hAnsi="Arial" w:cs="Arial"/>
                <w:sz w:val="18"/>
                <w:szCs w:val="18"/>
                <w:lang w:val="es-ES"/>
              </w:rPr>
              <w:t xml:space="preserve">. Se estima incrementar al 30% al 2018. </w:t>
            </w:r>
          </w:p>
        </w:tc>
      </w:tr>
      <w:tr w:rsidR="00483FDC" w:rsidRPr="00112314" w14:paraId="73BF1A60" w14:textId="77777777" w:rsidTr="0045601B">
        <w:trPr>
          <w:trHeight w:val="20"/>
        </w:trPr>
        <w:tc>
          <w:tcPr>
            <w:tcW w:w="2160" w:type="dxa"/>
          </w:tcPr>
          <w:p w14:paraId="1ABF5B86" w14:textId="77777777" w:rsidR="00483FDC" w:rsidRPr="00483D73" w:rsidRDefault="00483FDC" w:rsidP="00EC285D">
            <w:pPr>
              <w:ind w:left="-14"/>
              <w:rPr>
                <w:rFonts w:ascii="Arial" w:hAnsi="Arial" w:cs="Arial"/>
                <w:sz w:val="18"/>
                <w:szCs w:val="18"/>
                <w:lang w:val="es-ES"/>
              </w:rPr>
            </w:pPr>
            <w:r w:rsidRPr="00D440CD">
              <w:rPr>
                <w:rFonts w:ascii="Arial" w:hAnsi="Arial" w:cs="Arial"/>
                <w:sz w:val="18"/>
                <w:szCs w:val="18"/>
                <w:lang w:val="es-ES"/>
              </w:rPr>
              <w:t>Ajustes confirmados por auditoría</w:t>
            </w:r>
            <w:r>
              <w:rPr>
                <w:rFonts w:ascii="Arial" w:hAnsi="Arial" w:cs="Arial"/>
                <w:sz w:val="18"/>
                <w:szCs w:val="18"/>
                <w:lang w:val="es-ES"/>
              </w:rPr>
              <w:t>,</w:t>
            </w:r>
            <w:r w:rsidRPr="00D440CD">
              <w:rPr>
                <w:rFonts w:ascii="Arial" w:hAnsi="Arial" w:cs="Arial"/>
                <w:sz w:val="18"/>
                <w:szCs w:val="18"/>
                <w:lang w:val="es-ES"/>
              </w:rPr>
              <w:t xml:space="preserve"> de recaudación debida por los contribuyentes</w:t>
            </w:r>
          </w:p>
        </w:tc>
        <w:tc>
          <w:tcPr>
            <w:tcW w:w="1170" w:type="dxa"/>
          </w:tcPr>
          <w:p w14:paraId="3A26EE4F"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Pr>
          <w:p w14:paraId="0291233F" w14:textId="77777777" w:rsidR="00483FDC" w:rsidRPr="00483D73" w:rsidRDefault="00E835AA" w:rsidP="00E835AA">
            <w:pPr>
              <w:rPr>
                <w:rFonts w:ascii="Arial" w:hAnsi="Arial" w:cs="Arial"/>
                <w:sz w:val="18"/>
                <w:szCs w:val="18"/>
                <w:lang w:val="es-ES"/>
              </w:rPr>
            </w:pPr>
            <w:r w:rsidRPr="00E835AA">
              <w:rPr>
                <w:rFonts w:ascii="Arial" w:hAnsi="Arial" w:cs="Arial"/>
                <w:sz w:val="18"/>
                <w:szCs w:val="18"/>
                <w:lang w:val="es-ES"/>
              </w:rPr>
              <w:t xml:space="preserve">Informe de la </w:t>
            </w:r>
            <w:r w:rsidRPr="00E835AA">
              <w:rPr>
                <w:rFonts w:ascii="Arial" w:hAnsi="Arial" w:cs="Arial"/>
                <w:sz w:val="18"/>
                <w:szCs w:val="18"/>
                <w:lang w:val="es-GT"/>
              </w:rPr>
              <w:t xml:space="preserve">Gerencia de Planificación y Desarrollo Institucional  </w:t>
            </w:r>
            <w:r w:rsidRPr="00E835AA">
              <w:rPr>
                <w:rFonts w:ascii="Arial" w:hAnsi="Arial" w:cs="Arial"/>
                <w:sz w:val="18"/>
                <w:szCs w:val="18"/>
                <w:lang w:val="es-ES"/>
              </w:rPr>
              <w:t xml:space="preserve">de la </w:t>
            </w:r>
            <w:r w:rsidR="00483FDC" w:rsidRPr="00483D73">
              <w:rPr>
                <w:rFonts w:ascii="Arial" w:hAnsi="Arial" w:cs="Arial"/>
                <w:sz w:val="18"/>
                <w:szCs w:val="18"/>
                <w:lang w:val="es-ES"/>
              </w:rPr>
              <w:t>SAT</w:t>
            </w:r>
          </w:p>
        </w:tc>
        <w:tc>
          <w:tcPr>
            <w:tcW w:w="3420" w:type="dxa"/>
          </w:tcPr>
          <w:p w14:paraId="1501D37F" w14:textId="77777777" w:rsidR="00E835AA" w:rsidRDefault="00483FDC" w:rsidP="00E835AA">
            <w:pPr>
              <w:widowControl w:val="0"/>
              <w:rPr>
                <w:rFonts w:ascii="Arial" w:hAnsi="Arial" w:cs="Arial"/>
                <w:sz w:val="18"/>
                <w:szCs w:val="18"/>
                <w:lang w:val="es-ES"/>
              </w:rPr>
            </w:pPr>
            <w:r w:rsidRPr="00483D73">
              <w:rPr>
                <w:rFonts w:ascii="Arial" w:hAnsi="Arial" w:cs="Arial"/>
                <w:sz w:val="18"/>
                <w:szCs w:val="18"/>
                <w:lang w:val="es-ES"/>
              </w:rPr>
              <w:t>Un Plan de Fiscalización con más auditorias y mejor perfiladas contribuye a aumentar el recaudo por esta área de gestión.</w:t>
            </w:r>
          </w:p>
          <w:p w14:paraId="021B7E0B" w14:textId="77777777" w:rsidR="00483FDC" w:rsidRPr="00483D73" w:rsidRDefault="00E835AA" w:rsidP="00E835AA">
            <w:pPr>
              <w:widowControl w:val="0"/>
              <w:rPr>
                <w:rFonts w:ascii="Arial" w:hAnsi="Arial" w:cs="Arial"/>
                <w:sz w:val="18"/>
                <w:szCs w:val="18"/>
                <w:lang w:val="es-ES"/>
              </w:rPr>
            </w:pPr>
            <w:r>
              <w:rPr>
                <w:rFonts w:ascii="Arial" w:hAnsi="Arial" w:cs="Arial"/>
                <w:sz w:val="18"/>
                <w:szCs w:val="18"/>
                <w:lang w:val="es-ES"/>
              </w:rPr>
              <w:t>En el 2015 fueron confirmados por auditoría Q.241.741 debidos por los contribuyentes. Se estima que subirá a Q.266.000 al 2018.</w:t>
            </w:r>
          </w:p>
        </w:tc>
      </w:tr>
      <w:tr w:rsidR="00483FDC" w:rsidRPr="00112314" w14:paraId="39FD4C89" w14:textId="77777777" w:rsidTr="0045601B">
        <w:trPr>
          <w:trHeight w:val="20"/>
        </w:trPr>
        <w:tc>
          <w:tcPr>
            <w:tcW w:w="2160" w:type="dxa"/>
          </w:tcPr>
          <w:p w14:paraId="0563BF6E" w14:textId="77777777" w:rsidR="00483FDC" w:rsidRPr="00483D73" w:rsidRDefault="00483FDC" w:rsidP="00E835AA">
            <w:pPr>
              <w:ind w:left="342" w:hanging="360"/>
              <w:contextualSpacing/>
              <w:rPr>
                <w:rFonts w:ascii="Arial" w:hAnsi="Arial" w:cs="Arial"/>
                <w:sz w:val="18"/>
                <w:szCs w:val="18"/>
                <w:lang w:val="es-ES"/>
              </w:rPr>
            </w:pPr>
            <w:r>
              <w:rPr>
                <w:rFonts w:ascii="Arial" w:hAnsi="Arial" w:cs="Arial"/>
                <w:sz w:val="18"/>
                <w:szCs w:val="18"/>
                <w:lang w:val="es-ES"/>
              </w:rPr>
              <w:t>Porcentaje de</w:t>
            </w:r>
            <w:r w:rsidRPr="00483D73">
              <w:rPr>
                <w:rFonts w:ascii="Arial" w:hAnsi="Arial" w:cs="Arial"/>
                <w:sz w:val="18"/>
                <w:szCs w:val="18"/>
                <w:lang w:val="es-ES"/>
              </w:rPr>
              <w:t xml:space="preserve"> omisión de contribuyentes activos* en el régimen general del IVA a mayo 2016</w:t>
            </w:r>
          </w:p>
          <w:p w14:paraId="5EB38E3D" w14:textId="77777777" w:rsidR="00483FDC" w:rsidRPr="00B3684F" w:rsidRDefault="00483FDC" w:rsidP="00E835AA">
            <w:pPr>
              <w:ind w:left="-14"/>
              <w:rPr>
                <w:rFonts w:ascii="Arial" w:hAnsi="Arial" w:cs="Arial"/>
                <w:sz w:val="18"/>
                <w:szCs w:val="18"/>
                <w:lang w:val="es-ES"/>
              </w:rPr>
            </w:pPr>
            <w:r w:rsidRPr="00D440CD">
              <w:rPr>
                <w:rFonts w:ascii="Arial" w:hAnsi="Arial"/>
                <w:sz w:val="16"/>
                <w:szCs w:val="18"/>
                <w:lang w:val="es-ES"/>
              </w:rPr>
              <w:t>* Activos = Contribuyentes inscritos a la fecha, que en los últimos 12 meses presentaron al menos una declaración.</w:t>
            </w:r>
          </w:p>
        </w:tc>
        <w:tc>
          <w:tcPr>
            <w:tcW w:w="1170" w:type="dxa"/>
          </w:tcPr>
          <w:p w14:paraId="2964AB9A"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Pr>
          <w:p w14:paraId="16180CF0" w14:textId="77777777" w:rsidR="00483FDC" w:rsidRPr="00483D73" w:rsidRDefault="008543F8" w:rsidP="00E835AA">
            <w:pPr>
              <w:rPr>
                <w:rFonts w:ascii="Arial" w:hAnsi="Arial" w:cs="Arial"/>
                <w:sz w:val="18"/>
                <w:szCs w:val="18"/>
                <w:lang w:val="es-ES"/>
              </w:rPr>
            </w:pPr>
            <w:r w:rsidRPr="008543F8">
              <w:rPr>
                <w:rFonts w:ascii="Arial" w:hAnsi="Arial" w:cs="Arial"/>
                <w:sz w:val="18"/>
                <w:szCs w:val="18"/>
                <w:lang w:val="es-ES"/>
              </w:rPr>
              <w:t>Informe de gestión anual de la Dirección de Registro de la SAT</w:t>
            </w:r>
          </w:p>
        </w:tc>
        <w:tc>
          <w:tcPr>
            <w:tcW w:w="3420" w:type="dxa"/>
          </w:tcPr>
          <w:p w14:paraId="33B50C6F" w14:textId="06132452" w:rsidR="00483FDC" w:rsidRDefault="00483FDC" w:rsidP="00E835AA">
            <w:pPr>
              <w:rPr>
                <w:rFonts w:ascii="Arial" w:hAnsi="Arial" w:cs="Arial"/>
                <w:sz w:val="18"/>
                <w:szCs w:val="18"/>
                <w:lang w:val="es-ES"/>
              </w:rPr>
            </w:pPr>
            <w:r w:rsidRPr="00483D73">
              <w:rPr>
                <w:rFonts w:ascii="Arial" w:hAnsi="Arial" w:cs="Arial"/>
                <w:sz w:val="18"/>
                <w:szCs w:val="18"/>
                <w:lang w:val="es-ES"/>
              </w:rPr>
              <w:t xml:space="preserve">Una depuración del RTU debería permitir </w:t>
            </w:r>
            <w:r w:rsidR="00417620">
              <w:rPr>
                <w:rFonts w:ascii="Arial" w:hAnsi="Arial" w:cs="Arial"/>
                <w:sz w:val="18"/>
                <w:szCs w:val="18"/>
                <w:lang w:val="es-ES"/>
              </w:rPr>
              <w:t>más</w:t>
            </w:r>
            <w:r w:rsidR="00417620" w:rsidRPr="00483D73">
              <w:rPr>
                <w:rFonts w:ascii="Arial" w:hAnsi="Arial" w:cs="Arial"/>
                <w:sz w:val="18"/>
                <w:szCs w:val="18"/>
                <w:lang w:val="es-ES"/>
              </w:rPr>
              <w:t xml:space="preserve"> </w:t>
            </w:r>
            <w:r w:rsidRPr="00483D73">
              <w:rPr>
                <w:rFonts w:ascii="Arial" w:hAnsi="Arial" w:cs="Arial"/>
                <w:sz w:val="18"/>
                <w:szCs w:val="18"/>
                <w:lang w:val="es-ES"/>
              </w:rPr>
              <w:t>cruces de bases de datos..</w:t>
            </w:r>
          </w:p>
          <w:p w14:paraId="43AACF79" w14:textId="07E210DC" w:rsidR="008543F8" w:rsidRDefault="008543F8" w:rsidP="00E835AA">
            <w:pPr>
              <w:rPr>
                <w:rFonts w:ascii="Arial" w:hAnsi="Arial" w:cs="Arial"/>
                <w:sz w:val="18"/>
                <w:szCs w:val="18"/>
                <w:lang w:val="es-ES"/>
              </w:rPr>
            </w:pPr>
            <w:r>
              <w:rPr>
                <w:rFonts w:ascii="Arial" w:hAnsi="Arial" w:cs="Arial"/>
                <w:sz w:val="18"/>
                <w:szCs w:val="18"/>
                <w:lang w:val="es-ES"/>
              </w:rPr>
              <w:t>El 16,56% de los contribuyentes activos en el régimen general del IVA son omisos (Mayo de 2016). Se estima que se reducirá</w:t>
            </w:r>
            <w:r w:rsidR="005A7033">
              <w:rPr>
                <w:rFonts w:ascii="Arial" w:hAnsi="Arial" w:cs="Arial"/>
                <w:sz w:val="18"/>
                <w:szCs w:val="18"/>
                <w:lang w:val="es-ES"/>
              </w:rPr>
              <w:t>n los omisos</w:t>
            </w:r>
            <w:r>
              <w:rPr>
                <w:rFonts w:ascii="Arial" w:hAnsi="Arial" w:cs="Arial"/>
                <w:sz w:val="18"/>
                <w:szCs w:val="18"/>
                <w:lang w:val="es-ES"/>
              </w:rPr>
              <w:t xml:space="preserve"> al 15% al 2018.</w:t>
            </w:r>
          </w:p>
          <w:p w14:paraId="0AE623EF" w14:textId="77777777" w:rsidR="00E835AA" w:rsidRPr="00483D73" w:rsidRDefault="00E835AA" w:rsidP="00E835AA">
            <w:pPr>
              <w:rPr>
                <w:rFonts w:ascii="Arial" w:hAnsi="Arial" w:cs="Arial"/>
                <w:sz w:val="18"/>
                <w:szCs w:val="18"/>
                <w:lang w:val="es-ES"/>
              </w:rPr>
            </w:pPr>
          </w:p>
        </w:tc>
      </w:tr>
      <w:tr w:rsidR="00483FDC" w:rsidRPr="00112314" w14:paraId="3435FC0E" w14:textId="77777777" w:rsidTr="0045601B">
        <w:trPr>
          <w:trHeight w:val="20"/>
        </w:trPr>
        <w:tc>
          <w:tcPr>
            <w:tcW w:w="2160" w:type="dxa"/>
          </w:tcPr>
          <w:p w14:paraId="5562064A" w14:textId="77777777" w:rsidR="00483FDC" w:rsidRPr="00483D73" w:rsidRDefault="00483FDC" w:rsidP="00EC285D">
            <w:pPr>
              <w:ind w:left="-14"/>
              <w:rPr>
                <w:rFonts w:ascii="Arial" w:hAnsi="Arial" w:cs="Arial"/>
                <w:sz w:val="18"/>
                <w:szCs w:val="18"/>
                <w:lang w:val="es-ES"/>
              </w:rPr>
            </w:pPr>
            <w:r w:rsidRPr="00483D73">
              <w:rPr>
                <w:rFonts w:ascii="Arial" w:hAnsi="Arial" w:cs="Arial"/>
                <w:sz w:val="18"/>
                <w:szCs w:val="18"/>
                <w:lang w:val="es-ES"/>
              </w:rPr>
              <w:t>Porcentaje del valor total facturado en el año, cuyas facturas fueron emitidas electrónicamente (incluyendo las facturas “puras” y el “resguardo de copia de facturas”).</w:t>
            </w:r>
          </w:p>
        </w:tc>
        <w:tc>
          <w:tcPr>
            <w:tcW w:w="1170" w:type="dxa"/>
          </w:tcPr>
          <w:p w14:paraId="2C982A1D"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Pr>
          <w:p w14:paraId="64945D38" w14:textId="77777777" w:rsidR="00483FDC" w:rsidRPr="00483D73" w:rsidRDefault="008543F8" w:rsidP="00E835AA">
            <w:pPr>
              <w:rPr>
                <w:rFonts w:ascii="Arial" w:hAnsi="Arial" w:cs="Arial"/>
                <w:sz w:val="18"/>
                <w:szCs w:val="18"/>
                <w:lang w:val="es-ES"/>
              </w:rPr>
            </w:pPr>
            <w:r w:rsidRPr="008543F8">
              <w:rPr>
                <w:rFonts w:ascii="Arial" w:hAnsi="Arial" w:cs="Arial"/>
                <w:sz w:val="18"/>
                <w:szCs w:val="18"/>
                <w:lang w:val="es-ES"/>
              </w:rPr>
              <w:t>Informe de gestión anual de la Dirección de Recaudación de la SAT</w:t>
            </w:r>
          </w:p>
        </w:tc>
        <w:tc>
          <w:tcPr>
            <w:tcW w:w="3420" w:type="dxa"/>
          </w:tcPr>
          <w:p w14:paraId="2AC92083" w14:textId="77777777" w:rsidR="00483FDC" w:rsidRDefault="00483FDC" w:rsidP="00E835AA">
            <w:pPr>
              <w:rPr>
                <w:rFonts w:ascii="Arial" w:hAnsi="Arial" w:cs="Arial"/>
                <w:sz w:val="18"/>
                <w:szCs w:val="18"/>
                <w:lang w:val="es-ES"/>
              </w:rPr>
            </w:pPr>
            <w:r w:rsidRPr="00483D73">
              <w:rPr>
                <w:rFonts w:ascii="Arial" w:hAnsi="Arial" w:cs="Arial"/>
                <w:sz w:val="18"/>
                <w:szCs w:val="18"/>
                <w:lang w:val="es-ES"/>
              </w:rPr>
              <w:t>La fase dos de la factura electrónica aumentara la cobertura de este sistema de control, y las mejoras del proceso del IVA van a hacer más robusto el control en la facturación electrónica.</w:t>
            </w:r>
          </w:p>
          <w:p w14:paraId="00F0FC0A" w14:textId="77777777" w:rsidR="008543F8" w:rsidRDefault="008543F8" w:rsidP="00E835AA">
            <w:pPr>
              <w:rPr>
                <w:rFonts w:ascii="Arial" w:hAnsi="Arial" w:cs="Arial"/>
                <w:sz w:val="18"/>
                <w:szCs w:val="18"/>
                <w:lang w:val="es-ES"/>
              </w:rPr>
            </w:pPr>
            <w:r>
              <w:rPr>
                <w:rFonts w:ascii="Arial" w:hAnsi="Arial" w:cs="Arial"/>
                <w:sz w:val="18"/>
                <w:szCs w:val="18"/>
                <w:lang w:val="es-ES"/>
              </w:rPr>
              <w:t>En el 2014 solamente el 64% del valor total de las facturas era electrónico. Se estima que será el 90% al 2018.</w:t>
            </w:r>
          </w:p>
          <w:p w14:paraId="3801B2D2" w14:textId="77777777" w:rsidR="008543F8" w:rsidRPr="00483D73" w:rsidRDefault="008543F8" w:rsidP="00E835AA">
            <w:pPr>
              <w:rPr>
                <w:rFonts w:ascii="Arial" w:hAnsi="Arial" w:cs="Arial"/>
                <w:sz w:val="18"/>
                <w:szCs w:val="18"/>
                <w:lang w:val="es-ES"/>
              </w:rPr>
            </w:pPr>
          </w:p>
        </w:tc>
      </w:tr>
      <w:tr w:rsidR="000473B7" w:rsidRPr="00112314" w14:paraId="2DE655CD" w14:textId="77777777" w:rsidTr="0045601B">
        <w:trPr>
          <w:trHeight w:val="20"/>
        </w:trPr>
        <w:tc>
          <w:tcPr>
            <w:tcW w:w="2160" w:type="dxa"/>
            <w:tcBorders>
              <w:bottom w:val="single" w:sz="4" w:space="0" w:color="auto"/>
            </w:tcBorders>
          </w:tcPr>
          <w:p w14:paraId="057EB2F7" w14:textId="48447FB4" w:rsidR="000473B7" w:rsidRPr="00483D73" w:rsidRDefault="000473B7" w:rsidP="00EC285D">
            <w:pPr>
              <w:contextualSpacing/>
              <w:rPr>
                <w:rFonts w:ascii="Arial" w:hAnsi="Arial" w:cs="Arial"/>
                <w:sz w:val="18"/>
                <w:szCs w:val="18"/>
                <w:lang w:val="es-ES"/>
              </w:rPr>
            </w:pPr>
            <w:r w:rsidRPr="000473B7">
              <w:rPr>
                <w:rFonts w:ascii="Arial" w:hAnsi="Arial" w:cs="Arial"/>
                <w:sz w:val="18"/>
                <w:szCs w:val="18"/>
                <w:lang w:val="es-ES"/>
              </w:rPr>
              <w:t>Recaudo de IVA a importaciones.</w:t>
            </w:r>
          </w:p>
        </w:tc>
        <w:tc>
          <w:tcPr>
            <w:tcW w:w="1170" w:type="dxa"/>
            <w:tcBorders>
              <w:bottom w:val="single" w:sz="4" w:space="0" w:color="auto"/>
            </w:tcBorders>
          </w:tcPr>
          <w:p w14:paraId="68A465B3" w14:textId="2FBE80D7" w:rsidR="000473B7" w:rsidRDefault="000473B7" w:rsidP="00E835AA">
            <w:pPr>
              <w:rPr>
                <w:rFonts w:ascii="Arial" w:hAnsi="Arial" w:cs="Arial"/>
                <w:sz w:val="18"/>
                <w:szCs w:val="18"/>
                <w:lang w:val="es-ES"/>
              </w:rPr>
            </w:pPr>
            <w:r>
              <w:rPr>
                <w:rFonts w:ascii="Arial" w:hAnsi="Arial" w:cs="Arial"/>
                <w:sz w:val="18"/>
                <w:szCs w:val="18"/>
                <w:lang w:val="es-ES"/>
              </w:rPr>
              <w:t>Anual</w:t>
            </w:r>
          </w:p>
        </w:tc>
        <w:tc>
          <w:tcPr>
            <w:tcW w:w="1710" w:type="dxa"/>
            <w:tcBorders>
              <w:bottom w:val="single" w:sz="4" w:space="0" w:color="auto"/>
            </w:tcBorders>
          </w:tcPr>
          <w:p w14:paraId="05DE782C" w14:textId="5483836C" w:rsidR="000473B7" w:rsidRPr="00483D73" w:rsidRDefault="000473B7" w:rsidP="00E835AA">
            <w:pPr>
              <w:rPr>
                <w:rFonts w:ascii="Arial" w:hAnsi="Arial"/>
                <w:sz w:val="18"/>
                <w:szCs w:val="18"/>
                <w:lang w:val="es-ES"/>
              </w:rPr>
            </w:pPr>
            <w:r w:rsidRPr="000473B7">
              <w:rPr>
                <w:rFonts w:ascii="Arial" w:hAnsi="Arial"/>
                <w:sz w:val="18"/>
                <w:szCs w:val="18"/>
                <w:lang w:val="es-ES"/>
              </w:rPr>
              <w:t>Informe de gestión anual de la Dirección de Recaudación de la SAT</w:t>
            </w:r>
          </w:p>
        </w:tc>
        <w:tc>
          <w:tcPr>
            <w:tcW w:w="3420" w:type="dxa"/>
            <w:tcBorders>
              <w:bottom w:val="single" w:sz="4" w:space="0" w:color="auto"/>
            </w:tcBorders>
          </w:tcPr>
          <w:p w14:paraId="672BC80D" w14:textId="77777777" w:rsidR="000473B7" w:rsidRPr="000473B7" w:rsidRDefault="000473B7" w:rsidP="000473B7">
            <w:pPr>
              <w:rPr>
                <w:rFonts w:ascii="Arial" w:hAnsi="Arial" w:cs="Arial"/>
                <w:sz w:val="18"/>
                <w:szCs w:val="18"/>
                <w:lang w:val="es-ES"/>
              </w:rPr>
            </w:pPr>
            <w:r w:rsidRPr="000473B7">
              <w:rPr>
                <w:rFonts w:ascii="Arial" w:hAnsi="Arial" w:cs="Arial"/>
                <w:sz w:val="18"/>
                <w:szCs w:val="18"/>
                <w:lang w:val="es-ES"/>
              </w:rPr>
              <w:t>El recaudo en importaciones tiene que aumentar si en Puerto Quetzal se cierra a la actividad ilícita.</w:t>
            </w:r>
          </w:p>
          <w:p w14:paraId="42B4D1ED" w14:textId="15A687BF" w:rsidR="000473B7" w:rsidRPr="00483D73" w:rsidRDefault="000473B7" w:rsidP="000473B7">
            <w:pPr>
              <w:rPr>
                <w:rFonts w:ascii="Arial" w:hAnsi="Arial" w:cs="Arial"/>
                <w:sz w:val="18"/>
                <w:szCs w:val="18"/>
                <w:lang w:val="es-ES"/>
              </w:rPr>
            </w:pPr>
            <w:r w:rsidRPr="000473B7">
              <w:rPr>
                <w:rFonts w:ascii="Arial" w:hAnsi="Arial" w:cs="Arial"/>
                <w:sz w:val="18"/>
                <w:szCs w:val="18"/>
                <w:lang w:val="es-ES"/>
              </w:rPr>
              <w:t>Se estima un incremento de Q.109,9 millones (2015) a Q.168,5 millones (2018).</w:t>
            </w:r>
          </w:p>
        </w:tc>
      </w:tr>
      <w:tr w:rsidR="00483FDC" w:rsidRPr="00112314" w14:paraId="3521B400" w14:textId="77777777" w:rsidTr="0045601B">
        <w:trPr>
          <w:trHeight w:val="20"/>
        </w:trPr>
        <w:tc>
          <w:tcPr>
            <w:tcW w:w="2160" w:type="dxa"/>
            <w:tcBorders>
              <w:bottom w:val="single" w:sz="4" w:space="0" w:color="auto"/>
            </w:tcBorders>
          </w:tcPr>
          <w:p w14:paraId="16137B42" w14:textId="77777777" w:rsidR="00483FDC" w:rsidRPr="00483D73" w:rsidRDefault="00483FDC" w:rsidP="00EC285D">
            <w:pPr>
              <w:contextualSpacing/>
              <w:rPr>
                <w:rFonts w:ascii="Arial" w:hAnsi="Arial" w:cs="Arial"/>
                <w:sz w:val="18"/>
                <w:szCs w:val="18"/>
                <w:lang w:val="es-ES"/>
              </w:rPr>
            </w:pPr>
            <w:r w:rsidRPr="00483D73">
              <w:rPr>
                <w:rFonts w:ascii="Arial" w:hAnsi="Arial" w:cs="Arial"/>
                <w:sz w:val="18"/>
                <w:szCs w:val="18"/>
                <w:lang w:val="es-ES"/>
              </w:rPr>
              <w:t>Aumento en el traslado de expedientes por fraude aduanero, subfacturación y contrabando</w:t>
            </w:r>
            <w:r>
              <w:rPr>
                <w:rFonts w:ascii="Arial" w:hAnsi="Arial" w:cs="Arial"/>
                <w:sz w:val="18"/>
                <w:szCs w:val="18"/>
                <w:lang w:val="es-ES"/>
              </w:rPr>
              <w:t>.</w:t>
            </w:r>
          </w:p>
        </w:tc>
        <w:tc>
          <w:tcPr>
            <w:tcW w:w="1170" w:type="dxa"/>
            <w:tcBorders>
              <w:bottom w:val="single" w:sz="4" w:space="0" w:color="auto"/>
            </w:tcBorders>
          </w:tcPr>
          <w:p w14:paraId="046C421C" w14:textId="77777777" w:rsidR="00483FDC" w:rsidRPr="00483D73" w:rsidRDefault="00483FDC" w:rsidP="00E835AA">
            <w:pPr>
              <w:rPr>
                <w:rFonts w:ascii="Arial" w:hAnsi="Arial" w:cs="Arial"/>
                <w:sz w:val="18"/>
                <w:szCs w:val="18"/>
                <w:lang w:val="es-ES"/>
              </w:rPr>
            </w:pPr>
            <w:r>
              <w:rPr>
                <w:rFonts w:ascii="Arial" w:hAnsi="Arial" w:cs="Arial"/>
                <w:sz w:val="18"/>
                <w:szCs w:val="18"/>
                <w:lang w:val="es-ES"/>
              </w:rPr>
              <w:t>Anual</w:t>
            </w:r>
          </w:p>
        </w:tc>
        <w:tc>
          <w:tcPr>
            <w:tcW w:w="1710" w:type="dxa"/>
            <w:tcBorders>
              <w:bottom w:val="single" w:sz="4" w:space="0" w:color="auto"/>
            </w:tcBorders>
          </w:tcPr>
          <w:p w14:paraId="4830E950" w14:textId="77777777" w:rsidR="00483FDC" w:rsidRPr="00483D73" w:rsidRDefault="00483FDC" w:rsidP="00E835AA">
            <w:pPr>
              <w:rPr>
                <w:rFonts w:ascii="Arial" w:hAnsi="Arial" w:cs="Arial"/>
                <w:sz w:val="18"/>
                <w:szCs w:val="18"/>
                <w:lang w:val="es-ES"/>
              </w:rPr>
            </w:pPr>
            <w:r w:rsidRPr="00483D73">
              <w:rPr>
                <w:rFonts w:ascii="Arial" w:hAnsi="Arial"/>
                <w:sz w:val="18"/>
                <w:szCs w:val="18"/>
                <w:lang w:val="es-ES"/>
              </w:rPr>
              <w:t xml:space="preserve">Sistema de Gestión de Expedientes Legales y Bases de datos de Unidad y Divisiones Regionales y </w:t>
            </w:r>
            <w:r w:rsidRPr="00483D73">
              <w:rPr>
                <w:rFonts w:ascii="Arial" w:hAnsi="Arial"/>
                <w:sz w:val="18"/>
                <w:szCs w:val="18"/>
                <w:lang w:val="es-ES"/>
              </w:rPr>
              <w:lastRenderedPageBreak/>
              <w:t>Base de datos del Departamento de Verificaciones</w:t>
            </w:r>
          </w:p>
        </w:tc>
        <w:tc>
          <w:tcPr>
            <w:tcW w:w="3420" w:type="dxa"/>
            <w:tcBorders>
              <w:bottom w:val="single" w:sz="4" w:space="0" w:color="auto"/>
            </w:tcBorders>
          </w:tcPr>
          <w:p w14:paraId="1773844C" w14:textId="77777777" w:rsidR="00483FDC" w:rsidRDefault="00483FDC" w:rsidP="00E835AA">
            <w:pPr>
              <w:rPr>
                <w:rFonts w:ascii="Arial" w:hAnsi="Arial" w:cs="Arial"/>
                <w:sz w:val="18"/>
                <w:szCs w:val="18"/>
                <w:lang w:val="es-ES"/>
              </w:rPr>
            </w:pPr>
            <w:r w:rsidRPr="00483D73">
              <w:rPr>
                <w:rFonts w:ascii="Arial" w:hAnsi="Arial" w:cs="Arial"/>
                <w:sz w:val="18"/>
                <w:szCs w:val="18"/>
                <w:lang w:val="es-ES"/>
              </w:rPr>
              <w:lastRenderedPageBreak/>
              <w:t xml:space="preserve">Una oficina de la MP en </w:t>
            </w:r>
            <w:r>
              <w:rPr>
                <w:rFonts w:ascii="Arial" w:hAnsi="Arial" w:cs="Arial"/>
                <w:sz w:val="18"/>
                <w:szCs w:val="18"/>
                <w:lang w:val="es-ES"/>
              </w:rPr>
              <w:t>Puerto Quetzal (</w:t>
            </w:r>
            <w:r w:rsidRPr="00483D73">
              <w:rPr>
                <w:rFonts w:ascii="Arial" w:hAnsi="Arial" w:cs="Arial"/>
                <w:sz w:val="18"/>
                <w:szCs w:val="18"/>
                <w:lang w:val="es-ES"/>
              </w:rPr>
              <w:t>PQ</w:t>
            </w:r>
            <w:r>
              <w:rPr>
                <w:rFonts w:ascii="Arial" w:hAnsi="Arial" w:cs="Arial"/>
                <w:sz w:val="18"/>
                <w:szCs w:val="18"/>
                <w:lang w:val="es-ES"/>
              </w:rPr>
              <w:t>)</w:t>
            </w:r>
            <w:r w:rsidRPr="00483D73">
              <w:rPr>
                <w:rFonts w:ascii="Arial" w:hAnsi="Arial" w:cs="Arial"/>
                <w:sz w:val="18"/>
                <w:szCs w:val="18"/>
                <w:lang w:val="es-ES"/>
              </w:rPr>
              <w:t xml:space="preserve"> debe generar un aumento en el número de investigaciones por contrabando o fraude aduanero que ameritan ser ejecutadas por la MP.</w:t>
            </w:r>
          </w:p>
          <w:p w14:paraId="45A7101B" w14:textId="77777777" w:rsidR="008543F8" w:rsidRPr="00483D73" w:rsidRDefault="008543F8" w:rsidP="00E835AA">
            <w:pPr>
              <w:rPr>
                <w:rFonts w:ascii="Arial" w:hAnsi="Arial" w:cs="Arial"/>
                <w:sz w:val="18"/>
                <w:szCs w:val="18"/>
                <w:lang w:val="es-ES"/>
              </w:rPr>
            </w:pPr>
            <w:r>
              <w:rPr>
                <w:rFonts w:ascii="Arial" w:hAnsi="Arial" w:cs="Arial"/>
                <w:sz w:val="18"/>
                <w:szCs w:val="18"/>
                <w:lang w:val="es-ES"/>
              </w:rPr>
              <w:t xml:space="preserve">Fueron trasladados de la SAT al MP 2.504 expedientes en Junio del 2016 (12 meses acumulados). Se estima que </w:t>
            </w:r>
            <w:r>
              <w:rPr>
                <w:rFonts w:ascii="Arial" w:hAnsi="Arial" w:cs="Arial"/>
                <w:sz w:val="18"/>
                <w:szCs w:val="18"/>
                <w:lang w:val="es-ES"/>
              </w:rPr>
              <w:lastRenderedPageBreak/>
              <w:t>incrementarán a 2.654 al 2018.</w:t>
            </w:r>
          </w:p>
        </w:tc>
      </w:tr>
    </w:tbl>
    <w:p w14:paraId="690335D2" w14:textId="3D42DC7E" w:rsidR="00AD5F81" w:rsidRDefault="00AD5F81" w:rsidP="00B3684F">
      <w:pPr>
        <w:pStyle w:val="Paragraph"/>
        <w:tabs>
          <w:tab w:val="clear" w:pos="2448"/>
        </w:tabs>
        <w:spacing w:before="240"/>
        <w:ind w:left="720" w:hanging="720"/>
        <w:rPr>
          <w:rFonts w:ascii="Arial" w:hAnsi="Arial" w:cs="Arial"/>
          <w:sz w:val="22"/>
          <w:szCs w:val="22"/>
        </w:rPr>
      </w:pPr>
      <w:r w:rsidRPr="00B3684F">
        <w:rPr>
          <w:rFonts w:ascii="Arial" w:hAnsi="Arial" w:cs="Arial"/>
          <w:sz w:val="22"/>
          <w:szCs w:val="22"/>
        </w:rPr>
        <w:lastRenderedPageBreak/>
        <w:t xml:space="preserve">El Cuadro </w:t>
      </w:r>
      <w:r w:rsidR="00BD7C51" w:rsidRPr="00B3684F">
        <w:rPr>
          <w:rFonts w:ascii="Arial" w:hAnsi="Arial" w:cs="Arial"/>
          <w:sz w:val="22"/>
          <w:szCs w:val="22"/>
        </w:rPr>
        <w:t>3</w:t>
      </w:r>
      <w:r w:rsidR="00C95CCC">
        <w:rPr>
          <w:rFonts w:ascii="Arial" w:hAnsi="Arial" w:cs="Arial"/>
          <w:sz w:val="22"/>
          <w:szCs w:val="22"/>
        </w:rPr>
        <w:t>a</w:t>
      </w:r>
      <w:r w:rsidRPr="00B3684F">
        <w:rPr>
          <w:rFonts w:ascii="Arial" w:hAnsi="Arial" w:cs="Arial"/>
          <w:sz w:val="22"/>
          <w:szCs w:val="22"/>
        </w:rPr>
        <w:t xml:space="preserve"> describe los indicadores de resultados para </w:t>
      </w:r>
      <w:r w:rsidR="00DF2E6C">
        <w:rPr>
          <w:rFonts w:ascii="Arial" w:hAnsi="Arial" w:cs="Arial"/>
          <w:sz w:val="22"/>
          <w:szCs w:val="22"/>
        </w:rPr>
        <w:t>m</w:t>
      </w:r>
      <w:r w:rsidR="00BD7C51" w:rsidRPr="00B3684F">
        <w:rPr>
          <w:rFonts w:ascii="Arial" w:hAnsi="Arial" w:cs="Arial"/>
          <w:sz w:val="22"/>
          <w:szCs w:val="22"/>
        </w:rPr>
        <w:t xml:space="preserve">ejorar la transparencia del sector financiero y de las actividades </w:t>
      </w:r>
      <w:r w:rsidR="00BD7C51" w:rsidRPr="00B3684F">
        <w:rPr>
          <w:rFonts w:ascii="Arial" w:hAnsi="Arial" w:cs="Arial"/>
          <w:i/>
          <w:sz w:val="22"/>
          <w:szCs w:val="22"/>
        </w:rPr>
        <w:t>off-shore</w:t>
      </w:r>
      <w:r w:rsidRPr="00B3684F">
        <w:rPr>
          <w:rFonts w:ascii="Arial" w:hAnsi="Arial" w:cs="Arial"/>
          <w:sz w:val="22"/>
          <w:szCs w:val="22"/>
        </w:rPr>
        <w:t xml:space="preserve">. Todos los indicadores cuentan con línea de base y meta, detallados en la </w:t>
      </w:r>
      <w:hyperlink r:id="rId19" w:history="1">
        <w:r w:rsidRPr="00B3684F">
          <w:rPr>
            <w:rStyle w:val="Hyperlink"/>
            <w:rFonts w:ascii="Arial" w:hAnsi="Arial" w:cs="Arial"/>
            <w:sz w:val="22"/>
            <w:szCs w:val="22"/>
          </w:rPr>
          <w:t>Matriz de Resultados</w:t>
        </w:r>
      </w:hyperlink>
      <w:r w:rsidRPr="00B3684F">
        <w:rPr>
          <w:rFonts w:ascii="Arial" w:hAnsi="Arial" w:cs="Arial"/>
          <w:sz w:val="22"/>
          <w:szCs w:val="22"/>
        </w:rPr>
        <w:t xml:space="preserve">, incluida como </w:t>
      </w:r>
      <w:r w:rsidR="008A00EB">
        <w:rPr>
          <w:rFonts w:ascii="Arial" w:hAnsi="Arial" w:cs="Arial"/>
          <w:sz w:val="22"/>
          <w:szCs w:val="22"/>
        </w:rPr>
        <w:t xml:space="preserve">Anexo </w:t>
      </w:r>
      <w:r w:rsidR="009C7648">
        <w:rPr>
          <w:rFonts w:ascii="Arial" w:hAnsi="Arial" w:cs="Arial"/>
          <w:sz w:val="22"/>
          <w:szCs w:val="22"/>
        </w:rPr>
        <w:t>5</w:t>
      </w:r>
      <w:r w:rsidRPr="00B3684F">
        <w:rPr>
          <w:rFonts w:ascii="Arial" w:hAnsi="Arial" w:cs="Arial"/>
          <w:sz w:val="22"/>
          <w:szCs w:val="22"/>
        </w:rPr>
        <w:t xml:space="preserve"> de este Plan de Monitoreo y Evaluación.</w:t>
      </w:r>
    </w:p>
    <w:p w14:paraId="3B34A09E" w14:textId="04689EBE" w:rsidR="00E22CEA" w:rsidRPr="00B3684F" w:rsidRDefault="00AD5F81" w:rsidP="00B3684F">
      <w:pPr>
        <w:pStyle w:val="Paragraph"/>
        <w:tabs>
          <w:tab w:val="clear" w:pos="2448"/>
        </w:tabs>
        <w:ind w:left="720" w:hanging="720"/>
        <w:rPr>
          <w:rFonts w:ascii="Arial" w:hAnsi="Arial" w:cs="Arial"/>
          <w:sz w:val="22"/>
          <w:szCs w:val="22"/>
        </w:rPr>
      </w:pPr>
      <w:r w:rsidRPr="00B3684F">
        <w:rPr>
          <w:rFonts w:ascii="Arial" w:hAnsi="Arial" w:cs="Arial"/>
          <w:sz w:val="22"/>
          <w:szCs w:val="22"/>
        </w:rPr>
        <w:t xml:space="preserve">Los </w:t>
      </w:r>
      <w:r w:rsidR="00417620">
        <w:rPr>
          <w:rFonts w:ascii="Arial" w:hAnsi="Arial" w:cs="Arial"/>
          <w:sz w:val="22"/>
          <w:szCs w:val="22"/>
        </w:rPr>
        <w:t>dos</w:t>
      </w:r>
      <w:r w:rsidR="00417620" w:rsidRPr="00B3684F">
        <w:rPr>
          <w:rFonts w:ascii="Arial" w:hAnsi="Arial" w:cs="Arial"/>
          <w:sz w:val="22"/>
          <w:szCs w:val="22"/>
        </w:rPr>
        <w:t xml:space="preserve"> </w:t>
      </w:r>
      <w:r w:rsidRPr="00B3684F">
        <w:rPr>
          <w:rFonts w:ascii="Arial" w:hAnsi="Arial" w:cs="Arial"/>
          <w:sz w:val="22"/>
          <w:szCs w:val="22"/>
        </w:rPr>
        <w:t>indicadores que serán usados para monitorear los resultados de</w:t>
      </w:r>
      <w:r w:rsidR="005C0468">
        <w:rPr>
          <w:rFonts w:ascii="Arial" w:hAnsi="Arial" w:cs="Arial"/>
          <w:sz w:val="22"/>
          <w:szCs w:val="22"/>
        </w:rPr>
        <w:t xml:space="preserve"> las mejoras en la</w:t>
      </w:r>
      <w:r w:rsidRPr="00B3684F">
        <w:rPr>
          <w:rFonts w:ascii="Arial" w:hAnsi="Arial" w:cs="Arial"/>
          <w:sz w:val="22"/>
          <w:szCs w:val="22"/>
        </w:rPr>
        <w:t xml:space="preserve"> </w:t>
      </w:r>
      <w:r w:rsidR="00BD7C51" w:rsidRPr="00B3684F">
        <w:rPr>
          <w:rFonts w:ascii="Arial" w:hAnsi="Arial" w:cs="Arial"/>
          <w:sz w:val="22"/>
          <w:szCs w:val="22"/>
        </w:rPr>
        <w:t xml:space="preserve">transparencia </w:t>
      </w:r>
      <w:r w:rsidR="005C0468">
        <w:rPr>
          <w:rFonts w:ascii="Arial" w:hAnsi="Arial" w:cs="Arial"/>
          <w:sz w:val="22"/>
          <w:szCs w:val="22"/>
        </w:rPr>
        <w:t xml:space="preserve">del sector </w:t>
      </w:r>
      <w:r w:rsidR="00BD7C51" w:rsidRPr="00B3684F">
        <w:rPr>
          <w:rFonts w:ascii="Arial" w:hAnsi="Arial" w:cs="Arial"/>
          <w:sz w:val="22"/>
          <w:szCs w:val="22"/>
        </w:rPr>
        <w:t>financier</w:t>
      </w:r>
      <w:r w:rsidR="005C0468">
        <w:rPr>
          <w:rFonts w:ascii="Arial" w:hAnsi="Arial" w:cs="Arial"/>
          <w:sz w:val="22"/>
          <w:szCs w:val="22"/>
        </w:rPr>
        <w:t>o</w:t>
      </w:r>
      <w:r w:rsidRPr="00B3684F">
        <w:rPr>
          <w:rFonts w:ascii="Arial" w:hAnsi="Arial" w:cs="Arial"/>
          <w:sz w:val="22"/>
          <w:szCs w:val="22"/>
        </w:rPr>
        <w:t xml:space="preserve">, </w:t>
      </w:r>
      <w:r w:rsidR="00F62A5A" w:rsidRPr="00B3684F">
        <w:rPr>
          <w:rFonts w:ascii="Arial" w:hAnsi="Arial" w:cs="Arial"/>
          <w:sz w:val="22"/>
          <w:szCs w:val="22"/>
        </w:rPr>
        <w:t xml:space="preserve">son </w:t>
      </w:r>
      <w:r w:rsidR="00417620">
        <w:rPr>
          <w:rFonts w:ascii="Arial" w:hAnsi="Arial" w:cs="Arial"/>
          <w:sz w:val="22"/>
          <w:szCs w:val="22"/>
        </w:rPr>
        <w:t xml:space="preserve">indicadores </w:t>
      </w:r>
      <w:r w:rsidR="00F62A5A" w:rsidRPr="00B3684F">
        <w:rPr>
          <w:rFonts w:ascii="Arial" w:hAnsi="Arial" w:cs="Arial"/>
          <w:sz w:val="22"/>
          <w:szCs w:val="22"/>
        </w:rPr>
        <w:t xml:space="preserve">calculados y publicados por entidades internacionales de evaluación de la transparencia financiera, tales como el GAFI y el </w:t>
      </w:r>
      <w:r w:rsidR="00417620" w:rsidRPr="00417620">
        <w:rPr>
          <w:rFonts w:ascii="Arial" w:hAnsi="Arial" w:cs="Arial"/>
          <w:i/>
          <w:sz w:val="22"/>
          <w:szCs w:val="22"/>
          <w:lang w:val="es-ES_tradnl"/>
        </w:rPr>
        <w:t>Global Financial Integrity (GFI)</w:t>
      </w:r>
      <w:r w:rsidR="00F62A5A" w:rsidRPr="00B3684F">
        <w:rPr>
          <w:rFonts w:ascii="Arial" w:hAnsi="Arial" w:cs="Arial"/>
          <w:sz w:val="22"/>
          <w:szCs w:val="22"/>
        </w:rPr>
        <w:t>.</w:t>
      </w:r>
    </w:p>
    <w:p w14:paraId="6D029361" w14:textId="41CCE792" w:rsidR="003C71FE" w:rsidRPr="00B3684F" w:rsidRDefault="00E22CEA" w:rsidP="00B3684F">
      <w:pPr>
        <w:pStyle w:val="Paragraph"/>
        <w:tabs>
          <w:tab w:val="clear" w:pos="2448"/>
        </w:tabs>
        <w:ind w:left="720" w:hanging="720"/>
        <w:rPr>
          <w:rFonts w:ascii="Arial" w:hAnsi="Arial" w:cs="Arial"/>
          <w:sz w:val="22"/>
          <w:szCs w:val="22"/>
        </w:rPr>
      </w:pPr>
      <w:r w:rsidRPr="00B3684F">
        <w:rPr>
          <w:rFonts w:ascii="Arial" w:hAnsi="Arial" w:cs="Arial"/>
          <w:sz w:val="22"/>
          <w:szCs w:val="22"/>
        </w:rPr>
        <w:t>Se estima que la combinación de las reformas de políticas del programa sobre la transparencia financiera redundarán en una mejor y más amplia regulación y supervisión del sector financiero, incrementando su transparencia, protegiendo al mismo de posibles amenazas de lavado de activos e incrementando la capacidad de los principales organismos relacionados con esta operación</w:t>
      </w:r>
      <w:r>
        <w:rPr>
          <w:rFonts w:ascii="Arial" w:hAnsi="Arial" w:cs="Arial"/>
          <w:sz w:val="22"/>
          <w:szCs w:val="22"/>
        </w:rPr>
        <w:t>―</w:t>
      </w:r>
      <w:r w:rsidRPr="00B3684F">
        <w:rPr>
          <w:rFonts w:ascii="Arial" w:hAnsi="Arial" w:cs="Arial"/>
          <w:sz w:val="22"/>
          <w:szCs w:val="22"/>
        </w:rPr>
        <w:t>SAT, S</w:t>
      </w:r>
      <w:r w:rsidR="002B692F">
        <w:rPr>
          <w:rFonts w:ascii="Arial" w:hAnsi="Arial" w:cs="Arial"/>
          <w:sz w:val="22"/>
          <w:szCs w:val="22"/>
        </w:rPr>
        <w:t>I</w:t>
      </w:r>
      <w:r w:rsidRPr="00B3684F">
        <w:rPr>
          <w:rFonts w:ascii="Arial" w:hAnsi="Arial" w:cs="Arial"/>
          <w:sz w:val="22"/>
          <w:szCs w:val="22"/>
        </w:rPr>
        <w:t>B</w:t>
      </w:r>
      <w:bookmarkStart w:id="3" w:name="_GoBack"/>
      <w:bookmarkEnd w:id="3"/>
      <w:r w:rsidRPr="00B3684F">
        <w:rPr>
          <w:rFonts w:ascii="Arial" w:hAnsi="Arial" w:cs="Arial"/>
          <w:sz w:val="22"/>
          <w:szCs w:val="22"/>
        </w:rPr>
        <w:t xml:space="preserve"> </w:t>
      </w:r>
      <w:r w:rsidRPr="00940C40">
        <w:rPr>
          <w:rFonts w:ascii="Arial" w:hAnsi="Arial" w:cs="Arial"/>
          <w:sz w:val="22"/>
          <w:szCs w:val="22"/>
        </w:rPr>
        <w:t>y MP―</w:t>
      </w:r>
      <w:r w:rsidRPr="00B3684F">
        <w:rPr>
          <w:rFonts w:ascii="Arial" w:hAnsi="Arial" w:cs="Arial"/>
          <w:sz w:val="22"/>
          <w:szCs w:val="22"/>
        </w:rPr>
        <w:t>de coordinar sus esfuerzos para detectar, prevenir y sancionar prácticas irregulares.</w:t>
      </w:r>
    </w:p>
    <w:p w14:paraId="16DCE31B" w14:textId="3B473918" w:rsidR="00803A1B" w:rsidRPr="00483D73" w:rsidRDefault="00803A1B" w:rsidP="00B3684F">
      <w:pPr>
        <w:spacing w:before="120" w:after="60"/>
        <w:ind w:left="720"/>
        <w:jc w:val="center"/>
        <w:rPr>
          <w:rFonts w:ascii="Arial" w:hAnsi="Arial" w:cs="Arial"/>
          <w:b/>
          <w:sz w:val="20"/>
          <w:szCs w:val="22"/>
          <w:lang w:val="es-ES"/>
        </w:rPr>
      </w:pPr>
      <w:r w:rsidRPr="00B3684F">
        <w:rPr>
          <w:rFonts w:ascii="Arial" w:hAnsi="Arial" w:cs="Arial"/>
          <w:b/>
          <w:sz w:val="20"/>
          <w:szCs w:val="22"/>
          <w:lang w:val="es-ES"/>
        </w:rPr>
        <w:t>Cuadro 3</w:t>
      </w:r>
      <w:r w:rsidR="00AC0AA2">
        <w:rPr>
          <w:rFonts w:ascii="Arial" w:hAnsi="Arial" w:cs="Arial"/>
          <w:b/>
          <w:sz w:val="20"/>
          <w:szCs w:val="22"/>
          <w:lang w:val="es-ES"/>
        </w:rPr>
        <w:t>a</w:t>
      </w:r>
      <w:r w:rsidRPr="00B3684F">
        <w:rPr>
          <w:rFonts w:ascii="Arial" w:hAnsi="Arial" w:cs="Arial"/>
          <w:b/>
          <w:sz w:val="20"/>
          <w:szCs w:val="22"/>
          <w:lang w:val="es-ES"/>
        </w:rPr>
        <w:t>: Indicadores de Resultado</w:t>
      </w:r>
      <w:r w:rsidR="002D75F2">
        <w:rPr>
          <w:rFonts w:ascii="Arial" w:hAnsi="Arial" w:cs="Arial"/>
          <w:b/>
          <w:sz w:val="20"/>
          <w:szCs w:val="22"/>
          <w:lang w:val="es-ES"/>
        </w:rPr>
        <w:t xml:space="preserve"> </w:t>
      </w:r>
      <w:r w:rsidR="001716E9" w:rsidRPr="001716E9">
        <w:rPr>
          <w:rFonts w:ascii="Arial" w:hAnsi="Arial" w:cs="Arial"/>
          <w:b/>
          <w:sz w:val="20"/>
          <w:szCs w:val="22"/>
          <w:lang w:val="es-ES"/>
        </w:rPr>
        <w:t>para la medición de la prevención del lavado de activos</w:t>
      </w:r>
    </w:p>
    <w:tbl>
      <w:tblPr>
        <w:tblStyle w:val="TableGrid"/>
        <w:tblW w:w="0" w:type="auto"/>
        <w:tblInd w:w="828" w:type="dxa"/>
        <w:tblLayout w:type="fixed"/>
        <w:tblLook w:val="04A0" w:firstRow="1" w:lastRow="0" w:firstColumn="1" w:lastColumn="0" w:noHBand="0" w:noVBand="1"/>
      </w:tblPr>
      <w:tblGrid>
        <w:gridCol w:w="1876"/>
        <w:gridCol w:w="1167"/>
        <w:gridCol w:w="1367"/>
        <w:gridCol w:w="3618"/>
      </w:tblGrid>
      <w:tr w:rsidR="00F62A5A" w:rsidRPr="00112314" w14:paraId="05A915BC" w14:textId="77777777" w:rsidTr="00B3684F">
        <w:trPr>
          <w:trHeight w:val="20"/>
          <w:tblHeader/>
        </w:trPr>
        <w:tc>
          <w:tcPr>
            <w:tcW w:w="1876" w:type="dxa"/>
            <w:tcBorders>
              <w:bottom w:val="single" w:sz="4" w:space="0" w:color="auto"/>
            </w:tcBorders>
            <w:shd w:val="clear" w:color="auto" w:fill="B6DDE8" w:themeFill="accent5" w:themeFillTint="66"/>
            <w:vAlign w:val="center"/>
          </w:tcPr>
          <w:p w14:paraId="00AFDB9C" w14:textId="77777777" w:rsidR="00F62A5A" w:rsidRPr="00112314" w:rsidRDefault="00F62A5A" w:rsidP="00B3684F">
            <w:pPr>
              <w:jc w:val="center"/>
              <w:rPr>
                <w:rFonts w:ascii="Arial" w:hAnsi="Arial" w:cs="Arial"/>
                <w:b/>
                <w:sz w:val="18"/>
                <w:szCs w:val="18"/>
                <w:lang w:val="es-ES"/>
              </w:rPr>
            </w:pPr>
            <w:r w:rsidRPr="00112314">
              <w:rPr>
                <w:rFonts w:ascii="Arial" w:hAnsi="Arial" w:cs="Arial"/>
                <w:b/>
                <w:sz w:val="18"/>
                <w:szCs w:val="18"/>
                <w:lang w:val="es-ES"/>
              </w:rPr>
              <w:t>Indicador</w:t>
            </w:r>
          </w:p>
        </w:tc>
        <w:tc>
          <w:tcPr>
            <w:tcW w:w="1167" w:type="dxa"/>
            <w:tcBorders>
              <w:bottom w:val="single" w:sz="4" w:space="0" w:color="auto"/>
            </w:tcBorders>
            <w:shd w:val="clear" w:color="auto" w:fill="B6DDE8" w:themeFill="accent5" w:themeFillTint="66"/>
            <w:vAlign w:val="center"/>
          </w:tcPr>
          <w:p w14:paraId="7588A278" w14:textId="77777777" w:rsidR="00F62A5A" w:rsidRPr="00112314" w:rsidRDefault="00F62A5A" w:rsidP="00B3684F">
            <w:pPr>
              <w:jc w:val="center"/>
              <w:rPr>
                <w:rFonts w:ascii="Arial" w:hAnsi="Arial" w:cs="Arial"/>
                <w:b/>
                <w:sz w:val="18"/>
                <w:szCs w:val="18"/>
                <w:lang w:val="es-ES"/>
              </w:rPr>
            </w:pPr>
            <w:r w:rsidRPr="00112314">
              <w:rPr>
                <w:rFonts w:ascii="Arial" w:hAnsi="Arial" w:cs="Arial"/>
                <w:b/>
                <w:sz w:val="18"/>
                <w:szCs w:val="18"/>
                <w:lang w:val="es-ES"/>
              </w:rPr>
              <w:t>Frecuenci</w:t>
            </w:r>
            <w:r>
              <w:rPr>
                <w:rFonts w:ascii="Arial" w:hAnsi="Arial" w:cs="Arial"/>
                <w:b/>
                <w:sz w:val="18"/>
                <w:szCs w:val="18"/>
                <w:lang w:val="es-ES"/>
              </w:rPr>
              <w:t>a</w:t>
            </w:r>
          </w:p>
        </w:tc>
        <w:tc>
          <w:tcPr>
            <w:tcW w:w="1367" w:type="dxa"/>
            <w:tcBorders>
              <w:bottom w:val="single" w:sz="4" w:space="0" w:color="auto"/>
            </w:tcBorders>
            <w:shd w:val="clear" w:color="auto" w:fill="B6DDE8" w:themeFill="accent5" w:themeFillTint="66"/>
            <w:vAlign w:val="center"/>
          </w:tcPr>
          <w:p w14:paraId="15CDDBA5" w14:textId="77777777" w:rsidR="00F62A5A" w:rsidRPr="00112314" w:rsidRDefault="00F62A5A" w:rsidP="00B3684F">
            <w:pPr>
              <w:jc w:val="center"/>
              <w:rPr>
                <w:rFonts w:ascii="Arial" w:hAnsi="Arial" w:cs="Arial"/>
                <w:b/>
                <w:sz w:val="18"/>
                <w:szCs w:val="18"/>
                <w:lang w:val="es-ES"/>
              </w:rPr>
            </w:pPr>
            <w:r>
              <w:rPr>
                <w:rFonts w:ascii="Arial" w:hAnsi="Arial" w:cs="Arial"/>
                <w:b/>
                <w:sz w:val="18"/>
                <w:szCs w:val="18"/>
                <w:lang w:val="es-ES"/>
              </w:rPr>
              <w:t>Medio</w:t>
            </w:r>
            <w:r w:rsidRPr="00112314">
              <w:rPr>
                <w:rFonts w:ascii="Arial" w:hAnsi="Arial" w:cs="Arial"/>
                <w:b/>
                <w:sz w:val="18"/>
                <w:szCs w:val="18"/>
                <w:lang w:val="es-ES"/>
              </w:rPr>
              <w:t xml:space="preserve"> de Verificación</w:t>
            </w:r>
          </w:p>
        </w:tc>
        <w:tc>
          <w:tcPr>
            <w:tcW w:w="3618" w:type="dxa"/>
            <w:tcBorders>
              <w:bottom w:val="single" w:sz="4" w:space="0" w:color="auto"/>
            </w:tcBorders>
            <w:shd w:val="clear" w:color="auto" w:fill="B6DDE8" w:themeFill="accent5" w:themeFillTint="66"/>
            <w:vAlign w:val="center"/>
          </w:tcPr>
          <w:p w14:paraId="15700629" w14:textId="77777777" w:rsidR="00F62A5A" w:rsidRPr="00112314" w:rsidRDefault="00F62A5A" w:rsidP="00B3684F">
            <w:pPr>
              <w:jc w:val="center"/>
              <w:rPr>
                <w:rFonts w:ascii="Arial" w:hAnsi="Arial" w:cs="Arial"/>
                <w:b/>
                <w:sz w:val="18"/>
                <w:szCs w:val="18"/>
                <w:lang w:val="es-ES"/>
              </w:rPr>
            </w:pPr>
            <w:r>
              <w:rPr>
                <w:rFonts w:ascii="Arial" w:hAnsi="Arial" w:cs="Arial"/>
                <w:b/>
                <w:sz w:val="18"/>
                <w:szCs w:val="18"/>
                <w:lang w:val="es-ES"/>
              </w:rPr>
              <w:t>Observaciones</w:t>
            </w:r>
          </w:p>
        </w:tc>
      </w:tr>
      <w:tr w:rsidR="00483D73" w:rsidRPr="00112314" w14:paraId="0DCE9B88" w14:textId="77777777" w:rsidTr="00B3684F">
        <w:trPr>
          <w:trHeight w:val="20"/>
        </w:trPr>
        <w:tc>
          <w:tcPr>
            <w:tcW w:w="1876" w:type="dxa"/>
          </w:tcPr>
          <w:p w14:paraId="2ACD50F0" w14:textId="77777777" w:rsidR="00483D73" w:rsidRPr="00483D73" w:rsidRDefault="00483D73" w:rsidP="00B3684F">
            <w:pPr>
              <w:rPr>
                <w:rFonts w:ascii="Arial" w:hAnsi="Arial" w:cs="Arial"/>
                <w:sz w:val="18"/>
                <w:szCs w:val="18"/>
                <w:lang w:val="es-ES"/>
              </w:rPr>
            </w:pPr>
            <w:r w:rsidRPr="00483D73">
              <w:rPr>
                <w:rFonts w:ascii="Arial" w:hAnsi="Arial" w:cs="Arial"/>
                <w:sz w:val="18"/>
                <w:szCs w:val="18"/>
                <w:lang w:val="es-ES"/>
              </w:rPr>
              <w:t>Mejora en la evaluación del GAFI de Guatemala para la recomendación 22 (Sucursales y Subsidiarias en el exterior)</w:t>
            </w:r>
          </w:p>
        </w:tc>
        <w:tc>
          <w:tcPr>
            <w:tcW w:w="1167" w:type="dxa"/>
          </w:tcPr>
          <w:p w14:paraId="21A6D348" w14:textId="77777777" w:rsidR="00483D73" w:rsidRPr="00483D73" w:rsidRDefault="00803A1B" w:rsidP="00B3684F">
            <w:pPr>
              <w:rPr>
                <w:rFonts w:ascii="Arial" w:hAnsi="Arial" w:cs="Arial"/>
                <w:sz w:val="18"/>
                <w:szCs w:val="18"/>
                <w:lang w:val="es-ES"/>
              </w:rPr>
            </w:pPr>
            <w:r>
              <w:rPr>
                <w:rFonts w:ascii="Arial" w:hAnsi="Arial" w:cs="Arial"/>
                <w:sz w:val="18"/>
                <w:szCs w:val="18"/>
                <w:lang w:val="es-ES"/>
              </w:rPr>
              <w:t>Cuatrienal (a cada 4 años)</w:t>
            </w:r>
          </w:p>
        </w:tc>
        <w:tc>
          <w:tcPr>
            <w:tcW w:w="1367" w:type="dxa"/>
          </w:tcPr>
          <w:p w14:paraId="180422F3" w14:textId="77777777" w:rsidR="00483D73" w:rsidRPr="00483D73" w:rsidRDefault="006E38F8" w:rsidP="00B3684F">
            <w:pPr>
              <w:rPr>
                <w:rFonts w:ascii="Arial" w:hAnsi="Arial" w:cs="Arial"/>
                <w:sz w:val="18"/>
                <w:szCs w:val="18"/>
                <w:lang w:val="es-ES"/>
              </w:rPr>
            </w:pPr>
            <w:hyperlink r:id="rId20" w:history="1">
              <w:r w:rsidR="00483D73" w:rsidRPr="00483D73">
                <w:rPr>
                  <w:rStyle w:val="Hyperlink"/>
                  <w:rFonts w:ascii="Arial" w:hAnsi="Arial" w:cs="Arial"/>
                  <w:sz w:val="18"/>
                  <w:szCs w:val="18"/>
                  <w:lang w:val="es-ES"/>
                </w:rPr>
                <w:t>Informe de evaluación del GAFI para Guatemala</w:t>
              </w:r>
            </w:hyperlink>
            <w:r w:rsidR="00483D73" w:rsidRPr="00483D73">
              <w:rPr>
                <w:rFonts w:ascii="Arial" w:hAnsi="Arial" w:cs="Arial"/>
                <w:sz w:val="18"/>
                <w:szCs w:val="18"/>
                <w:lang w:val="es-ES"/>
              </w:rPr>
              <w:t>.</w:t>
            </w:r>
          </w:p>
        </w:tc>
        <w:tc>
          <w:tcPr>
            <w:tcW w:w="3618" w:type="dxa"/>
          </w:tcPr>
          <w:p w14:paraId="71BD7F6E" w14:textId="77777777" w:rsidR="00483D73" w:rsidRPr="00483D73" w:rsidRDefault="00483D73" w:rsidP="00B3684F">
            <w:pPr>
              <w:rPr>
                <w:rFonts w:ascii="Arial" w:hAnsi="Arial" w:cs="Arial"/>
                <w:sz w:val="18"/>
                <w:szCs w:val="18"/>
                <w:lang w:val="es-ES"/>
              </w:rPr>
            </w:pPr>
            <w:r w:rsidRPr="00483D73">
              <w:rPr>
                <w:rFonts w:ascii="Arial" w:hAnsi="Arial" w:cs="Arial"/>
                <w:sz w:val="18"/>
                <w:szCs w:val="18"/>
                <w:lang w:val="es-ES"/>
              </w:rPr>
              <w:t>La Recomendación 22 se ha convertido en la recomendación 18 en la nueva versión de los estándares del GAFI publicada en 2012.</w:t>
            </w:r>
          </w:p>
        </w:tc>
      </w:tr>
      <w:tr w:rsidR="00C85F04" w:rsidRPr="00D25579" w14:paraId="5055AD58" w14:textId="77777777" w:rsidTr="00B3684F">
        <w:trPr>
          <w:trHeight w:val="20"/>
        </w:trPr>
        <w:tc>
          <w:tcPr>
            <w:tcW w:w="1876" w:type="dxa"/>
          </w:tcPr>
          <w:p w14:paraId="22368E4B" w14:textId="4D24CFCE" w:rsidR="00C85F04" w:rsidRPr="00D25579" w:rsidRDefault="00D25579" w:rsidP="00B3684F">
            <w:pPr>
              <w:rPr>
                <w:rFonts w:ascii="Arial" w:hAnsi="Arial" w:cs="Arial"/>
                <w:sz w:val="18"/>
                <w:szCs w:val="18"/>
                <w:lang w:val="es-ES"/>
              </w:rPr>
            </w:pPr>
            <w:r w:rsidRPr="00D25579">
              <w:rPr>
                <w:rFonts w:ascii="Arial" w:hAnsi="Arial" w:cs="Arial"/>
                <w:sz w:val="18"/>
                <w:szCs w:val="18"/>
              </w:rPr>
              <w:t>Flujos financieros ilícitos estimados para Guatemala</w:t>
            </w:r>
          </w:p>
        </w:tc>
        <w:tc>
          <w:tcPr>
            <w:tcW w:w="1167" w:type="dxa"/>
          </w:tcPr>
          <w:p w14:paraId="21FD8FA4" w14:textId="77777777" w:rsidR="00C85F04" w:rsidRPr="00D25579" w:rsidRDefault="00D25579" w:rsidP="00B3684F">
            <w:pPr>
              <w:rPr>
                <w:rFonts w:ascii="Arial" w:hAnsi="Arial" w:cs="Arial"/>
                <w:sz w:val="18"/>
                <w:szCs w:val="18"/>
                <w:lang w:val="es-ES"/>
              </w:rPr>
            </w:pPr>
            <w:r w:rsidRPr="00D25579">
              <w:rPr>
                <w:rFonts w:ascii="Arial" w:hAnsi="Arial" w:cs="Arial"/>
                <w:sz w:val="18"/>
                <w:szCs w:val="18"/>
                <w:lang w:val="es-ES"/>
              </w:rPr>
              <w:t>Anual</w:t>
            </w:r>
          </w:p>
        </w:tc>
        <w:tc>
          <w:tcPr>
            <w:tcW w:w="1367" w:type="dxa"/>
          </w:tcPr>
          <w:p w14:paraId="177C497E" w14:textId="7DDC0ABD" w:rsidR="00C85F04" w:rsidRPr="003519B1" w:rsidRDefault="006E38F8" w:rsidP="00B3684F">
            <w:pPr>
              <w:rPr>
                <w:rFonts w:ascii="Arial" w:hAnsi="Arial"/>
                <w:sz w:val="18"/>
              </w:rPr>
            </w:pPr>
            <w:hyperlink r:id="rId21" w:history="1">
              <w:r w:rsidR="00D25579" w:rsidRPr="00CA7E2F">
                <w:rPr>
                  <w:rStyle w:val="Hyperlink"/>
                  <w:rFonts w:ascii="Arial" w:hAnsi="Arial" w:cs="Arial"/>
                  <w:i/>
                  <w:sz w:val="18"/>
                  <w:szCs w:val="18"/>
                </w:rPr>
                <w:t>Global Financial Integrity</w:t>
              </w:r>
            </w:hyperlink>
            <w:r w:rsidR="00D25579" w:rsidRPr="00D25579">
              <w:rPr>
                <w:rFonts w:ascii="Arial" w:hAnsi="Arial" w:cs="Arial"/>
                <w:sz w:val="18"/>
                <w:szCs w:val="18"/>
              </w:rPr>
              <w:t xml:space="preserve"> (GFI)</w:t>
            </w:r>
          </w:p>
        </w:tc>
        <w:tc>
          <w:tcPr>
            <w:tcW w:w="3618" w:type="dxa"/>
          </w:tcPr>
          <w:p w14:paraId="161C221F" w14:textId="74539732" w:rsidR="00C85F04" w:rsidRPr="00D25579" w:rsidRDefault="00D25579" w:rsidP="00D25579">
            <w:pPr>
              <w:rPr>
                <w:rFonts w:ascii="Arial" w:hAnsi="Arial" w:cs="Arial"/>
                <w:sz w:val="18"/>
                <w:szCs w:val="18"/>
                <w:lang w:val="es-ES"/>
              </w:rPr>
            </w:pPr>
            <w:r w:rsidRPr="00D25579">
              <w:rPr>
                <w:rFonts w:ascii="Arial" w:hAnsi="Arial" w:cs="Arial"/>
                <w:sz w:val="18"/>
                <w:szCs w:val="18"/>
                <w:lang w:val="es-ES"/>
              </w:rPr>
              <w:t>Se estima una reducción de 10% en estos flujos con las acciones de incremento de la transparencia financiera</w:t>
            </w:r>
            <w:r>
              <w:rPr>
                <w:rFonts w:ascii="Arial" w:hAnsi="Arial" w:cs="Arial"/>
                <w:sz w:val="18"/>
                <w:szCs w:val="18"/>
                <w:lang w:val="es-ES"/>
              </w:rPr>
              <w:t>; de US$ 2.179 millones (promedio 2004-2013) a US$ 1.961 millones (promedio 2018-2019)</w:t>
            </w:r>
          </w:p>
        </w:tc>
      </w:tr>
    </w:tbl>
    <w:p w14:paraId="01E7D7A6" w14:textId="739F7E54" w:rsidR="002D75F2" w:rsidRPr="004D3E12" w:rsidRDefault="002D75F2" w:rsidP="000843D5">
      <w:pPr>
        <w:pStyle w:val="SecHeading"/>
        <w:numPr>
          <w:ilvl w:val="0"/>
          <w:numId w:val="0"/>
        </w:numPr>
        <w:ind w:left="1296" w:hanging="576"/>
        <w:jc w:val="center"/>
        <w:rPr>
          <w:rFonts w:ascii="Arial" w:hAnsi="Arial" w:cs="Arial"/>
          <w:sz w:val="20"/>
        </w:rPr>
      </w:pPr>
      <w:bookmarkStart w:id="4" w:name="_Toc455669844"/>
      <w:r w:rsidRPr="004D3E12">
        <w:rPr>
          <w:rFonts w:ascii="Arial" w:hAnsi="Arial" w:cs="Arial"/>
          <w:sz w:val="20"/>
        </w:rPr>
        <w:t>Cuadro 3</w:t>
      </w:r>
      <w:r w:rsidR="00AC0AA2" w:rsidRPr="004D3E12">
        <w:rPr>
          <w:rFonts w:ascii="Arial" w:hAnsi="Arial" w:cs="Arial"/>
          <w:sz w:val="20"/>
        </w:rPr>
        <w:t>b</w:t>
      </w:r>
      <w:r w:rsidRPr="004D3E12">
        <w:rPr>
          <w:rFonts w:ascii="Arial" w:hAnsi="Arial" w:cs="Arial"/>
          <w:sz w:val="20"/>
        </w:rPr>
        <w:t xml:space="preserve">: Indicadores de Resultados Intermedios </w:t>
      </w:r>
      <w:r w:rsidR="002F0D3B">
        <w:rPr>
          <w:rFonts w:ascii="Arial" w:hAnsi="Arial" w:cs="Arial"/>
          <w:sz w:val="20"/>
        </w:rPr>
        <w:t xml:space="preserve">para mejorar la </w:t>
      </w:r>
      <w:r w:rsidR="002F0D3B" w:rsidRPr="004D3E12">
        <w:rPr>
          <w:rFonts w:ascii="Arial" w:hAnsi="Arial" w:cs="Arial"/>
          <w:sz w:val="20"/>
        </w:rPr>
        <w:t xml:space="preserve">transparencia </w:t>
      </w:r>
      <w:r w:rsidR="002F0D3B">
        <w:rPr>
          <w:rFonts w:ascii="Arial" w:hAnsi="Arial" w:cs="Arial"/>
          <w:sz w:val="20"/>
        </w:rPr>
        <w:t xml:space="preserve">del sector </w:t>
      </w:r>
      <w:r w:rsidR="002F0D3B" w:rsidRPr="004D3E12">
        <w:rPr>
          <w:rFonts w:ascii="Arial" w:hAnsi="Arial" w:cs="Arial"/>
          <w:sz w:val="20"/>
        </w:rPr>
        <w:t>financier</w:t>
      </w:r>
      <w:r w:rsidR="002F0D3B">
        <w:rPr>
          <w:rFonts w:ascii="Arial" w:hAnsi="Arial" w:cs="Arial"/>
          <w:sz w:val="20"/>
        </w:rPr>
        <w:t>o</w:t>
      </w:r>
    </w:p>
    <w:tbl>
      <w:tblPr>
        <w:tblStyle w:val="TableGrid"/>
        <w:tblW w:w="0" w:type="auto"/>
        <w:tblInd w:w="828" w:type="dxa"/>
        <w:tblLayout w:type="fixed"/>
        <w:tblLook w:val="04A0" w:firstRow="1" w:lastRow="0" w:firstColumn="1" w:lastColumn="0" w:noHBand="0" w:noVBand="1"/>
      </w:tblPr>
      <w:tblGrid>
        <w:gridCol w:w="1876"/>
        <w:gridCol w:w="1167"/>
        <w:gridCol w:w="1367"/>
        <w:gridCol w:w="3618"/>
      </w:tblGrid>
      <w:tr w:rsidR="002D75F2" w:rsidRPr="00112314" w14:paraId="62364A20" w14:textId="77777777" w:rsidTr="008B0F2A">
        <w:trPr>
          <w:trHeight w:val="20"/>
          <w:tblHeader/>
        </w:trPr>
        <w:tc>
          <w:tcPr>
            <w:tcW w:w="1876" w:type="dxa"/>
            <w:tcBorders>
              <w:bottom w:val="single" w:sz="4" w:space="0" w:color="auto"/>
            </w:tcBorders>
            <w:shd w:val="clear" w:color="auto" w:fill="B6DDE8" w:themeFill="accent5" w:themeFillTint="66"/>
            <w:vAlign w:val="center"/>
          </w:tcPr>
          <w:p w14:paraId="4218CA6F" w14:textId="77777777" w:rsidR="002D75F2" w:rsidRPr="00112314" w:rsidRDefault="002D75F2" w:rsidP="008B0F2A">
            <w:pPr>
              <w:jc w:val="center"/>
              <w:rPr>
                <w:rFonts w:ascii="Arial" w:hAnsi="Arial" w:cs="Arial"/>
                <w:b/>
                <w:sz w:val="18"/>
                <w:szCs w:val="18"/>
                <w:lang w:val="es-ES"/>
              </w:rPr>
            </w:pPr>
            <w:r w:rsidRPr="00112314">
              <w:rPr>
                <w:rFonts w:ascii="Arial" w:hAnsi="Arial" w:cs="Arial"/>
                <w:b/>
                <w:sz w:val="18"/>
                <w:szCs w:val="18"/>
                <w:lang w:val="es-ES"/>
              </w:rPr>
              <w:t>Indicador</w:t>
            </w:r>
          </w:p>
        </w:tc>
        <w:tc>
          <w:tcPr>
            <w:tcW w:w="1167" w:type="dxa"/>
            <w:tcBorders>
              <w:bottom w:val="single" w:sz="4" w:space="0" w:color="auto"/>
            </w:tcBorders>
            <w:shd w:val="clear" w:color="auto" w:fill="B6DDE8" w:themeFill="accent5" w:themeFillTint="66"/>
            <w:vAlign w:val="center"/>
          </w:tcPr>
          <w:p w14:paraId="4C1AE103" w14:textId="77777777" w:rsidR="002D75F2" w:rsidRPr="00112314" w:rsidRDefault="002D75F2" w:rsidP="008B0F2A">
            <w:pPr>
              <w:jc w:val="center"/>
              <w:rPr>
                <w:rFonts w:ascii="Arial" w:hAnsi="Arial" w:cs="Arial"/>
                <w:b/>
                <w:sz w:val="18"/>
                <w:szCs w:val="18"/>
                <w:lang w:val="es-ES"/>
              </w:rPr>
            </w:pPr>
            <w:r w:rsidRPr="00112314">
              <w:rPr>
                <w:rFonts w:ascii="Arial" w:hAnsi="Arial" w:cs="Arial"/>
                <w:b/>
                <w:sz w:val="18"/>
                <w:szCs w:val="18"/>
                <w:lang w:val="es-ES"/>
              </w:rPr>
              <w:t>Frecuenci</w:t>
            </w:r>
            <w:r>
              <w:rPr>
                <w:rFonts w:ascii="Arial" w:hAnsi="Arial" w:cs="Arial"/>
                <w:b/>
                <w:sz w:val="18"/>
                <w:szCs w:val="18"/>
                <w:lang w:val="es-ES"/>
              </w:rPr>
              <w:t>a</w:t>
            </w:r>
          </w:p>
        </w:tc>
        <w:tc>
          <w:tcPr>
            <w:tcW w:w="1367" w:type="dxa"/>
            <w:tcBorders>
              <w:bottom w:val="single" w:sz="4" w:space="0" w:color="auto"/>
            </w:tcBorders>
            <w:shd w:val="clear" w:color="auto" w:fill="B6DDE8" w:themeFill="accent5" w:themeFillTint="66"/>
            <w:vAlign w:val="center"/>
          </w:tcPr>
          <w:p w14:paraId="3E36FE04" w14:textId="77777777" w:rsidR="002D75F2" w:rsidRPr="00112314" w:rsidRDefault="002D75F2" w:rsidP="008B0F2A">
            <w:pPr>
              <w:jc w:val="center"/>
              <w:rPr>
                <w:rFonts w:ascii="Arial" w:hAnsi="Arial" w:cs="Arial"/>
                <w:b/>
                <w:sz w:val="18"/>
                <w:szCs w:val="18"/>
                <w:lang w:val="es-ES"/>
              </w:rPr>
            </w:pPr>
            <w:r>
              <w:rPr>
                <w:rFonts w:ascii="Arial" w:hAnsi="Arial" w:cs="Arial"/>
                <w:b/>
                <w:sz w:val="18"/>
                <w:szCs w:val="18"/>
                <w:lang w:val="es-ES"/>
              </w:rPr>
              <w:t>Medio</w:t>
            </w:r>
            <w:r w:rsidRPr="00112314">
              <w:rPr>
                <w:rFonts w:ascii="Arial" w:hAnsi="Arial" w:cs="Arial"/>
                <w:b/>
                <w:sz w:val="18"/>
                <w:szCs w:val="18"/>
                <w:lang w:val="es-ES"/>
              </w:rPr>
              <w:t xml:space="preserve"> de Verificación</w:t>
            </w:r>
          </w:p>
        </w:tc>
        <w:tc>
          <w:tcPr>
            <w:tcW w:w="3618" w:type="dxa"/>
            <w:tcBorders>
              <w:bottom w:val="single" w:sz="4" w:space="0" w:color="auto"/>
            </w:tcBorders>
            <w:shd w:val="clear" w:color="auto" w:fill="B6DDE8" w:themeFill="accent5" w:themeFillTint="66"/>
            <w:vAlign w:val="center"/>
          </w:tcPr>
          <w:p w14:paraId="5EBBB5B2" w14:textId="77777777" w:rsidR="002D75F2" w:rsidRPr="00112314" w:rsidRDefault="002D75F2" w:rsidP="008B0F2A">
            <w:pPr>
              <w:jc w:val="center"/>
              <w:rPr>
                <w:rFonts w:ascii="Arial" w:hAnsi="Arial" w:cs="Arial"/>
                <w:b/>
                <w:sz w:val="18"/>
                <w:szCs w:val="18"/>
                <w:lang w:val="es-ES"/>
              </w:rPr>
            </w:pPr>
            <w:r>
              <w:rPr>
                <w:rFonts w:ascii="Arial" w:hAnsi="Arial" w:cs="Arial"/>
                <w:b/>
                <w:sz w:val="18"/>
                <w:szCs w:val="18"/>
                <w:lang w:val="es-ES"/>
              </w:rPr>
              <w:t>Observaciones</w:t>
            </w:r>
          </w:p>
        </w:tc>
      </w:tr>
      <w:tr w:rsidR="002D75F2" w:rsidRPr="00112314" w14:paraId="115A8325" w14:textId="77777777" w:rsidTr="008B0F2A">
        <w:trPr>
          <w:trHeight w:val="20"/>
        </w:trPr>
        <w:tc>
          <w:tcPr>
            <w:tcW w:w="1876" w:type="dxa"/>
          </w:tcPr>
          <w:p w14:paraId="57C68D02" w14:textId="77777777" w:rsidR="002D75F2" w:rsidRPr="00483D73" w:rsidRDefault="002D75F2" w:rsidP="008B0F2A">
            <w:pPr>
              <w:rPr>
                <w:rFonts w:ascii="Arial" w:hAnsi="Arial" w:cs="Arial"/>
                <w:sz w:val="18"/>
                <w:lang w:val="es-ES"/>
              </w:rPr>
            </w:pPr>
            <w:r w:rsidRPr="00483D73">
              <w:rPr>
                <w:rFonts w:ascii="Arial" w:hAnsi="Arial" w:cs="Arial"/>
                <w:sz w:val="18"/>
                <w:lang w:val="es-ES"/>
              </w:rPr>
              <w:t>Capital computable promedio de las entidades de Guatemala Fuera de Plaza que otorgan financiamiento en moneda extranjera</w:t>
            </w:r>
          </w:p>
        </w:tc>
        <w:tc>
          <w:tcPr>
            <w:tcW w:w="1167" w:type="dxa"/>
          </w:tcPr>
          <w:p w14:paraId="771C6854" w14:textId="77777777" w:rsidR="002D75F2" w:rsidRPr="00483D73" w:rsidRDefault="002D75F2" w:rsidP="008B0F2A">
            <w:pPr>
              <w:rPr>
                <w:rFonts w:ascii="Arial" w:hAnsi="Arial" w:cs="Arial"/>
                <w:sz w:val="18"/>
                <w:szCs w:val="18"/>
                <w:lang w:val="es-ES"/>
              </w:rPr>
            </w:pPr>
            <w:r>
              <w:rPr>
                <w:rFonts w:ascii="Arial" w:hAnsi="Arial" w:cs="Arial"/>
                <w:sz w:val="18"/>
                <w:szCs w:val="18"/>
                <w:lang w:val="es-ES"/>
              </w:rPr>
              <w:t>Anual</w:t>
            </w:r>
          </w:p>
        </w:tc>
        <w:tc>
          <w:tcPr>
            <w:tcW w:w="1367" w:type="dxa"/>
          </w:tcPr>
          <w:p w14:paraId="17DB6038" w14:textId="6CDCA0B5" w:rsidR="002D75F2" w:rsidRPr="00483D73" w:rsidRDefault="002B692F" w:rsidP="008B0F2A">
            <w:pPr>
              <w:rPr>
                <w:rFonts w:ascii="Arial" w:hAnsi="Arial" w:cs="Arial"/>
                <w:sz w:val="18"/>
                <w:lang w:val="es-ES"/>
              </w:rPr>
            </w:pPr>
            <w:r>
              <w:rPr>
                <w:rFonts w:ascii="Arial" w:hAnsi="Arial" w:cs="Arial"/>
                <w:sz w:val="18"/>
                <w:lang w:val="es-ES"/>
              </w:rPr>
              <w:t>SIB</w:t>
            </w:r>
          </w:p>
        </w:tc>
        <w:tc>
          <w:tcPr>
            <w:tcW w:w="3618" w:type="dxa"/>
          </w:tcPr>
          <w:p w14:paraId="56070801" w14:textId="77777777" w:rsidR="002D75F2" w:rsidRDefault="002D75F2" w:rsidP="008B0F2A">
            <w:pPr>
              <w:rPr>
                <w:rFonts w:ascii="Arial" w:hAnsi="Arial" w:cs="Arial"/>
                <w:sz w:val="18"/>
                <w:lang w:val="es-GT"/>
              </w:rPr>
            </w:pPr>
            <w:r w:rsidRPr="00483D73">
              <w:rPr>
                <w:rFonts w:ascii="Arial" w:hAnsi="Arial" w:cs="Arial"/>
                <w:sz w:val="18"/>
                <w:lang w:val="es-GT"/>
              </w:rPr>
              <w:t xml:space="preserve">El capital adicional estaría en función del modelo de negocio de cada entidad, por lo que si los activos ponderados por riesgo incluyen financiamiento </w:t>
            </w:r>
            <w:r w:rsidRPr="00483D73">
              <w:rPr>
                <w:rFonts w:ascii="Arial" w:hAnsi="Arial" w:cs="Arial"/>
                <w:sz w:val="18"/>
                <w:lang w:val="es-ES"/>
              </w:rPr>
              <w:t xml:space="preserve">a deudores no generadores de divisas, </w:t>
            </w:r>
            <w:r w:rsidRPr="00483D73">
              <w:rPr>
                <w:rFonts w:ascii="Arial" w:hAnsi="Arial" w:cs="Arial"/>
                <w:sz w:val="18"/>
                <w:lang w:val="es-GT"/>
              </w:rPr>
              <w:t>se debe observar un incremento en el requerimiento de capital. El cargo adicional de capital es gradual, del 20% para ese tipo de exposiciones en 2018, 30% para 2019, y 40% para 2020.</w:t>
            </w:r>
          </w:p>
          <w:p w14:paraId="66CAE906" w14:textId="77777777" w:rsidR="0076351F" w:rsidRPr="00483D73" w:rsidRDefault="0076351F" w:rsidP="0076351F">
            <w:pPr>
              <w:rPr>
                <w:rFonts w:ascii="Arial" w:hAnsi="Arial" w:cs="Arial"/>
                <w:sz w:val="18"/>
                <w:lang w:val="es-ES"/>
              </w:rPr>
            </w:pPr>
            <w:r>
              <w:rPr>
                <w:rFonts w:ascii="Arial" w:hAnsi="Arial" w:cs="Arial"/>
                <w:sz w:val="18"/>
                <w:lang w:val="es-GT"/>
              </w:rPr>
              <w:t xml:space="preserve">De un capital total de Q.533,32 millones </w:t>
            </w:r>
            <w:r>
              <w:rPr>
                <w:rFonts w:ascii="Arial" w:hAnsi="Arial" w:cs="Arial"/>
                <w:sz w:val="18"/>
                <w:lang w:val="es-GT"/>
              </w:rPr>
              <w:lastRenderedPageBreak/>
              <w:t>en el 2015, subiría a Q.670 millones al 2019.</w:t>
            </w:r>
          </w:p>
        </w:tc>
      </w:tr>
      <w:tr w:rsidR="002D75F2" w:rsidRPr="00112314" w14:paraId="0DEC93B3" w14:textId="77777777" w:rsidTr="008B0F2A">
        <w:trPr>
          <w:trHeight w:val="20"/>
        </w:trPr>
        <w:tc>
          <w:tcPr>
            <w:tcW w:w="1876" w:type="dxa"/>
          </w:tcPr>
          <w:p w14:paraId="5865CE80" w14:textId="77777777" w:rsidR="002D75F2" w:rsidRPr="00483D73" w:rsidRDefault="002D75F2" w:rsidP="008B0F2A">
            <w:pPr>
              <w:rPr>
                <w:rFonts w:ascii="Arial" w:hAnsi="Arial" w:cs="Arial"/>
                <w:sz w:val="18"/>
                <w:lang w:val="es-ES"/>
              </w:rPr>
            </w:pPr>
            <w:r w:rsidRPr="00483D73">
              <w:rPr>
                <w:rFonts w:ascii="Arial" w:hAnsi="Arial" w:cs="Arial"/>
                <w:sz w:val="18"/>
                <w:lang w:val="es-ES"/>
              </w:rPr>
              <w:lastRenderedPageBreak/>
              <w:t>Indicadores de Rentabilidad de Entidades Fuera de Plaza</w:t>
            </w:r>
          </w:p>
        </w:tc>
        <w:tc>
          <w:tcPr>
            <w:tcW w:w="1167" w:type="dxa"/>
          </w:tcPr>
          <w:p w14:paraId="54AFD6D8" w14:textId="77777777" w:rsidR="002D75F2" w:rsidRPr="00483D73" w:rsidRDefault="002D75F2" w:rsidP="008B0F2A">
            <w:pPr>
              <w:rPr>
                <w:rFonts w:ascii="Arial" w:hAnsi="Arial" w:cs="Arial"/>
                <w:sz w:val="18"/>
                <w:szCs w:val="18"/>
                <w:lang w:val="es-ES"/>
              </w:rPr>
            </w:pPr>
            <w:r>
              <w:rPr>
                <w:rFonts w:ascii="Arial" w:hAnsi="Arial" w:cs="Arial"/>
                <w:sz w:val="18"/>
                <w:szCs w:val="18"/>
                <w:lang w:val="es-ES"/>
              </w:rPr>
              <w:t>Anual</w:t>
            </w:r>
          </w:p>
        </w:tc>
        <w:tc>
          <w:tcPr>
            <w:tcW w:w="1367" w:type="dxa"/>
          </w:tcPr>
          <w:p w14:paraId="78D20E35" w14:textId="670E2355" w:rsidR="002D75F2" w:rsidRPr="00483D73" w:rsidRDefault="002B692F" w:rsidP="008B0F2A">
            <w:pPr>
              <w:rPr>
                <w:rFonts w:ascii="Arial" w:hAnsi="Arial" w:cs="Arial"/>
                <w:sz w:val="18"/>
                <w:lang w:val="es-ES"/>
              </w:rPr>
            </w:pPr>
            <w:r>
              <w:rPr>
                <w:rFonts w:ascii="Arial" w:hAnsi="Arial" w:cs="Arial"/>
                <w:sz w:val="18"/>
                <w:lang w:val="es-ES"/>
              </w:rPr>
              <w:t>SIB</w:t>
            </w:r>
          </w:p>
        </w:tc>
        <w:tc>
          <w:tcPr>
            <w:tcW w:w="3618" w:type="dxa"/>
          </w:tcPr>
          <w:p w14:paraId="2D77FD1E" w14:textId="77777777" w:rsidR="002D75F2" w:rsidRDefault="002D75F2" w:rsidP="008B0F2A">
            <w:pPr>
              <w:rPr>
                <w:rFonts w:ascii="Arial" w:hAnsi="Arial" w:cs="Arial"/>
                <w:sz w:val="18"/>
                <w:lang w:val="es-ES"/>
              </w:rPr>
            </w:pPr>
            <w:r w:rsidRPr="00483D73">
              <w:rPr>
                <w:rFonts w:ascii="Arial" w:hAnsi="Arial" w:cs="Arial"/>
                <w:sz w:val="18"/>
                <w:lang w:val="es-ES"/>
              </w:rPr>
              <w:t xml:space="preserve">La publicación de indicadores adicionales sobre Rentabilidad para las entidades </w:t>
            </w:r>
            <w:r w:rsidRPr="00A5350D">
              <w:rPr>
                <w:rFonts w:ascii="Arial" w:hAnsi="Arial" w:cs="Arial"/>
                <w:i/>
                <w:sz w:val="18"/>
                <w:lang w:val="es-ES"/>
              </w:rPr>
              <w:t>off</w:t>
            </w:r>
            <w:r>
              <w:rPr>
                <w:rFonts w:ascii="Arial" w:hAnsi="Arial" w:cs="Arial"/>
                <w:i/>
                <w:sz w:val="18"/>
                <w:lang w:val="es-ES"/>
              </w:rPr>
              <w:t>-</w:t>
            </w:r>
            <w:r w:rsidRPr="00A5350D">
              <w:rPr>
                <w:rFonts w:ascii="Arial" w:hAnsi="Arial" w:cs="Arial"/>
                <w:i/>
                <w:sz w:val="18"/>
                <w:lang w:val="es-ES"/>
              </w:rPr>
              <w:t>shore</w:t>
            </w:r>
            <w:r w:rsidRPr="00483D73">
              <w:rPr>
                <w:rFonts w:ascii="Arial" w:hAnsi="Arial" w:cs="Arial"/>
                <w:sz w:val="18"/>
                <w:lang w:val="es-ES"/>
              </w:rPr>
              <w:t>, debería aumentar el nivel de información del sector, resaltada por la evaluación del GAFI de 2010 como una de las debilidades del sistema anti-lavado del  país, y por ende contribuir a aumentar el nivel de la transparencia financiera.</w:t>
            </w:r>
          </w:p>
          <w:p w14:paraId="6F363718" w14:textId="77777777" w:rsidR="001C5CED" w:rsidRPr="00483D73" w:rsidRDefault="001C5CED" w:rsidP="008B0F2A">
            <w:pPr>
              <w:rPr>
                <w:rFonts w:ascii="Arial" w:hAnsi="Arial" w:cs="Arial"/>
                <w:sz w:val="18"/>
                <w:lang w:val="es-ES"/>
              </w:rPr>
            </w:pPr>
            <w:r>
              <w:rPr>
                <w:rFonts w:ascii="Arial" w:hAnsi="Arial" w:cs="Arial"/>
                <w:sz w:val="18"/>
                <w:szCs w:val="18"/>
                <w:lang w:val="es-ES"/>
              </w:rPr>
              <w:t>Incrementarán de 3 a 4 indicadores del 2015 al 2017.</w:t>
            </w:r>
          </w:p>
        </w:tc>
      </w:tr>
      <w:tr w:rsidR="002D75F2" w:rsidRPr="00112314" w14:paraId="387AF9D4" w14:textId="77777777" w:rsidTr="008B0F2A">
        <w:trPr>
          <w:trHeight w:val="20"/>
        </w:trPr>
        <w:tc>
          <w:tcPr>
            <w:tcW w:w="1876" w:type="dxa"/>
          </w:tcPr>
          <w:p w14:paraId="47EAF6CB" w14:textId="77777777" w:rsidR="002D75F2" w:rsidRPr="00483D73" w:rsidRDefault="002D75F2" w:rsidP="008B0F2A">
            <w:pPr>
              <w:rPr>
                <w:rFonts w:ascii="Arial" w:hAnsi="Arial" w:cs="Arial"/>
                <w:sz w:val="18"/>
                <w:szCs w:val="18"/>
                <w:lang w:val="es-ES"/>
              </w:rPr>
            </w:pPr>
            <w:r w:rsidRPr="00483D73">
              <w:rPr>
                <w:rFonts w:ascii="Arial" w:hAnsi="Arial" w:cs="Arial"/>
                <w:sz w:val="18"/>
                <w:szCs w:val="18"/>
                <w:lang w:val="es-ES"/>
              </w:rPr>
              <w:t xml:space="preserve">Factor de Fortaleza Institucional de la Evaluación que realiza Moody´s sobre </w:t>
            </w:r>
            <w:r w:rsidRPr="00483D73">
              <w:rPr>
                <w:rFonts w:ascii="Arial" w:hAnsi="Arial" w:cs="Arial"/>
                <w:i/>
                <w:sz w:val="18"/>
                <w:szCs w:val="18"/>
                <w:lang w:val="es-ES"/>
              </w:rPr>
              <w:t>Sovereign Bond Rating</w:t>
            </w:r>
            <w:r w:rsidRPr="00483D73">
              <w:rPr>
                <w:rFonts w:ascii="Arial" w:hAnsi="Arial" w:cs="Arial"/>
                <w:sz w:val="18"/>
                <w:szCs w:val="18"/>
                <w:lang w:val="es-ES"/>
              </w:rPr>
              <w:t xml:space="preserve"> para Guatemala.</w:t>
            </w:r>
          </w:p>
        </w:tc>
        <w:tc>
          <w:tcPr>
            <w:tcW w:w="1167" w:type="dxa"/>
          </w:tcPr>
          <w:p w14:paraId="1C0AAF80" w14:textId="77777777" w:rsidR="002D75F2" w:rsidRPr="00483D73" w:rsidRDefault="002D75F2" w:rsidP="008B0F2A">
            <w:pPr>
              <w:rPr>
                <w:rFonts w:ascii="Arial" w:hAnsi="Arial" w:cs="Arial"/>
                <w:sz w:val="18"/>
                <w:szCs w:val="18"/>
                <w:lang w:val="es-ES"/>
              </w:rPr>
            </w:pPr>
            <w:r>
              <w:rPr>
                <w:rFonts w:ascii="Arial" w:hAnsi="Arial" w:cs="Arial"/>
                <w:sz w:val="18"/>
                <w:szCs w:val="18"/>
                <w:lang w:val="es-ES"/>
              </w:rPr>
              <w:t>Anual</w:t>
            </w:r>
          </w:p>
        </w:tc>
        <w:tc>
          <w:tcPr>
            <w:tcW w:w="1367" w:type="dxa"/>
          </w:tcPr>
          <w:p w14:paraId="60FB8E99" w14:textId="77777777" w:rsidR="002D75F2" w:rsidRPr="00483D73" w:rsidRDefault="006E38F8" w:rsidP="008B0F2A">
            <w:pPr>
              <w:rPr>
                <w:rFonts w:ascii="Arial" w:hAnsi="Arial" w:cs="Arial"/>
                <w:sz w:val="18"/>
                <w:szCs w:val="18"/>
              </w:rPr>
            </w:pPr>
            <w:hyperlink r:id="rId22" w:history="1">
              <w:r w:rsidR="002D75F2" w:rsidRPr="00483D73">
                <w:rPr>
                  <w:rStyle w:val="Hyperlink"/>
                  <w:rFonts w:ascii="Arial" w:hAnsi="Arial" w:cs="Arial"/>
                  <w:sz w:val="18"/>
                  <w:szCs w:val="18"/>
                </w:rPr>
                <w:t>https://www.moodys.com/</w:t>
              </w:r>
            </w:hyperlink>
          </w:p>
        </w:tc>
        <w:tc>
          <w:tcPr>
            <w:tcW w:w="3618" w:type="dxa"/>
          </w:tcPr>
          <w:p w14:paraId="2D9A8044" w14:textId="77777777" w:rsidR="002D75F2" w:rsidRDefault="002D75F2" w:rsidP="008B0F2A">
            <w:pPr>
              <w:rPr>
                <w:rFonts w:ascii="Arial" w:hAnsi="Arial" w:cs="Arial"/>
                <w:sz w:val="18"/>
                <w:szCs w:val="18"/>
              </w:rPr>
            </w:pPr>
            <w:r w:rsidRPr="00483D73">
              <w:rPr>
                <w:rFonts w:ascii="Arial" w:hAnsi="Arial" w:cs="Arial"/>
                <w:sz w:val="18"/>
                <w:szCs w:val="18"/>
              </w:rPr>
              <w:t xml:space="preserve">En el Factor de </w:t>
            </w:r>
            <w:hyperlink r:id="rId23" w:history="1">
              <w:r w:rsidRPr="00483D73">
                <w:rPr>
                  <w:rStyle w:val="Hyperlink"/>
                  <w:rFonts w:ascii="Arial" w:hAnsi="Arial" w:cs="Arial"/>
                  <w:sz w:val="18"/>
                  <w:szCs w:val="18"/>
                </w:rPr>
                <w:t>Fortaleza Institucional</w:t>
              </w:r>
            </w:hyperlink>
            <w:r w:rsidRPr="00483D73">
              <w:rPr>
                <w:rFonts w:ascii="Arial" w:hAnsi="Arial" w:cs="Arial"/>
                <w:sz w:val="18"/>
                <w:szCs w:val="18"/>
              </w:rPr>
              <w:t xml:space="preserve"> que usa Moody´s el control de la corrupción tiene un peso de 25%.</w:t>
            </w:r>
          </w:p>
          <w:p w14:paraId="1B376DC6" w14:textId="77777777" w:rsidR="00EF452E" w:rsidRPr="00483D73" w:rsidRDefault="001C5CED" w:rsidP="00EF452E">
            <w:pPr>
              <w:rPr>
                <w:rFonts w:ascii="Arial" w:hAnsi="Arial" w:cs="Arial"/>
                <w:sz w:val="18"/>
                <w:szCs w:val="18"/>
              </w:rPr>
            </w:pPr>
            <w:r>
              <w:rPr>
                <w:rFonts w:ascii="Arial" w:hAnsi="Arial" w:cs="Arial"/>
                <w:sz w:val="18"/>
                <w:szCs w:val="18"/>
              </w:rPr>
              <w:t>Se estima que podría subir de Low- (2015) a Low+ (2019).</w:t>
            </w:r>
          </w:p>
        </w:tc>
      </w:tr>
      <w:tr w:rsidR="002D75F2" w:rsidRPr="00112314" w14:paraId="2A3C0D57" w14:textId="77777777" w:rsidTr="008B0F2A">
        <w:trPr>
          <w:trHeight w:val="20"/>
        </w:trPr>
        <w:tc>
          <w:tcPr>
            <w:tcW w:w="1876" w:type="dxa"/>
          </w:tcPr>
          <w:p w14:paraId="60CF1CFF" w14:textId="77777777" w:rsidR="002D75F2" w:rsidRPr="00483D73" w:rsidRDefault="002D75F2" w:rsidP="008B0F2A">
            <w:pPr>
              <w:rPr>
                <w:rFonts w:ascii="Arial" w:hAnsi="Arial" w:cs="Arial"/>
                <w:sz w:val="18"/>
                <w:szCs w:val="18"/>
                <w:lang w:val="es-ES"/>
              </w:rPr>
            </w:pPr>
            <w:r w:rsidRPr="00483D73">
              <w:rPr>
                <w:rFonts w:ascii="Arial" w:hAnsi="Arial" w:cs="Arial"/>
                <w:sz w:val="18"/>
                <w:szCs w:val="18"/>
                <w:lang w:val="es-ES"/>
              </w:rPr>
              <w:t xml:space="preserve">Mejora en el </w:t>
            </w:r>
            <w:r w:rsidRPr="00483D73">
              <w:rPr>
                <w:rFonts w:ascii="Arial" w:hAnsi="Arial" w:cs="Arial"/>
                <w:i/>
                <w:sz w:val="18"/>
                <w:szCs w:val="18"/>
                <w:lang w:val="es-ES"/>
              </w:rPr>
              <w:t>Secrecy Score</w:t>
            </w:r>
            <w:r w:rsidRPr="00483D73">
              <w:rPr>
                <w:rFonts w:ascii="Arial" w:hAnsi="Arial" w:cs="Arial"/>
                <w:sz w:val="18"/>
                <w:szCs w:val="18"/>
                <w:lang w:val="es-ES"/>
              </w:rPr>
              <w:t xml:space="preserve"> del </w:t>
            </w:r>
            <w:r w:rsidRPr="00483D73">
              <w:rPr>
                <w:rFonts w:ascii="Arial" w:hAnsi="Arial" w:cs="Arial"/>
                <w:i/>
                <w:sz w:val="18"/>
                <w:szCs w:val="18"/>
                <w:lang w:val="es-ES"/>
              </w:rPr>
              <w:t>Tax Justice Network</w:t>
            </w:r>
          </w:p>
        </w:tc>
        <w:tc>
          <w:tcPr>
            <w:tcW w:w="1167" w:type="dxa"/>
          </w:tcPr>
          <w:p w14:paraId="04983A75" w14:textId="77777777" w:rsidR="002D75F2" w:rsidRPr="00483D73" w:rsidRDefault="002D75F2" w:rsidP="008B0F2A">
            <w:pPr>
              <w:rPr>
                <w:rFonts w:ascii="Arial" w:hAnsi="Arial" w:cs="Arial"/>
                <w:sz w:val="18"/>
                <w:szCs w:val="18"/>
                <w:lang w:val="es-ES"/>
              </w:rPr>
            </w:pPr>
            <w:r>
              <w:rPr>
                <w:rFonts w:ascii="Arial" w:hAnsi="Arial" w:cs="Arial"/>
                <w:sz w:val="18"/>
                <w:szCs w:val="18"/>
                <w:lang w:val="es-ES"/>
              </w:rPr>
              <w:t>Anual</w:t>
            </w:r>
          </w:p>
        </w:tc>
        <w:tc>
          <w:tcPr>
            <w:tcW w:w="1367" w:type="dxa"/>
          </w:tcPr>
          <w:p w14:paraId="5F07497B" w14:textId="77777777" w:rsidR="002D75F2" w:rsidRPr="00483D73" w:rsidRDefault="00D1342A" w:rsidP="008B0F2A">
            <w:pPr>
              <w:rPr>
                <w:rFonts w:ascii="Arial" w:hAnsi="Arial" w:cs="Arial"/>
                <w:sz w:val="18"/>
                <w:szCs w:val="18"/>
                <w:lang w:val="en-US"/>
              </w:rPr>
            </w:pPr>
            <w:hyperlink r:id="rId24" w:history="1">
              <w:r w:rsidR="002D75F2" w:rsidRPr="00483D73">
                <w:rPr>
                  <w:rStyle w:val="Hyperlink"/>
                  <w:rFonts w:ascii="Arial" w:hAnsi="Arial" w:cs="Arial"/>
                  <w:sz w:val="18"/>
                  <w:szCs w:val="18"/>
                  <w:lang w:val="en-US"/>
                </w:rPr>
                <w:t>Secrecy Score</w:t>
              </w:r>
            </w:hyperlink>
            <w:r w:rsidR="002D75F2" w:rsidRPr="00483D73">
              <w:rPr>
                <w:rFonts w:ascii="Arial" w:hAnsi="Arial" w:cs="Arial"/>
                <w:sz w:val="18"/>
                <w:szCs w:val="18"/>
                <w:lang w:val="en-US"/>
              </w:rPr>
              <w:t xml:space="preserve"> del Tax Justice Network</w:t>
            </w:r>
          </w:p>
        </w:tc>
        <w:tc>
          <w:tcPr>
            <w:tcW w:w="3618" w:type="dxa"/>
          </w:tcPr>
          <w:p w14:paraId="359AEF9E" w14:textId="77777777" w:rsidR="002D75F2" w:rsidRDefault="002D75F2" w:rsidP="008B0F2A">
            <w:pPr>
              <w:rPr>
                <w:rFonts w:ascii="Arial" w:hAnsi="Arial" w:cs="Arial"/>
                <w:sz w:val="18"/>
                <w:szCs w:val="18"/>
                <w:lang w:val="es-ES"/>
              </w:rPr>
            </w:pPr>
            <w:r w:rsidRPr="00483D73">
              <w:rPr>
                <w:rFonts w:ascii="Arial" w:hAnsi="Arial" w:cs="Arial"/>
                <w:sz w:val="18"/>
                <w:szCs w:val="18"/>
                <w:lang w:val="es-ES"/>
              </w:rPr>
              <w:t xml:space="preserve">Una mejora de 6 puntos acercaría en un 45% Guatemala al promedio de América Latina. La expectativa de mejora del puntaje se basa en la posibilidad que las mejoras del marco anti-lavado del país, en particular la transparencia del </w:t>
            </w:r>
            <w:r w:rsidRPr="00483D73">
              <w:rPr>
                <w:rFonts w:ascii="Arial" w:hAnsi="Arial" w:cs="Arial"/>
                <w:i/>
                <w:sz w:val="18"/>
                <w:szCs w:val="18"/>
                <w:lang w:val="es-ES"/>
              </w:rPr>
              <w:t>off-shore banking</w:t>
            </w:r>
            <w:r w:rsidRPr="00483D73">
              <w:rPr>
                <w:rFonts w:ascii="Arial" w:hAnsi="Arial" w:cs="Arial"/>
                <w:sz w:val="18"/>
                <w:szCs w:val="18"/>
                <w:lang w:val="es-ES"/>
              </w:rPr>
              <w:t xml:space="preserve"> (medida 2), el nuevo plan (medida 3) y la nueva ley anti-lavado (medida 5) reduzcan el nivel de opacidad del sector financiero.</w:t>
            </w:r>
          </w:p>
          <w:p w14:paraId="13E74483" w14:textId="77777777" w:rsidR="00EF452E" w:rsidRPr="00483D73" w:rsidRDefault="00EF452E" w:rsidP="00EF452E">
            <w:pPr>
              <w:rPr>
                <w:rFonts w:ascii="Arial" w:hAnsi="Arial" w:cs="Arial"/>
                <w:sz w:val="18"/>
                <w:szCs w:val="18"/>
                <w:lang w:val="es-ES"/>
              </w:rPr>
            </w:pPr>
            <w:r>
              <w:rPr>
                <w:rFonts w:ascii="Arial" w:hAnsi="Arial" w:cs="Arial"/>
                <w:sz w:val="18"/>
                <w:szCs w:val="18"/>
                <w:lang w:val="es-ES"/>
              </w:rPr>
              <w:t>Se estima una mejora de 76 puntos /2015) a 70 puntos (2019)</w:t>
            </w:r>
          </w:p>
        </w:tc>
      </w:tr>
    </w:tbl>
    <w:p w14:paraId="5CD87B7A" w14:textId="45DC480F" w:rsidR="007C1307" w:rsidRPr="004D3E12" w:rsidRDefault="004D3E12" w:rsidP="003519B1">
      <w:pPr>
        <w:pStyle w:val="Paragraph"/>
        <w:numPr>
          <w:ilvl w:val="0"/>
          <w:numId w:val="0"/>
        </w:numPr>
        <w:tabs>
          <w:tab w:val="num" w:pos="2448"/>
        </w:tabs>
        <w:spacing w:before="240"/>
        <w:rPr>
          <w:rFonts w:ascii="Arial" w:hAnsi="Arial"/>
          <w:sz w:val="22"/>
        </w:rPr>
      </w:pPr>
      <w:r w:rsidRPr="004D3E12">
        <w:rPr>
          <w:rFonts w:ascii="Arial" w:hAnsi="Arial"/>
          <w:b/>
          <w:sz w:val="22"/>
        </w:rPr>
        <w:t>B.</w:t>
      </w:r>
      <w:r>
        <w:rPr>
          <w:rFonts w:ascii="Arial" w:hAnsi="Arial" w:cs="Arial"/>
          <w:b/>
          <w:sz w:val="22"/>
          <w:szCs w:val="22"/>
        </w:rPr>
        <w:t xml:space="preserve">       </w:t>
      </w:r>
      <w:r w:rsidR="007C1307" w:rsidRPr="004D3E12">
        <w:rPr>
          <w:rFonts w:ascii="Arial" w:hAnsi="Arial"/>
          <w:b/>
          <w:sz w:val="22"/>
        </w:rPr>
        <w:t>Recopilación de Datos e Instrumentos</w:t>
      </w:r>
      <w:bookmarkEnd w:id="4"/>
    </w:p>
    <w:p w14:paraId="116F8C7E" w14:textId="77777777" w:rsidR="00481C69" w:rsidRPr="00481C69" w:rsidRDefault="007C1307" w:rsidP="004348BE">
      <w:pPr>
        <w:pStyle w:val="Paragraph"/>
        <w:tabs>
          <w:tab w:val="num" w:pos="1440"/>
        </w:tabs>
        <w:ind w:left="720" w:hanging="720"/>
        <w:rPr>
          <w:rFonts w:ascii="Arial" w:hAnsi="Arial" w:cs="Arial"/>
          <w:sz w:val="22"/>
          <w:szCs w:val="22"/>
        </w:rPr>
      </w:pPr>
      <w:r w:rsidRPr="007C1307">
        <w:rPr>
          <w:rFonts w:ascii="Arial" w:hAnsi="Arial" w:cs="Arial"/>
          <w:color w:val="000000"/>
          <w:sz w:val="22"/>
          <w:szCs w:val="22"/>
        </w:rPr>
        <w:t xml:space="preserve">A nivel de productos, la información será presentada al Banco como parte del informe de cumplimiento de </w:t>
      </w:r>
      <w:r w:rsidR="00481C69">
        <w:rPr>
          <w:rFonts w:ascii="Arial" w:hAnsi="Arial" w:cs="Arial"/>
          <w:color w:val="000000"/>
          <w:sz w:val="22"/>
          <w:szCs w:val="22"/>
        </w:rPr>
        <w:t xml:space="preserve">los compromisos de política para los dos desembolsos previstos en el </w:t>
      </w:r>
      <w:r w:rsidR="008A00EB">
        <w:rPr>
          <w:rFonts w:ascii="Arial" w:hAnsi="Arial" w:cs="Arial"/>
          <w:color w:val="000000"/>
          <w:sz w:val="22"/>
          <w:szCs w:val="22"/>
        </w:rPr>
        <w:t>Programa</w:t>
      </w:r>
      <w:r w:rsidR="00481C69">
        <w:rPr>
          <w:rFonts w:ascii="Arial" w:hAnsi="Arial" w:cs="Arial"/>
          <w:color w:val="000000"/>
          <w:sz w:val="22"/>
          <w:szCs w:val="22"/>
        </w:rPr>
        <w:t>.</w:t>
      </w:r>
      <w:r w:rsidRPr="007C1307">
        <w:rPr>
          <w:rFonts w:ascii="Arial" w:hAnsi="Arial" w:cs="Arial"/>
          <w:color w:val="000000"/>
          <w:sz w:val="22"/>
          <w:szCs w:val="22"/>
        </w:rPr>
        <w:t xml:space="preserve"> En </w:t>
      </w:r>
      <w:r w:rsidR="00481C69">
        <w:rPr>
          <w:rFonts w:ascii="Arial" w:hAnsi="Arial" w:cs="Arial"/>
          <w:color w:val="000000"/>
          <w:sz w:val="22"/>
          <w:szCs w:val="22"/>
        </w:rPr>
        <w:t xml:space="preserve">cada uno de los dos </w:t>
      </w:r>
      <w:r w:rsidR="00724AE6">
        <w:rPr>
          <w:rFonts w:ascii="Arial" w:hAnsi="Arial" w:cs="Arial"/>
          <w:color w:val="000000"/>
          <w:sz w:val="22"/>
          <w:szCs w:val="22"/>
        </w:rPr>
        <w:t>m</w:t>
      </w:r>
      <w:r w:rsidR="00481C69">
        <w:rPr>
          <w:rFonts w:ascii="Arial" w:hAnsi="Arial" w:cs="Arial"/>
          <w:color w:val="000000"/>
          <w:sz w:val="22"/>
          <w:szCs w:val="22"/>
        </w:rPr>
        <w:t>emos de desembolsos será verificado el cumplimiento de cada compromiso de política y analizado sus efectos iniciales.</w:t>
      </w:r>
    </w:p>
    <w:p w14:paraId="7F6D80AE" w14:textId="77777777" w:rsidR="00481C69" w:rsidRPr="00481C69" w:rsidRDefault="00481C69" w:rsidP="004348BE">
      <w:pPr>
        <w:pStyle w:val="Paragraph"/>
        <w:tabs>
          <w:tab w:val="num" w:pos="1440"/>
        </w:tabs>
        <w:ind w:left="720" w:hanging="720"/>
        <w:rPr>
          <w:rFonts w:ascii="Arial" w:hAnsi="Arial" w:cs="Arial"/>
          <w:sz w:val="22"/>
          <w:szCs w:val="22"/>
        </w:rPr>
      </w:pPr>
      <w:r>
        <w:rPr>
          <w:rFonts w:ascii="Arial" w:hAnsi="Arial" w:cs="Arial"/>
          <w:color w:val="000000"/>
          <w:sz w:val="22"/>
          <w:szCs w:val="22"/>
        </w:rPr>
        <w:t>Adicionalmente</w:t>
      </w:r>
      <w:r w:rsidR="0043571F">
        <w:rPr>
          <w:rFonts w:ascii="Arial" w:hAnsi="Arial" w:cs="Arial"/>
          <w:color w:val="000000"/>
          <w:sz w:val="22"/>
          <w:szCs w:val="22"/>
        </w:rPr>
        <w:t xml:space="preserve"> al acompañamiento del equipo del proyecto</w:t>
      </w:r>
      <w:r>
        <w:rPr>
          <w:rFonts w:ascii="Arial" w:hAnsi="Arial" w:cs="Arial"/>
          <w:color w:val="000000"/>
          <w:sz w:val="22"/>
          <w:szCs w:val="22"/>
        </w:rPr>
        <w:t xml:space="preserve">, serán contratados dos consultores, uno para cada componente del </w:t>
      </w:r>
      <w:r w:rsidR="00724AE6">
        <w:rPr>
          <w:rFonts w:ascii="Arial" w:hAnsi="Arial" w:cs="Arial"/>
          <w:color w:val="000000"/>
          <w:sz w:val="22"/>
          <w:szCs w:val="22"/>
        </w:rPr>
        <w:t>p</w:t>
      </w:r>
      <w:r>
        <w:rPr>
          <w:rFonts w:ascii="Arial" w:hAnsi="Arial" w:cs="Arial"/>
          <w:color w:val="000000"/>
          <w:sz w:val="22"/>
          <w:szCs w:val="22"/>
        </w:rPr>
        <w:t>rograma (administración tributaria y transparencia financiera) para apoyar el levantamiento de información y el monitoreo d</w:t>
      </w:r>
      <w:r w:rsidR="007C1307" w:rsidRPr="007C1307">
        <w:rPr>
          <w:rFonts w:ascii="Arial" w:hAnsi="Arial" w:cs="Arial"/>
          <w:color w:val="000000"/>
          <w:sz w:val="22"/>
          <w:szCs w:val="22"/>
        </w:rPr>
        <w:t xml:space="preserve">el avance de cada uno de los indicadores </w:t>
      </w:r>
      <w:r>
        <w:rPr>
          <w:rFonts w:ascii="Arial" w:hAnsi="Arial" w:cs="Arial"/>
          <w:color w:val="000000"/>
          <w:sz w:val="22"/>
          <w:szCs w:val="22"/>
        </w:rPr>
        <w:t xml:space="preserve">previstos en la Matriz de Resultados y presentados en las </w:t>
      </w:r>
      <w:r w:rsidR="00724AE6">
        <w:rPr>
          <w:rFonts w:ascii="Arial" w:hAnsi="Arial" w:cs="Arial"/>
          <w:color w:val="000000"/>
          <w:sz w:val="22"/>
          <w:szCs w:val="22"/>
        </w:rPr>
        <w:t xml:space="preserve">Cuadros </w:t>
      </w:r>
      <w:r>
        <w:rPr>
          <w:rFonts w:ascii="Arial" w:hAnsi="Arial" w:cs="Arial"/>
          <w:color w:val="000000"/>
          <w:sz w:val="22"/>
          <w:szCs w:val="22"/>
        </w:rPr>
        <w:t xml:space="preserve">1, 2 y 3 de este </w:t>
      </w:r>
      <w:r w:rsidR="00724AE6">
        <w:rPr>
          <w:rFonts w:ascii="Arial" w:hAnsi="Arial" w:cs="Arial"/>
          <w:color w:val="000000"/>
          <w:sz w:val="22"/>
          <w:szCs w:val="22"/>
        </w:rPr>
        <w:t>p</w:t>
      </w:r>
      <w:r>
        <w:rPr>
          <w:rFonts w:ascii="Arial" w:hAnsi="Arial" w:cs="Arial"/>
          <w:color w:val="000000"/>
          <w:sz w:val="22"/>
          <w:szCs w:val="22"/>
        </w:rPr>
        <w:t>lan.</w:t>
      </w:r>
    </w:p>
    <w:p w14:paraId="26EE9B48" w14:textId="30C19FD2" w:rsidR="00481C69" w:rsidRPr="00481C69" w:rsidRDefault="00481C69" w:rsidP="004348BE">
      <w:pPr>
        <w:pStyle w:val="Paragraph"/>
        <w:tabs>
          <w:tab w:val="num" w:pos="1440"/>
        </w:tabs>
        <w:ind w:left="720" w:hanging="720"/>
        <w:rPr>
          <w:rFonts w:ascii="Arial" w:hAnsi="Arial" w:cs="Arial"/>
          <w:sz w:val="22"/>
          <w:szCs w:val="22"/>
        </w:rPr>
      </w:pPr>
      <w:r>
        <w:rPr>
          <w:rFonts w:ascii="Arial" w:hAnsi="Arial" w:cs="Arial"/>
          <w:color w:val="000000"/>
          <w:sz w:val="22"/>
          <w:szCs w:val="22"/>
        </w:rPr>
        <w:t>La mayoría de la información necesaria para este seguimiento deberá ser provista por el</w:t>
      </w:r>
      <w:r w:rsidRPr="007C1307">
        <w:rPr>
          <w:rFonts w:ascii="Arial" w:hAnsi="Arial" w:cs="Arial"/>
          <w:color w:val="000000"/>
          <w:sz w:val="22"/>
          <w:szCs w:val="22"/>
        </w:rPr>
        <w:t xml:space="preserve"> </w:t>
      </w:r>
      <w:r>
        <w:rPr>
          <w:rFonts w:ascii="Arial" w:hAnsi="Arial" w:cs="Arial"/>
          <w:color w:val="000000"/>
          <w:sz w:val="22"/>
          <w:szCs w:val="22"/>
        </w:rPr>
        <w:t>MINFIN,</w:t>
      </w:r>
      <w:r w:rsidRPr="007C1307">
        <w:rPr>
          <w:rFonts w:ascii="Arial" w:hAnsi="Arial" w:cs="Arial"/>
          <w:color w:val="000000"/>
          <w:sz w:val="22"/>
          <w:szCs w:val="22"/>
        </w:rPr>
        <w:t xml:space="preserve"> </w:t>
      </w:r>
      <w:r>
        <w:rPr>
          <w:rFonts w:ascii="Arial" w:hAnsi="Arial" w:cs="Arial"/>
          <w:color w:val="000000"/>
          <w:sz w:val="22"/>
          <w:szCs w:val="22"/>
        </w:rPr>
        <w:t xml:space="preserve">la </w:t>
      </w:r>
      <w:r w:rsidRPr="007C1307">
        <w:rPr>
          <w:rFonts w:ascii="Arial" w:hAnsi="Arial" w:cs="Arial"/>
          <w:color w:val="000000"/>
          <w:sz w:val="22"/>
          <w:szCs w:val="22"/>
        </w:rPr>
        <w:t>SAT</w:t>
      </w:r>
      <w:r>
        <w:rPr>
          <w:rFonts w:ascii="Arial" w:hAnsi="Arial" w:cs="Arial"/>
          <w:color w:val="000000"/>
          <w:sz w:val="22"/>
          <w:szCs w:val="22"/>
        </w:rPr>
        <w:t xml:space="preserve"> y la </w:t>
      </w:r>
      <w:r w:rsidR="002B692F">
        <w:rPr>
          <w:rFonts w:ascii="Arial" w:hAnsi="Arial" w:cs="Arial"/>
          <w:color w:val="000000"/>
          <w:sz w:val="22"/>
          <w:szCs w:val="22"/>
        </w:rPr>
        <w:t>SIB</w:t>
      </w:r>
      <w:r>
        <w:rPr>
          <w:rFonts w:ascii="Arial" w:hAnsi="Arial" w:cs="Arial"/>
          <w:color w:val="000000"/>
          <w:sz w:val="22"/>
          <w:szCs w:val="22"/>
        </w:rPr>
        <w:t xml:space="preserve">. Existen algunos otros indicadores que son calculados por organizaciones independientes, </w:t>
      </w:r>
      <w:r w:rsidR="00DE7456">
        <w:rPr>
          <w:rFonts w:ascii="Arial" w:hAnsi="Arial" w:cs="Arial"/>
          <w:color w:val="000000"/>
          <w:sz w:val="22"/>
          <w:szCs w:val="22"/>
        </w:rPr>
        <w:t xml:space="preserve">a </w:t>
      </w:r>
      <w:r>
        <w:rPr>
          <w:rFonts w:ascii="Arial" w:hAnsi="Arial" w:cs="Arial"/>
          <w:color w:val="000000"/>
          <w:sz w:val="22"/>
          <w:szCs w:val="22"/>
        </w:rPr>
        <w:t>los cuales igualmente se dará seguimiento.</w:t>
      </w:r>
    </w:p>
    <w:p w14:paraId="2AC7ED9A" w14:textId="2947B821" w:rsidR="00022BE3" w:rsidRDefault="007C1307" w:rsidP="004348BE">
      <w:pPr>
        <w:pStyle w:val="Paragraph"/>
        <w:ind w:left="720" w:hanging="720"/>
        <w:rPr>
          <w:rFonts w:ascii="Arial" w:hAnsi="Arial" w:cs="Arial"/>
          <w:sz w:val="22"/>
          <w:szCs w:val="22"/>
        </w:rPr>
      </w:pPr>
      <w:r w:rsidRPr="007C1307">
        <w:rPr>
          <w:rFonts w:ascii="Arial" w:hAnsi="Arial" w:cs="Arial"/>
          <w:color w:val="000000"/>
          <w:sz w:val="22"/>
          <w:szCs w:val="22"/>
        </w:rPr>
        <w:t xml:space="preserve">La contratación de los consultores independientes será responsabilidad del equipo de proyecto de este </w:t>
      </w:r>
      <w:r w:rsidR="008A00EB" w:rsidRPr="007C1307">
        <w:rPr>
          <w:rFonts w:ascii="Arial" w:hAnsi="Arial" w:cs="Arial"/>
          <w:color w:val="000000"/>
          <w:sz w:val="22"/>
          <w:szCs w:val="22"/>
        </w:rPr>
        <w:t xml:space="preserve">Programa </w:t>
      </w:r>
      <w:r w:rsidRPr="007C1307">
        <w:rPr>
          <w:rFonts w:ascii="Arial" w:hAnsi="Arial" w:cs="Arial"/>
          <w:color w:val="000000"/>
          <w:sz w:val="22"/>
          <w:szCs w:val="22"/>
        </w:rPr>
        <w:t xml:space="preserve">en el </w:t>
      </w:r>
      <w:r w:rsidR="00481C69">
        <w:rPr>
          <w:rFonts w:ascii="Arial" w:hAnsi="Arial" w:cs="Arial"/>
          <w:color w:val="000000"/>
          <w:sz w:val="22"/>
          <w:szCs w:val="22"/>
        </w:rPr>
        <w:t>Banco, conforme</w:t>
      </w:r>
      <w:r w:rsidR="00DE7456">
        <w:rPr>
          <w:rFonts w:ascii="Arial" w:hAnsi="Arial" w:cs="Arial"/>
          <w:color w:val="000000"/>
          <w:sz w:val="22"/>
          <w:szCs w:val="22"/>
        </w:rPr>
        <w:t xml:space="preserve"> a</w:t>
      </w:r>
      <w:r w:rsidR="00481C69">
        <w:rPr>
          <w:rFonts w:ascii="Arial" w:hAnsi="Arial" w:cs="Arial"/>
          <w:color w:val="000000"/>
          <w:sz w:val="22"/>
          <w:szCs w:val="22"/>
        </w:rPr>
        <w:t xml:space="preserve"> los Términos de Referencia adjuntos al presente </w:t>
      </w:r>
      <w:r w:rsidR="00724AE6">
        <w:rPr>
          <w:rFonts w:ascii="Arial" w:hAnsi="Arial" w:cs="Arial"/>
          <w:color w:val="000000"/>
          <w:sz w:val="22"/>
          <w:szCs w:val="22"/>
        </w:rPr>
        <w:t>p</w:t>
      </w:r>
      <w:r w:rsidR="00481C69">
        <w:rPr>
          <w:rFonts w:ascii="Arial" w:hAnsi="Arial" w:cs="Arial"/>
          <w:color w:val="000000"/>
          <w:sz w:val="22"/>
          <w:szCs w:val="22"/>
        </w:rPr>
        <w:t xml:space="preserve">lan y usarán los recursos asignados para la supervisión del </w:t>
      </w:r>
      <w:r w:rsidR="00724AE6">
        <w:rPr>
          <w:rFonts w:ascii="Arial" w:hAnsi="Arial" w:cs="Arial"/>
          <w:color w:val="000000"/>
          <w:sz w:val="22"/>
          <w:szCs w:val="22"/>
        </w:rPr>
        <w:t>p</w:t>
      </w:r>
      <w:r w:rsidR="00481C69">
        <w:rPr>
          <w:rFonts w:ascii="Arial" w:hAnsi="Arial" w:cs="Arial"/>
          <w:color w:val="000000"/>
          <w:sz w:val="22"/>
          <w:szCs w:val="22"/>
        </w:rPr>
        <w:t>rograma</w:t>
      </w:r>
      <w:r w:rsidRPr="007C1307">
        <w:rPr>
          <w:rFonts w:ascii="Arial" w:hAnsi="Arial" w:cs="Arial"/>
          <w:color w:val="000000"/>
          <w:sz w:val="22"/>
          <w:szCs w:val="22"/>
        </w:rPr>
        <w:t>.</w:t>
      </w:r>
    </w:p>
    <w:p w14:paraId="52F2FB9F" w14:textId="77777777" w:rsidR="00DC6D34" w:rsidRPr="00DC6D34" w:rsidRDefault="00B7212B" w:rsidP="004348BE">
      <w:pPr>
        <w:pStyle w:val="Paragraph"/>
        <w:ind w:left="720" w:hanging="720"/>
        <w:rPr>
          <w:rFonts w:ascii="Arial" w:hAnsi="Arial" w:cs="Arial"/>
          <w:sz w:val="22"/>
          <w:szCs w:val="22"/>
        </w:rPr>
      </w:pPr>
      <w:r>
        <w:rPr>
          <w:rFonts w:ascii="Arial" w:hAnsi="Arial" w:cs="Arial"/>
          <w:sz w:val="22"/>
          <w:szCs w:val="22"/>
          <w:lang w:val="es-ES_tradnl"/>
        </w:rPr>
        <w:lastRenderedPageBreak/>
        <w:t>P</w:t>
      </w:r>
      <w:r w:rsidR="00AC0AA2" w:rsidRPr="00AC0AA2">
        <w:rPr>
          <w:rFonts w:ascii="Arial" w:hAnsi="Arial" w:cs="Arial"/>
          <w:sz w:val="22"/>
          <w:szCs w:val="22"/>
          <w:lang w:val="es-ES_tradnl"/>
        </w:rPr>
        <w:t>ara la recopilación de datos primarios</w:t>
      </w:r>
      <w:r>
        <w:rPr>
          <w:rFonts w:ascii="Arial" w:hAnsi="Arial" w:cs="Arial"/>
          <w:sz w:val="22"/>
          <w:szCs w:val="22"/>
          <w:lang w:val="es-ES_tradnl"/>
        </w:rPr>
        <w:t>, si bien toda información requerida es pública y está disponible en la página web de la SAT, la</w:t>
      </w:r>
      <w:r w:rsidRPr="00B7212B">
        <w:rPr>
          <w:rFonts w:ascii="Arial" w:eastAsia="Calibri" w:hAnsi="Arial" w:cs="Arial"/>
          <w:sz w:val="20"/>
          <w:lang w:val="es-GT"/>
        </w:rPr>
        <w:t xml:space="preserve"> </w:t>
      </w:r>
      <w:r w:rsidRPr="00B7212B">
        <w:rPr>
          <w:rFonts w:ascii="Arial" w:hAnsi="Arial" w:cs="Arial"/>
          <w:sz w:val="22"/>
          <w:szCs w:val="22"/>
          <w:lang w:val="es-GT"/>
        </w:rPr>
        <w:t xml:space="preserve">Gerencia de Planificación y Desarrollo Institucional </w:t>
      </w:r>
      <w:r w:rsidRPr="00B7212B">
        <w:rPr>
          <w:rFonts w:ascii="Arial" w:hAnsi="Arial" w:cs="Arial"/>
          <w:sz w:val="22"/>
          <w:szCs w:val="22"/>
          <w:lang w:val="es-ES_tradnl"/>
        </w:rPr>
        <w:t>de la SAT</w:t>
      </w:r>
      <w:r>
        <w:rPr>
          <w:rFonts w:ascii="Arial" w:hAnsi="Arial" w:cs="Arial"/>
          <w:sz w:val="22"/>
          <w:szCs w:val="22"/>
          <w:lang w:val="es-ES_tradnl"/>
        </w:rPr>
        <w:t xml:space="preserve"> se comprometió a proveer información más detallada cuando sea necesario.</w:t>
      </w:r>
    </w:p>
    <w:p w14:paraId="4EABD1F6" w14:textId="1B7024A3" w:rsidR="00AC0AA2" w:rsidRPr="00AC0AA2" w:rsidRDefault="00DC6D34" w:rsidP="004348BE">
      <w:pPr>
        <w:pStyle w:val="Paragraph"/>
        <w:ind w:left="720" w:hanging="720"/>
        <w:rPr>
          <w:rFonts w:ascii="Arial" w:hAnsi="Arial" w:cs="Arial"/>
          <w:sz w:val="22"/>
          <w:szCs w:val="22"/>
        </w:rPr>
      </w:pPr>
      <w:r>
        <w:rPr>
          <w:rFonts w:ascii="Arial" w:hAnsi="Arial" w:cs="Arial"/>
          <w:sz w:val="22"/>
          <w:szCs w:val="22"/>
          <w:lang w:val="es-ES_tradnl"/>
        </w:rPr>
        <w:t>En cuanto</w:t>
      </w:r>
      <w:r w:rsidR="00DE7456">
        <w:rPr>
          <w:rFonts w:ascii="Arial" w:hAnsi="Arial" w:cs="Arial"/>
          <w:sz w:val="22"/>
          <w:szCs w:val="22"/>
          <w:lang w:val="es-ES_tradnl"/>
        </w:rPr>
        <w:t xml:space="preserve"> a</w:t>
      </w:r>
      <w:r>
        <w:rPr>
          <w:rFonts w:ascii="Arial" w:hAnsi="Arial" w:cs="Arial"/>
          <w:sz w:val="22"/>
          <w:szCs w:val="22"/>
          <w:lang w:val="es-ES_tradnl"/>
        </w:rPr>
        <w:t xml:space="preserve"> la recopilación de d</w:t>
      </w:r>
      <w:r w:rsidR="00B7212B">
        <w:rPr>
          <w:rFonts w:ascii="Arial" w:hAnsi="Arial" w:cs="Arial"/>
          <w:sz w:val="22"/>
          <w:szCs w:val="22"/>
          <w:lang w:val="es-ES_tradnl"/>
        </w:rPr>
        <w:t xml:space="preserve">atos </w:t>
      </w:r>
      <w:r w:rsidR="00B7212B" w:rsidRPr="00AC0AA2">
        <w:rPr>
          <w:rFonts w:ascii="Arial" w:hAnsi="Arial" w:cs="Arial"/>
          <w:sz w:val="22"/>
          <w:szCs w:val="22"/>
          <w:lang w:val="es-ES_tradnl"/>
        </w:rPr>
        <w:t>secundarios</w:t>
      </w:r>
      <w:r>
        <w:rPr>
          <w:rFonts w:ascii="Arial" w:hAnsi="Arial" w:cs="Arial"/>
          <w:sz w:val="22"/>
          <w:szCs w:val="22"/>
          <w:lang w:val="es-ES_tradnl"/>
        </w:rPr>
        <w:t>, el equipo de proyecto</w:t>
      </w:r>
      <w:r w:rsidR="00FE03B4">
        <w:rPr>
          <w:rFonts w:ascii="Arial" w:hAnsi="Arial" w:cs="Arial"/>
          <w:sz w:val="22"/>
          <w:szCs w:val="22"/>
          <w:lang w:val="es-ES_tradnl"/>
        </w:rPr>
        <w:t>, con el apoyo de los consultores contratados, harán un seguimiento de las fuentes de información definidas en las Matriz de Resultados y actualizarán y complementarán los cálculos que sean necesarios.</w:t>
      </w:r>
    </w:p>
    <w:p w14:paraId="30A2A3FC" w14:textId="58A4BB75" w:rsidR="00AC0AA2" w:rsidRPr="00AB7582" w:rsidRDefault="00FE03B4" w:rsidP="00AB7582">
      <w:pPr>
        <w:pStyle w:val="Paragraph"/>
        <w:ind w:left="720" w:hanging="720"/>
        <w:rPr>
          <w:rFonts w:ascii="Arial" w:hAnsi="Arial" w:cs="Arial"/>
          <w:sz w:val="22"/>
          <w:szCs w:val="22"/>
        </w:rPr>
      </w:pPr>
      <w:r w:rsidRPr="00AB7582">
        <w:rPr>
          <w:rFonts w:ascii="Arial" w:hAnsi="Arial" w:cs="Arial"/>
          <w:sz w:val="22"/>
          <w:szCs w:val="22"/>
          <w:lang w:val="es-ES_tradnl"/>
        </w:rPr>
        <w:t xml:space="preserve">El </w:t>
      </w:r>
      <w:r w:rsidR="00AC0AA2" w:rsidRPr="0082203B">
        <w:rPr>
          <w:rFonts w:ascii="Arial" w:hAnsi="Arial" w:cs="Arial"/>
          <w:sz w:val="22"/>
          <w:szCs w:val="22"/>
          <w:lang w:val="es-ES_tradnl"/>
        </w:rPr>
        <w:t xml:space="preserve">cronograma para la recopilación de datos </w:t>
      </w:r>
      <w:r w:rsidRPr="00985DFD">
        <w:rPr>
          <w:rFonts w:ascii="Arial" w:hAnsi="Arial" w:cs="Arial"/>
          <w:sz w:val="22"/>
          <w:szCs w:val="22"/>
          <w:lang w:val="es-ES_tradnl"/>
        </w:rPr>
        <w:t>estar</w:t>
      </w:r>
      <w:r w:rsidRPr="00AA4340">
        <w:rPr>
          <w:rFonts w:ascii="Arial" w:hAnsi="Arial" w:cs="Arial"/>
          <w:sz w:val="22"/>
          <w:szCs w:val="22"/>
          <w:lang w:val="es-ES_tradnl"/>
        </w:rPr>
        <w:t>á alineado con lo</w:t>
      </w:r>
      <w:r w:rsidR="00AB7582" w:rsidRPr="00AB7582">
        <w:rPr>
          <w:rFonts w:ascii="Arial" w:hAnsi="Arial" w:cs="Arial"/>
          <w:sz w:val="22"/>
          <w:szCs w:val="22"/>
          <w:lang w:val="es-ES_tradnl"/>
        </w:rPr>
        <w:t xml:space="preserve"> propuesto en el Cuadro 4 de</w:t>
      </w:r>
      <w:r w:rsidR="00AB7582" w:rsidRPr="00AB7582">
        <w:rPr>
          <w:rFonts w:ascii="Arial" w:hAnsi="Arial" w:cs="Arial"/>
          <w:bCs/>
          <w:color w:val="000000"/>
          <w:sz w:val="20"/>
          <w:szCs w:val="22"/>
        </w:rPr>
        <w:t xml:space="preserve"> </w:t>
      </w:r>
      <w:r w:rsidR="00AB7582" w:rsidRPr="00AB7582">
        <w:rPr>
          <w:rFonts w:ascii="Arial" w:hAnsi="Arial" w:cs="Arial"/>
          <w:bCs/>
          <w:sz w:val="22"/>
          <w:szCs w:val="22"/>
          <w:lang w:val="es-ES_tradnl"/>
        </w:rPr>
        <w:t>Principales actividades de seguimiento,</w:t>
      </w:r>
      <w:r w:rsidRPr="00AB7582">
        <w:rPr>
          <w:rFonts w:ascii="Arial" w:hAnsi="Arial" w:cs="Arial"/>
          <w:sz w:val="22"/>
          <w:szCs w:val="22"/>
          <w:lang w:val="es-ES_tradnl"/>
        </w:rPr>
        <w:t xml:space="preserve"> que prevé actividades anuales para </w:t>
      </w:r>
      <w:r w:rsidR="00AC0AA2" w:rsidRPr="00AB7582">
        <w:rPr>
          <w:rFonts w:ascii="Arial" w:hAnsi="Arial" w:cs="Arial"/>
          <w:sz w:val="22"/>
          <w:szCs w:val="22"/>
          <w:lang w:val="es-ES_tradnl"/>
        </w:rPr>
        <w:t xml:space="preserve">recabar </w:t>
      </w:r>
      <w:r w:rsidRPr="00AB7582">
        <w:rPr>
          <w:rFonts w:ascii="Arial" w:hAnsi="Arial" w:cs="Arial"/>
          <w:sz w:val="22"/>
          <w:szCs w:val="22"/>
          <w:lang w:val="es-ES_tradnl"/>
        </w:rPr>
        <w:t xml:space="preserve">y actualizar la </w:t>
      </w:r>
      <w:r w:rsidR="00AC0AA2" w:rsidRPr="00AB7582">
        <w:rPr>
          <w:rFonts w:ascii="Arial" w:hAnsi="Arial" w:cs="Arial"/>
          <w:sz w:val="22"/>
          <w:szCs w:val="22"/>
          <w:lang w:val="es-ES_tradnl"/>
        </w:rPr>
        <w:t>información</w:t>
      </w:r>
      <w:r w:rsidRPr="00AB7582">
        <w:rPr>
          <w:rFonts w:ascii="Arial" w:hAnsi="Arial" w:cs="Arial"/>
          <w:sz w:val="22"/>
          <w:szCs w:val="22"/>
          <w:lang w:val="es-ES_tradnl"/>
        </w:rPr>
        <w:t xml:space="preserve">, con misiones anuales de </w:t>
      </w:r>
      <w:r w:rsidR="00AB7582" w:rsidRPr="00AB7582">
        <w:rPr>
          <w:rFonts w:ascii="Arial" w:hAnsi="Arial" w:cs="Arial"/>
          <w:sz w:val="22"/>
          <w:szCs w:val="22"/>
          <w:lang w:val="es-ES_tradnl"/>
        </w:rPr>
        <w:t>supervisión y la preparación de los informes por los consultores contratados.</w:t>
      </w:r>
      <w:r w:rsidR="00AB7582">
        <w:rPr>
          <w:rFonts w:ascii="Arial" w:hAnsi="Arial" w:cs="Arial"/>
          <w:sz w:val="22"/>
          <w:szCs w:val="22"/>
          <w:lang w:val="es-ES_tradnl"/>
        </w:rPr>
        <w:t xml:space="preserve"> </w:t>
      </w:r>
      <w:r w:rsidR="00CA7E2F">
        <w:rPr>
          <w:rFonts w:ascii="Arial" w:hAnsi="Arial" w:cs="Arial"/>
          <w:sz w:val="22"/>
          <w:szCs w:val="22"/>
          <w:lang w:val="es-ES_tradnl"/>
        </w:rPr>
        <w:t xml:space="preserve">Adicionalmente, el Anexo 4 detalla el cronograma de monitoreo de los principales indicadores de impacto y de resultados. </w:t>
      </w:r>
      <w:r w:rsidR="00AB7582">
        <w:rPr>
          <w:rFonts w:ascii="Arial" w:hAnsi="Arial" w:cs="Arial"/>
          <w:sz w:val="22"/>
          <w:szCs w:val="22"/>
          <w:lang w:val="es-ES_tradnl"/>
        </w:rPr>
        <w:t xml:space="preserve">No serán necesarios otros </w:t>
      </w:r>
      <w:r w:rsidR="00AC0AA2" w:rsidRPr="00AB7582">
        <w:rPr>
          <w:rFonts w:ascii="Arial" w:hAnsi="Arial" w:cs="Arial"/>
          <w:sz w:val="22"/>
          <w:szCs w:val="22"/>
          <w:lang w:val="es-ES_tradnl"/>
        </w:rPr>
        <w:t xml:space="preserve">instrumentos </w:t>
      </w:r>
      <w:r w:rsidR="00AB7582">
        <w:rPr>
          <w:rFonts w:ascii="Arial" w:hAnsi="Arial" w:cs="Arial"/>
          <w:sz w:val="22"/>
          <w:szCs w:val="22"/>
          <w:lang w:val="es-ES_tradnl"/>
        </w:rPr>
        <w:t xml:space="preserve">para la </w:t>
      </w:r>
      <w:r w:rsidR="00AB7582" w:rsidRPr="00AB7582">
        <w:rPr>
          <w:rFonts w:ascii="Arial" w:hAnsi="Arial" w:cs="Arial"/>
          <w:sz w:val="22"/>
          <w:szCs w:val="22"/>
          <w:lang w:val="es-ES_tradnl"/>
        </w:rPr>
        <w:t>recopilación de dichos datos</w:t>
      </w:r>
      <w:r w:rsidR="00AB7582">
        <w:rPr>
          <w:rFonts w:ascii="Arial" w:hAnsi="Arial" w:cs="Arial"/>
          <w:sz w:val="22"/>
          <w:szCs w:val="22"/>
          <w:lang w:val="es-ES_tradnl"/>
        </w:rPr>
        <w:t xml:space="preserve">, tales como </w:t>
      </w:r>
      <w:r w:rsidR="00AC0AA2" w:rsidRPr="00AB7582">
        <w:rPr>
          <w:rFonts w:ascii="Arial" w:hAnsi="Arial" w:cs="Arial"/>
          <w:sz w:val="22"/>
          <w:szCs w:val="22"/>
          <w:lang w:val="es-ES_tradnl"/>
        </w:rPr>
        <w:t xml:space="preserve">encuestas </w:t>
      </w:r>
      <w:r w:rsidR="00AB7582">
        <w:rPr>
          <w:rFonts w:ascii="Arial" w:hAnsi="Arial" w:cs="Arial"/>
          <w:sz w:val="22"/>
          <w:szCs w:val="22"/>
          <w:lang w:val="es-ES_tradnl"/>
        </w:rPr>
        <w:t>o cuestionarios.</w:t>
      </w:r>
    </w:p>
    <w:p w14:paraId="6A79B750" w14:textId="77777777" w:rsidR="00022BE3" w:rsidRPr="00EB0154" w:rsidRDefault="00022BE3" w:rsidP="004348BE">
      <w:pPr>
        <w:pStyle w:val="FirstHeading"/>
        <w:rPr>
          <w:rFonts w:ascii="Arial" w:hAnsi="Arial" w:cs="Arial"/>
          <w:noProof/>
          <w:sz w:val="22"/>
          <w:szCs w:val="22"/>
        </w:rPr>
      </w:pPr>
      <w:bookmarkStart w:id="5" w:name="_Toc455669845"/>
      <w:r>
        <w:rPr>
          <w:rFonts w:ascii="Arial" w:hAnsi="Arial" w:cs="Arial"/>
          <w:sz w:val="22"/>
          <w:szCs w:val="22"/>
        </w:rPr>
        <w:t>C</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Presentación de Informes</w:t>
      </w:r>
      <w:bookmarkEnd w:id="5"/>
    </w:p>
    <w:p w14:paraId="5A7A5DD0" w14:textId="35BF524A" w:rsidR="007C1307" w:rsidRPr="007C1307" w:rsidRDefault="007C1307" w:rsidP="004348BE">
      <w:pPr>
        <w:pStyle w:val="Paragraph"/>
        <w:tabs>
          <w:tab w:val="num" w:pos="1440"/>
        </w:tabs>
        <w:ind w:left="720" w:hanging="720"/>
        <w:rPr>
          <w:rFonts w:ascii="Arial" w:hAnsi="Arial" w:cs="Arial"/>
          <w:sz w:val="22"/>
          <w:szCs w:val="22"/>
        </w:rPr>
      </w:pPr>
      <w:r w:rsidRPr="007C1307">
        <w:rPr>
          <w:rFonts w:ascii="Arial" w:hAnsi="Arial" w:cs="Arial"/>
          <w:color w:val="000000"/>
          <w:sz w:val="22"/>
          <w:szCs w:val="22"/>
        </w:rPr>
        <w:t xml:space="preserve">El principal insumo de monitoreo de </w:t>
      </w:r>
      <w:r w:rsidR="0043571F">
        <w:rPr>
          <w:rFonts w:ascii="Arial" w:hAnsi="Arial" w:cs="Arial"/>
          <w:color w:val="000000"/>
          <w:sz w:val="22"/>
          <w:szCs w:val="22"/>
        </w:rPr>
        <w:t>los productos de la</w:t>
      </w:r>
      <w:r w:rsidRPr="007C1307">
        <w:rPr>
          <w:rFonts w:ascii="Arial" w:hAnsi="Arial" w:cs="Arial"/>
          <w:color w:val="000000"/>
          <w:sz w:val="22"/>
          <w:szCs w:val="22"/>
        </w:rPr>
        <w:t xml:space="preserve"> operación será</w:t>
      </w:r>
      <w:r w:rsidR="00724AE6">
        <w:rPr>
          <w:rFonts w:ascii="Arial" w:hAnsi="Arial" w:cs="Arial"/>
          <w:color w:val="000000"/>
          <w:sz w:val="22"/>
          <w:szCs w:val="22"/>
        </w:rPr>
        <w:t>n</w:t>
      </w:r>
      <w:r w:rsidRPr="007C1307">
        <w:rPr>
          <w:rFonts w:ascii="Arial" w:hAnsi="Arial" w:cs="Arial"/>
          <w:color w:val="000000"/>
          <w:sz w:val="22"/>
          <w:szCs w:val="22"/>
        </w:rPr>
        <w:t xml:space="preserve"> </w:t>
      </w:r>
      <w:r w:rsidR="0043571F">
        <w:rPr>
          <w:rFonts w:ascii="Arial" w:hAnsi="Arial" w:cs="Arial"/>
          <w:color w:val="000000"/>
          <w:sz w:val="22"/>
          <w:szCs w:val="22"/>
        </w:rPr>
        <w:t>los</w:t>
      </w:r>
      <w:r w:rsidRPr="007C1307">
        <w:rPr>
          <w:rFonts w:ascii="Arial" w:hAnsi="Arial" w:cs="Arial"/>
          <w:color w:val="000000"/>
          <w:sz w:val="22"/>
          <w:szCs w:val="22"/>
        </w:rPr>
        <w:t xml:space="preserve"> informe</w:t>
      </w:r>
      <w:r w:rsidR="0043571F">
        <w:rPr>
          <w:rFonts w:ascii="Arial" w:hAnsi="Arial" w:cs="Arial"/>
          <w:color w:val="000000"/>
          <w:sz w:val="22"/>
          <w:szCs w:val="22"/>
        </w:rPr>
        <w:t>s</w:t>
      </w:r>
      <w:r w:rsidRPr="007C1307">
        <w:rPr>
          <w:rFonts w:ascii="Arial" w:hAnsi="Arial" w:cs="Arial"/>
          <w:color w:val="000000"/>
          <w:sz w:val="22"/>
          <w:szCs w:val="22"/>
        </w:rPr>
        <w:t xml:space="preserve"> de cumplimiento de las condicionalidades del préstamo, a ser </w:t>
      </w:r>
      <w:r w:rsidR="0043571F">
        <w:rPr>
          <w:rFonts w:ascii="Arial" w:hAnsi="Arial" w:cs="Arial"/>
          <w:color w:val="000000"/>
          <w:sz w:val="22"/>
          <w:szCs w:val="22"/>
        </w:rPr>
        <w:t>preparados</w:t>
      </w:r>
      <w:r w:rsidRPr="007C1307">
        <w:rPr>
          <w:rFonts w:ascii="Arial" w:hAnsi="Arial" w:cs="Arial"/>
          <w:color w:val="000000"/>
          <w:sz w:val="22"/>
          <w:szCs w:val="22"/>
        </w:rPr>
        <w:t xml:space="preserve"> posteriormente a la aprobación del </w:t>
      </w:r>
      <w:r w:rsidR="00724AE6" w:rsidRPr="007C1307">
        <w:rPr>
          <w:rFonts w:ascii="Arial" w:hAnsi="Arial" w:cs="Arial"/>
          <w:color w:val="000000"/>
          <w:sz w:val="22"/>
          <w:szCs w:val="22"/>
        </w:rPr>
        <w:t>p</w:t>
      </w:r>
      <w:r w:rsidRPr="007C1307">
        <w:rPr>
          <w:rFonts w:ascii="Arial" w:hAnsi="Arial" w:cs="Arial"/>
          <w:color w:val="000000"/>
          <w:sz w:val="22"/>
          <w:szCs w:val="22"/>
        </w:rPr>
        <w:t xml:space="preserve">rograma por parte del Directorio del Banco. </w:t>
      </w:r>
      <w:r w:rsidR="0043571F">
        <w:rPr>
          <w:rFonts w:ascii="Arial" w:hAnsi="Arial" w:cs="Arial"/>
          <w:color w:val="000000"/>
          <w:sz w:val="22"/>
          <w:szCs w:val="22"/>
        </w:rPr>
        <w:t>La aprobación del préstamo está prevista para el 2016</w:t>
      </w:r>
      <w:r w:rsidR="00845417">
        <w:rPr>
          <w:rFonts w:ascii="Arial" w:hAnsi="Arial" w:cs="Arial"/>
          <w:color w:val="000000"/>
          <w:sz w:val="22"/>
          <w:szCs w:val="22"/>
        </w:rPr>
        <w:t xml:space="preserve">, el primer </w:t>
      </w:r>
      <w:r w:rsidR="0043571F">
        <w:rPr>
          <w:rFonts w:ascii="Arial" w:hAnsi="Arial" w:cs="Arial"/>
          <w:color w:val="000000"/>
          <w:sz w:val="22"/>
          <w:szCs w:val="22"/>
        </w:rPr>
        <w:t>desembolso para el 2017</w:t>
      </w:r>
      <w:r w:rsidR="00845417">
        <w:rPr>
          <w:rFonts w:ascii="Arial" w:hAnsi="Arial" w:cs="Arial"/>
          <w:color w:val="000000"/>
          <w:sz w:val="22"/>
          <w:szCs w:val="22"/>
        </w:rPr>
        <w:t>, y el segundo a más tardar 2018</w:t>
      </w:r>
      <w:r w:rsidR="0043571F">
        <w:rPr>
          <w:rFonts w:ascii="Arial" w:hAnsi="Arial" w:cs="Arial"/>
          <w:color w:val="000000"/>
          <w:sz w:val="22"/>
          <w:szCs w:val="22"/>
        </w:rPr>
        <w:t xml:space="preserve">. Los </w:t>
      </w:r>
      <w:r w:rsidRPr="007C1307">
        <w:rPr>
          <w:rFonts w:ascii="Arial" w:hAnsi="Arial" w:cs="Arial"/>
          <w:color w:val="000000"/>
          <w:sz w:val="22"/>
          <w:szCs w:val="22"/>
        </w:rPr>
        <w:t>informe</w:t>
      </w:r>
      <w:r w:rsidR="0043571F">
        <w:rPr>
          <w:rFonts w:ascii="Arial" w:hAnsi="Arial" w:cs="Arial"/>
          <w:color w:val="000000"/>
          <w:sz w:val="22"/>
          <w:szCs w:val="22"/>
        </w:rPr>
        <w:t>s</w:t>
      </w:r>
      <w:r w:rsidRPr="007C1307">
        <w:rPr>
          <w:rFonts w:ascii="Arial" w:hAnsi="Arial" w:cs="Arial"/>
          <w:color w:val="000000"/>
          <w:sz w:val="22"/>
          <w:szCs w:val="22"/>
        </w:rPr>
        <w:t xml:space="preserve"> </w:t>
      </w:r>
      <w:r w:rsidR="0043571F">
        <w:rPr>
          <w:rFonts w:ascii="Arial" w:hAnsi="Arial" w:cs="Arial"/>
          <w:color w:val="000000"/>
          <w:sz w:val="22"/>
          <w:szCs w:val="22"/>
        </w:rPr>
        <w:t xml:space="preserve">de cumplimiento </w:t>
      </w:r>
      <w:r w:rsidRPr="007C1307">
        <w:rPr>
          <w:rFonts w:ascii="Arial" w:hAnsi="Arial" w:cs="Arial"/>
          <w:color w:val="000000"/>
          <w:sz w:val="22"/>
          <w:szCs w:val="22"/>
        </w:rPr>
        <w:t>deberá</w:t>
      </w:r>
      <w:r w:rsidR="0043571F">
        <w:rPr>
          <w:rFonts w:ascii="Arial" w:hAnsi="Arial" w:cs="Arial"/>
          <w:color w:val="000000"/>
          <w:sz w:val="22"/>
          <w:szCs w:val="22"/>
        </w:rPr>
        <w:t>n</w:t>
      </w:r>
      <w:r w:rsidRPr="007C1307">
        <w:rPr>
          <w:rFonts w:ascii="Arial" w:hAnsi="Arial" w:cs="Arial"/>
          <w:color w:val="000000"/>
          <w:sz w:val="22"/>
          <w:szCs w:val="22"/>
        </w:rPr>
        <w:t xml:space="preserve"> verificar el cumplimiento de las condicionalidades definidas para </w:t>
      </w:r>
      <w:r w:rsidR="0043571F">
        <w:rPr>
          <w:rFonts w:ascii="Arial" w:hAnsi="Arial" w:cs="Arial"/>
          <w:color w:val="000000"/>
          <w:sz w:val="22"/>
          <w:szCs w:val="22"/>
        </w:rPr>
        <w:t>cada tramo</w:t>
      </w:r>
      <w:r w:rsidRPr="007C1307">
        <w:rPr>
          <w:rFonts w:ascii="Arial" w:hAnsi="Arial" w:cs="Arial"/>
          <w:color w:val="000000"/>
          <w:sz w:val="22"/>
          <w:szCs w:val="22"/>
        </w:rPr>
        <w:t xml:space="preserve"> en la Matriz de Políticas (ver Anexo II de</w:t>
      </w:r>
      <w:r w:rsidR="00724AE6">
        <w:rPr>
          <w:rFonts w:ascii="Arial" w:hAnsi="Arial" w:cs="Arial"/>
          <w:color w:val="000000"/>
          <w:sz w:val="22"/>
          <w:szCs w:val="22"/>
        </w:rPr>
        <w:t xml:space="preserve"> </w:t>
      </w:r>
      <w:r w:rsidRPr="007C1307">
        <w:rPr>
          <w:rFonts w:ascii="Arial" w:hAnsi="Arial" w:cs="Arial"/>
          <w:color w:val="000000"/>
          <w:sz w:val="22"/>
          <w:szCs w:val="22"/>
        </w:rPr>
        <w:t>l</w:t>
      </w:r>
      <w:r w:rsidR="00724AE6">
        <w:rPr>
          <w:rFonts w:ascii="Arial" w:hAnsi="Arial" w:cs="Arial"/>
          <w:color w:val="000000"/>
          <w:sz w:val="22"/>
          <w:szCs w:val="22"/>
        </w:rPr>
        <w:t>a Propuesta para el Desarrollo de la Operación</w:t>
      </w:r>
      <w:r w:rsidR="008A00EB">
        <w:rPr>
          <w:rFonts w:ascii="Arial" w:hAnsi="Arial" w:cs="Arial"/>
          <w:color w:val="000000"/>
          <w:sz w:val="22"/>
          <w:szCs w:val="22"/>
        </w:rPr>
        <w:t xml:space="preserve"> - </w:t>
      </w:r>
      <w:r w:rsidRPr="007C1307">
        <w:rPr>
          <w:rFonts w:ascii="Arial" w:hAnsi="Arial" w:cs="Arial"/>
          <w:color w:val="000000"/>
          <w:sz w:val="22"/>
          <w:szCs w:val="22"/>
        </w:rPr>
        <w:t>POD).</w:t>
      </w:r>
    </w:p>
    <w:p w14:paraId="236DE807" w14:textId="6552E08E" w:rsidR="00AD3E55" w:rsidRPr="00AD3E55" w:rsidRDefault="0043571F" w:rsidP="004348BE">
      <w:pPr>
        <w:pStyle w:val="Paragraph"/>
        <w:tabs>
          <w:tab w:val="num" w:pos="1440"/>
        </w:tabs>
        <w:ind w:left="720" w:hanging="720"/>
        <w:rPr>
          <w:rFonts w:ascii="Arial" w:hAnsi="Arial" w:cs="Arial"/>
          <w:sz w:val="22"/>
          <w:szCs w:val="22"/>
        </w:rPr>
      </w:pPr>
      <w:r>
        <w:rPr>
          <w:rFonts w:ascii="Arial" w:hAnsi="Arial" w:cs="Arial"/>
          <w:color w:val="000000"/>
          <w:sz w:val="22"/>
          <w:szCs w:val="22"/>
        </w:rPr>
        <w:t xml:space="preserve">El </w:t>
      </w:r>
      <w:r w:rsidR="002A2785">
        <w:rPr>
          <w:rFonts w:ascii="Arial" w:hAnsi="Arial" w:cs="Arial"/>
          <w:color w:val="000000"/>
          <w:sz w:val="22"/>
          <w:szCs w:val="22"/>
        </w:rPr>
        <w:t>Informe de Terminación de Proyecto (</w:t>
      </w:r>
      <w:r>
        <w:rPr>
          <w:rFonts w:ascii="Arial" w:hAnsi="Arial" w:cs="Arial"/>
          <w:color w:val="000000"/>
          <w:sz w:val="22"/>
          <w:szCs w:val="22"/>
        </w:rPr>
        <w:t>PCR</w:t>
      </w:r>
      <w:r w:rsidR="002A2785">
        <w:rPr>
          <w:rFonts w:ascii="Arial" w:hAnsi="Arial" w:cs="Arial"/>
          <w:color w:val="000000"/>
          <w:sz w:val="22"/>
          <w:szCs w:val="22"/>
        </w:rPr>
        <w:t>)</w:t>
      </w:r>
      <w:r>
        <w:rPr>
          <w:rFonts w:ascii="Arial" w:hAnsi="Arial" w:cs="Arial"/>
          <w:color w:val="000000"/>
          <w:sz w:val="22"/>
          <w:szCs w:val="22"/>
        </w:rPr>
        <w:t xml:space="preserve"> para el </w:t>
      </w:r>
      <w:r w:rsidR="00724AE6">
        <w:rPr>
          <w:rFonts w:ascii="Arial" w:hAnsi="Arial" w:cs="Arial"/>
          <w:color w:val="000000"/>
          <w:sz w:val="22"/>
          <w:szCs w:val="22"/>
        </w:rPr>
        <w:t>programa</w:t>
      </w:r>
      <w:r>
        <w:rPr>
          <w:rFonts w:ascii="Arial" w:hAnsi="Arial" w:cs="Arial"/>
          <w:color w:val="000000"/>
          <w:sz w:val="22"/>
          <w:szCs w:val="22"/>
        </w:rPr>
        <w:t xml:space="preserve"> debe ser preparado después del último desembolso. Considerando un segundo desembolso para finales del 2017</w:t>
      </w:r>
      <w:r w:rsidR="006D5475">
        <w:rPr>
          <w:rFonts w:ascii="Arial" w:hAnsi="Arial" w:cs="Arial"/>
          <w:color w:val="000000"/>
          <w:sz w:val="22"/>
          <w:szCs w:val="22"/>
        </w:rPr>
        <w:t xml:space="preserve"> o inicio del 2018 (el programa tendrá un plazo de dos años para desembolsar)</w:t>
      </w:r>
      <w:r>
        <w:rPr>
          <w:rFonts w:ascii="Arial" w:hAnsi="Arial" w:cs="Arial"/>
          <w:color w:val="000000"/>
          <w:sz w:val="22"/>
          <w:szCs w:val="22"/>
        </w:rPr>
        <w:t>, el PCR será debido a mediados del 2018</w:t>
      </w:r>
      <w:r w:rsidR="006D5475">
        <w:rPr>
          <w:rFonts w:ascii="Arial" w:hAnsi="Arial" w:cs="Arial"/>
          <w:color w:val="000000"/>
          <w:sz w:val="22"/>
          <w:szCs w:val="22"/>
        </w:rPr>
        <w:t xml:space="preserve"> o en 2019</w:t>
      </w:r>
      <w:r>
        <w:rPr>
          <w:rFonts w:ascii="Arial" w:hAnsi="Arial" w:cs="Arial"/>
          <w:color w:val="000000"/>
          <w:sz w:val="22"/>
          <w:szCs w:val="22"/>
        </w:rPr>
        <w:t xml:space="preserve">. </w:t>
      </w:r>
      <w:r w:rsidR="00AD3E55">
        <w:rPr>
          <w:rFonts w:ascii="Arial" w:hAnsi="Arial" w:cs="Arial"/>
          <w:color w:val="000000"/>
          <w:sz w:val="22"/>
          <w:szCs w:val="22"/>
        </w:rPr>
        <w:t xml:space="preserve">En este momento </w:t>
      </w:r>
      <w:r w:rsidR="000605AD">
        <w:rPr>
          <w:rFonts w:ascii="Arial" w:hAnsi="Arial" w:cs="Arial"/>
          <w:color w:val="000000"/>
          <w:sz w:val="22"/>
          <w:szCs w:val="22"/>
        </w:rPr>
        <w:t>ya tendrán sido</w:t>
      </w:r>
      <w:r w:rsidR="00AD3E55">
        <w:rPr>
          <w:rFonts w:ascii="Arial" w:hAnsi="Arial" w:cs="Arial"/>
          <w:color w:val="000000"/>
          <w:sz w:val="22"/>
          <w:szCs w:val="22"/>
        </w:rPr>
        <w:t xml:space="preserve"> evaluados todos los indicadores incluidos en la Matriz de Resultados.</w:t>
      </w:r>
    </w:p>
    <w:p w14:paraId="4A6B2ADC" w14:textId="77777777" w:rsidR="007C1307" w:rsidRPr="007C1307" w:rsidRDefault="007C1307" w:rsidP="004348BE">
      <w:pPr>
        <w:pStyle w:val="Paragraph"/>
        <w:tabs>
          <w:tab w:val="num" w:pos="1440"/>
        </w:tabs>
        <w:ind w:left="720" w:hanging="720"/>
        <w:rPr>
          <w:rFonts w:ascii="Arial" w:hAnsi="Arial" w:cs="Arial"/>
          <w:sz w:val="22"/>
          <w:szCs w:val="22"/>
        </w:rPr>
      </w:pPr>
      <w:r w:rsidRPr="007C1307">
        <w:rPr>
          <w:rFonts w:ascii="Arial" w:hAnsi="Arial" w:cs="Arial"/>
          <w:color w:val="000000"/>
          <w:sz w:val="22"/>
          <w:szCs w:val="22"/>
        </w:rPr>
        <w:t xml:space="preserve">La evaluación </w:t>
      </w:r>
      <w:r w:rsidR="00483B19">
        <w:rPr>
          <w:rFonts w:ascii="Arial" w:hAnsi="Arial" w:cs="Arial"/>
          <w:color w:val="000000"/>
          <w:sz w:val="22"/>
          <w:szCs w:val="22"/>
        </w:rPr>
        <w:t>ex</w:t>
      </w:r>
      <w:r w:rsidR="00D231DD">
        <w:rPr>
          <w:rFonts w:ascii="Arial" w:hAnsi="Arial" w:cs="Arial"/>
          <w:color w:val="000000"/>
          <w:sz w:val="22"/>
          <w:szCs w:val="22"/>
        </w:rPr>
        <w:t xml:space="preserve"> </w:t>
      </w:r>
      <w:r w:rsidR="00483B19">
        <w:rPr>
          <w:rFonts w:ascii="Arial" w:hAnsi="Arial" w:cs="Arial"/>
          <w:color w:val="000000"/>
          <w:sz w:val="22"/>
          <w:szCs w:val="22"/>
        </w:rPr>
        <w:t>post</w:t>
      </w:r>
      <w:r w:rsidRPr="007C1307">
        <w:rPr>
          <w:rFonts w:ascii="Arial" w:hAnsi="Arial" w:cs="Arial"/>
          <w:color w:val="000000"/>
          <w:sz w:val="22"/>
          <w:szCs w:val="22"/>
        </w:rPr>
        <w:t xml:space="preserve"> del programa se realizará al finalizar el plazo </w:t>
      </w:r>
      <w:r w:rsidR="00962FF5">
        <w:rPr>
          <w:rFonts w:ascii="Arial" w:hAnsi="Arial" w:cs="Arial"/>
          <w:color w:val="000000"/>
          <w:sz w:val="22"/>
          <w:szCs w:val="22"/>
        </w:rPr>
        <w:t>estimado para</w:t>
      </w:r>
      <w:r w:rsidR="00AD3E55">
        <w:rPr>
          <w:rFonts w:ascii="Arial" w:hAnsi="Arial" w:cs="Arial"/>
          <w:color w:val="000000"/>
          <w:sz w:val="22"/>
          <w:szCs w:val="22"/>
        </w:rPr>
        <w:t xml:space="preserve"> </w:t>
      </w:r>
      <w:r w:rsidRPr="007C1307">
        <w:rPr>
          <w:rFonts w:ascii="Arial" w:hAnsi="Arial" w:cs="Arial"/>
          <w:color w:val="000000"/>
          <w:sz w:val="22"/>
          <w:szCs w:val="22"/>
        </w:rPr>
        <w:t>l</w:t>
      </w:r>
      <w:r w:rsidR="00AD3E55">
        <w:rPr>
          <w:rFonts w:ascii="Arial" w:hAnsi="Arial" w:cs="Arial"/>
          <w:color w:val="000000"/>
          <w:sz w:val="22"/>
          <w:szCs w:val="22"/>
        </w:rPr>
        <w:t>os</w:t>
      </w:r>
      <w:r w:rsidRPr="007C1307">
        <w:rPr>
          <w:rFonts w:ascii="Arial" w:hAnsi="Arial" w:cs="Arial"/>
          <w:color w:val="000000"/>
          <w:sz w:val="22"/>
          <w:szCs w:val="22"/>
        </w:rPr>
        <w:t xml:space="preserve"> indicador</w:t>
      </w:r>
      <w:r w:rsidR="00AD3E55">
        <w:rPr>
          <w:rFonts w:ascii="Arial" w:hAnsi="Arial" w:cs="Arial"/>
          <w:color w:val="000000"/>
          <w:sz w:val="22"/>
          <w:szCs w:val="22"/>
        </w:rPr>
        <w:t>es</w:t>
      </w:r>
      <w:r w:rsidRPr="007C1307">
        <w:rPr>
          <w:rFonts w:ascii="Arial" w:hAnsi="Arial" w:cs="Arial"/>
          <w:color w:val="000000"/>
          <w:sz w:val="22"/>
          <w:szCs w:val="22"/>
        </w:rPr>
        <w:t xml:space="preserve"> de impacto, y examinará: (i) los resultados alcanzados por el programa, medidos en cuanto al logro de las metas y desempeño de los indicadores establecidos en la Matriz de Re</w:t>
      </w:r>
      <w:r w:rsidR="00271E38">
        <w:rPr>
          <w:rFonts w:ascii="Arial" w:hAnsi="Arial" w:cs="Arial"/>
          <w:color w:val="000000"/>
          <w:sz w:val="22"/>
          <w:szCs w:val="22"/>
        </w:rPr>
        <w:t>sultados y los indicadores de</w:t>
      </w:r>
      <w:r w:rsidR="00AD3E55">
        <w:rPr>
          <w:rFonts w:ascii="Arial" w:hAnsi="Arial" w:cs="Arial"/>
          <w:color w:val="000000"/>
          <w:sz w:val="22"/>
          <w:szCs w:val="22"/>
        </w:rPr>
        <w:t xml:space="preserve"> </w:t>
      </w:r>
      <w:r w:rsidR="00271E38">
        <w:rPr>
          <w:rFonts w:ascii="Arial" w:hAnsi="Arial" w:cs="Arial"/>
          <w:color w:val="000000"/>
          <w:sz w:val="22"/>
          <w:szCs w:val="22"/>
        </w:rPr>
        <w:t>l</w:t>
      </w:r>
      <w:r w:rsidR="00AD3E55">
        <w:rPr>
          <w:rFonts w:ascii="Arial" w:hAnsi="Arial" w:cs="Arial"/>
          <w:color w:val="000000"/>
          <w:sz w:val="22"/>
          <w:szCs w:val="22"/>
        </w:rPr>
        <w:t>os</w:t>
      </w:r>
      <w:r w:rsidR="00271E38">
        <w:rPr>
          <w:rFonts w:ascii="Arial" w:hAnsi="Arial" w:cs="Arial"/>
          <w:color w:val="000000"/>
          <w:sz w:val="22"/>
          <w:szCs w:val="22"/>
        </w:rPr>
        <w:t xml:space="preserve"> Cuadro</w:t>
      </w:r>
      <w:r w:rsidR="00483B19">
        <w:rPr>
          <w:rFonts w:ascii="Arial" w:hAnsi="Arial" w:cs="Arial"/>
          <w:color w:val="000000"/>
          <w:sz w:val="22"/>
          <w:szCs w:val="22"/>
        </w:rPr>
        <w:t>s</w:t>
      </w:r>
      <w:r w:rsidR="00271E38">
        <w:rPr>
          <w:rFonts w:ascii="Arial" w:hAnsi="Arial" w:cs="Arial"/>
          <w:color w:val="000000"/>
          <w:sz w:val="22"/>
          <w:szCs w:val="22"/>
        </w:rPr>
        <w:t xml:space="preserve"> 1</w:t>
      </w:r>
      <w:r w:rsidR="00AD3E55">
        <w:rPr>
          <w:rFonts w:ascii="Arial" w:hAnsi="Arial" w:cs="Arial"/>
          <w:color w:val="000000"/>
          <w:sz w:val="22"/>
          <w:szCs w:val="22"/>
        </w:rPr>
        <w:t>, 2 y 3</w:t>
      </w:r>
      <w:r w:rsidR="00271E38">
        <w:rPr>
          <w:rFonts w:ascii="Arial" w:hAnsi="Arial" w:cs="Arial"/>
          <w:color w:val="000000"/>
          <w:sz w:val="22"/>
          <w:szCs w:val="22"/>
        </w:rPr>
        <w:t>;</w:t>
      </w:r>
      <w:r w:rsidRPr="007C1307">
        <w:rPr>
          <w:rFonts w:ascii="Arial" w:hAnsi="Arial" w:cs="Arial"/>
          <w:color w:val="000000"/>
          <w:sz w:val="22"/>
          <w:szCs w:val="22"/>
        </w:rPr>
        <w:t xml:space="preserve"> </w:t>
      </w:r>
      <w:r w:rsidR="00482859">
        <w:rPr>
          <w:rFonts w:ascii="Arial" w:hAnsi="Arial" w:cs="Arial"/>
          <w:color w:val="000000"/>
          <w:sz w:val="22"/>
          <w:szCs w:val="22"/>
        </w:rPr>
        <w:t xml:space="preserve">y </w:t>
      </w:r>
      <w:r w:rsidRPr="007C1307">
        <w:rPr>
          <w:rFonts w:ascii="Arial" w:hAnsi="Arial" w:cs="Arial"/>
          <w:color w:val="000000"/>
          <w:sz w:val="22"/>
          <w:szCs w:val="22"/>
        </w:rPr>
        <w:t>(ii)</w:t>
      </w:r>
      <w:r w:rsidR="00AD3E55">
        <w:rPr>
          <w:rFonts w:ascii="Arial" w:hAnsi="Arial" w:cs="Arial"/>
          <w:color w:val="000000"/>
          <w:sz w:val="22"/>
          <w:szCs w:val="22"/>
        </w:rPr>
        <w:t xml:space="preserve"> el </w:t>
      </w:r>
      <w:r w:rsidRPr="007C1307">
        <w:rPr>
          <w:rFonts w:ascii="Arial" w:hAnsi="Arial" w:cs="Arial"/>
          <w:color w:val="000000"/>
          <w:sz w:val="22"/>
          <w:szCs w:val="22"/>
        </w:rPr>
        <w:t>análisis macroeconómico de la sostenibilidad fiscal.</w:t>
      </w:r>
    </w:p>
    <w:p w14:paraId="0C581D5B" w14:textId="77777777" w:rsidR="00022BE3" w:rsidRPr="00EB0154" w:rsidRDefault="00022BE3" w:rsidP="004348BE">
      <w:pPr>
        <w:pStyle w:val="FirstHeading"/>
        <w:rPr>
          <w:rFonts w:ascii="Arial" w:hAnsi="Arial" w:cs="Arial"/>
          <w:noProof/>
          <w:sz w:val="22"/>
          <w:szCs w:val="22"/>
        </w:rPr>
      </w:pPr>
      <w:bookmarkStart w:id="6" w:name="_Toc455669846"/>
      <w:r>
        <w:rPr>
          <w:rFonts w:ascii="Arial" w:hAnsi="Arial" w:cs="Arial"/>
          <w:sz w:val="22"/>
          <w:szCs w:val="22"/>
        </w:rPr>
        <w:t>D</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 xml:space="preserve">Coordinación, </w:t>
      </w:r>
      <w:r w:rsidR="00585EE1">
        <w:rPr>
          <w:rFonts w:ascii="Arial" w:hAnsi="Arial" w:cs="Arial"/>
          <w:sz w:val="22"/>
          <w:szCs w:val="22"/>
        </w:rPr>
        <w:t>P</w:t>
      </w:r>
      <w:r>
        <w:rPr>
          <w:rFonts w:ascii="Arial" w:hAnsi="Arial" w:cs="Arial"/>
          <w:sz w:val="22"/>
          <w:szCs w:val="22"/>
        </w:rPr>
        <w:t xml:space="preserve">lan de </w:t>
      </w:r>
      <w:r w:rsidR="00585EE1">
        <w:rPr>
          <w:rFonts w:ascii="Arial" w:hAnsi="Arial" w:cs="Arial"/>
          <w:sz w:val="22"/>
          <w:szCs w:val="22"/>
        </w:rPr>
        <w:t>T</w:t>
      </w:r>
      <w:r>
        <w:rPr>
          <w:rFonts w:ascii="Arial" w:hAnsi="Arial" w:cs="Arial"/>
          <w:sz w:val="22"/>
          <w:szCs w:val="22"/>
        </w:rPr>
        <w:t xml:space="preserve">rabajo y </w:t>
      </w:r>
      <w:r w:rsidR="00585EE1">
        <w:rPr>
          <w:rFonts w:ascii="Arial" w:hAnsi="Arial" w:cs="Arial"/>
          <w:sz w:val="22"/>
          <w:szCs w:val="22"/>
        </w:rPr>
        <w:t>P</w:t>
      </w:r>
      <w:r>
        <w:rPr>
          <w:rFonts w:ascii="Arial" w:hAnsi="Arial" w:cs="Arial"/>
          <w:sz w:val="22"/>
          <w:szCs w:val="22"/>
        </w:rPr>
        <w:t xml:space="preserve">resupuesto del </w:t>
      </w:r>
      <w:r w:rsidR="00585EE1">
        <w:rPr>
          <w:rFonts w:ascii="Arial" w:hAnsi="Arial" w:cs="Arial"/>
          <w:sz w:val="22"/>
          <w:szCs w:val="22"/>
        </w:rPr>
        <w:t>S</w:t>
      </w:r>
      <w:r>
        <w:rPr>
          <w:rFonts w:ascii="Arial" w:hAnsi="Arial" w:cs="Arial"/>
          <w:sz w:val="22"/>
          <w:szCs w:val="22"/>
        </w:rPr>
        <w:t>eguimiento</w:t>
      </w:r>
      <w:bookmarkEnd w:id="6"/>
    </w:p>
    <w:p w14:paraId="2B6AE0F6" w14:textId="0F1D09F8" w:rsidR="007C1307" w:rsidRPr="00483B19" w:rsidRDefault="007C1307" w:rsidP="004348BE">
      <w:pPr>
        <w:pStyle w:val="Paragraph"/>
        <w:tabs>
          <w:tab w:val="num" w:pos="1440"/>
        </w:tabs>
        <w:ind w:left="720" w:hanging="720"/>
        <w:rPr>
          <w:rFonts w:ascii="Arial" w:hAnsi="Arial" w:cs="Arial"/>
          <w:sz w:val="22"/>
          <w:szCs w:val="22"/>
        </w:rPr>
      </w:pPr>
      <w:r w:rsidRPr="007C1307">
        <w:rPr>
          <w:rFonts w:ascii="Arial" w:hAnsi="Arial" w:cs="Arial"/>
          <w:color w:val="000000"/>
          <w:sz w:val="22"/>
          <w:szCs w:val="22"/>
        </w:rPr>
        <w:t xml:space="preserve">Las actividades de monitoreo y elaboración de informes serán coordinadas por el equipo de proyecto de este programa en conjunto con </w:t>
      </w:r>
      <w:r w:rsidR="00AD3E55">
        <w:rPr>
          <w:rFonts w:ascii="Arial" w:hAnsi="Arial" w:cs="Arial"/>
          <w:color w:val="000000"/>
          <w:sz w:val="22"/>
          <w:szCs w:val="22"/>
        </w:rPr>
        <w:t>el</w:t>
      </w:r>
      <w:r w:rsidRPr="007C1307">
        <w:rPr>
          <w:rFonts w:ascii="Arial" w:hAnsi="Arial" w:cs="Arial"/>
          <w:color w:val="000000"/>
          <w:sz w:val="22"/>
          <w:szCs w:val="22"/>
        </w:rPr>
        <w:t xml:space="preserve"> </w:t>
      </w:r>
      <w:r w:rsidR="002129FA">
        <w:rPr>
          <w:rFonts w:ascii="Arial" w:hAnsi="Arial" w:cs="Arial"/>
          <w:color w:val="000000"/>
          <w:sz w:val="22"/>
          <w:szCs w:val="22"/>
        </w:rPr>
        <w:t>MINFIN</w:t>
      </w:r>
      <w:r w:rsidR="00AD3E55">
        <w:rPr>
          <w:rFonts w:ascii="Arial" w:hAnsi="Arial" w:cs="Arial"/>
          <w:color w:val="000000"/>
          <w:sz w:val="22"/>
          <w:szCs w:val="22"/>
        </w:rPr>
        <w:t>,</w:t>
      </w:r>
      <w:r w:rsidRPr="007C1307">
        <w:rPr>
          <w:rFonts w:ascii="Arial" w:hAnsi="Arial" w:cs="Arial"/>
          <w:color w:val="000000"/>
          <w:sz w:val="22"/>
          <w:szCs w:val="22"/>
        </w:rPr>
        <w:t xml:space="preserve"> SAT, </w:t>
      </w:r>
      <w:r w:rsidR="00AD3E55">
        <w:rPr>
          <w:rFonts w:ascii="Arial" w:hAnsi="Arial" w:cs="Arial"/>
          <w:color w:val="000000"/>
          <w:sz w:val="22"/>
          <w:szCs w:val="22"/>
        </w:rPr>
        <w:t xml:space="preserve">y </w:t>
      </w:r>
      <w:r w:rsidR="002B692F">
        <w:rPr>
          <w:rFonts w:ascii="Arial" w:hAnsi="Arial" w:cs="Arial"/>
          <w:color w:val="000000"/>
          <w:sz w:val="22"/>
          <w:szCs w:val="22"/>
        </w:rPr>
        <w:t>SIB</w:t>
      </w:r>
      <w:r w:rsidR="00AD3E55">
        <w:rPr>
          <w:rFonts w:ascii="Arial" w:hAnsi="Arial" w:cs="Arial"/>
          <w:color w:val="000000"/>
          <w:sz w:val="22"/>
          <w:szCs w:val="22"/>
        </w:rPr>
        <w:t xml:space="preserve">, </w:t>
      </w:r>
      <w:r w:rsidRPr="007C1307">
        <w:rPr>
          <w:rFonts w:ascii="Arial" w:hAnsi="Arial" w:cs="Arial"/>
          <w:color w:val="000000"/>
          <w:sz w:val="22"/>
          <w:szCs w:val="22"/>
        </w:rPr>
        <w:t xml:space="preserve">con los que se ha definido los indicadores propuestos en este </w:t>
      </w:r>
      <w:r w:rsidR="00724AE6">
        <w:rPr>
          <w:rFonts w:ascii="Arial" w:hAnsi="Arial" w:cs="Arial"/>
          <w:color w:val="000000"/>
          <w:sz w:val="22"/>
          <w:szCs w:val="22"/>
        </w:rPr>
        <w:t>programa</w:t>
      </w:r>
      <w:r w:rsidRPr="007C1307">
        <w:rPr>
          <w:rFonts w:ascii="Arial" w:hAnsi="Arial" w:cs="Arial"/>
          <w:color w:val="000000"/>
          <w:sz w:val="22"/>
          <w:szCs w:val="22"/>
        </w:rPr>
        <w:t>. Se planea realizar una reunión de supervisión una vez por año, para la evaluación del progreso de los indicadores de monitoreo, tal como se define en la Matriz de Políticas.</w:t>
      </w:r>
    </w:p>
    <w:p w14:paraId="3E44F9FC" w14:textId="34CBA94C" w:rsidR="00483B19" w:rsidRPr="00B3684F" w:rsidRDefault="00483B19" w:rsidP="00B3684F">
      <w:pPr>
        <w:pStyle w:val="Paragraph"/>
        <w:tabs>
          <w:tab w:val="num" w:pos="1440"/>
        </w:tabs>
        <w:ind w:left="720" w:hanging="720"/>
      </w:pPr>
      <w:r w:rsidRPr="00B3684F">
        <w:rPr>
          <w:rFonts w:ascii="Arial" w:hAnsi="Arial" w:cs="Arial"/>
          <w:sz w:val="22"/>
          <w:szCs w:val="22"/>
          <w:lang w:val="es-ES_tradnl"/>
        </w:rPr>
        <w:lastRenderedPageBreak/>
        <w:t xml:space="preserve">El Cuadro 4 describe las </w:t>
      </w:r>
      <w:r w:rsidRPr="00B3684F">
        <w:rPr>
          <w:rFonts w:ascii="Arial" w:hAnsi="Arial" w:cs="Arial"/>
          <w:bCs/>
          <w:sz w:val="22"/>
          <w:szCs w:val="22"/>
          <w:lang w:val="es-ES_tradnl"/>
        </w:rPr>
        <w:t>principales actividades de seguimiento y actividades planeadas.</w:t>
      </w:r>
    </w:p>
    <w:p w14:paraId="7737105C" w14:textId="6A0828A6" w:rsidR="009B3E59" w:rsidRPr="009B3E59" w:rsidRDefault="009B3E59" w:rsidP="00B3684F">
      <w:pPr>
        <w:spacing w:before="120" w:after="60"/>
        <w:jc w:val="center"/>
        <w:rPr>
          <w:rFonts w:ascii="Arial" w:hAnsi="Arial" w:cs="Arial"/>
          <w:b/>
          <w:sz w:val="22"/>
          <w:szCs w:val="22"/>
          <w:lang w:val="es-ES"/>
        </w:rPr>
      </w:pPr>
      <w:r w:rsidRPr="002129FA">
        <w:rPr>
          <w:rFonts w:ascii="Arial" w:hAnsi="Arial" w:cs="Arial"/>
          <w:b/>
          <w:sz w:val="20"/>
          <w:szCs w:val="22"/>
          <w:lang w:val="es-ES"/>
        </w:rPr>
        <w:t xml:space="preserve">Cuadro </w:t>
      </w:r>
      <w:r w:rsidR="00483B19">
        <w:rPr>
          <w:rFonts w:ascii="Arial" w:hAnsi="Arial" w:cs="Arial"/>
          <w:b/>
          <w:sz w:val="20"/>
          <w:szCs w:val="22"/>
          <w:lang w:val="es-ES"/>
        </w:rPr>
        <w:t>4</w:t>
      </w:r>
      <w:r w:rsidRPr="002129FA">
        <w:rPr>
          <w:rFonts w:ascii="Arial" w:hAnsi="Arial" w:cs="Arial"/>
          <w:b/>
          <w:sz w:val="20"/>
          <w:szCs w:val="22"/>
          <w:lang w:val="es-ES"/>
        </w:rPr>
        <w:t xml:space="preserve">: </w:t>
      </w:r>
      <w:r w:rsidRPr="002129FA">
        <w:rPr>
          <w:rFonts w:ascii="Arial" w:hAnsi="Arial" w:cs="Arial"/>
          <w:b/>
          <w:bCs/>
          <w:color w:val="000000"/>
          <w:sz w:val="20"/>
          <w:szCs w:val="22"/>
          <w:lang w:val="es-ES"/>
        </w:rPr>
        <w:t>Principales actividades de seguimiento</w:t>
      </w:r>
      <w:r w:rsidR="00477422">
        <w:rPr>
          <w:rFonts w:ascii="Arial" w:hAnsi="Arial" w:cs="Arial"/>
          <w:b/>
          <w:bCs/>
          <w:color w:val="000000"/>
          <w:sz w:val="20"/>
          <w:szCs w:val="22"/>
          <w:lang w:val="es-ES"/>
        </w:rPr>
        <w:t xml:space="preserve"> y financiamiento</w:t>
      </w:r>
    </w:p>
    <w:tbl>
      <w:tblPr>
        <w:tblW w:w="8298" w:type="dxa"/>
        <w:jc w:val="right"/>
        <w:tblInd w:w="2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990"/>
        <w:gridCol w:w="990"/>
        <w:gridCol w:w="990"/>
        <w:gridCol w:w="1260"/>
        <w:gridCol w:w="810"/>
        <w:gridCol w:w="1008"/>
      </w:tblGrid>
      <w:tr w:rsidR="00A113A3" w:rsidRPr="00D97056" w14:paraId="29E4604D" w14:textId="77777777" w:rsidTr="00A113A3">
        <w:trPr>
          <w:trHeight w:val="628"/>
          <w:tblHeader/>
          <w:jc w:val="right"/>
        </w:trPr>
        <w:tc>
          <w:tcPr>
            <w:tcW w:w="2250" w:type="dxa"/>
            <w:shd w:val="clear" w:color="000000" w:fill="B6DDE8" w:themeFill="accent5" w:themeFillTint="66"/>
            <w:vAlign w:val="center"/>
            <w:hideMark/>
          </w:tcPr>
          <w:p w14:paraId="167B9522" w14:textId="77777777" w:rsidR="00A113A3" w:rsidRPr="002129FA" w:rsidRDefault="00A113A3" w:rsidP="00B3684F">
            <w:pPr>
              <w:jc w:val="center"/>
              <w:rPr>
                <w:rFonts w:ascii="Arial" w:hAnsi="Arial" w:cs="Arial"/>
                <w:b/>
                <w:bCs/>
                <w:color w:val="000000"/>
                <w:sz w:val="18"/>
                <w:lang w:val="es-ES"/>
              </w:rPr>
            </w:pPr>
            <w:r w:rsidRPr="002129FA">
              <w:rPr>
                <w:rFonts w:ascii="Arial" w:hAnsi="Arial" w:cs="Arial"/>
                <w:b/>
                <w:bCs/>
                <w:color w:val="000000"/>
                <w:sz w:val="18"/>
                <w:lang w:val="es-ES"/>
              </w:rPr>
              <w:t>Actividades y Productos</w:t>
            </w:r>
          </w:p>
        </w:tc>
        <w:tc>
          <w:tcPr>
            <w:tcW w:w="990" w:type="dxa"/>
            <w:shd w:val="clear" w:color="000000" w:fill="B6DDE8" w:themeFill="accent5" w:themeFillTint="66"/>
            <w:vAlign w:val="center"/>
            <w:hideMark/>
          </w:tcPr>
          <w:p w14:paraId="1E14E8A2" w14:textId="560C540D" w:rsidR="00A113A3" w:rsidRPr="002129FA" w:rsidRDefault="00A113A3" w:rsidP="00C2387B">
            <w:pPr>
              <w:jc w:val="center"/>
              <w:rPr>
                <w:rFonts w:ascii="Arial" w:hAnsi="Arial" w:cs="Arial"/>
                <w:b/>
                <w:bCs/>
                <w:color w:val="000000"/>
                <w:sz w:val="18"/>
                <w:lang w:val="en-US"/>
              </w:rPr>
            </w:pPr>
            <w:r w:rsidRPr="002129FA">
              <w:rPr>
                <w:rFonts w:ascii="Arial" w:hAnsi="Arial" w:cs="Arial"/>
                <w:b/>
                <w:bCs/>
                <w:color w:val="000000"/>
                <w:sz w:val="18"/>
                <w:lang w:val="es-ES"/>
              </w:rPr>
              <w:t>201</w:t>
            </w:r>
            <w:r w:rsidR="00C2387B">
              <w:rPr>
                <w:rFonts w:ascii="Arial" w:hAnsi="Arial" w:cs="Arial"/>
                <w:b/>
                <w:bCs/>
                <w:color w:val="000000"/>
                <w:sz w:val="18"/>
                <w:lang w:val="es-ES"/>
              </w:rPr>
              <w:t>6</w:t>
            </w:r>
          </w:p>
        </w:tc>
        <w:tc>
          <w:tcPr>
            <w:tcW w:w="990" w:type="dxa"/>
            <w:shd w:val="clear" w:color="000000" w:fill="B6DDE8" w:themeFill="accent5" w:themeFillTint="66"/>
            <w:vAlign w:val="center"/>
          </w:tcPr>
          <w:p w14:paraId="232D59EF" w14:textId="32015835" w:rsidR="00A113A3" w:rsidRPr="002129FA" w:rsidRDefault="00A113A3" w:rsidP="00C2387B">
            <w:pPr>
              <w:jc w:val="center"/>
              <w:rPr>
                <w:rFonts w:ascii="Arial" w:hAnsi="Arial" w:cs="Arial"/>
                <w:b/>
                <w:bCs/>
                <w:color w:val="000000"/>
                <w:sz w:val="18"/>
                <w:lang w:val="es-ES"/>
              </w:rPr>
            </w:pPr>
            <w:r w:rsidRPr="002129FA">
              <w:rPr>
                <w:rFonts w:ascii="Arial" w:hAnsi="Arial" w:cs="Arial"/>
                <w:b/>
                <w:bCs/>
                <w:color w:val="000000"/>
                <w:sz w:val="18"/>
                <w:lang w:val="es-ES"/>
              </w:rPr>
              <w:t>201</w:t>
            </w:r>
            <w:r w:rsidR="00C2387B">
              <w:rPr>
                <w:rFonts w:ascii="Arial" w:hAnsi="Arial" w:cs="Arial"/>
                <w:b/>
                <w:bCs/>
                <w:color w:val="000000"/>
                <w:sz w:val="18"/>
                <w:lang w:val="es-ES"/>
              </w:rPr>
              <w:t>7</w:t>
            </w:r>
          </w:p>
        </w:tc>
        <w:tc>
          <w:tcPr>
            <w:tcW w:w="990" w:type="dxa"/>
            <w:shd w:val="clear" w:color="000000" w:fill="B6DDE8" w:themeFill="accent5" w:themeFillTint="66"/>
            <w:vAlign w:val="center"/>
          </w:tcPr>
          <w:p w14:paraId="1DDFD974" w14:textId="78A1A8CA" w:rsidR="00A113A3" w:rsidRDefault="00A113A3" w:rsidP="00C2387B">
            <w:pPr>
              <w:jc w:val="center"/>
              <w:rPr>
                <w:rFonts w:ascii="Arial" w:hAnsi="Arial" w:cs="Arial"/>
                <w:b/>
                <w:bCs/>
                <w:color w:val="000000"/>
                <w:sz w:val="18"/>
                <w:lang w:val="es-ES"/>
              </w:rPr>
            </w:pPr>
            <w:r>
              <w:rPr>
                <w:rFonts w:ascii="Arial" w:hAnsi="Arial" w:cs="Arial"/>
                <w:b/>
                <w:bCs/>
                <w:color w:val="000000"/>
                <w:sz w:val="18"/>
                <w:lang w:val="es-ES"/>
              </w:rPr>
              <w:t>201</w:t>
            </w:r>
            <w:r w:rsidR="00C2387B">
              <w:rPr>
                <w:rFonts w:ascii="Arial" w:hAnsi="Arial" w:cs="Arial"/>
                <w:b/>
                <w:bCs/>
                <w:color w:val="000000"/>
                <w:sz w:val="18"/>
                <w:lang w:val="es-ES"/>
              </w:rPr>
              <w:t>8</w:t>
            </w:r>
          </w:p>
        </w:tc>
        <w:tc>
          <w:tcPr>
            <w:tcW w:w="1260" w:type="dxa"/>
            <w:shd w:val="clear" w:color="000000" w:fill="B6DDE8" w:themeFill="accent5" w:themeFillTint="66"/>
            <w:vAlign w:val="center"/>
            <w:hideMark/>
          </w:tcPr>
          <w:p w14:paraId="2FA5F063" w14:textId="77777777" w:rsidR="00A113A3" w:rsidRPr="002129FA" w:rsidRDefault="00A113A3" w:rsidP="00A113A3">
            <w:pPr>
              <w:ind w:left="-108" w:right="-108"/>
              <w:jc w:val="center"/>
              <w:rPr>
                <w:rFonts w:ascii="Arial" w:hAnsi="Arial" w:cs="Arial"/>
                <w:b/>
                <w:bCs/>
                <w:color w:val="000000"/>
                <w:sz w:val="18"/>
                <w:lang w:val="en-US"/>
              </w:rPr>
            </w:pPr>
            <w:r w:rsidRPr="002129FA">
              <w:rPr>
                <w:rFonts w:ascii="Arial" w:hAnsi="Arial" w:cs="Arial"/>
                <w:b/>
                <w:bCs/>
                <w:color w:val="000000"/>
                <w:sz w:val="18"/>
                <w:lang w:val="es-ES"/>
              </w:rPr>
              <w:t>Responsable</w:t>
            </w:r>
          </w:p>
        </w:tc>
        <w:tc>
          <w:tcPr>
            <w:tcW w:w="810" w:type="dxa"/>
            <w:shd w:val="clear" w:color="000000" w:fill="B6DDE8" w:themeFill="accent5" w:themeFillTint="66"/>
            <w:vAlign w:val="center"/>
            <w:hideMark/>
          </w:tcPr>
          <w:p w14:paraId="0C03D71E" w14:textId="77777777" w:rsidR="00A113A3" w:rsidRPr="002129FA" w:rsidRDefault="00A113A3" w:rsidP="00B3684F">
            <w:pPr>
              <w:jc w:val="center"/>
              <w:rPr>
                <w:rFonts w:ascii="Arial" w:hAnsi="Arial" w:cs="Arial"/>
                <w:b/>
                <w:bCs/>
                <w:color w:val="000000"/>
                <w:sz w:val="18"/>
                <w:lang w:val="en-US"/>
              </w:rPr>
            </w:pPr>
            <w:r w:rsidRPr="002129FA">
              <w:rPr>
                <w:rFonts w:ascii="Arial" w:hAnsi="Arial" w:cs="Arial"/>
                <w:b/>
                <w:bCs/>
                <w:color w:val="000000"/>
                <w:sz w:val="18"/>
                <w:lang w:val="es-ES"/>
              </w:rPr>
              <w:t>Costo</w:t>
            </w:r>
            <w:r>
              <w:rPr>
                <w:rFonts w:ascii="Arial" w:hAnsi="Arial" w:cs="Arial"/>
                <w:b/>
                <w:bCs/>
                <w:color w:val="000000"/>
                <w:sz w:val="18"/>
                <w:lang w:val="es-ES"/>
              </w:rPr>
              <w:t xml:space="preserve"> </w:t>
            </w:r>
            <w:r w:rsidRPr="002129FA">
              <w:rPr>
                <w:rFonts w:ascii="Arial" w:hAnsi="Arial" w:cs="Arial"/>
                <w:b/>
                <w:bCs/>
                <w:color w:val="000000"/>
                <w:sz w:val="18"/>
                <w:lang w:val="es-ES"/>
              </w:rPr>
              <w:t>US$</w:t>
            </w:r>
          </w:p>
        </w:tc>
        <w:tc>
          <w:tcPr>
            <w:tcW w:w="1008" w:type="dxa"/>
            <w:shd w:val="clear" w:color="000000" w:fill="B6DDE8" w:themeFill="accent5" w:themeFillTint="66"/>
            <w:vAlign w:val="center"/>
            <w:hideMark/>
          </w:tcPr>
          <w:p w14:paraId="0A604283" w14:textId="77777777" w:rsidR="00A113A3" w:rsidRPr="002129FA" w:rsidRDefault="00A113A3" w:rsidP="00B3684F">
            <w:pPr>
              <w:ind w:left="-108" w:right="-133"/>
              <w:jc w:val="center"/>
              <w:rPr>
                <w:rFonts w:ascii="Arial" w:hAnsi="Arial" w:cs="Arial"/>
                <w:b/>
                <w:bCs/>
                <w:color w:val="000000"/>
                <w:sz w:val="18"/>
                <w:lang w:val="en-US"/>
              </w:rPr>
            </w:pPr>
            <w:r w:rsidRPr="002129FA">
              <w:rPr>
                <w:rFonts w:ascii="Arial" w:hAnsi="Arial" w:cs="Arial"/>
                <w:b/>
                <w:bCs/>
                <w:color w:val="000000"/>
                <w:sz w:val="18"/>
                <w:lang w:val="es-ES"/>
              </w:rPr>
              <w:t>Financia</w:t>
            </w:r>
            <w:r>
              <w:rPr>
                <w:rFonts w:ascii="Arial" w:hAnsi="Arial" w:cs="Arial"/>
                <w:b/>
                <w:bCs/>
                <w:color w:val="000000"/>
                <w:sz w:val="18"/>
                <w:lang w:val="es-ES"/>
              </w:rPr>
              <w:t>-</w:t>
            </w:r>
            <w:r w:rsidRPr="002129FA">
              <w:rPr>
                <w:rFonts w:ascii="Arial" w:hAnsi="Arial" w:cs="Arial"/>
                <w:b/>
                <w:bCs/>
                <w:color w:val="000000"/>
                <w:sz w:val="18"/>
                <w:lang w:val="es-ES"/>
              </w:rPr>
              <w:t>miento</w:t>
            </w:r>
          </w:p>
        </w:tc>
      </w:tr>
      <w:tr w:rsidR="00A113A3" w:rsidRPr="00D97056" w14:paraId="5C029BE5" w14:textId="77777777" w:rsidTr="00A113A3">
        <w:trPr>
          <w:trHeight w:val="502"/>
          <w:jc w:val="right"/>
        </w:trPr>
        <w:tc>
          <w:tcPr>
            <w:tcW w:w="2250" w:type="dxa"/>
            <w:shd w:val="clear" w:color="auto" w:fill="auto"/>
            <w:vAlign w:val="center"/>
            <w:hideMark/>
          </w:tcPr>
          <w:p w14:paraId="394F331A" w14:textId="77777777" w:rsidR="00A113A3" w:rsidRPr="002129FA" w:rsidRDefault="00A113A3" w:rsidP="00B3684F">
            <w:pPr>
              <w:rPr>
                <w:rFonts w:ascii="Arial" w:hAnsi="Arial" w:cs="Arial"/>
                <w:color w:val="000000"/>
                <w:sz w:val="18"/>
                <w:lang w:val="en-US"/>
              </w:rPr>
            </w:pPr>
            <w:r w:rsidRPr="002129FA">
              <w:rPr>
                <w:rFonts w:ascii="Arial" w:hAnsi="Arial" w:cs="Arial"/>
                <w:color w:val="000000"/>
                <w:sz w:val="18"/>
                <w:lang w:val="es-ES"/>
              </w:rPr>
              <w:t>Misiones supervisión</w:t>
            </w:r>
          </w:p>
        </w:tc>
        <w:tc>
          <w:tcPr>
            <w:tcW w:w="990" w:type="dxa"/>
            <w:shd w:val="clear" w:color="auto" w:fill="auto"/>
            <w:vAlign w:val="center"/>
          </w:tcPr>
          <w:p w14:paraId="2E685113" w14:textId="77777777" w:rsidR="00A113A3" w:rsidRPr="002129FA" w:rsidRDefault="00A113A3" w:rsidP="00B3684F">
            <w:pPr>
              <w:jc w:val="center"/>
              <w:rPr>
                <w:rFonts w:ascii="Arial" w:hAnsi="Arial" w:cs="Arial"/>
                <w:color w:val="000000"/>
                <w:sz w:val="18"/>
                <w:lang w:val="en-US"/>
              </w:rPr>
            </w:pPr>
            <w:r w:rsidRPr="002129FA">
              <w:rPr>
                <w:rFonts w:ascii="Arial" w:hAnsi="Arial" w:cs="Arial"/>
                <w:color w:val="000000"/>
                <w:sz w:val="18"/>
                <w:lang w:val="en-US"/>
              </w:rPr>
              <w:t>1</w:t>
            </w:r>
          </w:p>
        </w:tc>
        <w:tc>
          <w:tcPr>
            <w:tcW w:w="990" w:type="dxa"/>
            <w:vAlign w:val="center"/>
          </w:tcPr>
          <w:p w14:paraId="72FB1D91" w14:textId="77777777" w:rsidR="00A113A3" w:rsidRPr="002129FA" w:rsidRDefault="00A113A3" w:rsidP="00B3684F">
            <w:pPr>
              <w:jc w:val="center"/>
              <w:rPr>
                <w:rFonts w:ascii="Arial" w:hAnsi="Arial" w:cs="Arial"/>
                <w:color w:val="000000"/>
                <w:sz w:val="18"/>
                <w:lang w:val="es-ES"/>
              </w:rPr>
            </w:pPr>
            <w:r>
              <w:rPr>
                <w:rFonts w:ascii="Arial" w:hAnsi="Arial" w:cs="Arial"/>
                <w:color w:val="000000"/>
                <w:sz w:val="18"/>
                <w:lang w:val="es-ES"/>
              </w:rPr>
              <w:t>1</w:t>
            </w:r>
          </w:p>
        </w:tc>
        <w:tc>
          <w:tcPr>
            <w:tcW w:w="990" w:type="dxa"/>
            <w:vAlign w:val="center"/>
          </w:tcPr>
          <w:p w14:paraId="26AA3173" w14:textId="77777777" w:rsidR="00A113A3" w:rsidRPr="002129FA" w:rsidRDefault="00A113A3" w:rsidP="00B3684F">
            <w:pPr>
              <w:jc w:val="center"/>
              <w:rPr>
                <w:rFonts w:ascii="Arial" w:hAnsi="Arial" w:cs="Arial"/>
                <w:color w:val="000000"/>
                <w:sz w:val="18"/>
                <w:lang w:val="es-ES"/>
              </w:rPr>
            </w:pPr>
            <w:r>
              <w:rPr>
                <w:rFonts w:ascii="Arial" w:hAnsi="Arial" w:cs="Arial"/>
                <w:color w:val="000000"/>
                <w:sz w:val="18"/>
                <w:lang w:val="es-ES"/>
              </w:rPr>
              <w:t>1</w:t>
            </w:r>
          </w:p>
        </w:tc>
        <w:tc>
          <w:tcPr>
            <w:tcW w:w="1260" w:type="dxa"/>
            <w:shd w:val="clear" w:color="auto" w:fill="auto"/>
            <w:vAlign w:val="center"/>
            <w:hideMark/>
          </w:tcPr>
          <w:p w14:paraId="6A37C04C" w14:textId="11681739" w:rsidR="00A113A3" w:rsidRPr="002129FA" w:rsidRDefault="00BF21E7" w:rsidP="00B3684F">
            <w:pPr>
              <w:jc w:val="center"/>
              <w:rPr>
                <w:rFonts w:ascii="Arial" w:hAnsi="Arial" w:cs="Arial"/>
                <w:color w:val="000000"/>
                <w:sz w:val="18"/>
                <w:lang w:val="en-US"/>
              </w:rPr>
            </w:pPr>
            <w:r>
              <w:rPr>
                <w:rFonts w:ascii="Arial" w:hAnsi="Arial" w:cs="Arial"/>
                <w:color w:val="000000"/>
                <w:sz w:val="18"/>
                <w:lang w:val="es-ES"/>
              </w:rPr>
              <w:t xml:space="preserve">Equipo del programa </w:t>
            </w:r>
            <w:r w:rsidR="00A113A3" w:rsidRPr="002129FA">
              <w:rPr>
                <w:rFonts w:ascii="Arial" w:hAnsi="Arial" w:cs="Arial"/>
                <w:color w:val="000000"/>
                <w:sz w:val="18"/>
                <w:lang w:val="es-ES"/>
              </w:rPr>
              <w:t>BID</w:t>
            </w:r>
          </w:p>
        </w:tc>
        <w:tc>
          <w:tcPr>
            <w:tcW w:w="810" w:type="dxa"/>
            <w:shd w:val="clear" w:color="auto" w:fill="auto"/>
            <w:vAlign w:val="center"/>
            <w:hideMark/>
          </w:tcPr>
          <w:p w14:paraId="77D9144C" w14:textId="77777777" w:rsidR="00A113A3" w:rsidRPr="002129FA" w:rsidRDefault="00A113A3" w:rsidP="00B3684F">
            <w:pPr>
              <w:jc w:val="center"/>
              <w:rPr>
                <w:rFonts w:ascii="Arial" w:hAnsi="Arial" w:cs="Arial"/>
                <w:color w:val="000000"/>
                <w:sz w:val="18"/>
                <w:lang w:val="en-US"/>
              </w:rPr>
            </w:pPr>
            <w:r>
              <w:rPr>
                <w:rFonts w:ascii="Arial" w:hAnsi="Arial" w:cs="Arial"/>
                <w:color w:val="000000"/>
                <w:sz w:val="18"/>
                <w:lang w:val="en-US"/>
              </w:rPr>
              <w:t>15</w:t>
            </w:r>
            <w:r w:rsidRPr="002129FA">
              <w:rPr>
                <w:rFonts w:ascii="Arial" w:hAnsi="Arial" w:cs="Arial"/>
                <w:color w:val="000000"/>
                <w:sz w:val="18"/>
                <w:lang w:val="en-US"/>
              </w:rPr>
              <w:t>.000</w:t>
            </w:r>
          </w:p>
        </w:tc>
        <w:tc>
          <w:tcPr>
            <w:tcW w:w="1008" w:type="dxa"/>
            <w:shd w:val="clear" w:color="auto" w:fill="auto"/>
            <w:vAlign w:val="center"/>
            <w:hideMark/>
          </w:tcPr>
          <w:p w14:paraId="5DECAF01" w14:textId="77777777" w:rsidR="00A113A3" w:rsidRPr="002129FA" w:rsidRDefault="00A113A3" w:rsidP="00B3684F">
            <w:pPr>
              <w:jc w:val="center"/>
              <w:rPr>
                <w:rFonts w:ascii="Arial" w:hAnsi="Arial" w:cs="Arial"/>
                <w:color w:val="000000"/>
                <w:sz w:val="18"/>
                <w:lang w:val="en-US"/>
              </w:rPr>
            </w:pPr>
            <w:r w:rsidRPr="002129FA">
              <w:rPr>
                <w:rFonts w:ascii="Arial" w:hAnsi="Arial" w:cs="Arial"/>
                <w:color w:val="000000"/>
                <w:sz w:val="18"/>
                <w:lang w:val="es-ES"/>
              </w:rPr>
              <w:t>BID</w:t>
            </w:r>
          </w:p>
        </w:tc>
      </w:tr>
      <w:tr w:rsidR="00A113A3" w:rsidRPr="00D97056" w14:paraId="436F9BA8" w14:textId="77777777" w:rsidTr="00A113A3">
        <w:trPr>
          <w:trHeight w:val="315"/>
          <w:jc w:val="right"/>
        </w:trPr>
        <w:tc>
          <w:tcPr>
            <w:tcW w:w="2250" w:type="dxa"/>
            <w:shd w:val="clear" w:color="auto" w:fill="auto"/>
            <w:vAlign w:val="center"/>
            <w:hideMark/>
          </w:tcPr>
          <w:p w14:paraId="6B23748F" w14:textId="77777777" w:rsidR="00A113A3" w:rsidRPr="00882B36" w:rsidRDefault="00A113A3" w:rsidP="00962FF5">
            <w:pPr>
              <w:rPr>
                <w:rFonts w:ascii="Arial" w:hAnsi="Arial" w:cs="Arial"/>
                <w:color w:val="000000"/>
                <w:sz w:val="18"/>
              </w:rPr>
            </w:pPr>
            <w:r w:rsidRPr="002129FA">
              <w:rPr>
                <w:rFonts w:ascii="Arial" w:hAnsi="Arial" w:cs="Arial"/>
                <w:color w:val="000000"/>
                <w:sz w:val="18"/>
                <w:lang w:val="es-ES"/>
              </w:rPr>
              <w:t>Informe de Seguimiento</w:t>
            </w:r>
            <w:r>
              <w:rPr>
                <w:rFonts w:ascii="Arial" w:hAnsi="Arial" w:cs="Arial"/>
                <w:color w:val="000000"/>
                <w:sz w:val="18"/>
                <w:lang w:val="es-ES"/>
              </w:rPr>
              <w:t xml:space="preserve"> Componente II</w:t>
            </w:r>
          </w:p>
        </w:tc>
        <w:tc>
          <w:tcPr>
            <w:tcW w:w="990" w:type="dxa"/>
            <w:shd w:val="clear" w:color="auto" w:fill="auto"/>
            <w:vAlign w:val="center"/>
          </w:tcPr>
          <w:p w14:paraId="4A3B8005" w14:textId="77777777" w:rsidR="00A113A3" w:rsidRPr="00882B36" w:rsidRDefault="00A113A3" w:rsidP="00B3684F">
            <w:pPr>
              <w:jc w:val="center"/>
              <w:rPr>
                <w:rFonts w:ascii="Arial" w:hAnsi="Arial" w:cs="Arial"/>
                <w:color w:val="000000"/>
                <w:sz w:val="18"/>
              </w:rPr>
            </w:pPr>
          </w:p>
        </w:tc>
        <w:tc>
          <w:tcPr>
            <w:tcW w:w="990" w:type="dxa"/>
            <w:vAlign w:val="center"/>
          </w:tcPr>
          <w:p w14:paraId="67AB1336" w14:textId="77777777" w:rsidR="00A113A3" w:rsidRPr="002129FA" w:rsidRDefault="00A113A3" w:rsidP="00B3684F">
            <w:pPr>
              <w:jc w:val="center"/>
              <w:rPr>
                <w:rFonts w:ascii="Arial" w:hAnsi="Arial" w:cs="Arial"/>
                <w:color w:val="000000"/>
                <w:sz w:val="18"/>
                <w:lang w:val="es-ES"/>
              </w:rPr>
            </w:pPr>
            <w:r>
              <w:rPr>
                <w:rFonts w:ascii="Arial" w:hAnsi="Arial" w:cs="Arial"/>
                <w:color w:val="000000"/>
                <w:sz w:val="18"/>
                <w:lang w:val="es-ES"/>
              </w:rPr>
              <w:t>1</w:t>
            </w:r>
          </w:p>
        </w:tc>
        <w:tc>
          <w:tcPr>
            <w:tcW w:w="990" w:type="dxa"/>
          </w:tcPr>
          <w:p w14:paraId="290CDED4" w14:textId="77777777" w:rsidR="00A113A3" w:rsidRPr="002129FA" w:rsidRDefault="00A113A3" w:rsidP="00B3684F">
            <w:pPr>
              <w:jc w:val="center"/>
              <w:rPr>
                <w:rFonts w:ascii="Arial" w:hAnsi="Arial" w:cs="Arial"/>
                <w:color w:val="000000"/>
                <w:sz w:val="18"/>
                <w:lang w:val="es-ES"/>
              </w:rPr>
            </w:pPr>
          </w:p>
        </w:tc>
        <w:tc>
          <w:tcPr>
            <w:tcW w:w="1260" w:type="dxa"/>
            <w:shd w:val="clear" w:color="auto" w:fill="auto"/>
            <w:vAlign w:val="center"/>
            <w:hideMark/>
          </w:tcPr>
          <w:p w14:paraId="6DCD272E" w14:textId="473E4007" w:rsidR="00A113A3" w:rsidRPr="00882B36" w:rsidRDefault="00BF21E7" w:rsidP="00B3684F">
            <w:pPr>
              <w:jc w:val="center"/>
              <w:rPr>
                <w:rFonts w:ascii="Arial" w:hAnsi="Arial" w:cs="Arial"/>
                <w:color w:val="000000"/>
                <w:sz w:val="18"/>
              </w:rPr>
            </w:pPr>
            <w:r w:rsidRPr="00BF21E7">
              <w:rPr>
                <w:rFonts w:ascii="Arial" w:hAnsi="Arial" w:cs="Arial"/>
                <w:color w:val="000000"/>
                <w:sz w:val="18"/>
                <w:lang w:val="es-ES"/>
              </w:rPr>
              <w:t xml:space="preserve">Equipo del programa </w:t>
            </w:r>
            <w:r w:rsidR="00A113A3" w:rsidRPr="002129FA">
              <w:rPr>
                <w:rFonts w:ascii="Arial" w:hAnsi="Arial" w:cs="Arial"/>
                <w:color w:val="000000"/>
                <w:sz w:val="18"/>
                <w:lang w:val="es-ES"/>
              </w:rPr>
              <w:t>BID</w:t>
            </w:r>
          </w:p>
        </w:tc>
        <w:tc>
          <w:tcPr>
            <w:tcW w:w="810" w:type="dxa"/>
            <w:shd w:val="clear" w:color="auto" w:fill="auto"/>
            <w:vAlign w:val="center"/>
            <w:hideMark/>
          </w:tcPr>
          <w:p w14:paraId="72650A71" w14:textId="77777777" w:rsidR="00A113A3" w:rsidRPr="00882B36" w:rsidRDefault="00A113A3" w:rsidP="00B3684F">
            <w:pPr>
              <w:jc w:val="center"/>
              <w:rPr>
                <w:rFonts w:ascii="Arial" w:hAnsi="Arial" w:cs="Arial"/>
                <w:color w:val="000000"/>
                <w:sz w:val="18"/>
              </w:rPr>
            </w:pPr>
            <w:r w:rsidRPr="00882B36">
              <w:rPr>
                <w:rFonts w:ascii="Arial" w:hAnsi="Arial" w:cs="Arial"/>
                <w:color w:val="000000"/>
                <w:sz w:val="18"/>
              </w:rPr>
              <w:t>1</w:t>
            </w:r>
            <w:r>
              <w:rPr>
                <w:rFonts w:ascii="Arial" w:hAnsi="Arial" w:cs="Arial"/>
                <w:color w:val="000000"/>
                <w:sz w:val="18"/>
              </w:rPr>
              <w:t>0</w:t>
            </w:r>
            <w:r w:rsidRPr="00882B36">
              <w:rPr>
                <w:rFonts w:ascii="Arial" w:hAnsi="Arial" w:cs="Arial"/>
                <w:color w:val="000000"/>
                <w:sz w:val="18"/>
              </w:rPr>
              <w:t>.000</w:t>
            </w:r>
          </w:p>
        </w:tc>
        <w:tc>
          <w:tcPr>
            <w:tcW w:w="1008" w:type="dxa"/>
            <w:shd w:val="clear" w:color="auto" w:fill="auto"/>
            <w:vAlign w:val="center"/>
            <w:hideMark/>
          </w:tcPr>
          <w:p w14:paraId="294E7F1F" w14:textId="77777777" w:rsidR="00A113A3" w:rsidRPr="00882B36" w:rsidRDefault="00A113A3" w:rsidP="00B3684F">
            <w:pPr>
              <w:jc w:val="center"/>
              <w:rPr>
                <w:rFonts w:ascii="Arial" w:hAnsi="Arial" w:cs="Arial"/>
                <w:color w:val="000000"/>
                <w:sz w:val="18"/>
              </w:rPr>
            </w:pPr>
            <w:r w:rsidRPr="00882B36">
              <w:rPr>
                <w:rFonts w:ascii="Arial" w:hAnsi="Arial" w:cs="Arial"/>
                <w:color w:val="000000"/>
                <w:sz w:val="18"/>
              </w:rPr>
              <w:t>BID</w:t>
            </w:r>
          </w:p>
        </w:tc>
      </w:tr>
      <w:tr w:rsidR="00A113A3" w:rsidRPr="00D97056" w14:paraId="59DA7429" w14:textId="77777777" w:rsidTr="00A113A3">
        <w:trPr>
          <w:trHeight w:val="315"/>
          <w:jc w:val="right"/>
        </w:trPr>
        <w:tc>
          <w:tcPr>
            <w:tcW w:w="2250" w:type="dxa"/>
            <w:shd w:val="clear" w:color="auto" w:fill="auto"/>
            <w:vAlign w:val="center"/>
            <w:hideMark/>
          </w:tcPr>
          <w:p w14:paraId="2BB35C3E" w14:textId="77777777" w:rsidR="00A113A3" w:rsidRPr="00882B36" w:rsidRDefault="00A113A3" w:rsidP="00962FF5">
            <w:pPr>
              <w:rPr>
                <w:rFonts w:ascii="Arial" w:hAnsi="Arial" w:cs="Arial"/>
                <w:color w:val="000000"/>
                <w:sz w:val="18"/>
              </w:rPr>
            </w:pPr>
            <w:r w:rsidRPr="002129FA">
              <w:rPr>
                <w:rFonts w:ascii="Arial" w:hAnsi="Arial" w:cs="Arial"/>
                <w:color w:val="000000"/>
                <w:sz w:val="18"/>
                <w:lang w:val="es-ES"/>
              </w:rPr>
              <w:t>Informe de Seguimiento</w:t>
            </w:r>
            <w:r>
              <w:rPr>
                <w:rFonts w:ascii="Arial" w:hAnsi="Arial" w:cs="Arial"/>
                <w:color w:val="000000"/>
                <w:sz w:val="18"/>
                <w:lang w:val="es-ES"/>
              </w:rPr>
              <w:t xml:space="preserve"> Componente III</w:t>
            </w:r>
          </w:p>
        </w:tc>
        <w:tc>
          <w:tcPr>
            <w:tcW w:w="990" w:type="dxa"/>
            <w:shd w:val="clear" w:color="auto" w:fill="auto"/>
            <w:vAlign w:val="center"/>
          </w:tcPr>
          <w:p w14:paraId="1AE672B2" w14:textId="77777777" w:rsidR="00A113A3" w:rsidRPr="00882B36" w:rsidRDefault="00A113A3" w:rsidP="00B3684F">
            <w:pPr>
              <w:rPr>
                <w:rFonts w:ascii="Arial" w:hAnsi="Arial" w:cs="Arial"/>
                <w:color w:val="000000"/>
                <w:sz w:val="18"/>
              </w:rPr>
            </w:pPr>
          </w:p>
        </w:tc>
        <w:tc>
          <w:tcPr>
            <w:tcW w:w="990" w:type="dxa"/>
            <w:vAlign w:val="center"/>
          </w:tcPr>
          <w:p w14:paraId="15CAC4AC" w14:textId="77777777" w:rsidR="00A113A3" w:rsidRPr="002129FA" w:rsidRDefault="00A113A3" w:rsidP="00B3684F">
            <w:pPr>
              <w:jc w:val="center"/>
              <w:rPr>
                <w:rFonts w:ascii="Arial" w:hAnsi="Arial" w:cs="Arial"/>
                <w:color w:val="000000"/>
                <w:sz w:val="18"/>
                <w:lang w:val="es-ES"/>
              </w:rPr>
            </w:pPr>
            <w:r w:rsidRPr="002129FA">
              <w:rPr>
                <w:rFonts w:ascii="Arial" w:hAnsi="Arial" w:cs="Arial"/>
                <w:color w:val="000000"/>
                <w:sz w:val="18"/>
                <w:lang w:val="es-ES"/>
              </w:rPr>
              <w:t>1</w:t>
            </w:r>
          </w:p>
        </w:tc>
        <w:tc>
          <w:tcPr>
            <w:tcW w:w="990" w:type="dxa"/>
          </w:tcPr>
          <w:p w14:paraId="1EE7C231" w14:textId="77777777" w:rsidR="00A113A3" w:rsidRPr="002129FA" w:rsidRDefault="00A113A3" w:rsidP="00B3684F">
            <w:pPr>
              <w:jc w:val="center"/>
              <w:rPr>
                <w:rFonts w:ascii="Arial" w:hAnsi="Arial" w:cs="Arial"/>
                <w:color w:val="000000"/>
                <w:sz w:val="18"/>
                <w:lang w:val="es-ES"/>
              </w:rPr>
            </w:pPr>
          </w:p>
        </w:tc>
        <w:tc>
          <w:tcPr>
            <w:tcW w:w="1260" w:type="dxa"/>
            <w:shd w:val="clear" w:color="auto" w:fill="auto"/>
            <w:vAlign w:val="center"/>
            <w:hideMark/>
          </w:tcPr>
          <w:p w14:paraId="3C11A51F" w14:textId="343717B3" w:rsidR="00A113A3" w:rsidRPr="00882B36" w:rsidRDefault="00BF21E7" w:rsidP="00B3684F">
            <w:pPr>
              <w:jc w:val="center"/>
              <w:rPr>
                <w:rFonts w:ascii="Arial" w:hAnsi="Arial" w:cs="Arial"/>
                <w:color w:val="000000"/>
                <w:sz w:val="18"/>
              </w:rPr>
            </w:pPr>
            <w:r w:rsidRPr="00BF21E7">
              <w:rPr>
                <w:rFonts w:ascii="Arial" w:hAnsi="Arial" w:cs="Arial"/>
                <w:color w:val="000000"/>
                <w:sz w:val="18"/>
                <w:lang w:val="es-ES"/>
              </w:rPr>
              <w:t xml:space="preserve">Equipo del programa </w:t>
            </w:r>
            <w:r w:rsidR="00A113A3" w:rsidRPr="002129FA">
              <w:rPr>
                <w:rFonts w:ascii="Arial" w:hAnsi="Arial" w:cs="Arial"/>
                <w:color w:val="000000"/>
                <w:sz w:val="18"/>
                <w:lang w:val="es-ES"/>
              </w:rPr>
              <w:t>BID</w:t>
            </w:r>
          </w:p>
        </w:tc>
        <w:tc>
          <w:tcPr>
            <w:tcW w:w="810" w:type="dxa"/>
            <w:shd w:val="clear" w:color="auto" w:fill="auto"/>
            <w:vAlign w:val="center"/>
            <w:hideMark/>
          </w:tcPr>
          <w:p w14:paraId="0BF86F81" w14:textId="77777777" w:rsidR="00A113A3" w:rsidRPr="00882B36" w:rsidRDefault="00A113A3" w:rsidP="00B3684F">
            <w:pPr>
              <w:jc w:val="center"/>
              <w:rPr>
                <w:rFonts w:ascii="Arial" w:hAnsi="Arial" w:cs="Arial"/>
                <w:color w:val="000000"/>
                <w:sz w:val="18"/>
              </w:rPr>
            </w:pPr>
            <w:r w:rsidRPr="00882B36">
              <w:rPr>
                <w:rFonts w:ascii="Arial" w:hAnsi="Arial" w:cs="Arial"/>
                <w:color w:val="000000"/>
                <w:sz w:val="18"/>
              </w:rPr>
              <w:t>5.000</w:t>
            </w:r>
          </w:p>
        </w:tc>
        <w:tc>
          <w:tcPr>
            <w:tcW w:w="1008" w:type="dxa"/>
            <w:shd w:val="clear" w:color="auto" w:fill="auto"/>
            <w:vAlign w:val="center"/>
            <w:hideMark/>
          </w:tcPr>
          <w:p w14:paraId="54DA6827" w14:textId="77777777" w:rsidR="00A113A3" w:rsidRPr="00882B36" w:rsidRDefault="00A113A3" w:rsidP="00B3684F">
            <w:pPr>
              <w:jc w:val="center"/>
              <w:rPr>
                <w:rFonts w:ascii="Arial" w:hAnsi="Arial" w:cs="Arial"/>
                <w:color w:val="000000"/>
                <w:sz w:val="18"/>
              </w:rPr>
            </w:pPr>
            <w:r w:rsidRPr="00882B36">
              <w:rPr>
                <w:rFonts w:ascii="Arial" w:hAnsi="Arial" w:cs="Arial"/>
                <w:color w:val="000000"/>
                <w:sz w:val="18"/>
              </w:rPr>
              <w:t>BID</w:t>
            </w:r>
          </w:p>
        </w:tc>
      </w:tr>
      <w:tr w:rsidR="00A113A3" w:rsidRPr="00D97056" w14:paraId="07137BBC" w14:textId="77777777" w:rsidTr="005C0CBD">
        <w:trPr>
          <w:trHeight w:val="525"/>
          <w:jc w:val="right"/>
        </w:trPr>
        <w:tc>
          <w:tcPr>
            <w:tcW w:w="2250" w:type="dxa"/>
            <w:shd w:val="clear" w:color="auto" w:fill="auto"/>
            <w:vAlign w:val="center"/>
            <w:hideMark/>
          </w:tcPr>
          <w:p w14:paraId="2CA73A7D" w14:textId="574CB831" w:rsidR="00A113A3" w:rsidRPr="002129FA" w:rsidRDefault="00A113A3" w:rsidP="00076221">
            <w:pPr>
              <w:rPr>
                <w:rFonts w:ascii="Arial" w:hAnsi="Arial" w:cs="Arial"/>
                <w:color w:val="000000"/>
                <w:sz w:val="18"/>
                <w:lang w:val="es-ES"/>
              </w:rPr>
            </w:pPr>
            <w:r w:rsidRPr="002129FA">
              <w:rPr>
                <w:rFonts w:ascii="Arial" w:hAnsi="Arial" w:cs="Arial"/>
                <w:color w:val="000000"/>
                <w:sz w:val="18"/>
                <w:lang w:val="es-ES"/>
              </w:rPr>
              <w:t xml:space="preserve">Análisis </w:t>
            </w:r>
            <w:r w:rsidR="00076221">
              <w:rPr>
                <w:rFonts w:ascii="Arial" w:hAnsi="Arial" w:cs="Arial"/>
                <w:color w:val="000000"/>
                <w:sz w:val="18"/>
                <w:lang w:val="es-ES"/>
              </w:rPr>
              <w:t xml:space="preserve">Económico </w:t>
            </w:r>
            <w:r>
              <w:rPr>
                <w:rFonts w:ascii="Arial" w:hAnsi="Arial" w:cs="Arial"/>
                <w:color w:val="000000"/>
                <w:sz w:val="18"/>
                <w:lang w:val="es-ES"/>
              </w:rPr>
              <w:t xml:space="preserve">ex post </w:t>
            </w:r>
            <w:r w:rsidRPr="002129FA">
              <w:rPr>
                <w:rFonts w:ascii="Arial" w:hAnsi="Arial" w:cs="Arial"/>
                <w:color w:val="000000"/>
                <w:sz w:val="18"/>
                <w:lang w:val="es-ES"/>
              </w:rPr>
              <w:t>de Impacto</w:t>
            </w:r>
            <w:r w:rsidR="00076221">
              <w:rPr>
                <w:rFonts w:ascii="Arial" w:hAnsi="Arial" w:cs="Arial"/>
                <w:color w:val="000000"/>
                <w:sz w:val="18"/>
                <w:lang w:val="es-ES"/>
              </w:rPr>
              <w:t>s y Resultados</w:t>
            </w:r>
            <w:r w:rsidRPr="002129FA">
              <w:rPr>
                <w:rFonts w:ascii="Arial" w:hAnsi="Arial" w:cs="Arial"/>
                <w:color w:val="000000"/>
                <w:sz w:val="18"/>
                <w:lang w:val="es-ES"/>
              </w:rPr>
              <w:t xml:space="preserve"> de las medidas </w:t>
            </w:r>
          </w:p>
        </w:tc>
        <w:tc>
          <w:tcPr>
            <w:tcW w:w="990" w:type="dxa"/>
            <w:shd w:val="clear" w:color="auto" w:fill="auto"/>
            <w:vAlign w:val="center"/>
          </w:tcPr>
          <w:p w14:paraId="267B8EF9" w14:textId="77777777" w:rsidR="00A113A3" w:rsidRPr="002129FA" w:rsidRDefault="00A113A3" w:rsidP="00B3684F">
            <w:pPr>
              <w:jc w:val="right"/>
              <w:rPr>
                <w:rFonts w:ascii="Arial" w:hAnsi="Arial" w:cs="Arial"/>
                <w:color w:val="000000"/>
                <w:sz w:val="18"/>
                <w:lang w:val="es-ES"/>
              </w:rPr>
            </w:pPr>
          </w:p>
        </w:tc>
        <w:tc>
          <w:tcPr>
            <w:tcW w:w="990" w:type="dxa"/>
            <w:vAlign w:val="center"/>
          </w:tcPr>
          <w:p w14:paraId="6D28BDD2" w14:textId="77777777" w:rsidR="00A113A3" w:rsidRPr="002129FA" w:rsidRDefault="00A113A3" w:rsidP="00B3684F">
            <w:pPr>
              <w:jc w:val="center"/>
              <w:rPr>
                <w:rFonts w:ascii="Arial" w:hAnsi="Arial" w:cs="Arial"/>
                <w:color w:val="000000"/>
                <w:sz w:val="18"/>
                <w:lang w:val="es-ES"/>
              </w:rPr>
            </w:pPr>
          </w:p>
        </w:tc>
        <w:tc>
          <w:tcPr>
            <w:tcW w:w="990" w:type="dxa"/>
            <w:vAlign w:val="center"/>
          </w:tcPr>
          <w:p w14:paraId="4F07198C" w14:textId="77777777" w:rsidR="00A113A3" w:rsidRDefault="00A113A3" w:rsidP="005C0CBD">
            <w:pPr>
              <w:jc w:val="center"/>
              <w:rPr>
                <w:rFonts w:ascii="Arial" w:hAnsi="Arial" w:cs="Arial"/>
                <w:color w:val="000000"/>
                <w:sz w:val="18"/>
                <w:lang w:val="es-ES"/>
              </w:rPr>
            </w:pPr>
            <w:r>
              <w:rPr>
                <w:rFonts w:ascii="Arial" w:hAnsi="Arial" w:cs="Arial"/>
                <w:color w:val="000000"/>
                <w:sz w:val="18"/>
                <w:lang w:val="es-ES"/>
              </w:rPr>
              <w:t>1</w:t>
            </w:r>
          </w:p>
        </w:tc>
        <w:tc>
          <w:tcPr>
            <w:tcW w:w="1260" w:type="dxa"/>
            <w:shd w:val="clear" w:color="auto" w:fill="auto"/>
            <w:vAlign w:val="center"/>
            <w:hideMark/>
          </w:tcPr>
          <w:p w14:paraId="5E6BFE3A" w14:textId="4ED662E3" w:rsidR="00A113A3" w:rsidRPr="002129FA" w:rsidRDefault="00BF21E7" w:rsidP="00B3684F">
            <w:pPr>
              <w:jc w:val="center"/>
              <w:rPr>
                <w:rFonts w:ascii="Arial" w:hAnsi="Arial" w:cs="Arial"/>
                <w:color w:val="000000"/>
                <w:sz w:val="18"/>
                <w:lang w:val="en-US"/>
              </w:rPr>
            </w:pPr>
            <w:r w:rsidRPr="00BF21E7">
              <w:rPr>
                <w:rFonts w:ascii="Arial" w:hAnsi="Arial" w:cs="Arial"/>
                <w:color w:val="000000"/>
                <w:sz w:val="18"/>
                <w:lang w:val="es-ES"/>
              </w:rPr>
              <w:t xml:space="preserve">Equipo del programa </w:t>
            </w:r>
            <w:r w:rsidR="00A113A3" w:rsidRPr="002129FA">
              <w:rPr>
                <w:rFonts w:ascii="Arial" w:hAnsi="Arial" w:cs="Arial"/>
                <w:color w:val="000000"/>
                <w:sz w:val="18"/>
                <w:lang w:val="es-ES"/>
              </w:rPr>
              <w:t>BID</w:t>
            </w:r>
          </w:p>
        </w:tc>
        <w:tc>
          <w:tcPr>
            <w:tcW w:w="810" w:type="dxa"/>
            <w:shd w:val="clear" w:color="auto" w:fill="auto"/>
            <w:vAlign w:val="center"/>
            <w:hideMark/>
          </w:tcPr>
          <w:p w14:paraId="7004E643" w14:textId="77777777" w:rsidR="00A113A3" w:rsidRPr="002129FA" w:rsidRDefault="00A113A3" w:rsidP="00B3684F">
            <w:pPr>
              <w:jc w:val="center"/>
              <w:rPr>
                <w:rFonts w:ascii="Arial" w:hAnsi="Arial" w:cs="Arial"/>
                <w:color w:val="000000"/>
                <w:sz w:val="18"/>
                <w:lang w:val="en-US"/>
              </w:rPr>
            </w:pPr>
            <w:r>
              <w:rPr>
                <w:rFonts w:ascii="Arial" w:hAnsi="Arial" w:cs="Arial"/>
                <w:color w:val="000000"/>
                <w:sz w:val="18"/>
                <w:lang w:val="en-US"/>
              </w:rPr>
              <w:t>15</w:t>
            </w:r>
            <w:r w:rsidRPr="002129FA">
              <w:rPr>
                <w:rFonts w:ascii="Arial" w:hAnsi="Arial" w:cs="Arial"/>
                <w:color w:val="000000"/>
                <w:sz w:val="18"/>
                <w:lang w:val="en-US"/>
              </w:rPr>
              <w:t>.000</w:t>
            </w:r>
          </w:p>
        </w:tc>
        <w:tc>
          <w:tcPr>
            <w:tcW w:w="1008" w:type="dxa"/>
            <w:shd w:val="clear" w:color="auto" w:fill="auto"/>
            <w:vAlign w:val="center"/>
            <w:hideMark/>
          </w:tcPr>
          <w:p w14:paraId="07028776" w14:textId="77777777" w:rsidR="00A113A3" w:rsidRPr="002129FA" w:rsidRDefault="00A113A3" w:rsidP="00B3684F">
            <w:pPr>
              <w:jc w:val="center"/>
              <w:rPr>
                <w:rFonts w:ascii="Arial" w:hAnsi="Arial" w:cs="Arial"/>
                <w:color w:val="000000"/>
                <w:sz w:val="18"/>
                <w:lang w:val="en-US"/>
              </w:rPr>
            </w:pPr>
            <w:r w:rsidRPr="002129FA">
              <w:rPr>
                <w:rFonts w:ascii="Arial" w:hAnsi="Arial" w:cs="Arial"/>
                <w:color w:val="000000"/>
                <w:sz w:val="18"/>
                <w:lang w:val="en-US"/>
              </w:rPr>
              <w:t>BID</w:t>
            </w:r>
          </w:p>
        </w:tc>
      </w:tr>
      <w:tr w:rsidR="00A113A3" w:rsidRPr="00D97056" w14:paraId="36C921F4" w14:textId="77777777" w:rsidTr="00A113A3">
        <w:trPr>
          <w:trHeight w:val="287"/>
          <w:jc w:val="right"/>
        </w:trPr>
        <w:tc>
          <w:tcPr>
            <w:tcW w:w="2250" w:type="dxa"/>
            <w:shd w:val="clear" w:color="auto" w:fill="auto"/>
            <w:vAlign w:val="center"/>
          </w:tcPr>
          <w:p w14:paraId="117E81D0" w14:textId="77777777" w:rsidR="00A113A3" w:rsidRPr="002129FA" w:rsidRDefault="00A113A3" w:rsidP="00B3684F">
            <w:pPr>
              <w:rPr>
                <w:rFonts w:ascii="Arial" w:hAnsi="Arial" w:cs="Arial"/>
                <w:b/>
                <w:color w:val="000000"/>
                <w:sz w:val="18"/>
                <w:lang w:val="es-ES"/>
              </w:rPr>
            </w:pPr>
            <w:r w:rsidRPr="002129FA">
              <w:rPr>
                <w:rFonts w:ascii="Arial" w:hAnsi="Arial" w:cs="Arial"/>
                <w:b/>
                <w:color w:val="000000"/>
                <w:sz w:val="18"/>
                <w:lang w:val="es-ES"/>
              </w:rPr>
              <w:t>Total</w:t>
            </w:r>
          </w:p>
        </w:tc>
        <w:tc>
          <w:tcPr>
            <w:tcW w:w="990" w:type="dxa"/>
            <w:shd w:val="clear" w:color="auto" w:fill="auto"/>
            <w:vAlign w:val="center"/>
          </w:tcPr>
          <w:p w14:paraId="3D46C9FA" w14:textId="77777777" w:rsidR="00A113A3" w:rsidRPr="002129FA" w:rsidRDefault="00A113A3" w:rsidP="00B3684F">
            <w:pPr>
              <w:jc w:val="right"/>
              <w:rPr>
                <w:rFonts w:ascii="Arial" w:hAnsi="Arial" w:cs="Arial"/>
                <w:color w:val="000000"/>
                <w:sz w:val="18"/>
                <w:lang w:val="es-ES"/>
              </w:rPr>
            </w:pPr>
          </w:p>
        </w:tc>
        <w:tc>
          <w:tcPr>
            <w:tcW w:w="990" w:type="dxa"/>
            <w:vAlign w:val="center"/>
          </w:tcPr>
          <w:p w14:paraId="5FBF4540" w14:textId="77777777" w:rsidR="00A113A3" w:rsidRPr="002129FA" w:rsidRDefault="00A113A3" w:rsidP="00B3684F">
            <w:pPr>
              <w:rPr>
                <w:rFonts w:ascii="Arial" w:hAnsi="Arial" w:cs="Arial"/>
                <w:color w:val="000000"/>
                <w:sz w:val="18"/>
                <w:lang w:val="es-ES"/>
              </w:rPr>
            </w:pPr>
          </w:p>
        </w:tc>
        <w:tc>
          <w:tcPr>
            <w:tcW w:w="990" w:type="dxa"/>
          </w:tcPr>
          <w:p w14:paraId="47D08263" w14:textId="77777777" w:rsidR="00A113A3" w:rsidRPr="002129FA" w:rsidRDefault="00A113A3" w:rsidP="00B3684F">
            <w:pPr>
              <w:jc w:val="center"/>
              <w:rPr>
                <w:rFonts w:ascii="Arial" w:hAnsi="Arial" w:cs="Arial"/>
                <w:color w:val="000000"/>
                <w:sz w:val="18"/>
                <w:lang w:val="es-ES"/>
              </w:rPr>
            </w:pPr>
          </w:p>
        </w:tc>
        <w:tc>
          <w:tcPr>
            <w:tcW w:w="1260" w:type="dxa"/>
            <w:shd w:val="clear" w:color="auto" w:fill="auto"/>
            <w:vAlign w:val="center"/>
          </w:tcPr>
          <w:p w14:paraId="2526FD83" w14:textId="77777777" w:rsidR="00A113A3" w:rsidRPr="002129FA" w:rsidRDefault="00A113A3" w:rsidP="00B3684F">
            <w:pPr>
              <w:jc w:val="center"/>
              <w:rPr>
                <w:rFonts w:ascii="Arial" w:hAnsi="Arial" w:cs="Arial"/>
                <w:color w:val="000000"/>
                <w:sz w:val="18"/>
                <w:lang w:val="es-ES"/>
              </w:rPr>
            </w:pPr>
          </w:p>
        </w:tc>
        <w:tc>
          <w:tcPr>
            <w:tcW w:w="810" w:type="dxa"/>
            <w:shd w:val="clear" w:color="auto" w:fill="auto"/>
            <w:vAlign w:val="center"/>
          </w:tcPr>
          <w:p w14:paraId="63D8537E" w14:textId="77777777" w:rsidR="00A113A3" w:rsidRPr="002129FA" w:rsidRDefault="00A113A3" w:rsidP="00B3684F">
            <w:pPr>
              <w:jc w:val="center"/>
              <w:rPr>
                <w:rFonts w:ascii="Arial" w:hAnsi="Arial" w:cs="Arial"/>
                <w:color w:val="000000"/>
                <w:sz w:val="18"/>
                <w:lang w:val="en-US"/>
              </w:rPr>
            </w:pPr>
            <w:r>
              <w:rPr>
                <w:rFonts w:ascii="Arial" w:hAnsi="Arial" w:cs="Arial"/>
                <w:color w:val="000000"/>
                <w:sz w:val="18"/>
                <w:lang w:val="en-US"/>
              </w:rPr>
              <w:t>45</w:t>
            </w:r>
            <w:r w:rsidRPr="002129FA">
              <w:rPr>
                <w:rFonts w:ascii="Arial" w:hAnsi="Arial" w:cs="Arial"/>
                <w:color w:val="000000"/>
                <w:sz w:val="18"/>
                <w:lang w:val="en-US"/>
              </w:rPr>
              <w:t>.000</w:t>
            </w:r>
          </w:p>
        </w:tc>
        <w:tc>
          <w:tcPr>
            <w:tcW w:w="1008" w:type="dxa"/>
            <w:shd w:val="clear" w:color="auto" w:fill="auto"/>
            <w:vAlign w:val="center"/>
          </w:tcPr>
          <w:p w14:paraId="7D07FEDB" w14:textId="77777777" w:rsidR="00A113A3" w:rsidRPr="002129FA" w:rsidRDefault="00A113A3" w:rsidP="00B3684F">
            <w:pPr>
              <w:jc w:val="center"/>
              <w:rPr>
                <w:rFonts w:ascii="Arial" w:hAnsi="Arial" w:cs="Arial"/>
                <w:color w:val="000000"/>
                <w:sz w:val="18"/>
                <w:lang w:val="en-US"/>
              </w:rPr>
            </w:pPr>
          </w:p>
        </w:tc>
      </w:tr>
    </w:tbl>
    <w:p w14:paraId="045ACAE0" w14:textId="28B537C1" w:rsidR="004B3F65" w:rsidRPr="009C7648" w:rsidRDefault="009C7648" w:rsidP="004B3F65">
      <w:pPr>
        <w:pStyle w:val="Paragraph"/>
        <w:tabs>
          <w:tab w:val="num" w:pos="1440"/>
        </w:tabs>
        <w:ind w:left="720" w:hanging="720"/>
        <w:rPr>
          <w:rFonts w:ascii="Arial" w:hAnsi="Arial" w:cs="Arial"/>
          <w:sz w:val="22"/>
        </w:rPr>
      </w:pPr>
      <w:bookmarkStart w:id="7" w:name="_Toc455669847"/>
      <w:r>
        <w:rPr>
          <w:rFonts w:ascii="Arial" w:hAnsi="Arial" w:cs="Arial"/>
          <w:sz w:val="22"/>
        </w:rPr>
        <w:t xml:space="preserve">En el Anexo 4 se incluye un Plan </w:t>
      </w:r>
      <w:r w:rsidR="0009150E">
        <w:rPr>
          <w:rFonts w:ascii="Arial" w:hAnsi="Arial" w:cs="Arial"/>
          <w:sz w:val="22"/>
        </w:rPr>
        <w:t xml:space="preserve">de trabajo de seguimiento de las actividades </w:t>
      </w:r>
      <w:r>
        <w:rPr>
          <w:rFonts w:ascii="Arial" w:hAnsi="Arial" w:cs="Arial"/>
          <w:sz w:val="22"/>
        </w:rPr>
        <w:t>del programa.</w:t>
      </w:r>
    </w:p>
    <w:p w14:paraId="5D2853FF" w14:textId="77777777" w:rsidR="00ED751C" w:rsidRPr="00EB0154" w:rsidRDefault="007C1307" w:rsidP="00B3684F">
      <w:pPr>
        <w:pStyle w:val="Chapter"/>
        <w:tabs>
          <w:tab w:val="clear" w:pos="648"/>
          <w:tab w:val="clear" w:pos="1440"/>
        </w:tabs>
        <w:ind w:firstLine="0"/>
        <w:rPr>
          <w:rFonts w:ascii="Arial" w:hAnsi="Arial" w:cs="Arial"/>
          <w:szCs w:val="22"/>
        </w:rPr>
      </w:pPr>
      <w:r>
        <w:rPr>
          <w:rFonts w:ascii="Arial" w:hAnsi="Arial" w:cs="Arial"/>
          <w:szCs w:val="22"/>
        </w:rPr>
        <w:t>Evaluaci</w:t>
      </w:r>
      <w:r w:rsidR="00ED751C" w:rsidRPr="00EB0154">
        <w:rPr>
          <w:rFonts w:ascii="Arial" w:hAnsi="Arial" w:cs="Arial"/>
          <w:szCs w:val="22"/>
        </w:rPr>
        <w:t>ón</w:t>
      </w:r>
      <w:bookmarkEnd w:id="7"/>
    </w:p>
    <w:p w14:paraId="6F2B4CFA" w14:textId="77777777" w:rsidR="00113103" w:rsidRPr="00113103" w:rsidRDefault="00EB0154" w:rsidP="004348BE">
      <w:pPr>
        <w:pStyle w:val="FirstHeading"/>
        <w:rPr>
          <w:rFonts w:ascii="Arial" w:hAnsi="Arial" w:cs="Arial"/>
          <w:noProof/>
          <w:sz w:val="22"/>
          <w:szCs w:val="22"/>
        </w:rPr>
      </w:pPr>
      <w:bookmarkStart w:id="8" w:name="_Toc455669848"/>
      <w:r w:rsidRPr="00EB0154">
        <w:rPr>
          <w:rFonts w:ascii="Arial" w:hAnsi="Arial" w:cs="Arial"/>
          <w:sz w:val="22"/>
          <w:szCs w:val="22"/>
        </w:rPr>
        <w:t>A.</w:t>
      </w:r>
      <w:r w:rsidRPr="00EB0154">
        <w:rPr>
          <w:rFonts w:ascii="Arial" w:hAnsi="Arial" w:cs="Arial"/>
          <w:sz w:val="22"/>
          <w:szCs w:val="22"/>
        </w:rPr>
        <w:tab/>
      </w:r>
      <w:r w:rsidR="007C1307">
        <w:rPr>
          <w:rFonts w:ascii="Arial" w:hAnsi="Arial" w:cs="Arial"/>
          <w:noProof/>
          <w:sz w:val="22"/>
          <w:szCs w:val="22"/>
        </w:rPr>
        <w:t>Principales Preguntas de la Evaluación</w:t>
      </w:r>
      <w:bookmarkEnd w:id="8"/>
      <w:r w:rsidR="008B0F2A">
        <w:rPr>
          <w:rFonts w:ascii="Arial" w:hAnsi="Arial" w:cs="Arial"/>
          <w:noProof/>
          <w:sz w:val="22"/>
          <w:szCs w:val="22"/>
        </w:rPr>
        <w:t xml:space="preserve"> de</w:t>
      </w:r>
      <w:r w:rsidR="008B0F2A" w:rsidRPr="008B0F2A">
        <w:rPr>
          <w:rFonts w:ascii="Arial" w:hAnsi="Arial" w:cs="Arial"/>
          <w:b w:val="0"/>
          <w:color w:val="000000"/>
          <w:sz w:val="18"/>
        </w:rPr>
        <w:t xml:space="preserve"> </w:t>
      </w:r>
      <w:r w:rsidR="008B0F2A" w:rsidRPr="008B0F2A">
        <w:rPr>
          <w:rFonts w:ascii="Arial" w:hAnsi="Arial" w:cs="Arial"/>
          <w:noProof/>
          <w:sz w:val="22"/>
          <w:szCs w:val="22"/>
          <w:lang w:val="es-ES_tradnl"/>
        </w:rPr>
        <w:t>Análisis Económico ex post de Impactos y Resultados de las medidas</w:t>
      </w:r>
    </w:p>
    <w:p w14:paraId="6B350FE0" w14:textId="77777777" w:rsidR="007C1307" w:rsidRPr="005A4C9A" w:rsidRDefault="00D231DD" w:rsidP="00B3684F">
      <w:pPr>
        <w:pStyle w:val="Paragraph"/>
        <w:tabs>
          <w:tab w:val="clear" w:pos="2448"/>
        </w:tabs>
        <w:ind w:left="720" w:hanging="720"/>
        <w:rPr>
          <w:rFonts w:ascii="Arial" w:hAnsi="Arial" w:cs="Arial"/>
          <w:sz w:val="22"/>
          <w:szCs w:val="22"/>
        </w:rPr>
      </w:pPr>
      <w:r w:rsidRPr="00D231DD">
        <w:rPr>
          <w:rFonts w:ascii="Arial" w:hAnsi="Arial" w:cs="Arial"/>
          <w:sz w:val="22"/>
          <w:szCs w:val="22"/>
          <w:lang w:val="es-ES_tradnl"/>
        </w:rPr>
        <w:t xml:space="preserve">El objetivo del programa es mejorar la administración tributaria, y la transparencia del sector financiero en Guatemala, por medio de medidas de política orientadas al incremento de los ingresos tributarios y fortalecimiento de la prevención del lavado de activos. </w:t>
      </w:r>
      <w:r>
        <w:rPr>
          <w:rFonts w:ascii="Arial" w:hAnsi="Arial" w:cs="Arial"/>
          <w:sz w:val="22"/>
          <w:szCs w:val="22"/>
          <w:lang w:val="es-ES_tradnl"/>
        </w:rPr>
        <w:t>L</w:t>
      </w:r>
      <w:r w:rsidRPr="005A4C9A">
        <w:rPr>
          <w:rFonts w:ascii="Arial" w:hAnsi="Arial" w:cs="Arial"/>
          <w:sz w:val="22"/>
          <w:szCs w:val="22"/>
        </w:rPr>
        <w:t xml:space="preserve">a evaluación </w:t>
      </w:r>
      <w:r>
        <w:rPr>
          <w:rFonts w:ascii="Arial" w:hAnsi="Arial" w:cs="Arial"/>
          <w:sz w:val="22"/>
          <w:szCs w:val="22"/>
        </w:rPr>
        <w:t>e</w:t>
      </w:r>
      <w:r w:rsidR="007C1307" w:rsidRPr="005A4C9A">
        <w:rPr>
          <w:rFonts w:ascii="Arial" w:hAnsi="Arial" w:cs="Arial"/>
          <w:sz w:val="22"/>
          <w:szCs w:val="22"/>
        </w:rPr>
        <w:t>x</w:t>
      </w:r>
      <w:r w:rsidR="00585EE1">
        <w:rPr>
          <w:rFonts w:ascii="Arial" w:hAnsi="Arial" w:cs="Arial"/>
          <w:sz w:val="22"/>
          <w:szCs w:val="22"/>
        </w:rPr>
        <w:t> </w:t>
      </w:r>
      <w:r w:rsidR="007C1307" w:rsidRPr="005A4C9A">
        <w:rPr>
          <w:rFonts w:ascii="Arial" w:hAnsi="Arial" w:cs="Arial"/>
          <w:sz w:val="22"/>
          <w:szCs w:val="22"/>
        </w:rPr>
        <w:t xml:space="preserve">ante se centra en el </w:t>
      </w:r>
      <w:r w:rsidR="005A4C9A" w:rsidRPr="005A4C9A">
        <w:rPr>
          <w:rFonts w:ascii="Arial" w:hAnsi="Arial" w:cs="Arial"/>
          <w:sz w:val="22"/>
          <w:szCs w:val="22"/>
        </w:rPr>
        <w:t xml:space="preserve">análisis de la evasión tributaria en Guatemala, con un análisis adicional de la evasión del IVA sobre importaciones, </w:t>
      </w:r>
      <w:r w:rsidR="007C1307" w:rsidRPr="005A4C9A">
        <w:rPr>
          <w:rFonts w:ascii="Arial" w:hAnsi="Arial" w:cs="Arial"/>
          <w:sz w:val="22"/>
          <w:szCs w:val="22"/>
        </w:rPr>
        <w:t>obteniendo su rendimiento medido a través del incremento de los ingresos tributarios.</w:t>
      </w:r>
    </w:p>
    <w:p w14:paraId="6DAEE45B" w14:textId="35430A04" w:rsidR="007C1307" w:rsidRDefault="007C1307" w:rsidP="004348BE">
      <w:pPr>
        <w:pStyle w:val="Paragraph"/>
        <w:ind w:left="720" w:hanging="720"/>
        <w:rPr>
          <w:rFonts w:ascii="Arial" w:hAnsi="Arial" w:cs="Arial"/>
          <w:sz w:val="22"/>
          <w:szCs w:val="22"/>
        </w:rPr>
      </w:pPr>
      <w:r w:rsidRPr="007C1307">
        <w:rPr>
          <w:rFonts w:ascii="Arial" w:hAnsi="Arial" w:cs="Arial"/>
          <w:sz w:val="22"/>
          <w:szCs w:val="22"/>
        </w:rPr>
        <w:t xml:space="preserve">Para la evaluación </w:t>
      </w:r>
      <w:r w:rsidR="00076221">
        <w:rPr>
          <w:rFonts w:ascii="Arial" w:hAnsi="Arial" w:cs="Arial"/>
          <w:sz w:val="22"/>
          <w:szCs w:val="22"/>
        </w:rPr>
        <w:t xml:space="preserve">económica </w:t>
      </w:r>
      <w:r w:rsidRPr="007C1307">
        <w:rPr>
          <w:rFonts w:ascii="Arial" w:hAnsi="Arial" w:cs="Arial"/>
          <w:sz w:val="22"/>
          <w:szCs w:val="22"/>
        </w:rPr>
        <w:t xml:space="preserve">ex post, las principales preguntas están referidas a si la reforma logró el impacto deseado en términos de </w:t>
      </w:r>
      <w:r w:rsidR="008B0F2A" w:rsidRPr="008B0F2A">
        <w:rPr>
          <w:rFonts w:ascii="Arial" w:hAnsi="Arial" w:cs="Arial"/>
          <w:sz w:val="22"/>
          <w:szCs w:val="22"/>
          <w:lang w:val="es-ES_tradnl"/>
        </w:rPr>
        <w:t>incremento de los ingresos tributarios y fortalecimiento de la prevención del lavado de activos</w:t>
      </w:r>
      <w:r w:rsidRPr="007C1307">
        <w:rPr>
          <w:rFonts w:ascii="Arial" w:hAnsi="Arial" w:cs="Arial"/>
          <w:sz w:val="22"/>
          <w:szCs w:val="22"/>
        </w:rPr>
        <w:t>.</w:t>
      </w:r>
    </w:p>
    <w:p w14:paraId="3BB44A96" w14:textId="38A53C89" w:rsidR="000879E4" w:rsidRPr="007B561B" w:rsidRDefault="008B0F2A" w:rsidP="00B01704">
      <w:pPr>
        <w:pStyle w:val="Paragraph"/>
        <w:ind w:left="720" w:hanging="720"/>
        <w:rPr>
          <w:rFonts w:ascii="Arial" w:hAnsi="Arial" w:cs="Arial"/>
          <w:sz w:val="22"/>
          <w:szCs w:val="22"/>
        </w:rPr>
      </w:pPr>
      <w:r w:rsidRPr="00B01704">
        <w:rPr>
          <w:rFonts w:ascii="Arial" w:hAnsi="Arial" w:cs="Arial"/>
          <w:sz w:val="22"/>
          <w:szCs w:val="22"/>
        </w:rPr>
        <w:t xml:space="preserve">Todos los </w:t>
      </w:r>
      <w:r w:rsidR="000203B5" w:rsidRPr="00B01704">
        <w:rPr>
          <w:rFonts w:ascii="Arial" w:hAnsi="Arial" w:cs="Arial"/>
          <w:sz w:val="22"/>
          <w:szCs w:val="22"/>
        </w:rPr>
        <w:t>2</w:t>
      </w:r>
      <w:r w:rsidRPr="00B01704">
        <w:rPr>
          <w:rFonts w:ascii="Arial" w:hAnsi="Arial" w:cs="Arial"/>
          <w:sz w:val="22"/>
          <w:szCs w:val="22"/>
        </w:rPr>
        <w:t xml:space="preserve"> indicadores de impacto y </w:t>
      </w:r>
      <w:r w:rsidR="000203B5" w:rsidRPr="00B01704">
        <w:rPr>
          <w:rFonts w:ascii="Arial" w:hAnsi="Arial" w:cs="Arial"/>
          <w:sz w:val="22"/>
          <w:szCs w:val="22"/>
        </w:rPr>
        <w:t xml:space="preserve">4 </w:t>
      </w:r>
      <w:r w:rsidRPr="00B01704">
        <w:rPr>
          <w:rFonts w:ascii="Arial" w:hAnsi="Arial" w:cs="Arial"/>
          <w:sz w:val="22"/>
          <w:szCs w:val="22"/>
        </w:rPr>
        <w:t>de resultados</w:t>
      </w:r>
      <w:r w:rsidRPr="004B3F65">
        <w:rPr>
          <w:rFonts w:ascii="Arial" w:hAnsi="Arial" w:cs="Arial"/>
          <w:sz w:val="22"/>
          <w:szCs w:val="22"/>
        </w:rPr>
        <w:t xml:space="preserve"> detallados en la Matriz de Resultados y en los Cuadros </w:t>
      </w:r>
      <w:r w:rsidR="000879E4" w:rsidRPr="007B561B">
        <w:rPr>
          <w:rFonts w:ascii="Arial" w:hAnsi="Arial" w:cs="Arial"/>
          <w:sz w:val="22"/>
          <w:szCs w:val="22"/>
        </w:rPr>
        <w:t xml:space="preserve">1, </w:t>
      </w:r>
      <w:r w:rsidRPr="007B561B">
        <w:rPr>
          <w:rFonts w:ascii="Arial" w:hAnsi="Arial" w:cs="Arial"/>
          <w:sz w:val="22"/>
          <w:szCs w:val="22"/>
        </w:rPr>
        <w:t>2a y 3a tienen línea de base y metas definidas.</w:t>
      </w:r>
      <w:r w:rsidR="00B01704" w:rsidRPr="007D0E1B">
        <w:rPr>
          <w:rFonts w:ascii="Arial" w:hAnsi="Arial" w:cs="Arial"/>
          <w:sz w:val="22"/>
          <w:szCs w:val="22"/>
        </w:rPr>
        <w:t xml:space="preserve"> </w:t>
      </w:r>
      <w:r w:rsidR="00B01704" w:rsidRPr="00B01704">
        <w:rPr>
          <w:rFonts w:ascii="Arial" w:hAnsi="Arial" w:cs="Arial"/>
          <w:sz w:val="22"/>
          <w:szCs w:val="22"/>
        </w:rPr>
        <w:t>P</w:t>
      </w:r>
      <w:r w:rsidR="000879E4" w:rsidRPr="00B01704">
        <w:rPr>
          <w:rFonts w:ascii="Arial" w:hAnsi="Arial" w:cs="Arial"/>
          <w:sz w:val="22"/>
          <w:szCs w:val="22"/>
        </w:rPr>
        <w:t>ara medir el</w:t>
      </w:r>
      <w:r w:rsidRPr="00B01704">
        <w:rPr>
          <w:rFonts w:ascii="Arial" w:hAnsi="Arial" w:cs="Arial"/>
          <w:sz w:val="22"/>
          <w:szCs w:val="22"/>
        </w:rPr>
        <w:t xml:space="preserve"> impacto</w:t>
      </w:r>
      <w:r w:rsidR="000879E4" w:rsidRPr="00B01704">
        <w:rPr>
          <w:rFonts w:ascii="Arial" w:hAnsi="Arial" w:cs="Arial"/>
          <w:sz w:val="22"/>
          <w:szCs w:val="22"/>
        </w:rPr>
        <w:t xml:space="preserve"> de</w:t>
      </w:r>
      <w:r w:rsidR="000879E4" w:rsidRPr="00B01704">
        <w:rPr>
          <w:rFonts w:ascii="Arial" w:hAnsi="Arial" w:cs="Arial"/>
          <w:sz w:val="22"/>
          <w:szCs w:val="22"/>
          <w:lang w:val="es-ES_tradnl"/>
        </w:rPr>
        <w:t xml:space="preserve"> mejorar la administración tributaria y la transparencia del sector financiero en Guatemala, los dos indicadores seleccionados</w:t>
      </w:r>
      <w:r w:rsidRPr="00B01704">
        <w:rPr>
          <w:rFonts w:ascii="Arial" w:hAnsi="Arial" w:cs="Arial"/>
          <w:sz w:val="22"/>
          <w:szCs w:val="22"/>
        </w:rPr>
        <w:t>: (i) </w:t>
      </w:r>
      <w:r w:rsidRPr="00B01704">
        <w:rPr>
          <w:rFonts w:ascii="Arial" w:hAnsi="Arial" w:cs="Arial"/>
          <w:sz w:val="22"/>
          <w:szCs w:val="22"/>
          <w:lang w:val="es-ES_tradnl"/>
        </w:rPr>
        <w:t>Recaudación Tributaria Neta / PIB nominal; e (ii) </w:t>
      </w:r>
      <w:hyperlink r:id="rId25" w:history="1">
        <w:r w:rsidRPr="00B01704">
          <w:rPr>
            <w:rStyle w:val="Hyperlink"/>
            <w:rFonts w:ascii="Arial" w:hAnsi="Arial" w:cs="Arial"/>
            <w:sz w:val="22"/>
            <w:szCs w:val="22"/>
            <w:lang w:val="es-ES_tradnl"/>
          </w:rPr>
          <w:t>Índice de Lavado de Dinero</w:t>
        </w:r>
      </w:hyperlink>
      <w:r w:rsidRPr="00B01704">
        <w:rPr>
          <w:rFonts w:ascii="Arial" w:hAnsi="Arial" w:cs="Arial"/>
          <w:sz w:val="22"/>
          <w:szCs w:val="22"/>
          <w:lang w:val="es-ES_tradnl"/>
        </w:rPr>
        <w:t xml:space="preserve"> producido por el Instituto de Gobernanza de Basilea</w:t>
      </w:r>
      <w:r w:rsidR="000879E4" w:rsidRPr="00C74618">
        <w:rPr>
          <w:rFonts w:ascii="Arial" w:hAnsi="Arial" w:cs="Arial"/>
          <w:sz w:val="22"/>
          <w:szCs w:val="22"/>
          <w:lang w:val="es-ES_tradnl"/>
        </w:rPr>
        <w:t xml:space="preserve">; son fácilmente </w:t>
      </w:r>
      <w:r w:rsidR="000879E4" w:rsidRPr="004B3F65">
        <w:rPr>
          <w:rFonts w:ascii="Arial" w:hAnsi="Arial" w:cs="Arial"/>
          <w:sz w:val="22"/>
          <w:szCs w:val="22"/>
          <w:lang w:val="es-ES_tradnl"/>
        </w:rPr>
        <w:t>encontrados y presentan series históricas</w:t>
      </w:r>
      <w:r w:rsidR="00CB3E6E" w:rsidRPr="007B561B">
        <w:rPr>
          <w:rFonts w:ascii="Arial" w:hAnsi="Arial" w:cs="Arial"/>
          <w:sz w:val="22"/>
          <w:szCs w:val="22"/>
          <w:lang w:val="es-ES_tradnl"/>
        </w:rPr>
        <w:t>, lo que facilitará la preparación de la evaluación económica ex post del programa.</w:t>
      </w:r>
    </w:p>
    <w:p w14:paraId="6697E5A3" w14:textId="48BFE99A" w:rsidR="00CB3E6E" w:rsidRPr="0045601B" w:rsidRDefault="00CB3E6E" w:rsidP="004348BE">
      <w:pPr>
        <w:pStyle w:val="Paragraph"/>
        <w:ind w:left="720" w:hanging="720"/>
        <w:rPr>
          <w:rFonts w:ascii="Arial" w:hAnsi="Arial" w:cs="Arial"/>
          <w:sz w:val="22"/>
          <w:szCs w:val="22"/>
        </w:rPr>
      </w:pPr>
      <w:r>
        <w:rPr>
          <w:rFonts w:ascii="Arial" w:hAnsi="Arial" w:cs="Arial"/>
          <w:sz w:val="22"/>
          <w:szCs w:val="22"/>
          <w:lang w:val="es-ES_tradnl"/>
        </w:rPr>
        <w:t xml:space="preserve">Los dos </w:t>
      </w:r>
      <w:r w:rsidR="008B0F2A">
        <w:rPr>
          <w:rFonts w:ascii="Arial" w:hAnsi="Arial" w:cs="Arial"/>
          <w:sz w:val="22"/>
          <w:szCs w:val="22"/>
          <w:lang w:val="es-ES_tradnl"/>
        </w:rPr>
        <w:t xml:space="preserve">indicadores de resultados de </w:t>
      </w:r>
      <w:r w:rsidR="00A67233">
        <w:rPr>
          <w:rFonts w:ascii="Arial" w:hAnsi="Arial" w:cs="Arial"/>
          <w:sz w:val="22"/>
          <w:szCs w:val="22"/>
          <w:lang w:val="es-ES_tradnl"/>
        </w:rPr>
        <w:t>Mejora de la eficiencia y la efectividad en la recaudación</w:t>
      </w:r>
      <w:r w:rsidR="008B0F2A">
        <w:rPr>
          <w:rFonts w:ascii="Arial" w:hAnsi="Arial" w:cs="Arial"/>
          <w:sz w:val="22"/>
          <w:szCs w:val="22"/>
          <w:lang w:val="es-ES_tradnl"/>
        </w:rPr>
        <w:t xml:space="preserve"> </w:t>
      </w:r>
      <w:r w:rsidR="00A67233">
        <w:rPr>
          <w:rFonts w:ascii="Arial" w:hAnsi="Arial" w:cs="Arial"/>
          <w:sz w:val="22"/>
          <w:szCs w:val="22"/>
          <w:lang w:val="es-ES_tradnl"/>
        </w:rPr>
        <w:t>t</w:t>
      </w:r>
      <w:r w:rsidR="008B0F2A">
        <w:rPr>
          <w:rFonts w:ascii="Arial" w:hAnsi="Arial" w:cs="Arial"/>
          <w:sz w:val="22"/>
          <w:szCs w:val="22"/>
          <w:lang w:val="es-ES_tradnl"/>
        </w:rPr>
        <w:t>ributaria: (i) </w:t>
      </w:r>
      <w:r w:rsidR="008B0F2A" w:rsidRPr="008B0F2A">
        <w:rPr>
          <w:rFonts w:ascii="Arial" w:hAnsi="Arial" w:cs="Arial"/>
          <w:sz w:val="22"/>
          <w:szCs w:val="22"/>
          <w:lang w:val="es-ES_tradnl"/>
        </w:rPr>
        <w:t xml:space="preserve">Recaudación tributaria / Número de funcionarios de </w:t>
      </w:r>
      <w:r w:rsidR="008B0F2A" w:rsidRPr="008B0F2A">
        <w:rPr>
          <w:rFonts w:ascii="Arial" w:hAnsi="Arial" w:cs="Arial"/>
          <w:sz w:val="22"/>
          <w:szCs w:val="22"/>
          <w:lang w:val="es-ES_tradnl"/>
        </w:rPr>
        <w:lastRenderedPageBreak/>
        <w:t>la SAT</w:t>
      </w:r>
      <w:r w:rsidR="008B0F2A">
        <w:rPr>
          <w:rFonts w:ascii="Arial" w:hAnsi="Arial" w:cs="Arial"/>
          <w:sz w:val="22"/>
          <w:szCs w:val="22"/>
          <w:lang w:val="es-ES_tradnl"/>
        </w:rPr>
        <w:t xml:space="preserve">, </w:t>
      </w:r>
      <w:r>
        <w:rPr>
          <w:rFonts w:ascii="Arial" w:hAnsi="Arial" w:cs="Arial"/>
          <w:sz w:val="22"/>
          <w:szCs w:val="22"/>
          <w:lang w:val="es-ES_tradnl"/>
        </w:rPr>
        <w:t xml:space="preserve">y </w:t>
      </w:r>
      <w:r w:rsidR="008B0F2A">
        <w:rPr>
          <w:rFonts w:ascii="Arial" w:hAnsi="Arial" w:cs="Arial"/>
          <w:sz w:val="22"/>
          <w:szCs w:val="22"/>
          <w:lang w:val="es-ES_tradnl"/>
        </w:rPr>
        <w:t>(ii) </w:t>
      </w:r>
      <w:r w:rsidR="008B0F2A" w:rsidRPr="008B0F2A">
        <w:rPr>
          <w:rFonts w:ascii="Arial" w:hAnsi="Arial" w:cs="Arial"/>
          <w:sz w:val="22"/>
          <w:szCs w:val="22"/>
          <w:lang w:val="es-ES_tradnl"/>
        </w:rPr>
        <w:t>Tasa de evasión del IVA</w:t>
      </w:r>
      <w:r>
        <w:rPr>
          <w:rFonts w:ascii="Arial" w:hAnsi="Arial" w:cs="Arial"/>
          <w:sz w:val="22"/>
          <w:szCs w:val="22"/>
          <w:lang w:val="es-ES_tradnl"/>
        </w:rPr>
        <w:t>; son calculados anualmente por la SAT y pueden estructurarse en series históricas y analizarse en detalle</w:t>
      </w:r>
      <w:r w:rsidR="008B0F2A">
        <w:rPr>
          <w:rFonts w:ascii="Arial" w:hAnsi="Arial" w:cs="Arial"/>
          <w:sz w:val="22"/>
          <w:szCs w:val="22"/>
          <w:lang w:val="es-ES_tradnl"/>
        </w:rPr>
        <w:t>.</w:t>
      </w:r>
    </w:p>
    <w:p w14:paraId="697B6B1F" w14:textId="096C0698" w:rsidR="008B0F2A" w:rsidRPr="00A67233" w:rsidRDefault="00CB3E6E" w:rsidP="004348BE">
      <w:pPr>
        <w:pStyle w:val="Paragraph"/>
        <w:ind w:left="720" w:hanging="720"/>
        <w:rPr>
          <w:rFonts w:ascii="Arial" w:hAnsi="Arial" w:cs="Arial"/>
          <w:sz w:val="22"/>
          <w:szCs w:val="22"/>
        </w:rPr>
      </w:pPr>
      <w:r>
        <w:rPr>
          <w:rFonts w:ascii="Arial" w:hAnsi="Arial" w:cs="Arial"/>
          <w:sz w:val="22"/>
          <w:szCs w:val="22"/>
          <w:lang w:val="es-ES_tradnl"/>
        </w:rPr>
        <w:t xml:space="preserve">Los dos </w:t>
      </w:r>
      <w:r w:rsidR="00A67233">
        <w:rPr>
          <w:rFonts w:ascii="Arial" w:hAnsi="Arial" w:cs="Arial"/>
          <w:sz w:val="22"/>
          <w:szCs w:val="22"/>
          <w:lang w:val="es-ES_tradnl"/>
        </w:rPr>
        <w:t xml:space="preserve">indicadores de resultados de </w:t>
      </w:r>
      <w:r w:rsidR="009E6D4F">
        <w:rPr>
          <w:rFonts w:ascii="Arial" w:hAnsi="Arial" w:cs="Arial"/>
          <w:sz w:val="22"/>
          <w:szCs w:val="22"/>
          <w:lang w:val="es-ES_tradnl"/>
        </w:rPr>
        <w:t>m</w:t>
      </w:r>
      <w:r w:rsidR="00A67233">
        <w:rPr>
          <w:rFonts w:ascii="Arial" w:hAnsi="Arial" w:cs="Arial"/>
          <w:sz w:val="22"/>
          <w:szCs w:val="22"/>
          <w:lang w:val="es-ES_tradnl"/>
        </w:rPr>
        <w:t xml:space="preserve">ejora de la transparencia del sector financiero y de las actividades </w:t>
      </w:r>
      <w:r w:rsidR="00A67233" w:rsidRPr="00A67233">
        <w:rPr>
          <w:rFonts w:ascii="Arial" w:hAnsi="Arial" w:cs="Arial"/>
          <w:i/>
          <w:sz w:val="22"/>
          <w:szCs w:val="22"/>
          <w:lang w:val="es-ES_tradnl"/>
        </w:rPr>
        <w:t>off-shore</w:t>
      </w:r>
      <w:r w:rsidR="00A67233">
        <w:rPr>
          <w:rFonts w:ascii="Arial" w:hAnsi="Arial" w:cs="Arial"/>
          <w:sz w:val="22"/>
          <w:szCs w:val="22"/>
          <w:lang w:val="es-ES_tradnl"/>
        </w:rPr>
        <w:t>: (i) E</w:t>
      </w:r>
      <w:r w:rsidR="00A67233" w:rsidRPr="00A67233">
        <w:rPr>
          <w:rFonts w:ascii="Arial" w:hAnsi="Arial" w:cs="Arial"/>
          <w:sz w:val="22"/>
          <w:szCs w:val="22"/>
          <w:lang w:val="es-ES_tradnl"/>
        </w:rPr>
        <w:t>valuación del GAFI de Guatemala para la recomendación 22</w:t>
      </w:r>
      <w:r w:rsidR="00A67233">
        <w:rPr>
          <w:rFonts w:ascii="Arial" w:hAnsi="Arial" w:cs="Arial"/>
          <w:sz w:val="22"/>
          <w:szCs w:val="22"/>
          <w:lang w:val="es-ES_tradnl"/>
        </w:rPr>
        <w:t>; y (ii) </w:t>
      </w:r>
      <w:r w:rsidR="00A67233" w:rsidRPr="00A67233">
        <w:rPr>
          <w:rFonts w:ascii="Arial" w:hAnsi="Arial" w:cs="Arial"/>
          <w:sz w:val="22"/>
          <w:szCs w:val="22"/>
          <w:lang w:val="es-ES_tradnl"/>
        </w:rPr>
        <w:t>Flujos financieros ilícitos estimados para Guatemala</w:t>
      </w:r>
      <w:r>
        <w:rPr>
          <w:rFonts w:ascii="Arial" w:hAnsi="Arial" w:cs="Arial"/>
          <w:sz w:val="22"/>
          <w:szCs w:val="22"/>
          <w:lang w:val="es-ES_tradnl"/>
        </w:rPr>
        <w:t>; son indicadores publicados periódicamente, el GAFI a cada cuatro años (se publicará el próximo al final del 2016 o inicio del 2017) y el de flujos ilícitos es anual.</w:t>
      </w:r>
    </w:p>
    <w:p w14:paraId="3EC96C0A" w14:textId="18557C8C" w:rsidR="00076221" w:rsidRPr="000A772E" w:rsidRDefault="00A67233" w:rsidP="000A772E">
      <w:pPr>
        <w:pStyle w:val="Paragraph"/>
        <w:ind w:left="720" w:hanging="720"/>
        <w:rPr>
          <w:rFonts w:ascii="Arial" w:hAnsi="Arial" w:cs="Arial"/>
          <w:sz w:val="22"/>
          <w:szCs w:val="22"/>
        </w:rPr>
      </w:pPr>
      <w:r w:rsidRPr="000A772E">
        <w:rPr>
          <w:rFonts w:ascii="Arial" w:hAnsi="Arial" w:cs="Arial"/>
          <w:sz w:val="22"/>
          <w:szCs w:val="22"/>
        </w:rPr>
        <w:t>La evaluación económica ex post contribuirá significativamente a la preparación del PCR del programa</w:t>
      </w:r>
      <w:r w:rsidRPr="00AC0AA2">
        <w:rPr>
          <w:rFonts w:ascii="Arial" w:hAnsi="Arial" w:cs="Arial"/>
          <w:sz w:val="22"/>
          <w:szCs w:val="22"/>
        </w:rPr>
        <w:t xml:space="preserve"> y tendrá un consultor de apoyo, conforme incluido en el Cuadro 4</w:t>
      </w:r>
      <w:r w:rsidR="00C0259C">
        <w:rPr>
          <w:rFonts w:ascii="Arial" w:hAnsi="Arial" w:cs="Arial"/>
          <w:sz w:val="22"/>
          <w:szCs w:val="22"/>
        </w:rPr>
        <w:t>, que</w:t>
      </w:r>
      <w:r w:rsidRPr="00AC0AA2">
        <w:rPr>
          <w:rFonts w:ascii="Arial" w:hAnsi="Arial" w:cs="Arial"/>
          <w:sz w:val="22"/>
          <w:szCs w:val="22"/>
        </w:rPr>
        <w:t xml:space="preserve"> </w:t>
      </w:r>
      <w:r w:rsidR="00C0259C" w:rsidRPr="00C0259C">
        <w:rPr>
          <w:rFonts w:ascii="Arial" w:hAnsi="Arial" w:cs="Arial"/>
          <w:sz w:val="22"/>
          <w:szCs w:val="22"/>
          <w:lang w:val="es-ES_tradnl"/>
        </w:rPr>
        <w:t xml:space="preserve">describe las </w:t>
      </w:r>
      <w:r w:rsidR="00C0259C" w:rsidRPr="00C0259C">
        <w:rPr>
          <w:rFonts w:ascii="Arial" w:hAnsi="Arial" w:cs="Arial"/>
          <w:bCs/>
          <w:sz w:val="22"/>
          <w:szCs w:val="22"/>
          <w:lang w:val="es-ES_tradnl"/>
        </w:rPr>
        <w:t>principales actividades de seguimiento y actividades planeadas</w:t>
      </w:r>
      <w:r w:rsidR="00C0259C">
        <w:rPr>
          <w:rFonts w:ascii="Arial" w:hAnsi="Arial" w:cs="Arial"/>
          <w:bCs/>
          <w:sz w:val="22"/>
          <w:szCs w:val="22"/>
          <w:lang w:val="es-ES_tradnl"/>
        </w:rPr>
        <w:t>,</w:t>
      </w:r>
      <w:r w:rsidR="00C0259C" w:rsidRPr="00C0259C">
        <w:rPr>
          <w:rFonts w:ascii="Arial" w:hAnsi="Arial" w:cs="Arial"/>
          <w:sz w:val="22"/>
          <w:szCs w:val="22"/>
          <w:lang w:val="es-ES_tradnl"/>
        </w:rPr>
        <w:t xml:space="preserve"> </w:t>
      </w:r>
      <w:r w:rsidRPr="00AC0AA2">
        <w:rPr>
          <w:rFonts w:ascii="Arial" w:hAnsi="Arial" w:cs="Arial"/>
          <w:sz w:val="22"/>
          <w:szCs w:val="22"/>
        </w:rPr>
        <w:t>y detallado en los T</w:t>
      </w:r>
      <w:r w:rsidRPr="000A772E">
        <w:rPr>
          <w:rFonts w:ascii="Arial" w:hAnsi="Arial" w:cs="Arial"/>
          <w:sz w:val="22"/>
          <w:szCs w:val="22"/>
        </w:rPr>
        <w:t>érminos de Referencia del Anexo 3.</w:t>
      </w:r>
    </w:p>
    <w:p w14:paraId="50428510" w14:textId="77777777" w:rsidR="00ED751C" w:rsidRPr="00EB0154" w:rsidRDefault="00EB0154" w:rsidP="004348BE">
      <w:pPr>
        <w:pStyle w:val="FirstHeading"/>
        <w:rPr>
          <w:rFonts w:ascii="Arial" w:hAnsi="Arial" w:cs="Arial"/>
          <w:noProof/>
          <w:sz w:val="22"/>
          <w:szCs w:val="22"/>
        </w:rPr>
      </w:pPr>
      <w:bookmarkStart w:id="9" w:name="_Toc455669849"/>
      <w:r w:rsidRPr="00EB0154">
        <w:rPr>
          <w:rFonts w:ascii="Arial" w:hAnsi="Arial" w:cs="Arial"/>
          <w:sz w:val="22"/>
          <w:szCs w:val="22"/>
        </w:rPr>
        <w:t>B.</w:t>
      </w:r>
      <w:r w:rsidRPr="00EB0154">
        <w:rPr>
          <w:rFonts w:ascii="Arial" w:hAnsi="Arial" w:cs="Arial"/>
          <w:sz w:val="22"/>
          <w:szCs w:val="22"/>
        </w:rPr>
        <w:tab/>
      </w:r>
      <w:r w:rsidR="007C1307" w:rsidRPr="00D97056">
        <w:rPr>
          <w:rFonts w:ascii="Arial" w:hAnsi="Arial" w:cs="Arial"/>
          <w:sz w:val="22"/>
          <w:szCs w:val="22"/>
        </w:rPr>
        <w:t xml:space="preserve">Conocimiento </w:t>
      </w:r>
      <w:r w:rsidR="00585EE1" w:rsidRPr="00D97056">
        <w:rPr>
          <w:rFonts w:ascii="Arial" w:hAnsi="Arial" w:cs="Arial"/>
          <w:sz w:val="22"/>
          <w:szCs w:val="22"/>
        </w:rPr>
        <w:t>E</w:t>
      </w:r>
      <w:r w:rsidR="007C1307" w:rsidRPr="00D97056">
        <w:rPr>
          <w:rFonts w:ascii="Arial" w:hAnsi="Arial" w:cs="Arial"/>
          <w:sz w:val="22"/>
          <w:szCs w:val="22"/>
        </w:rPr>
        <w:t>xistente (evaluaciones previas, análisis financie</w:t>
      </w:r>
      <w:r w:rsidR="002129FA">
        <w:rPr>
          <w:rFonts w:ascii="Arial" w:hAnsi="Arial" w:cs="Arial"/>
          <w:sz w:val="22"/>
          <w:szCs w:val="22"/>
        </w:rPr>
        <w:t xml:space="preserve">ro ex </w:t>
      </w:r>
      <w:r w:rsidR="007C1307" w:rsidRPr="00D97056">
        <w:rPr>
          <w:rFonts w:ascii="Arial" w:hAnsi="Arial" w:cs="Arial"/>
          <w:sz w:val="22"/>
          <w:szCs w:val="22"/>
        </w:rPr>
        <w:t>ante)</w:t>
      </w:r>
      <w:bookmarkEnd w:id="9"/>
    </w:p>
    <w:p w14:paraId="22F790F4" w14:textId="681417ED" w:rsidR="007C1307" w:rsidRDefault="00D12E8D" w:rsidP="004348BE">
      <w:pPr>
        <w:pStyle w:val="Paragraph"/>
        <w:ind w:left="720" w:hanging="720"/>
        <w:rPr>
          <w:rFonts w:ascii="Arial" w:hAnsi="Arial" w:cs="Arial"/>
          <w:sz w:val="22"/>
          <w:szCs w:val="22"/>
        </w:rPr>
      </w:pPr>
      <w:r w:rsidRPr="00D12E8D">
        <w:rPr>
          <w:rFonts w:ascii="Arial" w:hAnsi="Arial" w:cs="Arial"/>
          <w:b/>
          <w:sz w:val="22"/>
          <w:szCs w:val="22"/>
        </w:rPr>
        <w:t>Documentos disponibles</w:t>
      </w:r>
      <w:r>
        <w:rPr>
          <w:rFonts w:ascii="Arial" w:hAnsi="Arial" w:cs="Arial"/>
          <w:sz w:val="22"/>
          <w:szCs w:val="22"/>
        </w:rPr>
        <w:t xml:space="preserve">. </w:t>
      </w:r>
      <w:r w:rsidR="007C1307" w:rsidRPr="00D97056">
        <w:rPr>
          <w:rFonts w:ascii="Arial" w:hAnsi="Arial" w:cs="Arial"/>
          <w:sz w:val="22"/>
          <w:szCs w:val="22"/>
        </w:rPr>
        <w:t xml:space="preserve">Existen diversos análisis que dan cuenta de la situación en la que se encuentran las finanzas públicas de </w:t>
      </w:r>
      <w:r w:rsidR="00271E38">
        <w:rPr>
          <w:rFonts w:ascii="Arial" w:hAnsi="Arial" w:cs="Arial"/>
          <w:sz w:val="22"/>
          <w:szCs w:val="22"/>
        </w:rPr>
        <w:t>Guatemala</w:t>
      </w:r>
      <w:r w:rsidR="007C1307" w:rsidRPr="00D97056">
        <w:rPr>
          <w:rFonts w:ascii="Arial" w:hAnsi="Arial" w:cs="Arial"/>
          <w:sz w:val="22"/>
          <w:szCs w:val="22"/>
        </w:rPr>
        <w:t xml:space="preserve">. Entre ellos, se encuentra el Artículo IV del FMI, cuya última versión fue publicada en </w:t>
      </w:r>
      <w:r w:rsidR="006331CF">
        <w:rPr>
          <w:rFonts w:ascii="Arial" w:hAnsi="Arial" w:cs="Arial"/>
          <w:sz w:val="22"/>
          <w:szCs w:val="22"/>
        </w:rPr>
        <w:t>septiembre de 2014</w:t>
      </w:r>
      <w:r w:rsidR="0037197A">
        <w:rPr>
          <w:rFonts w:ascii="Arial" w:hAnsi="Arial" w:cs="Arial"/>
          <w:sz w:val="22"/>
          <w:szCs w:val="22"/>
        </w:rPr>
        <w:t>, así como la Evaluación Independiente de Condiciones M</w:t>
      </w:r>
      <w:r w:rsidR="007C1307" w:rsidRPr="00D97056">
        <w:rPr>
          <w:rFonts w:ascii="Arial" w:hAnsi="Arial" w:cs="Arial"/>
          <w:sz w:val="22"/>
          <w:szCs w:val="22"/>
        </w:rPr>
        <w:t>acroeconómicas (IA</w:t>
      </w:r>
      <w:r w:rsidR="007C1307">
        <w:rPr>
          <w:rFonts w:ascii="Arial" w:hAnsi="Arial" w:cs="Arial"/>
          <w:sz w:val="22"/>
          <w:szCs w:val="22"/>
        </w:rPr>
        <w:t>M</w:t>
      </w:r>
      <w:r w:rsidR="007C1307" w:rsidRPr="00D97056">
        <w:rPr>
          <w:rFonts w:ascii="Arial" w:hAnsi="Arial" w:cs="Arial"/>
          <w:sz w:val="22"/>
          <w:szCs w:val="22"/>
        </w:rPr>
        <w:t xml:space="preserve">C) que el Banco </w:t>
      </w:r>
      <w:r w:rsidR="006331CF">
        <w:rPr>
          <w:rFonts w:ascii="Arial" w:hAnsi="Arial" w:cs="Arial"/>
          <w:sz w:val="22"/>
          <w:szCs w:val="22"/>
        </w:rPr>
        <w:t>actualiza frecuentemente</w:t>
      </w:r>
      <w:r w:rsidR="0037197A">
        <w:rPr>
          <w:rFonts w:ascii="Arial" w:hAnsi="Arial" w:cs="Arial"/>
          <w:sz w:val="22"/>
          <w:szCs w:val="22"/>
        </w:rPr>
        <w:t>. El propio</w:t>
      </w:r>
      <w:r w:rsidR="007C1307" w:rsidRPr="00D97056">
        <w:rPr>
          <w:rFonts w:ascii="Arial" w:hAnsi="Arial" w:cs="Arial"/>
          <w:sz w:val="22"/>
          <w:szCs w:val="22"/>
        </w:rPr>
        <w:t xml:space="preserve"> </w:t>
      </w:r>
      <w:r w:rsidR="0037197A">
        <w:rPr>
          <w:rFonts w:ascii="Arial" w:hAnsi="Arial" w:cs="Arial"/>
          <w:sz w:val="22"/>
          <w:szCs w:val="22"/>
        </w:rPr>
        <w:t>MINFIN</w:t>
      </w:r>
      <w:r w:rsidR="007C1307" w:rsidRPr="00D97056">
        <w:rPr>
          <w:rFonts w:ascii="Arial" w:hAnsi="Arial" w:cs="Arial"/>
          <w:sz w:val="22"/>
          <w:szCs w:val="22"/>
        </w:rPr>
        <w:t xml:space="preserve"> </w:t>
      </w:r>
      <w:r w:rsidR="006331CF">
        <w:rPr>
          <w:rFonts w:ascii="Arial" w:hAnsi="Arial" w:cs="Arial"/>
          <w:sz w:val="22"/>
          <w:szCs w:val="22"/>
        </w:rPr>
        <w:t xml:space="preserve">y la SAT </w:t>
      </w:r>
      <w:r w:rsidR="007C1307" w:rsidRPr="00D97056">
        <w:rPr>
          <w:rFonts w:ascii="Arial" w:hAnsi="Arial" w:cs="Arial"/>
          <w:sz w:val="22"/>
          <w:szCs w:val="22"/>
        </w:rPr>
        <w:t>publica</w:t>
      </w:r>
      <w:r w:rsidR="006331CF">
        <w:rPr>
          <w:rFonts w:ascii="Arial" w:hAnsi="Arial" w:cs="Arial"/>
          <w:sz w:val="22"/>
          <w:szCs w:val="22"/>
        </w:rPr>
        <w:t>n</w:t>
      </w:r>
      <w:r w:rsidR="007C1307" w:rsidRPr="00D97056">
        <w:rPr>
          <w:rFonts w:ascii="Arial" w:hAnsi="Arial" w:cs="Arial"/>
          <w:sz w:val="22"/>
          <w:szCs w:val="22"/>
        </w:rPr>
        <w:t xml:space="preserve"> periódicamente </w:t>
      </w:r>
      <w:r>
        <w:rPr>
          <w:rFonts w:ascii="Arial" w:hAnsi="Arial" w:cs="Arial"/>
          <w:sz w:val="22"/>
          <w:szCs w:val="22"/>
        </w:rPr>
        <w:t xml:space="preserve">en sus páginas </w:t>
      </w:r>
      <w:r w:rsidR="00585EE1" w:rsidRPr="00B3684F">
        <w:rPr>
          <w:rFonts w:ascii="Arial" w:hAnsi="Arial" w:cs="Arial"/>
          <w:i/>
          <w:sz w:val="22"/>
          <w:szCs w:val="22"/>
        </w:rPr>
        <w:t>Web</w:t>
      </w:r>
      <w:r w:rsidRPr="00D97056">
        <w:rPr>
          <w:rFonts w:ascii="Arial" w:hAnsi="Arial" w:cs="Arial"/>
          <w:sz w:val="22"/>
          <w:szCs w:val="22"/>
        </w:rPr>
        <w:t xml:space="preserve"> </w:t>
      </w:r>
      <w:r w:rsidR="007C1307" w:rsidRPr="00D97056">
        <w:rPr>
          <w:rFonts w:ascii="Arial" w:hAnsi="Arial" w:cs="Arial"/>
          <w:sz w:val="22"/>
          <w:szCs w:val="22"/>
        </w:rPr>
        <w:t xml:space="preserve">los principales indicadores de </w:t>
      </w:r>
      <w:r w:rsidR="007C1307" w:rsidRPr="00112314">
        <w:rPr>
          <w:rFonts w:ascii="Arial" w:hAnsi="Arial" w:cs="Arial"/>
          <w:sz w:val="22"/>
          <w:szCs w:val="22"/>
        </w:rPr>
        <w:t>recaudación fiscal</w:t>
      </w:r>
      <w:r w:rsidR="002421A6">
        <w:rPr>
          <w:rFonts w:ascii="Arial" w:hAnsi="Arial" w:cs="Arial"/>
          <w:sz w:val="22"/>
          <w:szCs w:val="22"/>
        </w:rPr>
        <w:t>.</w:t>
      </w:r>
      <w:r w:rsidR="007C1307" w:rsidRPr="007C1307">
        <w:rPr>
          <w:rFonts w:ascii="Arial" w:hAnsi="Arial" w:cs="Arial"/>
          <w:sz w:val="22"/>
          <w:szCs w:val="22"/>
        </w:rPr>
        <w:t xml:space="preserve"> </w:t>
      </w:r>
      <w:r w:rsidR="006331CF">
        <w:rPr>
          <w:rFonts w:ascii="Arial" w:hAnsi="Arial" w:cs="Arial"/>
          <w:sz w:val="22"/>
          <w:szCs w:val="22"/>
        </w:rPr>
        <w:t xml:space="preserve">En la página </w:t>
      </w:r>
      <w:r w:rsidR="00501D94" w:rsidRPr="00B3684F">
        <w:rPr>
          <w:rFonts w:ascii="Arial" w:hAnsi="Arial" w:cs="Arial"/>
          <w:i/>
          <w:sz w:val="22"/>
          <w:szCs w:val="22"/>
        </w:rPr>
        <w:t>Web</w:t>
      </w:r>
      <w:r w:rsidR="006331CF">
        <w:rPr>
          <w:rFonts w:ascii="Arial" w:hAnsi="Arial" w:cs="Arial"/>
          <w:sz w:val="22"/>
          <w:szCs w:val="22"/>
        </w:rPr>
        <w:t xml:space="preserve"> de la </w:t>
      </w:r>
      <w:r w:rsidR="002B692F">
        <w:rPr>
          <w:rFonts w:ascii="Arial" w:hAnsi="Arial" w:cs="Arial"/>
          <w:sz w:val="22"/>
          <w:szCs w:val="22"/>
        </w:rPr>
        <w:t>SIB</w:t>
      </w:r>
      <w:r w:rsidR="006331CF">
        <w:rPr>
          <w:rFonts w:ascii="Arial" w:hAnsi="Arial" w:cs="Arial"/>
          <w:sz w:val="22"/>
          <w:szCs w:val="22"/>
        </w:rPr>
        <w:t xml:space="preserve"> se puede encontrar toda la documentación referente a resoluciones y otros actos de política incluidos en el </w:t>
      </w:r>
      <w:r w:rsidR="00724AE6">
        <w:rPr>
          <w:rFonts w:ascii="Arial" w:hAnsi="Arial" w:cs="Arial"/>
          <w:sz w:val="22"/>
          <w:szCs w:val="22"/>
        </w:rPr>
        <w:t>programa</w:t>
      </w:r>
      <w:r w:rsidR="006331CF">
        <w:rPr>
          <w:rFonts w:ascii="Arial" w:hAnsi="Arial" w:cs="Arial"/>
          <w:sz w:val="22"/>
          <w:szCs w:val="22"/>
        </w:rPr>
        <w:t>, y la información estadís</w:t>
      </w:r>
      <w:r>
        <w:rPr>
          <w:rFonts w:ascii="Arial" w:hAnsi="Arial" w:cs="Arial"/>
          <w:sz w:val="22"/>
          <w:szCs w:val="22"/>
        </w:rPr>
        <w:t>tica es enviada al B</w:t>
      </w:r>
      <w:r w:rsidR="006331CF">
        <w:rPr>
          <w:rFonts w:ascii="Arial" w:hAnsi="Arial" w:cs="Arial"/>
          <w:sz w:val="22"/>
          <w:szCs w:val="22"/>
        </w:rPr>
        <w:t>anco cuando solicitada.</w:t>
      </w:r>
    </w:p>
    <w:p w14:paraId="735B3DBA" w14:textId="77777777" w:rsidR="00A06E68" w:rsidRDefault="000A772E" w:rsidP="00A06E68">
      <w:pPr>
        <w:pStyle w:val="Paragraph"/>
        <w:ind w:left="720" w:hanging="720"/>
        <w:rPr>
          <w:rFonts w:ascii="Arial" w:hAnsi="Arial" w:cs="Arial"/>
          <w:sz w:val="22"/>
          <w:szCs w:val="22"/>
        </w:rPr>
      </w:pPr>
      <w:r w:rsidRPr="000A772E">
        <w:rPr>
          <w:rFonts w:ascii="Arial" w:hAnsi="Arial" w:cs="Arial"/>
          <w:sz w:val="22"/>
          <w:szCs w:val="22"/>
        </w:rPr>
        <w:t xml:space="preserve">Toda la información necesaria para la preparación de la evaluación económica ex post, conforme los </w:t>
      </w:r>
      <w:r w:rsidR="00B01704">
        <w:rPr>
          <w:rFonts w:ascii="Arial" w:hAnsi="Arial" w:cs="Arial"/>
          <w:sz w:val="22"/>
          <w:szCs w:val="22"/>
        </w:rPr>
        <w:t>6</w:t>
      </w:r>
      <w:r w:rsidR="00B01704" w:rsidRPr="000A772E">
        <w:rPr>
          <w:rFonts w:ascii="Arial" w:hAnsi="Arial" w:cs="Arial"/>
          <w:sz w:val="22"/>
          <w:szCs w:val="22"/>
        </w:rPr>
        <w:t xml:space="preserve"> </w:t>
      </w:r>
      <w:r w:rsidRPr="000A772E">
        <w:rPr>
          <w:rFonts w:ascii="Arial" w:hAnsi="Arial" w:cs="Arial"/>
          <w:sz w:val="22"/>
          <w:szCs w:val="22"/>
        </w:rPr>
        <w:t>indicadores propuestos, es</w:t>
      </w:r>
      <w:r>
        <w:rPr>
          <w:rFonts w:ascii="Arial" w:hAnsi="Arial" w:cs="Arial"/>
          <w:sz w:val="22"/>
          <w:szCs w:val="22"/>
        </w:rPr>
        <w:t xml:space="preserve">tá disponible en los medios de verificación incluidos en los Cuadros </w:t>
      </w:r>
      <w:r w:rsidR="00B01704">
        <w:rPr>
          <w:rFonts w:ascii="Arial" w:hAnsi="Arial" w:cs="Arial"/>
          <w:sz w:val="22"/>
          <w:szCs w:val="22"/>
        </w:rPr>
        <w:t xml:space="preserve">1, </w:t>
      </w:r>
      <w:r>
        <w:rPr>
          <w:rFonts w:ascii="Arial" w:hAnsi="Arial" w:cs="Arial"/>
          <w:sz w:val="22"/>
          <w:szCs w:val="22"/>
        </w:rPr>
        <w:t>2a y 3a y en la Matriz de Resultados.</w:t>
      </w:r>
    </w:p>
    <w:p w14:paraId="78B3128E" w14:textId="0E5C0122" w:rsidR="00D12E8D" w:rsidRPr="00A06E68" w:rsidRDefault="00D12E8D" w:rsidP="00A06E68">
      <w:pPr>
        <w:pStyle w:val="Paragraph"/>
        <w:ind w:left="720" w:hanging="720"/>
        <w:rPr>
          <w:rFonts w:ascii="Arial" w:hAnsi="Arial" w:cs="Arial"/>
          <w:sz w:val="22"/>
          <w:szCs w:val="22"/>
        </w:rPr>
      </w:pPr>
      <w:r w:rsidRPr="00A06E68">
        <w:rPr>
          <w:rFonts w:ascii="Arial" w:hAnsi="Arial" w:cs="Arial"/>
          <w:b/>
          <w:sz w:val="22"/>
          <w:szCs w:val="22"/>
        </w:rPr>
        <w:t xml:space="preserve">Experiencia del Banco y efectividad de las acciones propuestas. </w:t>
      </w:r>
      <w:r w:rsidRPr="00A06E68">
        <w:rPr>
          <w:rFonts w:ascii="Arial" w:hAnsi="Arial" w:cs="Arial"/>
          <w:sz w:val="22"/>
          <w:szCs w:val="22"/>
        </w:rPr>
        <w:t xml:space="preserve">El Banco ha apoyado diversas reformas de las administraciones tributarias en la región en los últimos años, con resultados muy positivos. La presente operación es similar a estrategias aplicadas en otros países, en los cuales se </w:t>
      </w:r>
      <w:r w:rsidR="00D231DD" w:rsidRPr="00A06E68">
        <w:rPr>
          <w:rFonts w:ascii="Arial" w:hAnsi="Arial" w:cs="Arial"/>
          <w:sz w:val="22"/>
          <w:szCs w:val="22"/>
        </w:rPr>
        <w:t>hizo una reingeniería integral de</w:t>
      </w:r>
      <w:r w:rsidRPr="00A06E68">
        <w:rPr>
          <w:rFonts w:ascii="Arial" w:hAnsi="Arial" w:cs="Arial"/>
          <w:sz w:val="22"/>
          <w:szCs w:val="22"/>
        </w:rPr>
        <w:t xml:space="preserve"> la entidad responsable por la recaudación tributaria, tales como la de Ecuador en 19</w:t>
      </w:r>
      <w:r w:rsidR="00D231DD" w:rsidRPr="00A06E68">
        <w:rPr>
          <w:rFonts w:ascii="Arial" w:hAnsi="Arial" w:cs="Arial"/>
          <w:sz w:val="22"/>
          <w:szCs w:val="22"/>
        </w:rPr>
        <w:t>9</w:t>
      </w:r>
      <w:r w:rsidRPr="00A06E68">
        <w:rPr>
          <w:rFonts w:ascii="Arial" w:hAnsi="Arial" w:cs="Arial"/>
          <w:sz w:val="22"/>
          <w:szCs w:val="22"/>
        </w:rPr>
        <w:t>8</w:t>
      </w:r>
      <w:r w:rsidR="00501D94" w:rsidRPr="00A06E68">
        <w:rPr>
          <w:rFonts w:ascii="Arial" w:hAnsi="Arial" w:cs="Arial"/>
          <w:sz w:val="22"/>
          <w:szCs w:val="22"/>
        </w:rPr>
        <w:noBreakHyphen/>
      </w:r>
      <w:r w:rsidRPr="00A06E68">
        <w:rPr>
          <w:rFonts w:ascii="Arial" w:hAnsi="Arial" w:cs="Arial"/>
          <w:sz w:val="22"/>
          <w:szCs w:val="22"/>
        </w:rPr>
        <w:t>2003 (</w:t>
      </w:r>
      <w:r w:rsidRPr="00A06E68">
        <w:rPr>
          <w:rFonts w:ascii="Arial" w:hAnsi="Arial" w:cs="Arial"/>
          <w:bCs/>
          <w:color w:val="0C1320"/>
          <w:sz w:val="21"/>
          <w:szCs w:val="21"/>
          <w:shd w:val="clear" w:color="auto" w:fill="FFFFFF"/>
        </w:rPr>
        <w:t>1062/OC-EC</w:t>
      </w:r>
      <w:r w:rsidRPr="00A06E68">
        <w:rPr>
          <w:rFonts w:ascii="Arial" w:hAnsi="Arial" w:cs="Arial"/>
          <w:sz w:val="22"/>
          <w:szCs w:val="22"/>
        </w:rPr>
        <w:t xml:space="preserve">) que permitió al Servicio de Rentas Internas incrementar la recaudación de 6% para 11% del PIB; o el </w:t>
      </w:r>
      <w:r w:rsidR="00724AE6" w:rsidRPr="00A06E68">
        <w:rPr>
          <w:rFonts w:ascii="Arial" w:hAnsi="Arial" w:cs="Arial"/>
          <w:sz w:val="22"/>
          <w:szCs w:val="22"/>
        </w:rPr>
        <w:t>programa</w:t>
      </w:r>
      <w:r w:rsidRPr="00A06E68">
        <w:rPr>
          <w:rFonts w:ascii="Arial" w:hAnsi="Arial" w:cs="Arial"/>
          <w:sz w:val="22"/>
          <w:szCs w:val="22"/>
        </w:rPr>
        <w:t xml:space="preserve"> de Apoyo a la Reforma Fiscal de Honduras (</w:t>
      </w:r>
      <w:r w:rsidRPr="00A06E68">
        <w:rPr>
          <w:rFonts w:ascii="Arial" w:hAnsi="Arial" w:cs="Arial"/>
          <w:bCs/>
          <w:color w:val="0C1320"/>
          <w:sz w:val="21"/>
          <w:szCs w:val="21"/>
          <w:shd w:val="clear" w:color="auto" w:fill="FFFFFF"/>
        </w:rPr>
        <w:t>2452/BL-HO</w:t>
      </w:r>
      <w:r w:rsidRPr="00A06E68">
        <w:rPr>
          <w:rFonts w:ascii="Arial" w:hAnsi="Arial" w:cs="Arial"/>
          <w:sz w:val="22"/>
          <w:szCs w:val="22"/>
        </w:rPr>
        <w:t xml:space="preserve">) que contribuyó al incremento de la recaudación en 2,3% del PIB en 2010-2011; y del </w:t>
      </w:r>
      <w:r w:rsidR="00501D94" w:rsidRPr="00A06E68">
        <w:rPr>
          <w:rFonts w:ascii="Arial" w:hAnsi="Arial" w:cs="Arial"/>
          <w:sz w:val="22"/>
          <w:szCs w:val="22"/>
        </w:rPr>
        <w:t>P</w:t>
      </w:r>
      <w:r w:rsidR="00724AE6" w:rsidRPr="00A06E68">
        <w:rPr>
          <w:rFonts w:ascii="Arial" w:hAnsi="Arial" w:cs="Arial"/>
          <w:sz w:val="22"/>
          <w:szCs w:val="22"/>
        </w:rPr>
        <w:t>rograma</w:t>
      </w:r>
      <w:r w:rsidRPr="00A06E68">
        <w:rPr>
          <w:rFonts w:ascii="Arial" w:hAnsi="Arial" w:cs="Arial"/>
          <w:sz w:val="22"/>
          <w:szCs w:val="22"/>
        </w:rPr>
        <w:t xml:space="preserve"> de Fortalecimiento de la Dirección General de Impuestos Internos de República Dominicana (</w:t>
      </w:r>
      <w:r w:rsidRPr="00A06E68">
        <w:rPr>
          <w:rFonts w:ascii="Arial" w:hAnsi="Arial" w:cs="Arial"/>
          <w:bCs/>
          <w:color w:val="0C1320"/>
          <w:sz w:val="21"/>
          <w:szCs w:val="21"/>
          <w:shd w:val="clear" w:color="auto" w:fill="FFFFFF"/>
        </w:rPr>
        <w:t>1902/OC-DR</w:t>
      </w:r>
      <w:r w:rsidRPr="00A06E68">
        <w:rPr>
          <w:rFonts w:ascii="Arial" w:hAnsi="Arial" w:cs="Arial"/>
          <w:sz w:val="22"/>
          <w:szCs w:val="22"/>
        </w:rPr>
        <w:t>) con un incremento en la recaudación de 2,1% del PIB en el período 2006-2013 (Fuente: PCR, de estos préstamos).</w:t>
      </w:r>
    </w:p>
    <w:p w14:paraId="08DBC7AD" w14:textId="77777777" w:rsidR="00D12E8D" w:rsidRDefault="00D12E8D" w:rsidP="004348BE">
      <w:pPr>
        <w:pStyle w:val="Paragraph"/>
        <w:ind w:left="720" w:hanging="720"/>
        <w:rPr>
          <w:rFonts w:ascii="Arial" w:hAnsi="Arial" w:cs="Arial"/>
          <w:sz w:val="22"/>
          <w:szCs w:val="22"/>
        </w:rPr>
      </w:pPr>
      <w:r w:rsidRPr="007351E5">
        <w:rPr>
          <w:rFonts w:ascii="Arial" w:hAnsi="Arial" w:cs="Arial"/>
          <w:sz w:val="22"/>
          <w:szCs w:val="22"/>
        </w:rPr>
        <w:t xml:space="preserve">En el área de transparencia financiera, el </w:t>
      </w:r>
      <w:r w:rsidRPr="005328A3">
        <w:rPr>
          <w:rFonts w:ascii="Arial" w:hAnsi="Arial" w:cs="Arial"/>
          <w:sz w:val="22"/>
          <w:szCs w:val="22"/>
        </w:rPr>
        <w:t xml:space="preserve">Banco </w:t>
      </w:r>
      <w:r w:rsidRPr="007351E5">
        <w:rPr>
          <w:rFonts w:ascii="Arial" w:hAnsi="Arial" w:cs="Arial"/>
          <w:sz w:val="22"/>
          <w:szCs w:val="22"/>
        </w:rPr>
        <w:t>también cuenta con</w:t>
      </w:r>
      <w:r w:rsidRPr="00774FC8">
        <w:rPr>
          <w:rFonts w:ascii="Arial" w:hAnsi="Arial" w:cs="Arial"/>
          <w:sz w:val="22"/>
          <w:szCs w:val="22"/>
        </w:rPr>
        <w:t xml:space="preserve"> una amplia experiencia</w:t>
      </w:r>
      <w:r>
        <w:rPr>
          <w:rFonts w:ascii="Arial" w:hAnsi="Arial" w:cs="Arial"/>
          <w:sz w:val="22"/>
          <w:szCs w:val="22"/>
        </w:rPr>
        <w:t xml:space="preserve"> de apoyo a los países</w:t>
      </w:r>
      <w:r w:rsidRPr="00774FC8">
        <w:rPr>
          <w:rFonts w:ascii="Arial" w:hAnsi="Arial" w:cs="Arial"/>
          <w:sz w:val="22"/>
          <w:szCs w:val="22"/>
        </w:rPr>
        <w:t xml:space="preserve">, principalmente relacionada con el desarrollo e implementación del programa de cooperación técnica en transparencia financiera y ejecutado a </w:t>
      </w:r>
      <w:r w:rsidRPr="00BF5909">
        <w:rPr>
          <w:rFonts w:ascii="Arial" w:hAnsi="Arial" w:cs="Arial"/>
          <w:sz w:val="22"/>
          <w:szCs w:val="22"/>
        </w:rPr>
        <w:t xml:space="preserve">través de los proyectos </w:t>
      </w:r>
      <w:r w:rsidRPr="00D11C6D">
        <w:rPr>
          <w:rFonts w:ascii="Arial" w:hAnsi="Arial" w:cs="Arial"/>
          <w:bCs/>
          <w:color w:val="0C1320"/>
          <w:sz w:val="21"/>
          <w:szCs w:val="21"/>
          <w:shd w:val="clear" w:color="auto" w:fill="FFFFFF"/>
        </w:rPr>
        <w:t>ATN/AA-13696-RG</w:t>
      </w:r>
      <w:r w:rsidRPr="00D11C6D">
        <w:rPr>
          <w:rFonts w:ascii="Arial" w:hAnsi="Arial" w:cs="Arial"/>
          <w:sz w:val="22"/>
          <w:szCs w:val="22"/>
        </w:rPr>
        <w:t xml:space="preserve">, </w:t>
      </w:r>
      <w:r w:rsidRPr="00D11C6D">
        <w:rPr>
          <w:rFonts w:ascii="Arial" w:hAnsi="Arial" w:cs="Arial"/>
          <w:bCs/>
          <w:color w:val="0C1320"/>
          <w:sz w:val="21"/>
          <w:szCs w:val="21"/>
          <w:shd w:val="clear" w:color="auto" w:fill="FFFFFF"/>
        </w:rPr>
        <w:lastRenderedPageBreak/>
        <w:t>ATN/AA</w:t>
      </w:r>
      <w:r w:rsidR="00501D94">
        <w:rPr>
          <w:rFonts w:ascii="Arial" w:hAnsi="Arial" w:cs="Arial"/>
          <w:bCs/>
          <w:color w:val="0C1320"/>
          <w:sz w:val="21"/>
          <w:szCs w:val="21"/>
          <w:shd w:val="clear" w:color="auto" w:fill="FFFFFF"/>
        </w:rPr>
        <w:noBreakHyphen/>
      </w:r>
      <w:r w:rsidRPr="00D11C6D">
        <w:rPr>
          <w:rFonts w:ascii="Arial" w:hAnsi="Arial" w:cs="Arial"/>
          <w:bCs/>
          <w:color w:val="0C1320"/>
          <w:sz w:val="21"/>
          <w:szCs w:val="21"/>
          <w:shd w:val="clear" w:color="auto" w:fill="FFFFFF"/>
        </w:rPr>
        <w:t>15291-RG</w:t>
      </w:r>
      <w:r w:rsidRPr="00D11C6D">
        <w:rPr>
          <w:rFonts w:ascii="Arial" w:hAnsi="Arial" w:cs="Arial"/>
          <w:sz w:val="22"/>
          <w:szCs w:val="22"/>
        </w:rPr>
        <w:t xml:space="preserve">, y </w:t>
      </w:r>
      <w:r w:rsidRPr="00D11C6D">
        <w:rPr>
          <w:rFonts w:ascii="Arial" w:hAnsi="Arial" w:cs="Arial"/>
          <w:bCs/>
          <w:color w:val="0C1320"/>
          <w:sz w:val="21"/>
          <w:szCs w:val="21"/>
          <w:shd w:val="clear" w:color="auto" w:fill="FFFFFF"/>
        </w:rPr>
        <w:t>ATN/AA-13021-GU</w:t>
      </w:r>
      <w:r w:rsidRPr="00D11C6D">
        <w:rPr>
          <w:rStyle w:val="FootnoteReference"/>
          <w:rFonts w:ascii="Arial" w:hAnsi="Arial" w:cs="Arial"/>
          <w:sz w:val="22"/>
          <w:szCs w:val="22"/>
        </w:rPr>
        <w:footnoteReference w:id="3"/>
      </w:r>
      <w:r w:rsidRPr="00D11C6D">
        <w:rPr>
          <w:rFonts w:ascii="Arial" w:hAnsi="Arial" w:cs="Arial"/>
          <w:bCs/>
          <w:color w:val="0C1320"/>
          <w:sz w:val="21"/>
          <w:szCs w:val="21"/>
          <w:shd w:val="clear" w:color="auto" w:fill="FFFFFF"/>
        </w:rPr>
        <w:t>.</w:t>
      </w:r>
      <w:r w:rsidRPr="00BF5909">
        <w:rPr>
          <w:rFonts w:ascii="Arial" w:hAnsi="Arial" w:cs="Arial"/>
          <w:sz w:val="22"/>
          <w:szCs w:val="22"/>
        </w:rPr>
        <w:t xml:space="preserve"> </w:t>
      </w:r>
      <w:r w:rsidRPr="007351E5">
        <w:rPr>
          <w:rFonts w:ascii="Arial" w:hAnsi="Arial" w:cs="Arial"/>
          <w:sz w:val="22"/>
          <w:szCs w:val="22"/>
        </w:rPr>
        <w:t xml:space="preserve">El programa se basa en tres pilares: </w:t>
      </w:r>
      <w:r>
        <w:rPr>
          <w:rFonts w:ascii="Arial" w:hAnsi="Arial" w:cs="Arial"/>
          <w:sz w:val="22"/>
          <w:szCs w:val="22"/>
        </w:rPr>
        <w:t>(i</w:t>
      </w:r>
      <w:r w:rsidRPr="007351E5">
        <w:rPr>
          <w:rFonts w:ascii="Arial" w:hAnsi="Arial" w:cs="Arial"/>
          <w:sz w:val="22"/>
          <w:szCs w:val="22"/>
        </w:rPr>
        <w:t>)</w:t>
      </w:r>
      <w:r>
        <w:rPr>
          <w:rFonts w:ascii="Arial" w:hAnsi="Arial" w:cs="Arial"/>
          <w:sz w:val="22"/>
          <w:szCs w:val="22"/>
        </w:rPr>
        <w:t> </w:t>
      </w:r>
      <w:r w:rsidRPr="007351E5">
        <w:rPr>
          <w:rFonts w:ascii="Arial" w:hAnsi="Arial" w:cs="Arial"/>
          <w:sz w:val="22"/>
          <w:szCs w:val="22"/>
        </w:rPr>
        <w:t xml:space="preserve">evaluaciones nacionales de riesgos y estrategias nacionales contra el lavado de dinero; </w:t>
      </w:r>
      <w:r>
        <w:rPr>
          <w:rFonts w:ascii="Arial" w:hAnsi="Arial" w:cs="Arial"/>
          <w:sz w:val="22"/>
          <w:szCs w:val="22"/>
        </w:rPr>
        <w:t>(ii</w:t>
      </w:r>
      <w:r w:rsidRPr="007351E5">
        <w:rPr>
          <w:rFonts w:ascii="Arial" w:hAnsi="Arial" w:cs="Arial"/>
          <w:sz w:val="22"/>
          <w:szCs w:val="22"/>
        </w:rPr>
        <w:t>)</w:t>
      </w:r>
      <w:r>
        <w:rPr>
          <w:rFonts w:ascii="Arial" w:hAnsi="Arial" w:cs="Arial"/>
          <w:sz w:val="22"/>
          <w:szCs w:val="22"/>
        </w:rPr>
        <w:t> </w:t>
      </w:r>
      <w:r w:rsidRPr="007351E5">
        <w:rPr>
          <w:rFonts w:ascii="Arial" w:hAnsi="Arial" w:cs="Arial"/>
          <w:sz w:val="22"/>
          <w:szCs w:val="22"/>
        </w:rPr>
        <w:t xml:space="preserve">fortalecimiento de la capacidad </w:t>
      </w:r>
      <w:r>
        <w:rPr>
          <w:rFonts w:ascii="Arial" w:hAnsi="Arial" w:cs="Arial"/>
          <w:sz w:val="22"/>
          <w:szCs w:val="22"/>
        </w:rPr>
        <w:t xml:space="preserve">institucional de las agencias que rigen el marco anti-lavado </w:t>
      </w:r>
      <w:r w:rsidRPr="007351E5">
        <w:rPr>
          <w:rFonts w:ascii="Arial" w:hAnsi="Arial" w:cs="Arial"/>
          <w:sz w:val="22"/>
          <w:szCs w:val="22"/>
        </w:rPr>
        <w:t xml:space="preserve">y apoyo a las reformas legales en cumplimiento con los estándares del GAFI; y </w:t>
      </w:r>
      <w:r>
        <w:rPr>
          <w:rFonts w:ascii="Arial" w:hAnsi="Arial" w:cs="Arial"/>
          <w:sz w:val="22"/>
          <w:szCs w:val="22"/>
        </w:rPr>
        <w:t>(iii</w:t>
      </w:r>
      <w:r w:rsidRPr="007351E5">
        <w:rPr>
          <w:rFonts w:ascii="Arial" w:hAnsi="Arial" w:cs="Arial"/>
          <w:sz w:val="22"/>
          <w:szCs w:val="22"/>
        </w:rPr>
        <w:t>)</w:t>
      </w:r>
      <w:r>
        <w:rPr>
          <w:rFonts w:ascii="Arial" w:hAnsi="Arial" w:cs="Arial"/>
          <w:sz w:val="22"/>
          <w:szCs w:val="22"/>
        </w:rPr>
        <w:t> </w:t>
      </w:r>
      <w:r w:rsidRPr="007351E5">
        <w:rPr>
          <w:rFonts w:ascii="Arial" w:hAnsi="Arial" w:cs="Arial"/>
          <w:sz w:val="22"/>
          <w:szCs w:val="22"/>
        </w:rPr>
        <w:t xml:space="preserve">generación y diseminación de conocimiento. </w:t>
      </w:r>
      <w:r w:rsidRPr="00774FC8">
        <w:rPr>
          <w:rFonts w:ascii="Arial" w:hAnsi="Arial" w:cs="Arial"/>
          <w:sz w:val="22"/>
          <w:szCs w:val="22"/>
        </w:rPr>
        <w:t>A través de este programa se han apoyado a 12 pa</w:t>
      </w:r>
      <w:r>
        <w:rPr>
          <w:rFonts w:ascii="Arial" w:hAnsi="Arial" w:cs="Arial"/>
          <w:sz w:val="22"/>
          <w:szCs w:val="22"/>
        </w:rPr>
        <w:t>í</w:t>
      </w:r>
      <w:r w:rsidRPr="00774FC8">
        <w:rPr>
          <w:rFonts w:ascii="Arial" w:hAnsi="Arial" w:cs="Arial"/>
          <w:sz w:val="22"/>
          <w:szCs w:val="22"/>
        </w:rPr>
        <w:t>ses d</w:t>
      </w:r>
      <w:r w:rsidRPr="007351E5">
        <w:rPr>
          <w:rFonts w:ascii="Arial" w:hAnsi="Arial" w:cs="Arial"/>
          <w:sz w:val="22"/>
          <w:szCs w:val="22"/>
        </w:rPr>
        <w:t>e</w:t>
      </w:r>
      <w:r>
        <w:rPr>
          <w:rFonts w:ascii="Arial" w:hAnsi="Arial" w:cs="Arial"/>
          <w:sz w:val="22"/>
          <w:szCs w:val="22"/>
        </w:rPr>
        <w:t xml:space="preserve"> </w:t>
      </w:r>
      <w:r w:rsidRPr="007351E5">
        <w:rPr>
          <w:rFonts w:ascii="Arial" w:hAnsi="Arial" w:cs="Arial"/>
          <w:sz w:val="22"/>
          <w:szCs w:val="22"/>
        </w:rPr>
        <w:t>la región en sus esfuerzos de fortalecer sus marcos institucionales contra el lavado de dinero. El programa ha logrado resultados importantes, por ejemplo apoyando a 4 pa</w:t>
      </w:r>
      <w:r>
        <w:rPr>
          <w:rFonts w:ascii="Arial" w:hAnsi="Arial" w:cs="Arial"/>
          <w:sz w:val="22"/>
          <w:szCs w:val="22"/>
        </w:rPr>
        <w:t>í</w:t>
      </w:r>
      <w:r w:rsidRPr="007351E5">
        <w:rPr>
          <w:rFonts w:ascii="Arial" w:hAnsi="Arial" w:cs="Arial"/>
          <w:sz w:val="22"/>
          <w:szCs w:val="22"/>
        </w:rPr>
        <w:t>ses (Ecuador, Nicaragua, Panamá y Paraguay) en sus exitosos esfuerzos de salir de l</w:t>
      </w:r>
      <w:r>
        <w:rPr>
          <w:rFonts w:ascii="Arial" w:hAnsi="Arial" w:cs="Arial"/>
          <w:sz w:val="22"/>
          <w:szCs w:val="22"/>
        </w:rPr>
        <w:t>a “Lista Gris”</w:t>
      </w:r>
      <w:r w:rsidRPr="007351E5">
        <w:rPr>
          <w:rFonts w:ascii="Arial" w:hAnsi="Arial" w:cs="Arial"/>
          <w:sz w:val="22"/>
          <w:szCs w:val="22"/>
        </w:rPr>
        <w:t xml:space="preserve"> del GAFI</w:t>
      </w:r>
      <w:r w:rsidRPr="007351E5">
        <w:rPr>
          <w:rStyle w:val="FootnoteReference"/>
          <w:rFonts w:ascii="Arial" w:hAnsi="Arial" w:cs="Arial"/>
          <w:sz w:val="22"/>
          <w:szCs w:val="22"/>
        </w:rPr>
        <w:footnoteReference w:id="4"/>
      </w:r>
      <w:r>
        <w:rPr>
          <w:rFonts w:ascii="Arial" w:hAnsi="Arial" w:cs="Arial"/>
          <w:sz w:val="22"/>
          <w:szCs w:val="22"/>
        </w:rPr>
        <w:t>,</w:t>
      </w:r>
      <w:r w:rsidRPr="007351E5">
        <w:rPr>
          <w:rFonts w:ascii="Arial" w:hAnsi="Arial" w:cs="Arial"/>
          <w:sz w:val="22"/>
          <w:szCs w:val="22"/>
        </w:rPr>
        <w:t xml:space="preserve"> </w:t>
      </w:r>
      <w:r>
        <w:rPr>
          <w:rFonts w:ascii="Arial" w:hAnsi="Arial" w:cs="Arial"/>
          <w:sz w:val="22"/>
          <w:szCs w:val="22"/>
        </w:rPr>
        <w:t xml:space="preserve">y realizando reformas legales en 6 países. El banco también ha apoyado la inclusión de componentes de integridad financiera en operaciones de préstamo. Por ejemplo el programa de políticas </w:t>
      </w:r>
      <w:r w:rsidRPr="00F11250">
        <w:rPr>
          <w:rFonts w:ascii="Arial" w:hAnsi="Arial" w:cs="Arial"/>
          <w:bCs/>
          <w:color w:val="0C1320"/>
          <w:sz w:val="21"/>
          <w:szCs w:val="21"/>
          <w:shd w:val="clear" w:color="auto" w:fill="FFFFFF"/>
        </w:rPr>
        <w:t>3146/OC-PN</w:t>
      </w:r>
      <w:r>
        <w:rPr>
          <w:rFonts w:ascii="Arial" w:hAnsi="Arial" w:cs="Arial"/>
          <w:sz w:val="22"/>
          <w:szCs w:val="22"/>
        </w:rPr>
        <w:t>; incluyó un componente de Fortalecimiento de la Transparencia Financiera, que incorporó medidas de políticas alineadas con las propuestas para el préstamo en objeto, como por ejemplo la adopción de un proyecto de ley.</w:t>
      </w:r>
    </w:p>
    <w:p w14:paraId="7287F583" w14:textId="77777777" w:rsidR="007C1307" w:rsidRPr="009F0335" w:rsidRDefault="00D12E8D" w:rsidP="004348BE">
      <w:pPr>
        <w:pStyle w:val="FirstHeading"/>
        <w:rPr>
          <w:rFonts w:ascii="Arial" w:hAnsi="Arial" w:cs="Arial"/>
          <w:noProof/>
          <w:sz w:val="22"/>
          <w:szCs w:val="22"/>
        </w:rPr>
      </w:pPr>
      <w:bookmarkStart w:id="10" w:name="_Toc455669851"/>
      <w:r w:rsidRPr="009F0335">
        <w:rPr>
          <w:rFonts w:ascii="Arial" w:hAnsi="Arial" w:cs="Arial"/>
          <w:sz w:val="22"/>
          <w:szCs w:val="22"/>
        </w:rPr>
        <w:t>C</w:t>
      </w:r>
      <w:r w:rsidR="007C1307" w:rsidRPr="009F0335">
        <w:rPr>
          <w:rFonts w:ascii="Arial" w:hAnsi="Arial" w:cs="Arial"/>
          <w:sz w:val="22"/>
          <w:szCs w:val="22"/>
        </w:rPr>
        <w:t>.</w:t>
      </w:r>
      <w:r w:rsidR="007C1307" w:rsidRPr="009F0335">
        <w:rPr>
          <w:rFonts w:ascii="Arial" w:hAnsi="Arial" w:cs="Arial"/>
          <w:sz w:val="22"/>
          <w:szCs w:val="22"/>
        </w:rPr>
        <w:tab/>
      </w:r>
      <w:r w:rsidR="00022BE3" w:rsidRPr="009F0335">
        <w:rPr>
          <w:rFonts w:ascii="Arial" w:hAnsi="Arial" w:cs="Arial"/>
          <w:sz w:val="22"/>
          <w:szCs w:val="22"/>
        </w:rPr>
        <w:t>Metodología de Evaluación</w:t>
      </w:r>
      <w:bookmarkEnd w:id="10"/>
    </w:p>
    <w:p w14:paraId="64E28F3C" w14:textId="58FE6203" w:rsidR="00F3582B" w:rsidRPr="00E44BF5" w:rsidRDefault="00F3582B" w:rsidP="00E44BF5">
      <w:pPr>
        <w:pStyle w:val="Paragraph"/>
        <w:tabs>
          <w:tab w:val="clear" w:pos="2448"/>
        </w:tabs>
        <w:ind w:left="720" w:hanging="720"/>
        <w:rPr>
          <w:rFonts w:ascii="Arial" w:hAnsi="Arial" w:cs="Arial"/>
          <w:sz w:val="22"/>
          <w:lang w:val="es-ES_tradnl"/>
        </w:rPr>
      </w:pPr>
      <w:r w:rsidRPr="00E44BF5">
        <w:rPr>
          <w:rFonts w:ascii="Arial" w:hAnsi="Arial" w:cs="Arial"/>
          <w:b/>
          <w:sz w:val="22"/>
          <w:lang w:val="es-ES_tradnl"/>
        </w:rPr>
        <w:t xml:space="preserve">Análisis económico </w:t>
      </w:r>
      <w:r w:rsidR="00E8403A" w:rsidRPr="00E44BF5">
        <w:rPr>
          <w:rFonts w:ascii="Arial" w:hAnsi="Arial" w:cs="Arial"/>
          <w:b/>
          <w:sz w:val="22"/>
          <w:lang w:val="es-ES_tradnl"/>
        </w:rPr>
        <w:t>ex ante</w:t>
      </w:r>
      <w:r w:rsidRPr="00E44BF5">
        <w:rPr>
          <w:rFonts w:ascii="Arial" w:hAnsi="Arial" w:cs="Arial"/>
          <w:sz w:val="22"/>
          <w:lang w:val="es-ES_tradnl"/>
        </w:rPr>
        <w:t>. Se realizó un análisis costo</w:t>
      </w:r>
      <w:r w:rsidR="00501D94" w:rsidRPr="00E44BF5">
        <w:rPr>
          <w:rFonts w:ascii="Arial" w:hAnsi="Arial" w:cs="Arial"/>
          <w:sz w:val="22"/>
          <w:lang w:val="es-ES_tradnl"/>
        </w:rPr>
        <w:noBreakHyphen/>
      </w:r>
      <w:r w:rsidRPr="00E44BF5">
        <w:rPr>
          <w:rFonts w:ascii="Arial" w:hAnsi="Arial" w:cs="Arial"/>
          <w:sz w:val="22"/>
          <w:lang w:val="es-ES_tradnl"/>
        </w:rPr>
        <w:t xml:space="preserve">beneficio de las reformas incluidas en el </w:t>
      </w:r>
      <w:r w:rsidR="00724AE6" w:rsidRPr="00E44BF5">
        <w:rPr>
          <w:rFonts w:ascii="Arial" w:hAnsi="Arial" w:cs="Arial"/>
          <w:sz w:val="22"/>
          <w:lang w:val="es-ES_tradnl"/>
        </w:rPr>
        <w:t>programa</w:t>
      </w:r>
      <w:r w:rsidRPr="00E44BF5">
        <w:rPr>
          <w:rFonts w:ascii="Arial" w:hAnsi="Arial" w:cs="Arial"/>
          <w:sz w:val="22"/>
          <w:lang w:val="es-ES_tradnl"/>
        </w:rPr>
        <w:t>. El documento describe el contexto y la situación actual que sirven de marco para entender el problema de falta de capacidad institucional en la SAT, el órgano gubernamental encargado de aplicar la legislación fiscal y aduanera. El documento presenta las acciones de política acordadas con las autoridades guatemaltecas para enfrentar el problema descrito. Si bien es cierto que el programa es más amplio e incluye otro componente (transparencia del sector financiero), el análisis económico se centra esencialmente en el componente de eficiencia y efectividad en la recaudación. La metodología usada se conoce como static scoring y busca estimar el efecto en recaudación de las mejoras en gestión propuestas, suponiendo que no hay retroalimentación entre impuestos recaudados y actividad económica general.</w:t>
      </w:r>
    </w:p>
    <w:p w14:paraId="629DD92C" w14:textId="77777777" w:rsidR="00E8403A" w:rsidRPr="00E8403A" w:rsidRDefault="00F3582B" w:rsidP="004348BE">
      <w:pPr>
        <w:pStyle w:val="Paragraph"/>
        <w:ind w:left="720" w:hanging="720"/>
        <w:rPr>
          <w:rFonts w:ascii="Arial" w:hAnsi="Arial" w:cs="Arial"/>
          <w:sz w:val="22"/>
          <w:szCs w:val="22"/>
        </w:rPr>
      </w:pPr>
      <w:r w:rsidRPr="00F40DD0">
        <w:rPr>
          <w:rFonts w:ascii="Arial" w:hAnsi="Arial" w:cs="Arial"/>
          <w:sz w:val="22"/>
          <w:lang w:val="es-ES_tradnl"/>
        </w:rPr>
        <w:t>El análisis económico llevado a cabo muestra que aún bajo supuestos muy conservadores de mejora en la gestión, los resultados financieros pueden ser sustanciales. Si la evasión de IVA se reduce en un 10% y la capacidad institucional se mantiene durante cinco años, el programa podría generar cerca de US$</w:t>
      </w:r>
      <w:r w:rsidR="00D231DD">
        <w:rPr>
          <w:rFonts w:ascii="Arial" w:hAnsi="Arial" w:cs="Arial"/>
          <w:sz w:val="22"/>
          <w:lang w:val="es-ES_tradnl"/>
        </w:rPr>
        <w:t> </w:t>
      </w:r>
      <w:r w:rsidRPr="00F40DD0">
        <w:rPr>
          <w:rFonts w:ascii="Arial" w:hAnsi="Arial" w:cs="Arial"/>
          <w:sz w:val="22"/>
          <w:lang w:val="es-ES_tradnl"/>
        </w:rPr>
        <w:t>505</w:t>
      </w:r>
      <w:r w:rsidR="00D231DD">
        <w:rPr>
          <w:rFonts w:ascii="Arial" w:hAnsi="Arial" w:cs="Arial"/>
          <w:sz w:val="22"/>
          <w:lang w:val="es-ES_tradnl"/>
        </w:rPr>
        <w:t> </w:t>
      </w:r>
      <w:r w:rsidRPr="00F40DD0">
        <w:rPr>
          <w:rFonts w:ascii="Arial" w:hAnsi="Arial" w:cs="Arial"/>
          <w:sz w:val="22"/>
          <w:lang w:val="es-ES_tradnl"/>
        </w:rPr>
        <w:t>millones de dólares en valor presente a 2017. Otros US$</w:t>
      </w:r>
      <w:r w:rsidR="00D231DD">
        <w:rPr>
          <w:rFonts w:ascii="Arial" w:hAnsi="Arial" w:cs="Arial"/>
          <w:sz w:val="22"/>
          <w:lang w:val="es-ES_tradnl"/>
        </w:rPr>
        <w:t> </w:t>
      </w:r>
      <w:r w:rsidRPr="00F40DD0">
        <w:rPr>
          <w:rFonts w:ascii="Arial" w:hAnsi="Arial" w:cs="Arial"/>
          <w:sz w:val="22"/>
          <w:lang w:val="es-ES_tradnl"/>
        </w:rPr>
        <w:t>140,7</w:t>
      </w:r>
      <w:r w:rsidR="00501D94">
        <w:rPr>
          <w:rFonts w:ascii="Arial" w:hAnsi="Arial" w:cs="Arial"/>
          <w:sz w:val="22"/>
          <w:lang w:val="es-ES_tradnl"/>
        </w:rPr>
        <w:t> </w:t>
      </w:r>
      <w:r w:rsidRPr="00F40DD0">
        <w:rPr>
          <w:rFonts w:ascii="Arial" w:hAnsi="Arial" w:cs="Arial"/>
          <w:sz w:val="22"/>
          <w:lang w:val="es-ES_tradnl"/>
        </w:rPr>
        <w:t>millones de dólares adicionales se recaudarían si las intervenciones planeadas sobre las aduanas del país son capaces de reducir el contrabando en 10% a lo largo de un lustro. Considerando un costo de las reformas de US$</w:t>
      </w:r>
      <w:r w:rsidR="00D231DD">
        <w:rPr>
          <w:rFonts w:ascii="Arial" w:hAnsi="Arial" w:cs="Arial"/>
          <w:sz w:val="22"/>
          <w:lang w:val="es-ES_tradnl"/>
        </w:rPr>
        <w:t> </w:t>
      </w:r>
      <w:r w:rsidRPr="00F40DD0">
        <w:rPr>
          <w:rFonts w:ascii="Arial" w:hAnsi="Arial" w:cs="Arial"/>
          <w:sz w:val="22"/>
          <w:lang w:val="es-ES_tradnl"/>
        </w:rPr>
        <w:t>3</w:t>
      </w:r>
      <w:r w:rsidR="001C3DE7">
        <w:rPr>
          <w:rFonts w:ascii="Arial" w:hAnsi="Arial" w:cs="Arial"/>
          <w:sz w:val="22"/>
          <w:lang w:val="es-ES_tradnl"/>
        </w:rPr>
        <w:t>3</w:t>
      </w:r>
      <w:r w:rsidRPr="00F40DD0">
        <w:rPr>
          <w:rFonts w:ascii="Arial" w:hAnsi="Arial" w:cs="Arial"/>
          <w:sz w:val="22"/>
          <w:lang w:val="es-ES_tradnl"/>
        </w:rPr>
        <w:t>,</w:t>
      </w:r>
      <w:r w:rsidR="001C3DE7">
        <w:rPr>
          <w:rFonts w:ascii="Arial" w:hAnsi="Arial" w:cs="Arial"/>
          <w:sz w:val="22"/>
          <w:lang w:val="es-ES_tradnl"/>
        </w:rPr>
        <w:t>4</w:t>
      </w:r>
      <w:r w:rsidRPr="00F40DD0">
        <w:rPr>
          <w:rFonts w:ascii="Arial" w:hAnsi="Arial" w:cs="Arial"/>
          <w:sz w:val="22"/>
          <w:lang w:val="es-ES_tradnl"/>
        </w:rPr>
        <w:t> millones en valor presente</w:t>
      </w:r>
      <w:r w:rsidR="00D231DD">
        <w:rPr>
          <w:rFonts w:ascii="Arial" w:hAnsi="Arial" w:cs="Arial"/>
          <w:sz w:val="22"/>
          <w:lang w:val="es-ES_tradnl"/>
        </w:rPr>
        <w:t xml:space="preserve"> del 2017</w:t>
      </w:r>
      <w:r w:rsidRPr="00F40DD0">
        <w:rPr>
          <w:rFonts w:ascii="Arial" w:hAnsi="Arial" w:cs="Arial"/>
          <w:sz w:val="22"/>
          <w:lang w:val="es-ES_tradnl"/>
        </w:rPr>
        <w:t>, el resultado neto alcanzaría US$</w:t>
      </w:r>
      <w:r w:rsidR="00D231DD">
        <w:rPr>
          <w:rFonts w:ascii="Arial" w:hAnsi="Arial" w:cs="Arial"/>
          <w:sz w:val="22"/>
          <w:lang w:val="es-ES_tradnl"/>
        </w:rPr>
        <w:t> </w:t>
      </w:r>
      <w:r w:rsidRPr="00F40DD0">
        <w:rPr>
          <w:rFonts w:ascii="Arial" w:hAnsi="Arial" w:cs="Arial"/>
          <w:sz w:val="22"/>
          <w:lang w:val="es-ES_tradnl"/>
        </w:rPr>
        <w:t>61</w:t>
      </w:r>
      <w:r w:rsidR="001C3DE7">
        <w:rPr>
          <w:rFonts w:ascii="Arial" w:hAnsi="Arial" w:cs="Arial"/>
          <w:sz w:val="22"/>
          <w:lang w:val="es-ES_tradnl"/>
        </w:rPr>
        <w:t>3</w:t>
      </w:r>
      <w:r w:rsidRPr="00F40DD0">
        <w:rPr>
          <w:rFonts w:ascii="Arial" w:hAnsi="Arial" w:cs="Arial"/>
          <w:sz w:val="22"/>
          <w:lang w:val="es-ES_tradnl"/>
        </w:rPr>
        <w:t>,</w:t>
      </w:r>
      <w:r w:rsidR="001C3DE7">
        <w:rPr>
          <w:rFonts w:ascii="Arial" w:hAnsi="Arial" w:cs="Arial"/>
          <w:sz w:val="22"/>
          <w:lang w:val="es-ES_tradnl"/>
        </w:rPr>
        <w:t>6</w:t>
      </w:r>
      <w:r w:rsidRPr="00F40DD0">
        <w:rPr>
          <w:rFonts w:ascii="Arial" w:hAnsi="Arial" w:cs="Arial"/>
          <w:sz w:val="22"/>
          <w:lang w:val="es-ES_tradnl"/>
        </w:rPr>
        <w:t> millones al final de los cinco años.</w:t>
      </w:r>
    </w:p>
    <w:p w14:paraId="5CA147CC" w14:textId="72AE1CD0" w:rsidR="004327ED" w:rsidRPr="0087551D" w:rsidRDefault="004327ED" w:rsidP="004348BE">
      <w:pPr>
        <w:pStyle w:val="Paragraph"/>
        <w:ind w:left="720" w:hanging="720"/>
        <w:rPr>
          <w:rFonts w:ascii="Arial" w:hAnsi="Arial" w:cs="Arial"/>
          <w:sz w:val="22"/>
          <w:szCs w:val="22"/>
        </w:rPr>
      </w:pPr>
      <w:r w:rsidRPr="0087551D">
        <w:rPr>
          <w:rFonts w:ascii="Arial" w:hAnsi="Arial" w:cs="Arial"/>
          <w:sz w:val="22"/>
          <w:szCs w:val="22"/>
        </w:rPr>
        <w:t xml:space="preserve">Para la </w:t>
      </w:r>
      <w:r w:rsidRPr="0087551D">
        <w:rPr>
          <w:rFonts w:ascii="Arial" w:hAnsi="Arial" w:cs="Arial"/>
          <w:b/>
          <w:sz w:val="22"/>
          <w:szCs w:val="22"/>
        </w:rPr>
        <w:t xml:space="preserve">evaluación </w:t>
      </w:r>
      <w:r w:rsidR="00542615" w:rsidRPr="0087551D">
        <w:rPr>
          <w:rFonts w:ascii="Arial" w:hAnsi="Arial" w:cs="Arial"/>
          <w:b/>
          <w:sz w:val="22"/>
          <w:szCs w:val="22"/>
        </w:rPr>
        <w:t xml:space="preserve">económica </w:t>
      </w:r>
      <w:r w:rsidRPr="0087551D">
        <w:rPr>
          <w:rFonts w:ascii="Arial" w:hAnsi="Arial" w:cs="Arial"/>
          <w:b/>
          <w:sz w:val="22"/>
          <w:szCs w:val="22"/>
        </w:rPr>
        <w:t>ex post</w:t>
      </w:r>
      <w:r w:rsidR="00542615" w:rsidRPr="0087551D">
        <w:rPr>
          <w:rFonts w:ascii="Arial" w:hAnsi="Arial" w:cs="Arial"/>
          <w:sz w:val="22"/>
          <w:szCs w:val="22"/>
        </w:rPr>
        <w:t>,</w:t>
      </w:r>
      <w:r w:rsidRPr="00CD77B5">
        <w:rPr>
          <w:rFonts w:ascii="Arial" w:hAnsi="Arial" w:cs="Arial"/>
          <w:sz w:val="22"/>
          <w:szCs w:val="22"/>
        </w:rPr>
        <w:t xml:space="preserve"> </w:t>
      </w:r>
      <w:r w:rsidR="00AB229E" w:rsidRPr="003519AC">
        <w:rPr>
          <w:rFonts w:ascii="Arial" w:hAnsi="Arial" w:cs="Arial"/>
          <w:sz w:val="22"/>
          <w:szCs w:val="22"/>
        </w:rPr>
        <w:t>en cuanto el</w:t>
      </w:r>
      <w:r w:rsidRPr="00541F82">
        <w:rPr>
          <w:rFonts w:ascii="Arial" w:hAnsi="Arial" w:cs="Arial"/>
          <w:sz w:val="22"/>
          <w:szCs w:val="22"/>
        </w:rPr>
        <w:t xml:space="preserve"> impacto recaudatorio, la metodología estará basada en el uso de la base de datos de </w:t>
      </w:r>
      <w:r w:rsidR="00444583" w:rsidRPr="0087551D">
        <w:rPr>
          <w:rFonts w:ascii="Arial" w:hAnsi="Arial" w:cs="Arial"/>
          <w:sz w:val="22"/>
          <w:szCs w:val="22"/>
        </w:rPr>
        <w:t>la SAT</w:t>
      </w:r>
      <w:r w:rsidRPr="0087551D">
        <w:rPr>
          <w:rFonts w:ascii="Arial" w:hAnsi="Arial" w:cs="Arial"/>
          <w:sz w:val="22"/>
          <w:szCs w:val="22"/>
        </w:rPr>
        <w:t xml:space="preserve"> para el análisis de la trayectoria de la recaudación antes y después de la</w:t>
      </w:r>
      <w:r w:rsidR="00444583" w:rsidRPr="0087551D">
        <w:rPr>
          <w:rFonts w:ascii="Arial" w:hAnsi="Arial" w:cs="Arial"/>
          <w:sz w:val="22"/>
          <w:szCs w:val="22"/>
        </w:rPr>
        <w:t>s</w:t>
      </w:r>
      <w:r w:rsidRPr="0087551D">
        <w:rPr>
          <w:rFonts w:ascii="Arial" w:hAnsi="Arial" w:cs="Arial"/>
          <w:sz w:val="22"/>
          <w:szCs w:val="22"/>
        </w:rPr>
        <w:t xml:space="preserve"> reforma</w:t>
      </w:r>
      <w:r w:rsidR="00444583" w:rsidRPr="0087551D">
        <w:rPr>
          <w:rFonts w:ascii="Arial" w:hAnsi="Arial" w:cs="Arial"/>
          <w:sz w:val="22"/>
          <w:szCs w:val="22"/>
        </w:rPr>
        <w:t>s</w:t>
      </w:r>
      <w:r w:rsidRPr="0087551D">
        <w:rPr>
          <w:rFonts w:ascii="Arial" w:hAnsi="Arial" w:cs="Arial"/>
          <w:sz w:val="22"/>
          <w:szCs w:val="22"/>
        </w:rPr>
        <w:t>.</w:t>
      </w:r>
      <w:r w:rsidR="00D13D9B" w:rsidRPr="0087551D">
        <w:rPr>
          <w:rFonts w:ascii="Arial" w:hAnsi="Arial" w:cs="Arial"/>
          <w:sz w:val="22"/>
          <w:szCs w:val="22"/>
        </w:rPr>
        <w:t xml:space="preserve"> Los </w:t>
      </w:r>
      <w:r w:rsidR="00D13D9B" w:rsidRPr="0087551D">
        <w:rPr>
          <w:rFonts w:ascii="Arial" w:hAnsi="Arial" w:cs="Arial"/>
          <w:sz w:val="22"/>
          <w:szCs w:val="22"/>
        </w:rPr>
        <w:lastRenderedPageBreak/>
        <w:t>análisis de la evaluación económica ex ante serán usados como base para la evaluación ex post en cuanto los aspectos tributarios.</w:t>
      </w:r>
    </w:p>
    <w:p w14:paraId="324C3CA5" w14:textId="3202E608" w:rsidR="00AB229E" w:rsidRPr="0087551D" w:rsidRDefault="00AB229E" w:rsidP="004348BE">
      <w:pPr>
        <w:pStyle w:val="Paragraph"/>
        <w:ind w:left="720" w:hanging="720"/>
        <w:rPr>
          <w:rFonts w:ascii="Arial" w:hAnsi="Arial" w:cs="Arial"/>
          <w:sz w:val="22"/>
          <w:szCs w:val="22"/>
        </w:rPr>
      </w:pPr>
      <w:r w:rsidRPr="0087551D">
        <w:rPr>
          <w:rFonts w:ascii="Arial" w:hAnsi="Arial" w:cs="Arial"/>
          <w:sz w:val="22"/>
          <w:szCs w:val="22"/>
          <w:lang w:val="es-ES_tradnl"/>
        </w:rPr>
        <w:t xml:space="preserve">El análisis de la evolución de la Recaudación Tributaria Neta / PIB nominal; de Recaudación tributaria / Número de funcionarios de la SAT, de </w:t>
      </w:r>
      <w:r w:rsidR="0049376B">
        <w:rPr>
          <w:rFonts w:ascii="Arial" w:hAnsi="Arial" w:cs="Arial"/>
          <w:sz w:val="22"/>
          <w:szCs w:val="22"/>
          <w:lang w:val="es-ES_tradnl"/>
        </w:rPr>
        <w:t xml:space="preserve">la </w:t>
      </w:r>
      <w:r w:rsidRPr="0087551D">
        <w:rPr>
          <w:rFonts w:ascii="Arial" w:hAnsi="Arial" w:cs="Arial"/>
          <w:sz w:val="22"/>
          <w:szCs w:val="22"/>
          <w:lang w:val="es-ES_tradnl"/>
        </w:rPr>
        <w:t>Tasa de evasión del IVA, y de Recaudo de IVA a importaciones</w:t>
      </w:r>
      <w:r w:rsidR="005C5FF2" w:rsidRPr="0087551D">
        <w:rPr>
          <w:rFonts w:ascii="Arial" w:hAnsi="Arial" w:cs="Arial"/>
          <w:sz w:val="22"/>
          <w:szCs w:val="22"/>
          <w:lang w:val="es-ES_tradnl"/>
        </w:rPr>
        <w:t xml:space="preserve">; deberá </w:t>
      </w:r>
      <w:r w:rsidR="00AC0AA2" w:rsidRPr="0087551D">
        <w:rPr>
          <w:rFonts w:ascii="Arial" w:hAnsi="Arial" w:cs="Arial"/>
          <w:sz w:val="22"/>
          <w:szCs w:val="22"/>
          <w:lang w:val="es-ES_tradnl"/>
        </w:rPr>
        <w:t>controlar</w:t>
      </w:r>
      <w:r w:rsidR="005C5FF2" w:rsidRPr="0087551D">
        <w:rPr>
          <w:rFonts w:ascii="Arial" w:hAnsi="Arial" w:cs="Arial"/>
          <w:sz w:val="22"/>
          <w:szCs w:val="22"/>
          <w:lang w:val="es-ES_tradnl"/>
        </w:rPr>
        <w:t xml:space="preserve"> </w:t>
      </w:r>
      <w:r w:rsidR="00AC0AA2" w:rsidRPr="0087551D">
        <w:rPr>
          <w:rFonts w:ascii="Arial" w:hAnsi="Arial" w:cs="Arial"/>
          <w:sz w:val="22"/>
          <w:szCs w:val="22"/>
          <w:lang w:val="es-ES_tradnl"/>
        </w:rPr>
        <w:t xml:space="preserve">por </w:t>
      </w:r>
      <w:r w:rsidR="005C5FF2" w:rsidRPr="0087551D">
        <w:rPr>
          <w:rFonts w:ascii="Arial" w:hAnsi="Arial" w:cs="Arial"/>
          <w:sz w:val="22"/>
          <w:szCs w:val="22"/>
          <w:lang w:val="es-ES_tradnl"/>
        </w:rPr>
        <w:t xml:space="preserve">otros </w:t>
      </w:r>
      <w:r w:rsidR="00AC0AA2" w:rsidRPr="0087551D">
        <w:rPr>
          <w:rFonts w:ascii="Arial" w:hAnsi="Arial" w:cs="Arial"/>
          <w:sz w:val="22"/>
          <w:szCs w:val="22"/>
          <w:lang w:val="es-ES_tradnl"/>
        </w:rPr>
        <w:t>determinantes</w:t>
      </w:r>
      <w:r w:rsidR="005C5FF2" w:rsidRPr="0087551D">
        <w:rPr>
          <w:rFonts w:ascii="Arial" w:hAnsi="Arial" w:cs="Arial"/>
          <w:sz w:val="22"/>
          <w:szCs w:val="22"/>
          <w:lang w:val="es-ES_tradnl"/>
        </w:rPr>
        <w:t xml:space="preserve"> </w:t>
      </w:r>
      <w:r w:rsidR="00AC0AA2" w:rsidRPr="0087551D">
        <w:rPr>
          <w:rFonts w:ascii="Arial" w:hAnsi="Arial" w:cs="Arial"/>
          <w:sz w:val="22"/>
          <w:szCs w:val="22"/>
          <w:lang w:val="es-ES_tradnl"/>
        </w:rPr>
        <w:t>que</w:t>
      </w:r>
      <w:r w:rsidR="005C5FF2" w:rsidRPr="0087551D">
        <w:rPr>
          <w:rFonts w:ascii="Arial" w:hAnsi="Arial" w:cs="Arial"/>
          <w:sz w:val="22"/>
          <w:szCs w:val="22"/>
          <w:lang w:val="es-ES_tradnl"/>
        </w:rPr>
        <w:t xml:space="preserve"> puedan afectar el comportamiento de estas variables (tales como el crecimiento económico</w:t>
      </w:r>
      <w:r w:rsidR="00AC0AA2" w:rsidRPr="0087551D">
        <w:rPr>
          <w:rFonts w:ascii="Arial" w:hAnsi="Arial" w:cs="Arial"/>
          <w:sz w:val="22"/>
          <w:szCs w:val="22"/>
          <w:lang w:val="es-ES_tradnl"/>
        </w:rPr>
        <w:t>, incremento de tasas, etc</w:t>
      </w:r>
      <w:r w:rsidR="0049376B">
        <w:rPr>
          <w:rFonts w:ascii="Arial" w:hAnsi="Arial" w:cs="Arial"/>
          <w:sz w:val="22"/>
          <w:szCs w:val="22"/>
          <w:lang w:val="es-ES_tradnl"/>
        </w:rPr>
        <w:t>.</w:t>
      </w:r>
      <w:r w:rsidR="005C5FF2" w:rsidRPr="0087551D">
        <w:rPr>
          <w:rFonts w:ascii="Arial" w:hAnsi="Arial" w:cs="Arial"/>
          <w:sz w:val="22"/>
          <w:szCs w:val="22"/>
          <w:lang w:val="es-ES_tradnl"/>
        </w:rPr>
        <w:t xml:space="preserve">) para </w:t>
      </w:r>
      <w:r w:rsidR="0049376B">
        <w:rPr>
          <w:rFonts w:ascii="Arial" w:hAnsi="Arial" w:cs="Arial"/>
          <w:sz w:val="22"/>
          <w:szCs w:val="22"/>
          <w:lang w:val="es-ES_tradnl"/>
        </w:rPr>
        <w:t>determinar</w:t>
      </w:r>
      <w:r w:rsidR="005C5FF2" w:rsidRPr="0087551D">
        <w:rPr>
          <w:rFonts w:ascii="Arial" w:hAnsi="Arial" w:cs="Arial"/>
          <w:sz w:val="22"/>
          <w:szCs w:val="22"/>
          <w:lang w:val="es-ES_tradnl"/>
        </w:rPr>
        <w:t xml:space="preserve"> el impacto de las reformas de política del Programa en estos impactos y resultados.</w:t>
      </w:r>
    </w:p>
    <w:p w14:paraId="31BF501F" w14:textId="77777777" w:rsidR="005C5FF2" w:rsidRPr="0087551D" w:rsidRDefault="005C5FF2" w:rsidP="004348BE">
      <w:pPr>
        <w:pStyle w:val="Paragraph"/>
        <w:ind w:left="720" w:hanging="720"/>
        <w:rPr>
          <w:rFonts w:ascii="Arial" w:hAnsi="Arial" w:cs="Arial"/>
          <w:sz w:val="22"/>
          <w:szCs w:val="22"/>
        </w:rPr>
      </w:pPr>
      <w:r w:rsidRPr="0087551D">
        <w:rPr>
          <w:rFonts w:ascii="Arial" w:hAnsi="Arial" w:cs="Arial"/>
          <w:sz w:val="22"/>
          <w:szCs w:val="22"/>
        </w:rPr>
        <w:t xml:space="preserve">Lo mismo en cuanto el área de transparencia financiera. </w:t>
      </w:r>
      <w:r w:rsidR="00CB45E5" w:rsidRPr="0087551D">
        <w:rPr>
          <w:rFonts w:ascii="Arial" w:hAnsi="Arial" w:cs="Arial"/>
          <w:sz w:val="22"/>
          <w:szCs w:val="22"/>
        </w:rPr>
        <w:t xml:space="preserve">El análisis de la evolución del </w:t>
      </w:r>
      <w:hyperlink r:id="rId26" w:history="1">
        <w:r w:rsidRPr="0087551D">
          <w:rPr>
            <w:rStyle w:val="Hyperlink"/>
            <w:rFonts w:ascii="Arial" w:hAnsi="Arial" w:cs="Arial"/>
            <w:sz w:val="22"/>
            <w:szCs w:val="22"/>
            <w:lang w:val="es-ES_tradnl"/>
          </w:rPr>
          <w:t>Índice de Lavado de Dinero</w:t>
        </w:r>
      </w:hyperlink>
      <w:r w:rsidRPr="0087551D">
        <w:rPr>
          <w:rFonts w:ascii="Arial" w:hAnsi="Arial" w:cs="Arial"/>
          <w:sz w:val="22"/>
          <w:szCs w:val="22"/>
          <w:lang w:val="es-ES_tradnl"/>
        </w:rPr>
        <w:t xml:space="preserve"> producido por el Instituto de Gobernanza de Basilea</w:t>
      </w:r>
      <w:r w:rsidR="00CB45E5" w:rsidRPr="0087551D">
        <w:rPr>
          <w:rFonts w:ascii="Arial" w:hAnsi="Arial" w:cs="Arial"/>
          <w:sz w:val="22"/>
          <w:szCs w:val="22"/>
          <w:lang w:val="es-ES_tradnl"/>
        </w:rPr>
        <w:t>;</w:t>
      </w:r>
      <w:r w:rsidRPr="0087551D">
        <w:rPr>
          <w:rFonts w:ascii="Arial" w:hAnsi="Arial" w:cs="Arial"/>
          <w:sz w:val="22"/>
          <w:szCs w:val="22"/>
          <w:lang w:val="es-ES_tradnl"/>
        </w:rPr>
        <w:t xml:space="preserve"> </w:t>
      </w:r>
      <w:r w:rsidR="00CB45E5" w:rsidRPr="0087551D">
        <w:rPr>
          <w:rFonts w:ascii="Arial" w:hAnsi="Arial" w:cs="Arial"/>
          <w:sz w:val="22"/>
          <w:szCs w:val="22"/>
          <w:lang w:val="es-ES_tradnl"/>
        </w:rPr>
        <w:t xml:space="preserve">la </w:t>
      </w:r>
      <w:r w:rsidRPr="0087551D">
        <w:rPr>
          <w:rFonts w:ascii="Arial" w:hAnsi="Arial" w:cs="Arial"/>
          <w:sz w:val="22"/>
          <w:szCs w:val="22"/>
          <w:lang w:val="es-ES_tradnl"/>
        </w:rPr>
        <w:t xml:space="preserve">Evaluación del GAFI de Guatemala para la recomendación 22; y </w:t>
      </w:r>
      <w:r w:rsidR="00CB45E5" w:rsidRPr="0087551D">
        <w:rPr>
          <w:rFonts w:ascii="Arial" w:hAnsi="Arial" w:cs="Arial"/>
          <w:sz w:val="22"/>
          <w:szCs w:val="22"/>
          <w:lang w:val="es-ES_tradnl"/>
        </w:rPr>
        <w:t xml:space="preserve">de los </w:t>
      </w:r>
      <w:r w:rsidRPr="0087551D">
        <w:rPr>
          <w:rFonts w:ascii="Arial" w:hAnsi="Arial" w:cs="Arial"/>
          <w:sz w:val="22"/>
          <w:szCs w:val="22"/>
          <w:lang w:val="es-ES_tradnl"/>
        </w:rPr>
        <w:t>Flujos financieros ilícitos estimados para Guatemala</w:t>
      </w:r>
      <w:r w:rsidR="00CB45E5" w:rsidRPr="0087551D">
        <w:rPr>
          <w:rFonts w:ascii="Arial" w:hAnsi="Arial" w:cs="Arial"/>
          <w:sz w:val="22"/>
          <w:szCs w:val="22"/>
          <w:lang w:val="es-ES_tradnl"/>
        </w:rPr>
        <w:t xml:space="preserve">; buscará </w:t>
      </w:r>
      <w:r w:rsidR="00AC0AA2" w:rsidRPr="0087551D">
        <w:rPr>
          <w:rFonts w:ascii="Arial" w:hAnsi="Arial" w:cs="Arial"/>
          <w:sz w:val="22"/>
          <w:szCs w:val="22"/>
          <w:lang w:val="es-ES_tradnl"/>
        </w:rPr>
        <w:t>controlar</w:t>
      </w:r>
      <w:r w:rsidR="00CB45E5" w:rsidRPr="0087551D">
        <w:rPr>
          <w:rFonts w:ascii="Arial" w:hAnsi="Arial" w:cs="Arial"/>
          <w:sz w:val="22"/>
          <w:szCs w:val="22"/>
          <w:lang w:val="es-ES_tradnl"/>
        </w:rPr>
        <w:t xml:space="preserve"> </w:t>
      </w:r>
      <w:r w:rsidR="00AC0AA2" w:rsidRPr="0087551D">
        <w:rPr>
          <w:rFonts w:ascii="Arial" w:hAnsi="Arial" w:cs="Arial"/>
          <w:sz w:val="22"/>
          <w:szCs w:val="22"/>
          <w:lang w:val="es-ES_tradnl"/>
        </w:rPr>
        <w:t xml:space="preserve">por </w:t>
      </w:r>
      <w:r w:rsidR="00CB45E5" w:rsidRPr="0087551D">
        <w:rPr>
          <w:rFonts w:ascii="Arial" w:hAnsi="Arial" w:cs="Arial"/>
          <w:sz w:val="22"/>
          <w:szCs w:val="22"/>
          <w:lang w:val="es-ES_tradnl"/>
        </w:rPr>
        <w:t xml:space="preserve">otros </w:t>
      </w:r>
      <w:r w:rsidR="00AC0AA2" w:rsidRPr="0087551D">
        <w:rPr>
          <w:rFonts w:ascii="Arial" w:hAnsi="Arial" w:cs="Arial"/>
          <w:sz w:val="22"/>
          <w:szCs w:val="22"/>
          <w:lang w:val="es-ES_tradnl"/>
        </w:rPr>
        <w:t>determinantes</w:t>
      </w:r>
      <w:r w:rsidR="00CB45E5" w:rsidRPr="0087551D">
        <w:rPr>
          <w:rFonts w:ascii="Arial" w:hAnsi="Arial" w:cs="Arial"/>
          <w:sz w:val="22"/>
          <w:szCs w:val="22"/>
          <w:lang w:val="es-ES_tradnl"/>
        </w:rPr>
        <w:t xml:space="preserve"> </w:t>
      </w:r>
      <w:r w:rsidR="00AC0AA2" w:rsidRPr="0087551D">
        <w:rPr>
          <w:rFonts w:ascii="Arial" w:hAnsi="Arial" w:cs="Arial"/>
          <w:sz w:val="22"/>
          <w:szCs w:val="22"/>
          <w:lang w:val="es-ES_tradnl"/>
        </w:rPr>
        <w:t>que</w:t>
      </w:r>
      <w:r w:rsidR="00CB45E5" w:rsidRPr="0087551D">
        <w:rPr>
          <w:rFonts w:ascii="Arial" w:hAnsi="Arial" w:cs="Arial"/>
          <w:sz w:val="22"/>
          <w:szCs w:val="22"/>
          <w:lang w:val="es-ES_tradnl"/>
        </w:rPr>
        <w:t xml:space="preserve"> puedan afectar el comportamiento de estas variables (tales como nuevas reglas internacionales en el sector</w:t>
      </w:r>
      <w:r w:rsidR="00AC0AA2" w:rsidRPr="0087551D">
        <w:rPr>
          <w:rFonts w:ascii="Arial" w:hAnsi="Arial" w:cs="Arial"/>
          <w:sz w:val="22"/>
          <w:szCs w:val="22"/>
          <w:lang w:val="es-ES_tradnl"/>
        </w:rPr>
        <w:t xml:space="preserve"> financiero</w:t>
      </w:r>
      <w:r w:rsidR="00CB45E5" w:rsidRPr="0087551D">
        <w:rPr>
          <w:rFonts w:ascii="Arial" w:hAnsi="Arial" w:cs="Arial"/>
          <w:sz w:val="22"/>
          <w:szCs w:val="22"/>
          <w:lang w:val="es-ES_tradnl"/>
        </w:rPr>
        <w:t>) para evaluar el impacto de las reformas de política del Programa en estos impactos y resultados.</w:t>
      </w:r>
    </w:p>
    <w:p w14:paraId="7248E020" w14:textId="7035B8FD" w:rsidR="004327ED" w:rsidRPr="00E44BF5" w:rsidRDefault="00E44BF5" w:rsidP="00E44BF5">
      <w:pPr>
        <w:pStyle w:val="FirstHeading"/>
        <w:rPr>
          <w:rFonts w:ascii="Arial" w:hAnsi="Arial" w:cs="Arial"/>
          <w:noProof/>
          <w:sz w:val="22"/>
        </w:rPr>
      </w:pPr>
      <w:bookmarkStart w:id="11" w:name="_Toc455669853"/>
      <w:r w:rsidRPr="00E44BF5">
        <w:rPr>
          <w:rFonts w:ascii="Arial" w:hAnsi="Arial" w:cs="Arial"/>
          <w:sz w:val="22"/>
        </w:rPr>
        <w:t>D.</w:t>
      </w:r>
      <w:r w:rsidRPr="00E44BF5">
        <w:rPr>
          <w:rFonts w:ascii="Arial" w:hAnsi="Arial" w:cs="Arial"/>
          <w:sz w:val="22"/>
        </w:rPr>
        <w:tab/>
      </w:r>
      <w:r w:rsidR="00022BE3" w:rsidRPr="00E44BF5">
        <w:rPr>
          <w:rFonts w:ascii="Arial" w:hAnsi="Arial" w:cs="Arial"/>
          <w:sz w:val="22"/>
        </w:rPr>
        <w:t xml:space="preserve">Aspectos </w:t>
      </w:r>
      <w:r w:rsidR="00501D94" w:rsidRPr="00E44BF5">
        <w:rPr>
          <w:rFonts w:ascii="Arial" w:hAnsi="Arial" w:cs="Arial"/>
          <w:sz w:val="22"/>
        </w:rPr>
        <w:t>T</w:t>
      </w:r>
      <w:r w:rsidR="00022BE3" w:rsidRPr="00E44BF5">
        <w:rPr>
          <w:rFonts w:ascii="Arial" w:hAnsi="Arial" w:cs="Arial"/>
          <w:sz w:val="22"/>
        </w:rPr>
        <w:t xml:space="preserve">écnicos de la </w:t>
      </w:r>
      <w:r w:rsidR="00501D94" w:rsidRPr="00E44BF5">
        <w:rPr>
          <w:rFonts w:ascii="Arial" w:hAnsi="Arial" w:cs="Arial"/>
          <w:sz w:val="22"/>
        </w:rPr>
        <w:t>E</w:t>
      </w:r>
      <w:r w:rsidR="00022BE3" w:rsidRPr="00E44BF5">
        <w:rPr>
          <w:rFonts w:ascii="Arial" w:hAnsi="Arial" w:cs="Arial"/>
          <w:sz w:val="22"/>
        </w:rPr>
        <w:t xml:space="preserve">valuación </w:t>
      </w:r>
      <w:r w:rsidR="00501D94" w:rsidRPr="00E44BF5">
        <w:rPr>
          <w:rFonts w:ascii="Arial" w:hAnsi="Arial" w:cs="Arial"/>
          <w:sz w:val="22"/>
        </w:rPr>
        <w:t>E</w:t>
      </w:r>
      <w:r w:rsidR="00022BE3" w:rsidRPr="00E44BF5">
        <w:rPr>
          <w:rFonts w:ascii="Arial" w:hAnsi="Arial" w:cs="Arial"/>
          <w:sz w:val="22"/>
        </w:rPr>
        <w:t>x post</w:t>
      </w:r>
      <w:bookmarkEnd w:id="11"/>
    </w:p>
    <w:p w14:paraId="1D69DC2B" w14:textId="7D7E3270" w:rsidR="0087551D" w:rsidRPr="00541F82" w:rsidRDefault="0080003E" w:rsidP="004348BE">
      <w:pPr>
        <w:pStyle w:val="Paragraph"/>
        <w:tabs>
          <w:tab w:val="clear" w:pos="2448"/>
        </w:tabs>
        <w:ind w:left="720" w:hanging="720"/>
        <w:rPr>
          <w:rFonts w:ascii="Arial" w:hAnsi="Arial" w:cs="Arial"/>
          <w:sz w:val="22"/>
          <w:szCs w:val="22"/>
        </w:rPr>
      </w:pPr>
      <w:r w:rsidRPr="0080003E">
        <w:rPr>
          <w:rFonts w:ascii="Arial" w:hAnsi="Arial" w:cs="Arial"/>
          <w:sz w:val="22"/>
          <w:lang w:val="es-ES_tradnl"/>
        </w:rPr>
        <w:t xml:space="preserve">Los objetivos fundamentales del programa son </w:t>
      </w:r>
      <w:r w:rsidR="00EA3CA0">
        <w:rPr>
          <w:rFonts w:ascii="Arial" w:hAnsi="Arial" w:cs="Arial"/>
          <w:sz w:val="22"/>
          <w:lang w:val="es-ES_tradnl"/>
        </w:rPr>
        <w:t>la</w:t>
      </w:r>
      <w:r w:rsidRPr="0080003E">
        <w:rPr>
          <w:rFonts w:ascii="Arial" w:hAnsi="Arial" w:cs="Arial"/>
          <w:sz w:val="22"/>
          <w:lang w:val="es-ES_tradnl"/>
        </w:rPr>
        <w:t xml:space="preserve"> mejora de la administración tributaria y de la transparencia del sector financiero. El objetivo del plan de monitoreo es verificar el cumplimiento de los efectos esperados del programa en términos de los indicadores </w:t>
      </w:r>
      <w:r w:rsidR="003D1356" w:rsidRPr="0080003E">
        <w:rPr>
          <w:rFonts w:ascii="Arial" w:hAnsi="Arial" w:cs="Arial"/>
          <w:sz w:val="22"/>
          <w:lang w:val="es-ES_tradnl"/>
        </w:rPr>
        <w:t>final</w:t>
      </w:r>
      <w:r w:rsidR="003D1356">
        <w:rPr>
          <w:rFonts w:ascii="Arial" w:hAnsi="Arial" w:cs="Arial"/>
          <w:sz w:val="22"/>
          <w:lang w:val="es-ES_tradnl"/>
        </w:rPr>
        <w:t>es</w:t>
      </w:r>
      <w:r w:rsidR="003D1356" w:rsidRPr="0080003E">
        <w:rPr>
          <w:rFonts w:ascii="Arial" w:hAnsi="Arial" w:cs="Arial"/>
          <w:sz w:val="22"/>
          <w:lang w:val="es-ES_tradnl"/>
        </w:rPr>
        <w:t xml:space="preserve"> </w:t>
      </w:r>
      <w:r w:rsidRPr="0080003E">
        <w:rPr>
          <w:rFonts w:ascii="Arial" w:hAnsi="Arial" w:cs="Arial"/>
          <w:sz w:val="22"/>
          <w:lang w:val="es-ES_tradnl"/>
        </w:rPr>
        <w:t xml:space="preserve">de impacto </w:t>
      </w:r>
      <w:r w:rsidR="00EA3CA0">
        <w:rPr>
          <w:rFonts w:ascii="Arial" w:hAnsi="Arial" w:cs="Arial"/>
          <w:sz w:val="22"/>
          <w:lang w:val="es-ES_tradnl"/>
        </w:rPr>
        <w:t xml:space="preserve">y de resultados </w:t>
      </w:r>
      <w:r w:rsidRPr="0080003E">
        <w:rPr>
          <w:rFonts w:ascii="Arial" w:hAnsi="Arial" w:cs="Arial"/>
          <w:sz w:val="22"/>
          <w:lang w:val="es-ES_tradnl"/>
        </w:rPr>
        <w:t>especificados en la matriz de resultados. El desafío del plan de monitoreo es poder atribuir al programa los cambios observados en esos indicadores.</w:t>
      </w:r>
    </w:p>
    <w:p w14:paraId="6486F8CC" w14:textId="4C473415" w:rsidR="0080003E" w:rsidRPr="0080003E" w:rsidRDefault="0080003E" w:rsidP="004348BE">
      <w:pPr>
        <w:pStyle w:val="Paragraph"/>
        <w:tabs>
          <w:tab w:val="clear" w:pos="2448"/>
        </w:tabs>
        <w:ind w:left="720" w:hanging="720"/>
        <w:rPr>
          <w:rFonts w:ascii="Arial" w:hAnsi="Arial" w:cs="Arial"/>
          <w:sz w:val="22"/>
          <w:szCs w:val="22"/>
        </w:rPr>
      </w:pPr>
      <w:r w:rsidRPr="0080003E">
        <w:rPr>
          <w:rFonts w:ascii="Arial" w:hAnsi="Arial" w:cs="Arial"/>
          <w:sz w:val="22"/>
          <w:lang w:val="es-ES_tradnl"/>
        </w:rPr>
        <w:t xml:space="preserve">A continuación se describe la metodología </w:t>
      </w:r>
      <w:r w:rsidR="003D1356">
        <w:rPr>
          <w:rFonts w:ascii="Arial" w:hAnsi="Arial" w:cs="Arial"/>
          <w:sz w:val="22"/>
          <w:lang w:val="es-ES_tradnl"/>
        </w:rPr>
        <w:t>diseñada</w:t>
      </w:r>
      <w:r w:rsidRPr="0080003E">
        <w:rPr>
          <w:rFonts w:ascii="Arial" w:hAnsi="Arial" w:cs="Arial"/>
          <w:sz w:val="22"/>
          <w:lang w:val="es-ES_tradnl"/>
        </w:rPr>
        <w:t xml:space="preserve"> para identificar los efectos cuantitativos del programa. Primero analizamos el caso de los impactos esperados sobre tributación y, luego, extendemos la metodología para cuantificar el posibl</w:t>
      </w:r>
      <w:r>
        <w:rPr>
          <w:rFonts w:ascii="Arial" w:hAnsi="Arial" w:cs="Arial"/>
          <w:sz w:val="22"/>
          <w:lang w:val="es-ES_tradnl"/>
        </w:rPr>
        <w:t>e efecto sobre lavado de dinero.</w:t>
      </w:r>
    </w:p>
    <w:p w14:paraId="7217AA11" w14:textId="6C8819AF" w:rsidR="0087551D" w:rsidRPr="00541F82" w:rsidRDefault="0080003E" w:rsidP="004348BE">
      <w:pPr>
        <w:pStyle w:val="Paragraph"/>
        <w:tabs>
          <w:tab w:val="clear" w:pos="2448"/>
        </w:tabs>
        <w:ind w:left="720" w:hanging="720"/>
        <w:rPr>
          <w:rFonts w:ascii="Arial" w:hAnsi="Arial" w:cs="Arial"/>
          <w:sz w:val="22"/>
          <w:szCs w:val="22"/>
        </w:rPr>
      </w:pPr>
      <w:r w:rsidRPr="0080003E">
        <w:rPr>
          <w:rFonts w:ascii="Arial" w:hAnsi="Arial" w:cs="Arial"/>
          <w:sz w:val="22"/>
          <w:lang w:val="es-ES_tradnl"/>
        </w:rPr>
        <w:t>La metodología propuesta consiste en estimar un modelo de regresión para los determinantes de la recaudación,  el cual es usado posteriormente como modelo predictivo por fuera de la muestra. La diferencia entre el recaudo observado, o cualquier otro indicador de desempeño tributario, y el valor pronosticado por el modelo es interpretado como una medida del efecto de la mejor administración tributaria. Formalmente, estimamos la siguiente relación lineal de series de tiempo:</w:t>
      </w:r>
    </w:p>
    <w:p w14:paraId="312732A3" w14:textId="4379CCDA" w:rsidR="0087551D" w:rsidRPr="00541F82" w:rsidRDefault="0087551D" w:rsidP="00541F82">
      <w:pPr>
        <w:jc w:val="center"/>
        <w:rPr>
          <w:lang w:val="es-ES"/>
        </w:rPr>
      </w:pPr>
      <w:r>
        <w:t>Y</w:t>
      </w:r>
      <w:r w:rsidRPr="00054B93">
        <w:rPr>
          <w:vertAlign w:val="subscript"/>
        </w:rPr>
        <w:t>t</w:t>
      </w:r>
      <w:r>
        <w:t>=X</w:t>
      </w:r>
      <w:r w:rsidRPr="00054B93">
        <w:rPr>
          <w:vertAlign w:val="subscript"/>
        </w:rPr>
        <w:t>t</w:t>
      </w:r>
      <w:r>
        <w:rPr>
          <w:vertAlign w:val="subscript"/>
        </w:rPr>
        <w:t xml:space="preserve"> </w:t>
      </w:r>
      <w:r>
        <w:t>β+u</w:t>
      </w:r>
      <w:r w:rsidRPr="00054B93">
        <w:rPr>
          <w:vertAlign w:val="subscript"/>
        </w:rPr>
        <w:t>t</w:t>
      </w:r>
    </w:p>
    <w:p w14:paraId="74281D57" w14:textId="146AFAF3" w:rsidR="0087551D" w:rsidRPr="00541F82" w:rsidRDefault="0080003E" w:rsidP="0087551D">
      <w:pPr>
        <w:pStyle w:val="Paragraph"/>
        <w:tabs>
          <w:tab w:val="clear" w:pos="2448"/>
        </w:tabs>
        <w:ind w:left="720" w:hanging="720"/>
        <w:rPr>
          <w:rFonts w:ascii="Arial" w:hAnsi="Arial" w:cs="Arial"/>
          <w:sz w:val="22"/>
          <w:szCs w:val="22"/>
        </w:rPr>
      </w:pPr>
      <w:r w:rsidRPr="0080003E">
        <w:rPr>
          <w:rFonts w:ascii="Arial" w:hAnsi="Arial" w:cs="Arial"/>
          <w:sz w:val="22"/>
          <w:lang w:val="es-ES_tradnl"/>
        </w:rPr>
        <w:t>donde Y</w:t>
      </w:r>
      <w:r w:rsidRPr="0080003E">
        <w:rPr>
          <w:rFonts w:ascii="Arial" w:hAnsi="Arial" w:cs="Arial"/>
          <w:sz w:val="22"/>
          <w:vertAlign w:val="subscript"/>
          <w:lang w:val="es-ES_tradnl"/>
        </w:rPr>
        <w:t>t</w:t>
      </w:r>
      <w:r w:rsidRPr="0080003E">
        <w:rPr>
          <w:rFonts w:ascii="Arial" w:hAnsi="Arial" w:cs="Arial"/>
          <w:sz w:val="22"/>
          <w:lang w:val="es-ES_tradnl"/>
        </w:rPr>
        <w:t xml:space="preserve"> es un indicador de desempeño tributario, X</w:t>
      </w:r>
      <w:r w:rsidRPr="0080003E">
        <w:rPr>
          <w:rFonts w:ascii="Arial" w:hAnsi="Arial" w:cs="Arial"/>
          <w:sz w:val="22"/>
          <w:vertAlign w:val="subscript"/>
          <w:lang w:val="es-ES_tradnl"/>
        </w:rPr>
        <w:t>t</w:t>
      </w:r>
      <w:r w:rsidRPr="0080003E">
        <w:rPr>
          <w:rFonts w:ascii="Arial" w:hAnsi="Arial" w:cs="Arial"/>
          <w:sz w:val="22"/>
          <w:lang w:val="es-ES_tradnl"/>
        </w:rPr>
        <w:t xml:space="preserve"> es el vector de determinantes de la tributación y u</w:t>
      </w:r>
      <w:r w:rsidRPr="0080003E">
        <w:rPr>
          <w:rFonts w:ascii="Arial" w:hAnsi="Arial" w:cs="Arial"/>
          <w:sz w:val="22"/>
          <w:vertAlign w:val="subscript"/>
          <w:lang w:val="es-ES_tradnl"/>
        </w:rPr>
        <w:t>t</w:t>
      </w:r>
      <w:r w:rsidRPr="0080003E">
        <w:rPr>
          <w:rFonts w:ascii="Arial" w:hAnsi="Arial" w:cs="Arial"/>
          <w:sz w:val="22"/>
          <w:lang w:val="es-ES_tradnl"/>
        </w:rPr>
        <w:t xml:space="preserve"> es el término de error, o residuo, que mide la parte de los cambios en la variable dependiente no explicada por el modelo y que tiene un valor esperado de cero. La literatura (ver por ejemplo Sen Gupta, 2007; Morrissey et al. 2016) ha identificado numerosos determinantes del nivel de tributación tales como el nivel de ingreso per cápita, la estructura de la economía (porcentaje del PIB producido por la agricultura, la industria o sector servicios), el volumen de importaciones, las tasas estatutarias o efectivas de </w:t>
      </w:r>
      <w:r w:rsidRPr="0080003E">
        <w:rPr>
          <w:rFonts w:ascii="Arial" w:hAnsi="Arial" w:cs="Arial"/>
          <w:sz w:val="22"/>
          <w:lang w:val="es-ES_tradnl"/>
        </w:rPr>
        <w:lastRenderedPageBreak/>
        <w:t>tributación, las tasas arancelarias, la tasa de desempleo, los términos de intercambio, etc.  El consultor buscará la mejor especificación, de acuerdo con la teoría económica, y aplicará las pruebas estadísticas necesarias para asegurar que las estimaciones satisfagan las propiedades estadísticas requeridas. Especial atención debe dedicar a enfrentar el problema de sesgo de simultaneidad (causación inversa) y la no estacionariedad (no reversión a su media) de las variables incluidas en el análisis, dos de los problemas frecuentemente encontrados en las estimaciones de series de tiempo.</w:t>
      </w:r>
    </w:p>
    <w:p w14:paraId="6DD458AE" w14:textId="62EE9E4E" w:rsidR="0087551D" w:rsidRPr="00541F82" w:rsidRDefault="0080003E" w:rsidP="0087551D">
      <w:pPr>
        <w:pStyle w:val="Paragraph"/>
        <w:tabs>
          <w:tab w:val="clear" w:pos="2448"/>
        </w:tabs>
        <w:ind w:left="720" w:hanging="720"/>
        <w:rPr>
          <w:rFonts w:ascii="Arial" w:hAnsi="Arial" w:cs="Arial"/>
          <w:sz w:val="22"/>
          <w:szCs w:val="22"/>
        </w:rPr>
      </w:pPr>
      <w:r w:rsidRPr="0080003E">
        <w:rPr>
          <w:rFonts w:ascii="Arial" w:hAnsi="Arial" w:cs="Arial"/>
          <w:sz w:val="22"/>
          <w:lang w:val="es-ES_tradnl"/>
        </w:rPr>
        <w:t xml:space="preserve">La regresión se estima con información de series de tiempo hasta el periodo inmediatamente anterior a la fecha de desembolso del PBL.  Una vez estimados los parámetros del modelo </w:t>
      </w:r>
      <m:oMath>
        <m:acc>
          <m:accPr>
            <m:ctrlPr>
              <w:rPr>
                <w:rFonts w:ascii="Cambria Math" w:hAnsi="Cambria Math" w:cs="Arial"/>
                <w:i/>
                <w:sz w:val="22"/>
                <w:lang w:val="es-ES_tradnl"/>
              </w:rPr>
            </m:ctrlPr>
          </m:accPr>
          <m:e>
            <m:r>
              <w:rPr>
                <w:rFonts w:ascii="Cambria Math" w:hAnsi="Cambria Math" w:cs="Arial"/>
                <w:sz w:val="22"/>
                <w:lang w:val="es-ES_tradnl"/>
              </w:rPr>
              <m:t>β</m:t>
            </m:r>
          </m:e>
        </m:acc>
      </m:oMath>
      <w:r w:rsidRPr="0080003E">
        <w:rPr>
          <w:rFonts w:ascii="Arial" w:hAnsi="Arial" w:cs="Arial"/>
          <w:sz w:val="22"/>
          <w:lang w:val="es-ES_tradnl"/>
        </w:rPr>
        <w:t>, y con los valores futuros de las variables explicativas, se podrá predecir o proyectar la variable de desempeño tributario para los periodos subsiguientes al desembolso del PBL. Es decir,</w:t>
      </w:r>
    </w:p>
    <w:p w14:paraId="6E849AA9" w14:textId="5CFFE929" w:rsidR="0087551D" w:rsidRPr="00541F82" w:rsidRDefault="006E38F8" w:rsidP="00541F82">
      <w:pPr>
        <w:rPr>
          <w:lang w:val="es-ES"/>
        </w:rPr>
      </w:pPr>
      <m:oMathPara>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t+j</m:t>
              </m:r>
            </m:sub>
          </m:sSub>
          <m:acc>
            <m:accPr>
              <m:ctrlPr>
                <w:rPr>
                  <w:rFonts w:ascii="Cambria Math" w:hAnsi="Cambria Math"/>
                  <w:i/>
                </w:rPr>
              </m:ctrlPr>
            </m:accPr>
            <m:e>
              <m:r>
                <w:rPr>
                  <w:rFonts w:ascii="Cambria Math" w:hAnsi="Cambria Math"/>
                </w:rPr>
                <m:t>β</m:t>
              </m:r>
            </m:e>
          </m:acc>
        </m:oMath>
      </m:oMathPara>
    </w:p>
    <w:p w14:paraId="37F918AA" w14:textId="77777777" w:rsidR="0080003E" w:rsidRPr="0080003E" w:rsidRDefault="0080003E" w:rsidP="0087551D">
      <w:pPr>
        <w:pStyle w:val="Paragraph"/>
        <w:tabs>
          <w:tab w:val="clear" w:pos="2448"/>
        </w:tabs>
        <w:ind w:left="720" w:hanging="720"/>
        <w:rPr>
          <w:rFonts w:ascii="Arial" w:hAnsi="Arial" w:cs="Arial"/>
          <w:sz w:val="22"/>
          <w:szCs w:val="22"/>
        </w:rPr>
      </w:pPr>
      <w:r w:rsidRPr="0080003E">
        <w:rPr>
          <w:rFonts w:ascii="Arial" w:hAnsi="Arial" w:cs="Arial"/>
          <w:sz w:val="22"/>
          <w:szCs w:val="22"/>
          <w:lang w:val="es-ES_tradnl"/>
        </w:rPr>
        <w:t>para j={1,2,3,..}. La diferencia entre el valor observado (</w:t>
      </w:r>
      <m:oMath>
        <m:sSub>
          <m:sSubPr>
            <m:ctrlPr>
              <w:rPr>
                <w:rFonts w:ascii="Cambria Math" w:hAnsi="Cambria Math" w:cs="Arial"/>
                <w:i/>
                <w:sz w:val="22"/>
                <w:szCs w:val="22"/>
                <w:lang w:val="es-ES_tradnl"/>
              </w:rPr>
            </m:ctrlPr>
          </m:sSubPr>
          <m:e>
            <m:r>
              <w:rPr>
                <w:rFonts w:ascii="Cambria Math" w:hAnsi="Cambria Math" w:cs="Arial"/>
                <w:sz w:val="22"/>
                <w:szCs w:val="22"/>
                <w:lang w:val="es-ES_tradnl"/>
              </w:rPr>
              <m:t>Y</m:t>
            </m:r>
          </m:e>
          <m:sub>
            <m:r>
              <w:rPr>
                <w:rFonts w:ascii="Cambria Math" w:hAnsi="Cambria Math" w:cs="Arial"/>
                <w:sz w:val="22"/>
                <w:szCs w:val="22"/>
                <w:lang w:val="es-ES_tradnl"/>
              </w:rPr>
              <m:t>t+j</m:t>
            </m:r>
          </m:sub>
        </m:sSub>
      </m:oMath>
      <w:r w:rsidRPr="0080003E">
        <w:rPr>
          <w:rFonts w:ascii="Arial" w:hAnsi="Arial" w:cs="Arial"/>
          <w:sz w:val="22"/>
          <w:szCs w:val="22"/>
          <w:lang w:val="es-ES_tradnl"/>
        </w:rPr>
        <w:t>) y el pronosticado (</w:t>
      </w:r>
      <m:oMath>
        <m:sSub>
          <m:sSubPr>
            <m:ctrlPr>
              <w:rPr>
                <w:rFonts w:ascii="Cambria Math" w:hAnsi="Cambria Math" w:cs="Arial"/>
                <w:i/>
                <w:sz w:val="22"/>
                <w:szCs w:val="22"/>
                <w:lang w:val="es-ES_tradnl"/>
              </w:rPr>
            </m:ctrlPr>
          </m:sSubPr>
          <m:e>
            <m:acc>
              <m:accPr>
                <m:ctrlPr>
                  <w:rPr>
                    <w:rFonts w:ascii="Cambria Math" w:hAnsi="Cambria Math" w:cs="Arial"/>
                    <w:i/>
                    <w:sz w:val="22"/>
                    <w:szCs w:val="22"/>
                    <w:lang w:val="es-ES_tradnl"/>
                  </w:rPr>
                </m:ctrlPr>
              </m:accPr>
              <m:e>
                <m:r>
                  <w:rPr>
                    <w:rFonts w:ascii="Cambria Math" w:hAnsi="Cambria Math" w:cs="Arial"/>
                    <w:sz w:val="22"/>
                    <w:szCs w:val="22"/>
                    <w:lang w:val="es-ES_tradnl"/>
                  </w:rPr>
                  <m:t>Y</m:t>
                </m:r>
              </m:e>
            </m:acc>
          </m:e>
          <m:sub>
            <m:r>
              <w:rPr>
                <w:rFonts w:ascii="Cambria Math" w:hAnsi="Cambria Math" w:cs="Arial"/>
                <w:sz w:val="22"/>
                <w:szCs w:val="22"/>
                <w:lang w:val="es-ES_tradnl"/>
              </w:rPr>
              <m:t>t+j</m:t>
            </m:r>
          </m:sub>
        </m:sSub>
      </m:oMath>
      <w:r w:rsidRPr="0080003E">
        <w:rPr>
          <w:rFonts w:ascii="Arial" w:hAnsi="Arial" w:cs="Arial"/>
          <w:sz w:val="22"/>
          <w:szCs w:val="22"/>
          <w:lang w:val="es-ES_tradnl"/>
        </w:rPr>
        <w:t xml:space="preserve">) es nuestra estimación del efecto del programa j periodos después del desembolso. En otras palabras, </w:t>
      </w:r>
    </w:p>
    <w:p w14:paraId="501C32A6" w14:textId="18AACEC4" w:rsidR="0080003E" w:rsidRDefault="0080003E" w:rsidP="0080003E">
      <w:pPr>
        <w:pStyle w:val="Chapter"/>
        <w:numPr>
          <w:ilvl w:val="0"/>
          <w:numId w:val="0"/>
        </w:numPr>
        <w:ind w:left="288"/>
      </w:pPr>
      <m:oMathPara>
        <m:oMath>
          <m:r>
            <m:rPr>
              <m:sty m:val="b"/>
            </m:rPr>
            <w:rPr>
              <w:rFonts w:ascii="Cambria Math" w:hAnsi="Cambria Math"/>
            </w:rPr>
            <m:t>efecto esperado del programa en año  j</m:t>
          </m:r>
          <m:r>
            <m:rPr>
              <m:sty m:val="bi"/>
            </m:rPr>
            <w:rPr>
              <w:rFonts w:ascii="Cambria Math" w:hAnsi="Cambria Math"/>
            </w:rPr>
            <m:t>=</m:t>
          </m:r>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t+j</m:t>
              </m:r>
            </m:sub>
          </m:sSub>
          <m:r>
            <m:rPr>
              <m:sty m:val="bi"/>
            </m:rPr>
            <w:rPr>
              <w:rFonts w:ascii="Cambria Math" w:hAnsi="Cambria Math"/>
            </w:rPr>
            <m:t>-</m:t>
          </m:r>
          <m:sSub>
            <m:sSubPr>
              <m:ctrlPr>
                <w:rPr>
                  <w:rFonts w:ascii="Cambria Math" w:hAnsi="Cambria Math"/>
                  <w:i/>
                </w:rPr>
              </m:ctrlPr>
            </m:sSubPr>
            <m:e>
              <m:acc>
                <m:accPr>
                  <m:ctrlPr>
                    <w:rPr>
                      <w:rFonts w:ascii="Cambria Math" w:hAnsi="Cambria Math"/>
                      <w:i/>
                    </w:rPr>
                  </m:ctrlPr>
                </m:accPr>
                <m:e>
                  <m:r>
                    <m:rPr>
                      <m:sty m:val="bi"/>
                    </m:rPr>
                    <w:rPr>
                      <w:rFonts w:ascii="Cambria Math" w:hAnsi="Cambria Math"/>
                    </w:rPr>
                    <m:t>Y</m:t>
                  </m:r>
                </m:e>
              </m:acc>
            </m:e>
            <m:sub>
              <m:r>
                <m:rPr>
                  <m:sty m:val="bi"/>
                </m:rPr>
                <w:rPr>
                  <w:rFonts w:ascii="Cambria Math" w:hAnsi="Cambria Math"/>
                </w:rPr>
                <m:t>t+j</m:t>
              </m:r>
            </m:sub>
          </m:sSub>
        </m:oMath>
      </m:oMathPara>
    </w:p>
    <w:p w14:paraId="0C5E7F96" w14:textId="1F29D826" w:rsidR="0087551D" w:rsidRPr="0080003E" w:rsidRDefault="0080003E" w:rsidP="0087551D">
      <w:pPr>
        <w:pStyle w:val="Paragraph"/>
        <w:tabs>
          <w:tab w:val="clear" w:pos="2448"/>
        </w:tabs>
        <w:ind w:left="720" w:hanging="720"/>
        <w:rPr>
          <w:rFonts w:ascii="Arial" w:hAnsi="Arial" w:cs="Arial"/>
          <w:sz w:val="22"/>
          <w:szCs w:val="22"/>
        </w:rPr>
      </w:pPr>
      <w:r w:rsidRPr="0080003E">
        <w:rPr>
          <w:rFonts w:ascii="Arial" w:hAnsi="Arial" w:cs="Arial"/>
          <w:sz w:val="22"/>
          <w:szCs w:val="22"/>
          <w:lang w:val="es-ES_tradnl"/>
        </w:rPr>
        <w:t>La variable dependiente del modelo econométrico corresponde al indicador objetivo de la Matriz de Resultados (ver Cuadro 1): la recaudación total como porcentaje del PIB. También se puede estimar el efecto del programa sobre los indicadores finales (ver Cuadro 2a) de la Matriz de Resultados: recaudación total promedio por funcionario de la SAT y tasa de evasión del IVA. En este último caso habría que ajustar el modelo econométrico para que reflejara más apropiadamente la literatura relevante sobre determinantes de la evasión. Consúltese, por ejemplo, Alm y Martinez-Vasquez (2003) Richardson (2006). La evaluación de impacto podría extenderse  también a algunos de los indicadores intermedios de impacto (Cuadro 2b) como la recaudación de IVA sobre importaciones</w:t>
      </w:r>
      <w:r w:rsidR="0087551D" w:rsidRPr="00541F82">
        <w:rPr>
          <w:rFonts w:ascii="Arial" w:hAnsi="Arial" w:cs="Arial"/>
          <w:sz w:val="22"/>
          <w:szCs w:val="22"/>
          <w:lang w:val="es-ES_tradnl"/>
        </w:rPr>
        <w:t>.</w:t>
      </w:r>
    </w:p>
    <w:p w14:paraId="69D86656" w14:textId="2DDAE2C3" w:rsidR="0080003E" w:rsidRPr="00541F82" w:rsidRDefault="0080003E" w:rsidP="0087551D">
      <w:pPr>
        <w:pStyle w:val="Paragraph"/>
        <w:tabs>
          <w:tab w:val="clear" w:pos="2448"/>
        </w:tabs>
        <w:ind w:left="720" w:hanging="720"/>
        <w:rPr>
          <w:rFonts w:ascii="Arial" w:hAnsi="Arial" w:cs="Arial"/>
          <w:sz w:val="22"/>
          <w:szCs w:val="22"/>
        </w:rPr>
      </w:pPr>
      <w:r w:rsidRPr="0080003E">
        <w:rPr>
          <w:rFonts w:ascii="Arial" w:hAnsi="Arial" w:cs="Arial"/>
          <w:sz w:val="22"/>
          <w:szCs w:val="22"/>
          <w:lang w:val="es-ES_tradnl"/>
        </w:rPr>
        <w:t xml:space="preserve">La misma metodología puede extenderse </w:t>
      </w:r>
      <w:r w:rsidRPr="0080003E">
        <w:rPr>
          <w:rFonts w:ascii="Arial" w:hAnsi="Arial" w:cs="Arial"/>
          <w:i/>
          <w:sz w:val="22"/>
          <w:szCs w:val="22"/>
          <w:lang w:val="es-ES_tradnl"/>
        </w:rPr>
        <w:t>mutatis mutandis</w:t>
      </w:r>
      <w:r w:rsidRPr="0080003E">
        <w:rPr>
          <w:rFonts w:ascii="Arial" w:hAnsi="Arial" w:cs="Arial"/>
          <w:sz w:val="22"/>
          <w:szCs w:val="22"/>
          <w:lang w:val="es-ES_tradnl"/>
        </w:rPr>
        <w:t xml:space="preserve"> para evaluar el impacto del programa sobre los indicadores de transparencia en el sector financiero: el índice de lavado de dinero (Cuadro 1) y el volumen de flujos financieros ilícitos (Cuadro 3a). Véase en Herkenrath (2015) un resumen de la literatura reciente sobre los determinantes de los flujos ilícitos de capital y sus consecuencias económicas, en particular, sobre evasión tributaria.</w:t>
      </w:r>
    </w:p>
    <w:p w14:paraId="3E19AC23" w14:textId="77777777" w:rsidR="0087551D" w:rsidRDefault="0087551D" w:rsidP="00541F82">
      <w:pPr>
        <w:ind w:left="720"/>
        <w:rPr>
          <w:rFonts w:ascii="Arial" w:hAnsi="Arial" w:cs="Arial"/>
          <w:sz w:val="22"/>
          <w:lang w:val="es-ES"/>
        </w:rPr>
      </w:pPr>
    </w:p>
    <w:p w14:paraId="637C2BE2" w14:textId="77777777" w:rsidR="006C6AB6" w:rsidRPr="00541F82" w:rsidRDefault="006C6AB6" w:rsidP="00541F82">
      <w:pPr>
        <w:ind w:left="720"/>
        <w:rPr>
          <w:rFonts w:ascii="Arial" w:hAnsi="Arial" w:cs="Arial"/>
          <w:sz w:val="22"/>
          <w:lang w:val="es-ES"/>
        </w:rPr>
      </w:pPr>
    </w:p>
    <w:p w14:paraId="738B9450" w14:textId="77777777" w:rsidR="00E44BF5" w:rsidRPr="006E38F8" w:rsidRDefault="00E44BF5" w:rsidP="0087551D">
      <w:pPr>
        <w:rPr>
          <w:rFonts w:ascii="Arial" w:hAnsi="Arial" w:cs="Arial"/>
          <w:sz w:val="22"/>
        </w:rPr>
      </w:pPr>
      <w:r w:rsidRPr="006E38F8">
        <w:rPr>
          <w:rFonts w:ascii="Arial" w:hAnsi="Arial" w:cs="Arial"/>
          <w:sz w:val="22"/>
        </w:rPr>
        <w:br/>
      </w:r>
    </w:p>
    <w:p w14:paraId="5AAAF2D4" w14:textId="77777777" w:rsidR="00E44BF5" w:rsidRPr="006E38F8" w:rsidRDefault="00E44BF5" w:rsidP="0087551D">
      <w:pPr>
        <w:rPr>
          <w:rFonts w:ascii="Arial" w:hAnsi="Arial" w:cs="Arial"/>
          <w:sz w:val="22"/>
        </w:rPr>
      </w:pPr>
    </w:p>
    <w:p w14:paraId="6B329EA8" w14:textId="77777777" w:rsidR="00E44BF5" w:rsidRPr="006E38F8" w:rsidRDefault="00E44BF5" w:rsidP="0087551D">
      <w:pPr>
        <w:rPr>
          <w:rFonts w:ascii="Arial" w:hAnsi="Arial" w:cs="Arial"/>
          <w:sz w:val="22"/>
        </w:rPr>
      </w:pPr>
    </w:p>
    <w:p w14:paraId="0FFD859A" w14:textId="77777777" w:rsidR="00E44BF5" w:rsidRPr="006E38F8" w:rsidRDefault="00E44BF5" w:rsidP="0087551D">
      <w:pPr>
        <w:rPr>
          <w:rFonts w:ascii="Arial" w:hAnsi="Arial" w:cs="Arial"/>
          <w:sz w:val="22"/>
        </w:rPr>
      </w:pPr>
    </w:p>
    <w:p w14:paraId="0BFB0E16" w14:textId="77777777" w:rsidR="00E44BF5" w:rsidRPr="006E38F8" w:rsidRDefault="00E44BF5" w:rsidP="0087551D">
      <w:pPr>
        <w:rPr>
          <w:rFonts w:ascii="Arial" w:hAnsi="Arial" w:cs="Arial"/>
          <w:sz w:val="22"/>
        </w:rPr>
      </w:pPr>
    </w:p>
    <w:p w14:paraId="39580AC1" w14:textId="77777777" w:rsidR="00E44BF5" w:rsidRPr="006E38F8" w:rsidRDefault="00E44BF5" w:rsidP="0087551D">
      <w:pPr>
        <w:rPr>
          <w:rFonts w:ascii="Arial" w:hAnsi="Arial" w:cs="Arial"/>
          <w:sz w:val="22"/>
        </w:rPr>
      </w:pPr>
    </w:p>
    <w:p w14:paraId="01A160C3" w14:textId="77777777" w:rsidR="00E44BF5" w:rsidRPr="006E38F8" w:rsidRDefault="00E44BF5" w:rsidP="0087551D">
      <w:pPr>
        <w:rPr>
          <w:rFonts w:ascii="Arial" w:hAnsi="Arial" w:cs="Arial"/>
          <w:b/>
          <w:sz w:val="22"/>
          <w:u w:val="single"/>
        </w:rPr>
      </w:pPr>
    </w:p>
    <w:p w14:paraId="3526F24E" w14:textId="4CC5C888" w:rsidR="0087551D" w:rsidRPr="00E44BF5" w:rsidRDefault="0087551D" w:rsidP="0087551D">
      <w:pPr>
        <w:rPr>
          <w:rFonts w:ascii="Arial" w:hAnsi="Arial" w:cs="Arial"/>
          <w:b/>
          <w:sz w:val="22"/>
          <w:u w:val="single"/>
          <w:lang w:val="en-US"/>
        </w:rPr>
      </w:pPr>
      <w:r w:rsidRPr="00E44BF5">
        <w:rPr>
          <w:rFonts w:ascii="Arial" w:hAnsi="Arial" w:cs="Arial"/>
          <w:b/>
          <w:sz w:val="22"/>
          <w:u w:val="single"/>
          <w:lang w:val="en-US"/>
        </w:rPr>
        <w:t>REFERENCIAS</w:t>
      </w:r>
    </w:p>
    <w:p w14:paraId="00912AE2" w14:textId="77777777" w:rsidR="0087551D" w:rsidRPr="003D1356" w:rsidRDefault="0087551D" w:rsidP="0087551D">
      <w:pPr>
        <w:rPr>
          <w:rFonts w:ascii="Arial" w:hAnsi="Arial" w:cs="Arial"/>
          <w:sz w:val="22"/>
          <w:lang w:val="en-US"/>
        </w:rPr>
      </w:pPr>
    </w:p>
    <w:p w14:paraId="68070662" w14:textId="77777777" w:rsidR="0080003E" w:rsidRPr="0080003E" w:rsidRDefault="0080003E" w:rsidP="0080003E">
      <w:pPr>
        <w:spacing w:after="200" w:line="276" w:lineRule="auto"/>
        <w:rPr>
          <w:rFonts w:ascii="Arial" w:eastAsia="Calibri" w:hAnsi="Arial" w:cs="Arial"/>
          <w:sz w:val="22"/>
          <w:szCs w:val="22"/>
          <w:lang w:val="en-US"/>
        </w:rPr>
      </w:pPr>
      <w:r w:rsidRPr="0080003E">
        <w:rPr>
          <w:rFonts w:ascii="Arial" w:eastAsia="Calibri" w:hAnsi="Arial" w:cs="Arial"/>
          <w:sz w:val="22"/>
          <w:szCs w:val="22"/>
          <w:lang w:val="en-US"/>
        </w:rPr>
        <w:t xml:space="preserve">Alm J. y J. Martinez-Vasquez (2003): “Institutions, Paradigms, and Tax Evasion in Developing and Transition Countries”, en Alm and Martinez-Vasquez (eds.), </w:t>
      </w:r>
      <w:r w:rsidRPr="0080003E">
        <w:rPr>
          <w:rFonts w:ascii="Arial" w:eastAsia="Calibri" w:hAnsi="Arial" w:cs="Arial"/>
          <w:i/>
          <w:sz w:val="22"/>
          <w:szCs w:val="22"/>
          <w:lang w:val="en-US"/>
        </w:rPr>
        <w:t>Public Finance in Developing and Transition Countries: Essays in Honor of Richard Bird</w:t>
      </w:r>
      <w:r w:rsidRPr="0080003E">
        <w:rPr>
          <w:rFonts w:ascii="Arial" w:eastAsia="Calibri" w:hAnsi="Arial" w:cs="Arial"/>
          <w:sz w:val="22"/>
          <w:szCs w:val="22"/>
          <w:lang w:val="en-US"/>
        </w:rPr>
        <w:t xml:space="preserve">”, Edward Elgar, Cheltenham, UK.  </w:t>
      </w:r>
    </w:p>
    <w:p w14:paraId="708CBC62" w14:textId="77777777" w:rsidR="0080003E" w:rsidRPr="0080003E" w:rsidRDefault="0080003E" w:rsidP="0080003E">
      <w:pPr>
        <w:spacing w:after="200" w:line="276" w:lineRule="auto"/>
        <w:rPr>
          <w:rFonts w:ascii="Arial" w:eastAsia="Calibri" w:hAnsi="Arial" w:cs="Arial"/>
          <w:sz w:val="22"/>
          <w:szCs w:val="22"/>
          <w:lang w:val="en-US"/>
        </w:rPr>
      </w:pPr>
      <w:r w:rsidRPr="0080003E">
        <w:rPr>
          <w:rFonts w:ascii="Arial" w:eastAsia="Calibri" w:hAnsi="Arial" w:cs="Arial"/>
          <w:sz w:val="22"/>
          <w:szCs w:val="22"/>
          <w:lang w:val="en-US"/>
        </w:rPr>
        <w:t xml:space="preserve">Herkenrath, M. (2015) “Illicit Financial Flows and Their Developmental Impacts: An Overview”, </w:t>
      </w:r>
      <w:r w:rsidRPr="0080003E">
        <w:rPr>
          <w:rFonts w:ascii="Arial" w:eastAsia="Calibri" w:hAnsi="Arial" w:cs="Arial"/>
          <w:i/>
          <w:sz w:val="22"/>
          <w:szCs w:val="22"/>
          <w:lang w:val="en-US"/>
        </w:rPr>
        <w:t>International Development Policy</w:t>
      </w:r>
      <w:r w:rsidRPr="0080003E">
        <w:rPr>
          <w:rFonts w:ascii="Arial" w:eastAsia="Calibri" w:hAnsi="Arial" w:cs="Arial"/>
          <w:sz w:val="22"/>
          <w:szCs w:val="22"/>
          <w:lang w:val="en-US"/>
        </w:rPr>
        <w:t xml:space="preserve"> [Online].</w:t>
      </w:r>
    </w:p>
    <w:p w14:paraId="6223F32F" w14:textId="77777777" w:rsidR="0080003E" w:rsidRPr="0080003E" w:rsidRDefault="0080003E" w:rsidP="0080003E">
      <w:pPr>
        <w:spacing w:after="200" w:line="276" w:lineRule="auto"/>
        <w:rPr>
          <w:rFonts w:ascii="Arial" w:eastAsia="Calibri" w:hAnsi="Arial" w:cs="Arial"/>
          <w:sz w:val="22"/>
          <w:szCs w:val="22"/>
          <w:lang w:val="en-US"/>
        </w:rPr>
      </w:pPr>
      <w:r w:rsidRPr="0080003E">
        <w:rPr>
          <w:rFonts w:ascii="Arial" w:eastAsia="Calibri" w:hAnsi="Arial" w:cs="Arial"/>
          <w:sz w:val="22"/>
          <w:szCs w:val="22"/>
          <w:lang w:val="en-US"/>
        </w:rPr>
        <w:t xml:space="preserve">Morrissey, O.,  et al. (2016):”Tax Revenue Performance and Vulnerability in Developing Countries ”, The Journal of Development Studies. </w:t>
      </w:r>
    </w:p>
    <w:p w14:paraId="18354E62" w14:textId="77777777" w:rsidR="0080003E" w:rsidRPr="0080003E" w:rsidRDefault="0080003E" w:rsidP="0080003E">
      <w:pPr>
        <w:spacing w:after="200" w:line="276" w:lineRule="auto"/>
        <w:rPr>
          <w:rFonts w:ascii="Arial" w:eastAsia="Calibri" w:hAnsi="Arial" w:cs="Arial"/>
          <w:sz w:val="22"/>
          <w:szCs w:val="22"/>
          <w:lang w:val="en-US"/>
        </w:rPr>
      </w:pPr>
      <w:r w:rsidRPr="0080003E">
        <w:rPr>
          <w:rFonts w:ascii="Arial" w:eastAsia="Calibri" w:hAnsi="Arial" w:cs="Arial"/>
          <w:sz w:val="22"/>
          <w:szCs w:val="22"/>
          <w:lang w:val="en-US"/>
        </w:rPr>
        <w:t xml:space="preserve">Richardson, G. (2006): “Determinants of Tax Evasion: A Cross-Country Investigation”, </w:t>
      </w:r>
      <w:r w:rsidRPr="0080003E">
        <w:rPr>
          <w:rFonts w:ascii="Arial" w:eastAsia="Calibri" w:hAnsi="Arial" w:cs="Arial"/>
          <w:i/>
          <w:sz w:val="22"/>
          <w:szCs w:val="22"/>
          <w:lang w:val="en-US"/>
        </w:rPr>
        <w:t>Journal of International Accounting, Auditing and Taxation</w:t>
      </w:r>
      <w:r w:rsidRPr="0080003E">
        <w:rPr>
          <w:rFonts w:ascii="Arial" w:eastAsia="Calibri" w:hAnsi="Arial" w:cs="Arial"/>
          <w:sz w:val="22"/>
          <w:szCs w:val="22"/>
          <w:lang w:val="en-US"/>
        </w:rPr>
        <w:t xml:space="preserve">, Vol. 15, Issue 2. </w:t>
      </w:r>
    </w:p>
    <w:p w14:paraId="500CC630" w14:textId="77777777" w:rsidR="0080003E" w:rsidRPr="0080003E" w:rsidRDefault="0080003E" w:rsidP="0080003E">
      <w:pPr>
        <w:spacing w:after="200" w:line="276" w:lineRule="auto"/>
        <w:rPr>
          <w:rFonts w:ascii="Arial" w:eastAsia="Calibri" w:hAnsi="Arial" w:cs="Arial"/>
          <w:sz w:val="22"/>
          <w:szCs w:val="22"/>
          <w:lang w:val="en-US"/>
        </w:rPr>
      </w:pPr>
      <w:r w:rsidRPr="0080003E">
        <w:rPr>
          <w:rFonts w:ascii="Arial" w:eastAsia="Calibri" w:hAnsi="Arial" w:cs="Arial"/>
          <w:sz w:val="22"/>
          <w:szCs w:val="22"/>
          <w:lang w:val="en-US"/>
        </w:rPr>
        <w:t>Sen Gupta, S. (2007): “Determinants of Tax Revenue Efforts in Developing Countries”, IMF Working Paper WP/07/184, July.</w:t>
      </w:r>
    </w:p>
    <w:p w14:paraId="71913972" w14:textId="6D61EE3E" w:rsidR="0087551D" w:rsidRPr="0045601B" w:rsidRDefault="0087551D" w:rsidP="00541F82">
      <w:pPr>
        <w:rPr>
          <w:rFonts w:ascii="Arial" w:hAnsi="Arial" w:cs="Arial"/>
          <w:sz w:val="20"/>
          <w:szCs w:val="22"/>
          <w:lang w:val="pt-BR"/>
        </w:rPr>
      </w:pPr>
      <w:r w:rsidRPr="0045601B">
        <w:rPr>
          <w:rFonts w:ascii="Arial" w:hAnsi="Arial" w:cs="Arial"/>
          <w:sz w:val="22"/>
          <w:lang w:val="pt-BR"/>
        </w:rPr>
        <w:t>.</w:t>
      </w:r>
    </w:p>
    <w:p w14:paraId="3C51E1B7" w14:textId="77777777" w:rsidR="00D103FC" w:rsidRPr="0045601B" w:rsidRDefault="00D103FC" w:rsidP="003519B1">
      <w:pPr>
        <w:pStyle w:val="Paragraph"/>
        <w:numPr>
          <w:ilvl w:val="0"/>
          <w:numId w:val="0"/>
        </w:numPr>
        <w:rPr>
          <w:rFonts w:ascii="Arial" w:hAnsi="Arial" w:cs="Arial"/>
          <w:b/>
          <w:sz w:val="20"/>
          <w:szCs w:val="22"/>
          <w:lang w:val="pt-BR"/>
        </w:rPr>
      </w:pPr>
    </w:p>
    <w:p w14:paraId="2C4D0292" w14:textId="77777777" w:rsidR="004327ED" w:rsidRPr="00E9637C" w:rsidRDefault="004327ED" w:rsidP="004348BE">
      <w:pPr>
        <w:spacing w:before="120" w:after="120" w:line="276" w:lineRule="auto"/>
        <w:jc w:val="center"/>
        <w:rPr>
          <w:rFonts w:ascii="Arial" w:hAnsi="Arial" w:cs="Arial"/>
          <w:b/>
          <w:sz w:val="22"/>
          <w:szCs w:val="22"/>
          <w:lang w:val="pt-BR"/>
        </w:rPr>
      </w:pPr>
      <w:r w:rsidRPr="0045601B">
        <w:rPr>
          <w:lang w:val="pt-BR"/>
        </w:rPr>
        <w:br w:type="page"/>
      </w:r>
      <w:r w:rsidR="0037197A" w:rsidRPr="00E9637C">
        <w:rPr>
          <w:rFonts w:ascii="Arial" w:hAnsi="Arial" w:cs="Arial"/>
          <w:b/>
          <w:sz w:val="22"/>
          <w:szCs w:val="22"/>
          <w:lang w:val="pt-BR"/>
        </w:rPr>
        <w:lastRenderedPageBreak/>
        <w:t>ANEXO 1</w:t>
      </w:r>
    </w:p>
    <w:p w14:paraId="216873C2" w14:textId="77777777" w:rsidR="0037197A" w:rsidRPr="00E9637C" w:rsidRDefault="0037197A" w:rsidP="004348BE">
      <w:pPr>
        <w:pStyle w:val="Paragraph"/>
        <w:numPr>
          <w:ilvl w:val="0"/>
          <w:numId w:val="0"/>
        </w:numPr>
        <w:jc w:val="center"/>
        <w:rPr>
          <w:rFonts w:ascii="Arial" w:hAnsi="Arial" w:cs="Arial"/>
          <w:b/>
          <w:sz w:val="22"/>
          <w:lang w:val="pt-BR"/>
        </w:rPr>
      </w:pPr>
      <w:r w:rsidRPr="00E9637C">
        <w:rPr>
          <w:rFonts w:ascii="Arial" w:hAnsi="Arial" w:cs="Arial"/>
          <w:b/>
          <w:sz w:val="22"/>
          <w:szCs w:val="22"/>
          <w:lang w:val="pt-BR"/>
        </w:rPr>
        <w:t xml:space="preserve">Consultoria para </w:t>
      </w:r>
      <w:r w:rsidRPr="00E9637C">
        <w:rPr>
          <w:rFonts w:ascii="Arial" w:hAnsi="Arial" w:cs="Arial"/>
          <w:b/>
          <w:sz w:val="22"/>
          <w:lang w:val="pt-BR"/>
        </w:rPr>
        <w:t xml:space="preserve">Componente II: </w:t>
      </w:r>
    </w:p>
    <w:p w14:paraId="3F2D8F5A" w14:textId="77777777" w:rsidR="0037197A" w:rsidRPr="0037197A" w:rsidRDefault="0037197A" w:rsidP="004348BE">
      <w:pPr>
        <w:pStyle w:val="Paragraph"/>
        <w:numPr>
          <w:ilvl w:val="0"/>
          <w:numId w:val="0"/>
        </w:numPr>
        <w:jc w:val="center"/>
        <w:rPr>
          <w:rFonts w:ascii="Arial" w:hAnsi="Arial" w:cs="Arial"/>
          <w:b/>
          <w:sz w:val="22"/>
        </w:rPr>
      </w:pPr>
      <w:r w:rsidRPr="0037197A">
        <w:rPr>
          <w:rFonts w:ascii="Arial" w:hAnsi="Arial" w:cs="Arial"/>
          <w:b/>
          <w:sz w:val="22"/>
        </w:rPr>
        <w:t>Incrementar la eficiencia y la efectivid</w:t>
      </w:r>
      <w:r>
        <w:rPr>
          <w:rFonts w:ascii="Arial" w:hAnsi="Arial" w:cs="Arial"/>
          <w:b/>
          <w:sz w:val="22"/>
        </w:rPr>
        <w:t>ad en la recaudación tributaria.</w:t>
      </w:r>
    </w:p>
    <w:p w14:paraId="51E13A2C" w14:textId="77777777" w:rsidR="004327ED" w:rsidRPr="00D97056" w:rsidRDefault="0037197A" w:rsidP="004348BE">
      <w:pPr>
        <w:spacing w:before="120" w:after="120" w:line="360" w:lineRule="auto"/>
        <w:jc w:val="center"/>
        <w:rPr>
          <w:rFonts w:ascii="Arial" w:hAnsi="Arial" w:cs="Arial"/>
          <w:b/>
          <w:caps/>
          <w:sz w:val="22"/>
          <w:szCs w:val="22"/>
          <w:lang w:val="es-ES"/>
        </w:rPr>
      </w:pPr>
      <w:r>
        <w:rPr>
          <w:rFonts w:ascii="Arial" w:hAnsi="Arial" w:cs="Arial"/>
          <w:b/>
          <w:sz w:val="22"/>
          <w:szCs w:val="22"/>
          <w:lang w:val="es-ES"/>
        </w:rPr>
        <w:t>Borrador de Términos de R</w:t>
      </w:r>
      <w:r w:rsidRPr="00D97056">
        <w:rPr>
          <w:rFonts w:ascii="Arial" w:hAnsi="Arial" w:cs="Arial"/>
          <w:b/>
          <w:sz w:val="22"/>
          <w:szCs w:val="22"/>
          <w:lang w:val="es-ES"/>
        </w:rPr>
        <w:t>eferencia</w:t>
      </w:r>
    </w:p>
    <w:p w14:paraId="488198F4"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Objetivos</w:t>
      </w:r>
    </w:p>
    <w:p w14:paraId="2ED5A2DB" w14:textId="77777777" w:rsidR="004327ED" w:rsidRDefault="0037197A" w:rsidP="004348BE">
      <w:pPr>
        <w:pStyle w:val="Paragraph"/>
        <w:numPr>
          <w:ilvl w:val="0"/>
          <w:numId w:val="0"/>
        </w:numPr>
        <w:rPr>
          <w:rFonts w:ascii="Arial" w:hAnsi="Arial" w:cs="Arial"/>
          <w:sz w:val="22"/>
        </w:rPr>
      </w:pPr>
      <w:r w:rsidRPr="00A02FE3">
        <w:rPr>
          <w:rFonts w:ascii="Arial" w:hAnsi="Arial" w:cs="Arial"/>
          <w:sz w:val="22"/>
        </w:rPr>
        <w:t xml:space="preserve">El objetivo es </w:t>
      </w:r>
      <w:r w:rsidR="00502354">
        <w:rPr>
          <w:rFonts w:ascii="Arial" w:hAnsi="Arial" w:cs="Arial"/>
          <w:sz w:val="22"/>
        </w:rPr>
        <w:t>monitorear las acciones de fortalecimiento de</w:t>
      </w:r>
      <w:r w:rsidRPr="00A02FE3">
        <w:rPr>
          <w:rFonts w:ascii="Arial" w:hAnsi="Arial" w:cs="Arial"/>
          <w:sz w:val="22"/>
        </w:rPr>
        <w:t xml:space="preserve"> la SAT para aumentar la recaudación tributaria y aduanera, mediante diez acciones de política</w:t>
      </w:r>
      <w:r w:rsidR="00502354">
        <w:rPr>
          <w:rFonts w:ascii="Arial" w:hAnsi="Arial" w:cs="Arial"/>
          <w:sz w:val="22"/>
        </w:rPr>
        <w:t>:</w:t>
      </w:r>
    </w:p>
    <w:p w14:paraId="54D579B5"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Definición y establecimiento de un nuevo modelo de gobernanza en la SAT, que modifica la composición y funciones del Directorio, y constituye el tribunal administrativo de primera instancia gubernativa en asuntos tributarios y aduaneros;</w:t>
      </w:r>
    </w:p>
    <w:p w14:paraId="1CAAFFE7"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Ampliación e institucionalización de una evaluación integral y control sobre los funcionarios de la SAT, con la creación y operación de la Gerencia de Asuntos Internos, que revisa y monitorea las Declaraciones de Probidad de los funcionarios de la SAT mediante la aplicación de un protocolo de auditoría integral del personal que monitorea sus acciones cotidianas;</w:t>
      </w:r>
    </w:p>
    <w:p w14:paraId="67281104"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Institucionalización de un nuevo modelo de inteligencia fiscal y de gestión de riesgos en la fiscalización aduanera y tributaria, con la creación y operación de la Gerencia de Investigación Fiscal, que prepara los cruces de información e insumos para la elaboración de los planes de fiscalización;</w:t>
      </w:r>
    </w:p>
    <w:p w14:paraId="0721A6F7" w14:textId="60FDAE9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Reingeniería de personal de la SAT, incluyendo la revisión de los tipos de perfiles profesionales y técnicos requeridos, el diseño de la carrera de los funcionarios y la disponibilidad de aproximadamente 450 plazas de trabajo (nuevas o vacantes) y la contratación de aproximadamente 800 funcionarios durante el periodo 2016-2017  y capacitación de personal correspondiente;</w:t>
      </w:r>
    </w:p>
    <w:p w14:paraId="310F0369"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Identificación y publicación de brechas de evasión del IVA para el 2015 y 2016 y definición de metas de recaudación para el 2016 y 2017, y metodología para la medición de la brecha de evasión para el impuesto sobre la renta (ISR) y sus primeras estimaciones y metas de recaudación para el 2017;</w:t>
      </w:r>
    </w:p>
    <w:p w14:paraId="28029708"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Depuración y fortalecimiento del catastro de contribuyentes (RTU–Registro Tributario Unificado), mediante la aprobación e inicio de implantación de un Plan de Modernización, que incluye una revisión estructural de la identificación de los contribuyentes y los usuarios aduaneros, y la depuración e identificación del contribuyente natural a través del Código Único de Identificación de Personas;</w:t>
      </w:r>
    </w:p>
    <w:p w14:paraId="0668D71D"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Levantamiento y revisión de los principales macro procesos de la SAT (IVA, Aduanas e ISR), incluyendo la identificación y estimación de riesgos operacionales y las estrategias para su mitigación;</w:t>
      </w:r>
    </w:p>
    <w:p w14:paraId="7F1138C4"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lastRenderedPageBreak/>
        <w:t xml:space="preserve">Elaboración de un Plan de control integral de la Carga en los recintos fiscalizados durante el despacho aduanero, con </w:t>
      </w:r>
      <w:r w:rsidR="00144C4D">
        <w:rPr>
          <w:rFonts w:ascii="Arial" w:hAnsi="Arial" w:cs="Arial"/>
          <w:sz w:val="22"/>
          <w:lang w:val="es-ES_tradnl"/>
        </w:rPr>
        <w:t>énfasis</w:t>
      </w:r>
      <w:r w:rsidRPr="00502354">
        <w:rPr>
          <w:rFonts w:ascii="Arial" w:hAnsi="Arial" w:cs="Arial"/>
          <w:sz w:val="22"/>
          <w:lang w:val="es-ES_tradnl"/>
        </w:rPr>
        <w:t xml:space="preserve"> en Puerto Quetzal y posterior extensión a todos los puertos con fiscalización aduanera en el país;</w:t>
      </w:r>
    </w:p>
    <w:p w14:paraId="52BBB11C" w14:textId="77777777" w:rsidR="00502354" w:rsidRPr="00502354" w:rsidRDefault="00502354" w:rsidP="004348BE">
      <w:pPr>
        <w:pStyle w:val="Paragraph"/>
        <w:numPr>
          <w:ilvl w:val="0"/>
          <w:numId w:val="37"/>
        </w:numPr>
        <w:rPr>
          <w:rFonts w:ascii="Arial" w:hAnsi="Arial" w:cs="Arial"/>
          <w:sz w:val="22"/>
          <w:lang w:val="es-ES_tradnl"/>
        </w:rPr>
      </w:pPr>
      <w:r w:rsidRPr="00502354">
        <w:rPr>
          <w:rFonts w:ascii="Arial" w:hAnsi="Arial" w:cs="Arial"/>
          <w:sz w:val="22"/>
          <w:lang w:val="es-ES_tradnl"/>
        </w:rPr>
        <w:t>Institucionalización de un marco de colaboración en investigaciones criminales de evasión tributaria y fraude fiscal, mediante un Convenio Interinstitucional entre la SAT, el Ministerio Público y la CICIG, que promueva investigaciones criminales de evasión tributaria y fraudes fiscales; y</w:t>
      </w:r>
    </w:p>
    <w:p w14:paraId="05866D65" w14:textId="77777777" w:rsidR="00502354" w:rsidRPr="00502354" w:rsidRDefault="00502354" w:rsidP="004348BE">
      <w:pPr>
        <w:pStyle w:val="Paragraph"/>
        <w:numPr>
          <w:ilvl w:val="0"/>
          <w:numId w:val="37"/>
        </w:numPr>
        <w:rPr>
          <w:rFonts w:ascii="Arial" w:hAnsi="Arial" w:cs="Arial"/>
          <w:sz w:val="22"/>
        </w:rPr>
      </w:pPr>
      <w:r w:rsidRPr="00502354">
        <w:rPr>
          <w:rFonts w:ascii="Arial" w:hAnsi="Arial" w:cs="Arial"/>
          <w:sz w:val="22"/>
        </w:rPr>
        <w:t>Fortalecimiento del Ministerio Público, mediante la aprobación por el Congreso de la República de reformas a la Ley Orgánica del Ministerio Público, contribuyendo a una mayor coordinación con la SAT y a la ampliación de las investigaciones criminales de evasión tributaria, contrabando y fraude aduanero; y ampliación de la presencia territorial de la Fiscalía, mediante la apertura de una fiscalía especializada en delitos de contrabando y fraude aduanero en Puerto Quetzal.</w:t>
      </w:r>
    </w:p>
    <w:p w14:paraId="111F7697"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Actividades</w:t>
      </w:r>
    </w:p>
    <w:p w14:paraId="7F15297C"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spacing w:val="-3"/>
          <w:sz w:val="22"/>
          <w:szCs w:val="22"/>
        </w:rPr>
        <w:t xml:space="preserve">Preparar un documento con el análisis económico de las </w:t>
      </w:r>
      <w:r w:rsidR="0037197A">
        <w:rPr>
          <w:rFonts w:ascii="Arial" w:hAnsi="Arial" w:cs="Arial"/>
          <w:spacing w:val="-3"/>
          <w:sz w:val="22"/>
          <w:szCs w:val="22"/>
        </w:rPr>
        <w:t xml:space="preserve">medidas de reforma </w:t>
      </w:r>
      <w:r w:rsidR="00502354">
        <w:rPr>
          <w:rFonts w:ascii="Arial" w:hAnsi="Arial" w:cs="Arial"/>
          <w:spacing w:val="-3"/>
          <w:sz w:val="22"/>
          <w:szCs w:val="22"/>
        </w:rPr>
        <w:t xml:space="preserve">de la administración </w:t>
      </w:r>
      <w:r w:rsidR="0037197A">
        <w:rPr>
          <w:rFonts w:ascii="Arial" w:hAnsi="Arial" w:cs="Arial"/>
          <w:spacing w:val="-3"/>
          <w:sz w:val="22"/>
          <w:szCs w:val="22"/>
        </w:rPr>
        <w:t xml:space="preserve">tributaria </w:t>
      </w:r>
      <w:r w:rsidRPr="00D97056">
        <w:rPr>
          <w:rFonts w:ascii="Arial" w:hAnsi="Arial" w:cs="Arial"/>
          <w:spacing w:val="-3"/>
          <w:sz w:val="22"/>
          <w:szCs w:val="22"/>
        </w:rPr>
        <w:t xml:space="preserve">llevadas a cabo en </w:t>
      </w:r>
      <w:r w:rsidR="0037197A">
        <w:rPr>
          <w:rFonts w:ascii="Arial" w:hAnsi="Arial" w:cs="Arial"/>
          <w:spacing w:val="-3"/>
          <w:sz w:val="22"/>
          <w:szCs w:val="22"/>
        </w:rPr>
        <w:t>Guatemala</w:t>
      </w:r>
      <w:r w:rsidRPr="00D97056">
        <w:rPr>
          <w:rFonts w:ascii="Arial" w:hAnsi="Arial" w:cs="Arial"/>
          <w:spacing w:val="-3"/>
          <w:sz w:val="22"/>
          <w:szCs w:val="22"/>
        </w:rPr>
        <w:t>, que contenga lo siguiente:</w:t>
      </w:r>
      <w:r w:rsidR="00502354">
        <w:rPr>
          <w:rFonts w:ascii="Arial" w:hAnsi="Arial" w:cs="Arial"/>
          <w:spacing w:val="-3"/>
          <w:sz w:val="22"/>
          <w:szCs w:val="22"/>
        </w:rPr>
        <w:t xml:space="preserve"> (i) levantamiento de la situación de cada indicador del Componente II incluido en la Matriz de Resultados del </w:t>
      </w:r>
      <w:r w:rsidR="00724AE6">
        <w:rPr>
          <w:rFonts w:ascii="Arial" w:hAnsi="Arial" w:cs="Arial"/>
          <w:spacing w:val="-3"/>
          <w:sz w:val="22"/>
          <w:szCs w:val="22"/>
        </w:rPr>
        <w:t>programa</w:t>
      </w:r>
      <w:r w:rsidR="00502354">
        <w:rPr>
          <w:rFonts w:ascii="Arial" w:hAnsi="Arial" w:cs="Arial"/>
          <w:spacing w:val="-3"/>
          <w:sz w:val="22"/>
          <w:szCs w:val="22"/>
        </w:rPr>
        <w:t>, (ii) análisis de los resultados de cada indicador y diálogo con la SAT para verificar eventuales ajustes y mejoras necesarias, (iii) recomendaciones sobre la calidad de los resultados de los indicadores y sobre el nivel de avance hacia las metas establecidas en la Matriz de Resultados.</w:t>
      </w:r>
    </w:p>
    <w:p w14:paraId="69E587CF" w14:textId="77777777" w:rsidR="004327ED" w:rsidRPr="00D97056" w:rsidRDefault="004327ED" w:rsidP="004348BE">
      <w:pPr>
        <w:pStyle w:val="Paragraph"/>
        <w:numPr>
          <w:ilvl w:val="0"/>
          <w:numId w:val="0"/>
        </w:numPr>
        <w:ind w:left="720" w:hanging="720"/>
        <w:jc w:val="left"/>
        <w:rPr>
          <w:rFonts w:ascii="Arial" w:eastAsia="Arial Unicode MS" w:hAnsi="Arial" w:cs="Arial"/>
          <w:b/>
          <w:smallCaps/>
          <w:spacing w:val="-3"/>
          <w:sz w:val="22"/>
          <w:szCs w:val="22"/>
        </w:rPr>
      </w:pPr>
      <w:r w:rsidRPr="00D97056">
        <w:rPr>
          <w:rFonts w:ascii="Arial" w:eastAsia="Arial Unicode MS" w:hAnsi="Arial" w:cs="Arial"/>
          <w:b/>
          <w:smallCaps/>
          <w:spacing w:val="-3"/>
          <w:sz w:val="22"/>
          <w:szCs w:val="22"/>
        </w:rPr>
        <w:t>Productos y Forma de Pago</w:t>
      </w:r>
    </w:p>
    <w:p w14:paraId="25980384"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spacing w:val="-3"/>
          <w:sz w:val="22"/>
          <w:szCs w:val="22"/>
        </w:rPr>
        <w:t>El contractual presentará un</w:t>
      </w:r>
      <w:r w:rsidR="00502354">
        <w:rPr>
          <w:rFonts w:ascii="Arial" w:hAnsi="Arial" w:cs="Arial"/>
          <w:spacing w:val="-3"/>
          <w:sz w:val="22"/>
          <w:szCs w:val="22"/>
        </w:rPr>
        <w:t xml:space="preserve"> informe preliminar</w:t>
      </w:r>
      <w:r w:rsidRPr="00D97056">
        <w:rPr>
          <w:rFonts w:ascii="Arial" w:hAnsi="Arial" w:cs="Arial"/>
          <w:spacing w:val="-3"/>
          <w:sz w:val="22"/>
          <w:szCs w:val="22"/>
        </w:rPr>
        <w:t xml:space="preserve">, conteniendo </w:t>
      </w:r>
      <w:r w:rsidR="00502354">
        <w:rPr>
          <w:rFonts w:ascii="Arial" w:hAnsi="Arial" w:cs="Arial"/>
          <w:spacing w:val="-3"/>
          <w:sz w:val="22"/>
          <w:szCs w:val="22"/>
        </w:rPr>
        <w:t xml:space="preserve">los análisis </w:t>
      </w:r>
      <w:r w:rsidRPr="00D97056">
        <w:rPr>
          <w:rFonts w:ascii="Arial" w:hAnsi="Arial" w:cs="Arial"/>
          <w:spacing w:val="-3"/>
          <w:sz w:val="22"/>
          <w:szCs w:val="22"/>
        </w:rPr>
        <w:t>mencionado</w:t>
      </w:r>
      <w:r w:rsidR="00502354">
        <w:rPr>
          <w:rFonts w:ascii="Arial" w:hAnsi="Arial" w:cs="Arial"/>
          <w:spacing w:val="-3"/>
          <w:sz w:val="22"/>
          <w:szCs w:val="22"/>
        </w:rPr>
        <w:t>s</w:t>
      </w:r>
      <w:r w:rsidRPr="00D97056">
        <w:rPr>
          <w:rFonts w:ascii="Arial" w:hAnsi="Arial" w:cs="Arial"/>
          <w:spacing w:val="-3"/>
          <w:sz w:val="22"/>
          <w:szCs w:val="22"/>
        </w:rPr>
        <w:t xml:space="preserve"> en la sección “Actividades”. </w:t>
      </w:r>
      <w:r w:rsidR="00502354">
        <w:rPr>
          <w:rFonts w:ascii="Arial" w:hAnsi="Arial" w:cs="Arial"/>
          <w:spacing w:val="-3"/>
          <w:sz w:val="22"/>
          <w:szCs w:val="22"/>
        </w:rPr>
        <w:t xml:space="preserve">El informe preliminar será analizado por la SAT y por el Equipo de Proyecto del Banco que entregarán comentarios y sugerencias. El consultor entregará un informe </w:t>
      </w:r>
      <w:r w:rsidR="00502354" w:rsidRPr="00D97056">
        <w:rPr>
          <w:rFonts w:ascii="Arial" w:hAnsi="Arial" w:cs="Arial"/>
          <w:spacing w:val="-3"/>
          <w:sz w:val="22"/>
          <w:szCs w:val="22"/>
        </w:rPr>
        <w:t>final</w:t>
      </w:r>
      <w:r w:rsidR="00502354">
        <w:rPr>
          <w:rFonts w:ascii="Arial" w:hAnsi="Arial" w:cs="Arial"/>
          <w:spacing w:val="-3"/>
          <w:sz w:val="22"/>
          <w:szCs w:val="22"/>
        </w:rPr>
        <w:t xml:space="preserve"> con los ajustes y complementaciones requeridos.</w:t>
      </w:r>
    </w:p>
    <w:p w14:paraId="53CBA755"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sz w:val="22"/>
          <w:szCs w:val="22"/>
        </w:rPr>
        <w:t xml:space="preserve">El pago se realizará </w:t>
      </w:r>
      <w:r w:rsidR="0087577D">
        <w:rPr>
          <w:rFonts w:ascii="Arial" w:hAnsi="Arial" w:cs="Arial"/>
          <w:sz w:val="22"/>
          <w:szCs w:val="22"/>
        </w:rPr>
        <w:t xml:space="preserve">el 50% a la firma del contrato, y el 50% </w:t>
      </w:r>
      <w:r w:rsidRPr="00D97056">
        <w:rPr>
          <w:rFonts w:ascii="Arial" w:hAnsi="Arial" w:cs="Arial"/>
          <w:sz w:val="22"/>
          <w:szCs w:val="22"/>
        </w:rPr>
        <w:t xml:space="preserve">contra la entrega y aprobación por parte del BID del </w:t>
      </w:r>
      <w:r w:rsidR="0087577D">
        <w:rPr>
          <w:rFonts w:ascii="Arial" w:hAnsi="Arial" w:cs="Arial"/>
          <w:sz w:val="22"/>
          <w:szCs w:val="22"/>
        </w:rPr>
        <w:t>informe</w:t>
      </w:r>
      <w:r w:rsidRPr="00D97056">
        <w:rPr>
          <w:rFonts w:ascii="Arial" w:hAnsi="Arial" w:cs="Arial"/>
          <w:sz w:val="22"/>
          <w:szCs w:val="22"/>
        </w:rPr>
        <w:t xml:space="preserve"> final. </w:t>
      </w:r>
      <w:r w:rsidRPr="00CD357F">
        <w:rPr>
          <w:rFonts w:ascii="Arial" w:hAnsi="Arial" w:cs="Arial"/>
          <w:sz w:val="22"/>
          <w:szCs w:val="22"/>
        </w:rPr>
        <w:t>E</w:t>
      </w:r>
      <w:r w:rsidRPr="00CD357F">
        <w:rPr>
          <w:rFonts w:ascii="Arial" w:hAnsi="Arial" w:cs="Arial"/>
          <w:spacing w:val="-3"/>
          <w:sz w:val="22"/>
          <w:szCs w:val="22"/>
        </w:rPr>
        <w:t xml:space="preserve">l costo de la </w:t>
      </w:r>
      <w:r w:rsidR="0037197A">
        <w:rPr>
          <w:rFonts w:ascii="Arial" w:hAnsi="Arial" w:cs="Arial"/>
          <w:spacing w:val="-3"/>
          <w:sz w:val="22"/>
          <w:szCs w:val="22"/>
        </w:rPr>
        <w:t xml:space="preserve">consultoría se estima en </w:t>
      </w:r>
      <w:r w:rsidR="0037197A" w:rsidRPr="0087577D">
        <w:rPr>
          <w:rFonts w:ascii="Arial" w:hAnsi="Arial" w:cs="Arial"/>
          <w:spacing w:val="-3"/>
          <w:sz w:val="22"/>
          <w:szCs w:val="22"/>
        </w:rPr>
        <w:t>US$</w:t>
      </w:r>
      <w:r w:rsidR="00394EAC">
        <w:rPr>
          <w:rFonts w:ascii="Arial" w:hAnsi="Arial" w:cs="Arial"/>
          <w:spacing w:val="-3"/>
          <w:sz w:val="22"/>
          <w:szCs w:val="22"/>
        </w:rPr>
        <w:t>10</w:t>
      </w:r>
      <w:r w:rsidRPr="0087577D">
        <w:rPr>
          <w:rFonts w:ascii="Arial" w:hAnsi="Arial" w:cs="Arial"/>
          <w:spacing w:val="-3"/>
          <w:sz w:val="22"/>
          <w:szCs w:val="22"/>
        </w:rPr>
        <w:t>.000.</w:t>
      </w:r>
    </w:p>
    <w:p w14:paraId="46DF538D"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Calificaciones</w:t>
      </w:r>
    </w:p>
    <w:p w14:paraId="009522BD" w14:textId="77777777" w:rsidR="004327ED" w:rsidRPr="00D97056" w:rsidRDefault="004327ED" w:rsidP="004348BE">
      <w:pPr>
        <w:pStyle w:val="Paragraph"/>
        <w:numPr>
          <w:ilvl w:val="0"/>
          <w:numId w:val="0"/>
        </w:numPr>
        <w:rPr>
          <w:rFonts w:ascii="Arial" w:hAnsi="Arial" w:cs="Arial"/>
          <w:sz w:val="22"/>
          <w:szCs w:val="22"/>
        </w:rPr>
      </w:pPr>
      <w:r w:rsidRPr="00D97056">
        <w:rPr>
          <w:rFonts w:ascii="Arial" w:hAnsi="Arial" w:cs="Arial"/>
          <w:sz w:val="22"/>
          <w:szCs w:val="22"/>
        </w:rPr>
        <w:t>El contractual debe ser experto con formación profesional de maestría o doctorado y con experiencia en el área de economía y finanzas, siendo por lo menos de diez años en el tema de finanzas públicas en países de América Latina y el Caribe.</w:t>
      </w:r>
    </w:p>
    <w:p w14:paraId="74627051"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Características</w:t>
      </w:r>
    </w:p>
    <w:p w14:paraId="7F7BD473" w14:textId="77777777" w:rsidR="004327ED" w:rsidRDefault="004327ED" w:rsidP="004348BE">
      <w:pPr>
        <w:pStyle w:val="NoSpacing"/>
        <w:spacing w:before="120" w:after="120"/>
        <w:jc w:val="both"/>
        <w:rPr>
          <w:rFonts w:ascii="Arial" w:hAnsi="Arial" w:cs="Arial"/>
          <w:sz w:val="22"/>
          <w:szCs w:val="22"/>
          <w:lang w:val="es-ES"/>
        </w:rPr>
      </w:pPr>
      <w:r w:rsidRPr="00D97056">
        <w:rPr>
          <w:rFonts w:ascii="Arial" w:hAnsi="Arial" w:cs="Arial"/>
          <w:b/>
          <w:sz w:val="22"/>
          <w:szCs w:val="22"/>
          <w:lang w:val="es-ES"/>
        </w:rPr>
        <w:t>Categoría y Modalidad de la Consultoría:</w:t>
      </w:r>
      <w:r w:rsidRPr="00D97056">
        <w:rPr>
          <w:rFonts w:ascii="Arial" w:hAnsi="Arial" w:cs="Arial"/>
          <w:sz w:val="22"/>
          <w:szCs w:val="22"/>
          <w:lang w:val="es-ES"/>
        </w:rPr>
        <w:t xml:space="preserve"> Contractual de Productos y Servicios Externos, Suma Alzada</w:t>
      </w:r>
      <w:r>
        <w:rPr>
          <w:rFonts w:ascii="Arial" w:hAnsi="Arial" w:cs="Arial"/>
          <w:sz w:val="22"/>
          <w:szCs w:val="22"/>
          <w:lang w:val="es-ES"/>
        </w:rPr>
        <w:t>.</w:t>
      </w:r>
    </w:p>
    <w:p w14:paraId="4C924347" w14:textId="77777777" w:rsidR="004327ED" w:rsidRPr="00D97056" w:rsidRDefault="004327ED" w:rsidP="00B3684F">
      <w:pPr>
        <w:pStyle w:val="NoSpacing"/>
        <w:spacing w:before="120" w:after="120"/>
        <w:jc w:val="both"/>
        <w:rPr>
          <w:rFonts w:ascii="Arial" w:hAnsi="Arial" w:cs="Arial"/>
          <w:spacing w:val="-3"/>
          <w:sz w:val="22"/>
          <w:szCs w:val="22"/>
          <w:lang w:val="es-ES"/>
        </w:rPr>
      </w:pPr>
      <w:r w:rsidRPr="00D97056">
        <w:rPr>
          <w:rFonts w:ascii="Arial" w:hAnsi="Arial" w:cs="Arial"/>
          <w:b/>
          <w:sz w:val="22"/>
          <w:szCs w:val="22"/>
          <w:lang w:val="es-ES"/>
        </w:rPr>
        <w:t>Duración del Contrato</w:t>
      </w:r>
      <w:r w:rsidRPr="00D97056">
        <w:rPr>
          <w:rFonts w:ascii="Arial" w:hAnsi="Arial" w:cs="Arial"/>
          <w:sz w:val="22"/>
          <w:szCs w:val="22"/>
          <w:lang w:val="es-ES"/>
        </w:rPr>
        <w:t xml:space="preserve">: </w:t>
      </w:r>
      <w:r w:rsidR="00394EAC">
        <w:rPr>
          <w:rFonts w:ascii="Arial" w:hAnsi="Arial" w:cs="Arial"/>
          <w:sz w:val="22"/>
          <w:szCs w:val="22"/>
          <w:lang w:val="es-ES"/>
        </w:rPr>
        <w:t>20</w:t>
      </w:r>
      <w:r w:rsidRPr="00D97056">
        <w:rPr>
          <w:rFonts w:ascii="Arial" w:hAnsi="Arial" w:cs="Arial"/>
          <w:spacing w:val="-3"/>
          <w:sz w:val="22"/>
          <w:szCs w:val="22"/>
          <w:lang w:val="es-ES"/>
        </w:rPr>
        <w:t xml:space="preserve"> días </w:t>
      </w:r>
      <w:r w:rsidR="0087577D">
        <w:rPr>
          <w:rFonts w:ascii="Arial" w:hAnsi="Arial" w:cs="Arial"/>
          <w:spacing w:val="-3"/>
          <w:sz w:val="22"/>
          <w:szCs w:val="22"/>
          <w:lang w:val="es-ES"/>
        </w:rPr>
        <w:t xml:space="preserve">hábiles </w:t>
      </w:r>
      <w:r w:rsidRPr="00D97056">
        <w:rPr>
          <w:rFonts w:ascii="Arial" w:hAnsi="Arial" w:cs="Arial"/>
          <w:spacing w:val="-3"/>
          <w:sz w:val="22"/>
          <w:szCs w:val="22"/>
          <w:lang w:val="es-ES"/>
        </w:rPr>
        <w:t xml:space="preserve">de trabajo en un </w:t>
      </w:r>
      <w:r w:rsidR="00144C4D">
        <w:rPr>
          <w:rFonts w:ascii="Arial" w:hAnsi="Arial" w:cs="Arial"/>
          <w:spacing w:val="-3"/>
          <w:sz w:val="22"/>
          <w:szCs w:val="22"/>
          <w:lang w:val="es-ES"/>
        </w:rPr>
        <w:t>período</w:t>
      </w:r>
      <w:r w:rsidRPr="00D97056">
        <w:rPr>
          <w:rFonts w:ascii="Arial" w:hAnsi="Arial" w:cs="Arial"/>
          <w:spacing w:val="-3"/>
          <w:sz w:val="22"/>
          <w:szCs w:val="22"/>
          <w:lang w:val="es-ES"/>
        </w:rPr>
        <w:t xml:space="preserve"> de </w:t>
      </w:r>
      <w:r w:rsidR="00144C4D">
        <w:rPr>
          <w:rFonts w:ascii="Arial" w:hAnsi="Arial" w:cs="Arial"/>
          <w:spacing w:val="-3"/>
          <w:sz w:val="22"/>
          <w:szCs w:val="22"/>
          <w:lang w:val="es-ES"/>
        </w:rPr>
        <w:t>cuatro</w:t>
      </w:r>
      <w:r w:rsidRPr="00D97056">
        <w:rPr>
          <w:rFonts w:ascii="Arial" w:hAnsi="Arial" w:cs="Arial"/>
          <w:spacing w:val="-3"/>
          <w:sz w:val="22"/>
          <w:szCs w:val="22"/>
          <w:lang w:val="es-ES"/>
        </w:rPr>
        <w:t xml:space="preserve"> meses desde la firma del contrato. </w:t>
      </w:r>
    </w:p>
    <w:p w14:paraId="222BCC3E"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b/>
          <w:spacing w:val="-3"/>
          <w:sz w:val="22"/>
          <w:szCs w:val="22"/>
        </w:rPr>
        <w:lastRenderedPageBreak/>
        <w:t>Lugar de trabajo</w:t>
      </w:r>
      <w:r w:rsidRPr="00D97056">
        <w:rPr>
          <w:rFonts w:ascii="Arial" w:hAnsi="Arial" w:cs="Arial"/>
          <w:spacing w:val="-3"/>
          <w:sz w:val="22"/>
          <w:szCs w:val="22"/>
        </w:rPr>
        <w:t>: lugar de residencia del contractual</w:t>
      </w:r>
      <w:r w:rsidR="00961273">
        <w:rPr>
          <w:rFonts w:ascii="Arial" w:hAnsi="Arial" w:cs="Arial"/>
          <w:spacing w:val="-3"/>
          <w:sz w:val="22"/>
          <w:szCs w:val="22"/>
        </w:rPr>
        <w:t xml:space="preserve"> y Guatemala</w:t>
      </w:r>
      <w:r w:rsidRPr="00D97056">
        <w:rPr>
          <w:rFonts w:ascii="Arial" w:hAnsi="Arial" w:cs="Arial"/>
          <w:spacing w:val="-3"/>
          <w:sz w:val="22"/>
          <w:szCs w:val="22"/>
        </w:rPr>
        <w:t>.</w:t>
      </w:r>
    </w:p>
    <w:p w14:paraId="05472B03" w14:textId="77777777" w:rsidR="004327ED" w:rsidRPr="00D97056" w:rsidRDefault="004327ED" w:rsidP="004348BE">
      <w:pPr>
        <w:pStyle w:val="NoSpacing"/>
        <w:spacing w:before="120" w:after="120"/>
        <w:jc w:val="both"/>
        <w:rPr>
          <w:rFonts w:ascii="Arial" w:hAnsi="Arial" w:cs="Arial"/>
          <w:sz w:val="22"/>
          <w:szCs w:val="22"/>
          <w:lang w:val="es-ES"/>
        </w:rPr>
      </w:pPr>
      <w:r w:rsidRPr="00D97056">
        <w:rPr>
          <w:rFonts w:ascii="Arial" w:hAnsi="Arial" w:cs="Arial"/>
          <w:b/>
          <w:sz w:val="22"/>
          <w:szCs w:val="22"/>
          <w:lang w:val="es-ES_tradnl"/>
        </w:rPr>
        <w:t>Coordinación</w:t>
      </w:r>
      <w:r w:rsidRPr="00D97056">
        <w:rPr>
          <w:rFonts w:ascii="Arial" w:hAnsi="Arial" w:cs="Arial"/>
          <w:sz w:val="22"/>
          <w:szCs w:val="22"/>
          <w:lang w:val="es-ES_tradnl"/>
        </w:rPr>
        <w:t xml:space="preserve">: </w:t>
      </w:r>
      <w:r w:rsidR="00185291">
        <w:rPr>
          <w:rFonts w:ascii="Arial" w:hAnsi="Arial" w:cs="Arial"/>
          <w:sz w:val="22"/>
          <w:szCs w:val="22"/>
          <w:lang w:val="es-ES_tradnl"/>
        </w:rPr>
        <w:t xml:space="preserve">Jefe de Equipo del Proyecto, </w:t>
      </w:r>
      <w:r w:rsidR="0037197A">
        <w:rPr>
          <w:rFonts w:ascii="Arial" w:hAnsi="Arial" w:cs="Arial"/>
          <w:sz w:val="22"/>
          <w:szCs w:val="22"/>
          <w:lang w:val="es-ES_tradnl"/>
        </w:rPr>
        <w:t>Carlos Pimenta</w:t>
      </w:r>
      <w:r w:rsidRPr="00D97056">
        <w:rPr>
          <w:rFonts w:ascii="Arial" w:hAnsi="Arial" w:cs="Arial"/>
          <w:sz w:val="22"/>
          <w:szCs w:val="22"/>
          <w:lang w:val="es-ES_tradnl"/>
        </w:rPr>
        <w:t xml:space="preserve"> (</w:t>
      </w:r>
      <w:hyperlink r:id="rId27" w:history="1">
        <w:r w:rsidR="0037197A" w:rsidRPr="00B14F0C">
          <w:rPr>
            <w:rStyle w:val="Hyperlink"/>
            <w:rFonts w:ascii="Arial" w:eastAsiaTheme="majorEastAsia" w:hAnsi="Arial" w:cs="Arial"/>
            <w:sz w:val="22"/>
            <w:szCs w:val="22"/>
            <w:lang w:val="es-ES"/>
          </w:rPr>
          <w:t>carloscp@iadb.org</w:t>
        </w:r>
      </w:hyperlink>
      <w:r w:rsidRPr="00D97056">
        <w:rPr>
          <w:rFonts w:ascii="Arial" w:hAnsi="Arial" w:cs="Arial"/>
          <w:sz w:val="22"/>
          <w:szCs w:val="22"/>
          <w:lang w:val="es-ES_tradnl"/>
        </w:rPr>
        <w:t xml:space="preserve">), </w:t>
      </w:r>
      <w:r w:rsidRPr="00D97056">
        <w:rPr>
          <w:rFonts w:ascii="Arial" w:hAnsi="Arial" w:cs="Arial"/>
          <w:sz w:val="22"/>
          <w:szCs w:val="22"/>
          <w:lang w:val="es-ES"/>
        </w:rPr>
        <w:t>División de Gestión Fiscal y Municipal (FMM).</w:t>
      </w:r>
    </w:p>
    <w:p w14:paraId="1649C651" w14:textId="77777777" w:rsidR="004327ED" w:rsidRDefault="004327ED" w:rsidP="004348BE">
      <w:pPr>
        <w:spacing w:before="120" w:after="120" w:line="276" w:lineRule="auto"/>
        <w:rPr>
          <w:rFonts w:ascii="Arial" w:hAnsi="Arial" w:cs="Arial"/>
          <w:b/>
          <w:sz w:val="22"/>
          <w:szCs w:val="22"/>
          <w:lang w:val="es-ES"/>
        </w:rPr>
      </w:pPr>
      <w:r>
        <w:rPr>
          <w:rFonts w:ascii="Arial" w:hAnsi="Arial" w:cs="Arial"/>
          <w:b/>
          <w:sz w:val="22"/>
          <w:szCs w:val="22"/>
          <w:lang w:val="es-ES"/>
        </w:rPr>
        <w:br w:type="page"/>
      </w:r>
    </w:p>
    <w:p w14:paraId="2749DC0E" w14:textId="77777777" w:rsidR="0037197A" w:rsidRPr="0037197A" w:rsidRDefault="0037197A" w:rsidP="004348BE">
      <w:pPr>
        <w:spacing w:before="120" w:after="120" w:line="276" w:lineRule="auto"/>
        <w:jc w:val="center"/>
        <w:rPr>
          <w:rFonts w:ascii="Arial" w:hAnsi="Arial" w:cs="Arial"/>
          <w:b/>
          <w:sz w:val="22"/>
          <w:szCs w:val="22"/>
          <w:lang w:val="pt-BR"/>
        </w:rPr>
      </w:pPr>
      <w:r w:rsidRPr="0037197A">
        <w:rPr>
          <w:rFonts w:ascii="Arial" w:hAnsi="Arial" w:cs="Arial"/>
          <w:b/>
          <w:sz w:val="22"/>
          <w:szCs w:val="22"/>
          <w:lang w:val="pt-BR"/>
        </w:rPr>
        <w:lastRenderedPageBreak/>
        <w:t xml:space="preserve">ANEXO </w:t>
      </w:r>
      <w:r w:rsidR="00647CC8">
        <w:rPr>
          <w:rFonts w:ascii="Arial" w:hAnsi="Arial" w:cs="Arial"/>
          <w:b/>
          <w:sz w:val="22"/>
          <w:szCs w:val="22"/>
          <w:lang w:val="pt-BR"/>
        </w:rPr>
        <w:t>2</w:t>
      </w:r>
    </w:p>
    <w:p w14:paraId="578BDBA1" w14:textId="77777777" w:rsidR="0037197A" w:rsidRPr="00E9637C" w:rsidRDefault="0037197A" w:rsidP="004348BE">
      <w:pPr>
        <w:pStyle w:val="Paragraph"/>
        <w:numPr>
          <w:ilvl w:val="0"/>
          <w:numId w:val="0"/>
        </w:numPr>
        <w:jc w:val="center"/>
        <w:rPr>
          <w:rFonts w:ascii="Arial" w:hAnsi="Arial" w:cs="Arial"/>
          <w:b/>
          <w:sz w:val="22"/>
          <w:lang w:val="pt-BR"/>
        </w:rPr>
      </w:pPr>
      <w:r w:rsidRPr="00E9637C">
        <w:rPr>
          <w:rFonts w:ascii="Arial" w:hAnsi="Arial" w:cs="Arial"/>
          <w:b/>
          <w:sz w:val="22"/>
          <w:szCs w:val="22"/>
          <w:lang w:val="pt-BR"/>
        </w:rPr>
        <w:t xml:space="preserve">Consultoria para </w:t>
      </w:r>
      <w:r w:rsidRPr="00E9637C">
        <w:rPr>
          <w:rFonts w:ascii="Arial" w:hAnsi="Arial" w:cs="Arial"/>
          <w:b/>
          <w:sz w:val="22"/>
          <w:lang w:val="pt-BR"/>
        </w:rPr>
        <w:t xml:space="preserve">Componente III: </w:t>
      </w:r>
    </w:p>
    <w:p w14:paraId="2B758176" w14:textId="77777777" w:rsidR="0037197A" w:rsidRPr="0037197A" w:rsidRDefault="0037197A" w:rsidP="004348BE">
      <w:pPr>
        <w:pStyle w:val="Paragraph"/>
        <w:numPr>
          <w:ilvl w:val="0"/>
          <w:numId w:val="0"/>
        </w:numPr>
        <w:jc w:val="center"/>
        <w:rPr>
          <w:rFonts w:ascii="Arial" w:hAnsi="Arial" w:cs="Arial"/>
          <w:b/>
          <w:sz w:val="22"/>
        </w:rPr>
      </w:pPr>
      <w:r w:rsidRPr="00B1764C">
        <w:rPr>
          <w:rFonts w:ascii="Arial" w:hAnsi="Arial" w:cs="Arial"/>
          <w:b/>
          <w:sz w:val="22"/>
        </w:rPr>
        <w:t xml:space="preserve">Mejorar la transparencia del sector financiero y de las actividades </w:t>
      </w:r>
      <w:r w:rsidRPr="00C12B7F">
        <w:rPr>
          <w:rFonts w:ascii="Arial" w:hAnsi="Arial" w:cs="Arial"/>
          <w:b/>
          <w:i/>
          <w:sz w:val="22"/>
        </w:rPr>
        <w:t>off-shore</w:t>
      </w:r>
      <w:r>
        <w:rPr>
          <w:rFonts w:ascii="Arial" w:hAnsi="Arial" w:cs="Arial"/>
          <w:b/>
          <w:sz w:val="22"/>
        </w:rPr>
        <w:t>.</w:t>
      </w:r>
    </w:p>
    <w:p w14:paraId="55F45AC4" w14:textId="77777777" w:rsidR="0037197A" w:rsidRPr="00D97056" w:rsidRDefault="0037197A" w:rsidP="004348BE">
      <w:pPr>
        <w:spacing w:before="120" w:after="120" w:line="360" w:lineRule="auto"/>
        <w:jc w:val="center"/>
        <w:rPr>
          <w:rFonts w:ascii="Arial" w:hAnsi="Arial" w:cs="Arial"/>
          <w:b/>
          <w:caps/>
          <w:sz w:val="22"/>
          <w:szCs w:val="22"/>
          <w:lang w:val="es-ES"/>
        </w:rPr>
      </w:pPr>
      <w:r>
        <w:rPr>
          <w:rFonts w:ascii="Arial" w:hAnsi="Arial" w:cs="Arial"/>
          <w:b/>
          <w:sz w:val="22"/>
          <w:szCs w:val="22"/>
          <w:lang w:val="es-ES"/>
        </w:rPr>
        <w:t>Borrador de Términos de R</w:t>
      </w:r>
      <w:r w:rsidRPr="00D97056">
        <w:rPr>
          <w:rFonts w:ascii="Arial" w:hAnsi="Arial" w:cs="Arial"/>
          <w:b/>
          <w:sz w:val="22"/>
          <w:szCs w:val="22"/>
          <w:lang w:val="es-ES"/>
        </w:rPr>
        <w:t>eferencia</w:t>
      </w:r>
    </w:p>
    <w:p w14:paraId="1A4AF54F" w14:textId="77777777" w:rsidR="0037197A" w:rsidRPr="00D97056" w:rsidRDefault="0037197A"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Objetivos</w:t>
      </w:r>
    </w:p>
    <w:p w14:paraId="48B1A4F3" w14:textId="77777777" w:rsidR="0037197A" w:rsidRDefault="0058209F" w:rsidP="004348BE">
      <w:pPr>
        <w:pStyle w:val="Paragraph"/>
        <w:numPr>
          <w:ilvl w:val="0"/>
          <w:numId w:val="0"/>
        </w:numPr>
        <w:rPr>
          <w:rFonts w:ascii="Arial" w:hAnsi="Arial" w:cs="Arial"/>
          <w:sz w:val="22"/>
        </w:rPr>
      </w:pPr>
      <w:r w:rsidRPr="0058209F">
        <w:rPr>
          <w:rFonts w:ascii="Arial" w:hAnsi="Arial" w:cs="Arial"/>
          <w:sz w:val="22"/>
          <w:lang w:val="es-ES_tradnl"/>
        </w:rPr>
        <w:t xml:space="preserve">El objetivo es monitorear las acciones de </w:t>
      </w:r>
      <w:r w:rsidR="0037197A" w:rsidRPr="00A02FE3">
        <w:rPr>
          <w:rFonts w:ascii="Arial" w:hAnsi="Arial" w:cs="Arial"/>
          <w:sz w:val="22"/>
        </w:rPr>
        <w:t>fortalec</w:t>
      </w:r>
      <w:r>
        <w:rPr>
          <w:rFonts w:ascii="Arial" w:hAnsi="Arial" w:cs="Arial"/>
          <w:sz w:val="22"/>
        </w:rPr>
        <w:t>imiento de</w:t>
      </w:r>
      <w:r w:rsidR="0037197A" w:rsidRPr="00A02FE3">
        <w:rPr>
          <w:rFonts w:ascii="Arial" w:hAnsi="Arial" w:cs="Arial"/>
          <w:sz w:val="22"/>
        </w:rPr>
        <w:t xml:space="preserve"> la prevención del lavado de activos con regulación, divulgación e intercambio de información y alineamien</w:t>
      </w:r>
      <w:r w:rsidR="0037197A">
        <w:rPr>
          <w:rFonts w:ascii="Arial" w:hAnsi="Arial" w:cs="Arial"/>
          <w:sz w:val="22"/>
        </w:rPr>
        <w:t>to a estándares internacionales</w:t>
      </w:r>
      <w:r>
        <w:rPr>
          <w:rFonts w:ascii="Arial" w:hAnsi="Arial" w:cs="Arial"/>
          <w:sz w:val="22"/>
        </w:rPr>
        <w:t xml:space="preserve">, </w:t>
      </w:r>
      <w:r w:rsidRPr="00A02FE3">
        <w:rPr>
          <w:rFonts w:ascii="Arial" w:hAnsi="Arial" w:cs="Arial"/>
          <w:sz w:val="22"/>
        </w:rPr>
        <w:t xml:space="preserve">mediante </w:t>
      </w:r>
      <w:r>
        <w:rPr>
          <w:rFonts w:ascii="Arial" w:hAnsi="Arial" w:cs="Arial"/>
          <w:sz w:val="22"/>
        </w:rPr>
        <w:t>cinco</w:t>
      </w:r>
      <w:r w:rsidRPr="00A02FE3">
        <w:rPr>
          <w:rFonts w:ascii="Arial" w:hAnsi="Arial" w:cs="Arial"/>
          <w:sz w:val="22"/>
        </w:rPr>
        <w:t xml:space="preserve"> acciones de política</w:t>
      </w:r>
      <w:r>
        <w:rPr>
          <w:rFonts w:ascii="Arial" w:hAnsi="Arial" w:cs="Arial"/>
          <w:sz w:val="22"/>
        </w:rPr>
        <w:t>:</w:t>
      </w:r>
    </w:p>
    <w:p w14:paraId="6211E288" w14:textId="77777777" w:rsidR="0058209F" w:rsidRPr="0058209F" w:rsidRDefault="0058209F" w:rsidP="004348BE">
      <w:pPr>
        <w:pStyle w:val="Paragraph"/>
        <w:numPr>
          <w:ilvl w:val="0"/>
          <w:numId w:val="38"/>
        </w:numPr>
        <w:rPr>
          <w:rFonts w:ascii="Arial" w:hAnsi="Arial" w:cs="Arial"/>
          <w:sz w:val="22"/>
          <w:lang w:val="es-ES_tradnl"/>
        </w:rPr>
      </w:pPr>
      <w:r w:rsidRPr="0058209F">
        <w:rPr>
          <w:rFonts w:ascii="Arial" w:hAnsi="Arial" w:cs="Arial"/>
          <w:sz w:val="22"/>
          <w:lang w:val="es-ES_tradnl"/>
        </w:rPr>
        <w:t>Mejorar la regulación y supervisión del sector financiero, en especial de las entidades off-shore, requiriendo capital adicional a entidades que otorguen financiamiento en moneda extranjera a deudores no generadores de divisas, mediante una Resolución de la Junta Monetaria que modifica el reglamento sobre la adecuación de capital para entidades fuera de plaza o entidades off-shore, casas de bolsa, empresas especializadas en servicios financieros, almacenes generales de depósito y casas de cambio, que forman parte de un Grupo Financiero y emisores de tarjetas de crédito que no formen parte de un grupo financiero;</w:t>
      </w:r>
    </w:p>
    <w:p w14:paraId="632C5698" w14:textId="77777777" w:rsidR="0058209F" w:rsidRPr="0058209F" w:rsidRDefault="0058209F" w:rsidP="004348BE">
      <w:pPr>
        <w:pStyle w:val="Paragraph"/>
        <w:numPr>
          <w:ilvl w:val="0"/>
          <w:numId w:val="38"/>
        </w:numPr>
        <w:rPr>
          <w:rFonts w:ascii="Arial" w:hAnsi="Arial" w:cs="Arial"/>
          <w:sz w:val="22"/>
          <w:lang w:val="es-ES_tradnl"/>
        </w:rPr>
      </w:pPr>
      <w:r w:rsidRPr="0058209F">
        <w:rPr>
          <w:rFonts w:ascii="Arial" w:hAnsi="Arial" w:cs="Arial"/>
          <w:sz w:val="22"/>
          <w:lang w:val="es-ES_tradnl"/>
        </w:rPr>
        <w:t>Mejorar la divulgación de la información de los indicadores financieros, respecto de la información histórica del sector, en especial de las entidades fuera de plaza o entidades off shore, las empresas especializadas en servicios financieros y otras que califique la Junta Monetaria, que formen parte de un grupo financiero y las casas de cambio y los emisores de tarjeta de crédito, facultando al órgano supervisor a requerir la actualización de dicha información;</w:t>
      </w:r>
    </w:p>
    <w:p w14:paraId="3702E13B" w14:textId="77777777" w:rsidR="0058209F" w:rsidRPr="0058209F" w:rsidRDefault="0058209F" w:rsidP="004348BE">
      <w:pPr>
        <w:pStyle w:val="Paragraph"/>
        <w:numPr>
          <w:ilvl w:val="0"/>
          <w:numId w:val="38"/>
        </w:numPr>
        <w:rPr>
          <w:rFonts w:ascii="Arial" w:hAnsi="Arial" w:cs="Arial"/>
          <w:sz w:val="22"/>
          <w:lang w:val="es-ES_tradnl"/>
        </w:rPr>
      </w:pPr>
      <w:r w:rsidRPr="0058209F">
        <w:rPr>
          <w:rFonts w:ascii="Arial" w:hAnsi="Arial" w:cs="Arial"/>
          <w:sz w:val="22"/>
          <w:lang w:val="es-ES_tradnl"/>
        </w:rPr>
        <w:t>Fortalecer el sistema de prevención de lavado de activos en Guatemala, observando las recomendaciones del GAFI (Grupo de Acción Financiera, o FATF por sus siglas en inglés) y su metodología de evaluación, con la adopción por parte de la Comisión Presidencial de Coordinación de los Esfuerzos Contra el Lavado de Dinero u Otros Activos, el Financiamiento del Terrorismo y el Financiamiento de la Proliferación de Armas de Destrucción Masiva en Guatemala (COPRECLAFT) de un Plan Estratégico Nacional en cumplimiento de los Estándares del GAFI;</w:t>
      </w:r>
    </w:p>
    <w:p w14:paraId="04877060" w14:textId="77777777" w:rsidR="0058209F" w:rsidRPr="0058209F" w:rsidRDefault="0058209F" w:rsidP="004348BE">
      <w:pPr>
        <w:pStyle w:val="Paragraph"/>
        <w:numPr>
          <w:ilvl w:val="0"/>
          <w:numId w:val="38"/>
        </w:numPr>
        <w:rPr>
          <w:rFonts w:ascii="Arial" w:hAnsi="Arial" w:cs="Arial"/>
          <w:sz w:val="22"/>
          <w:lang w:val="es-ES_tradnl"/>
        </w:rPr>
      </w:pPr>
      <w:r w:rsidRPr="0058209F">
        <w:rPr>
          <w:rFonts w:ascii="Arial" w:hAnsi="Arial" w:cs="Arial"/>
          <w:sz w:val="22"/>
          <w:lang w:val="es-ES_tradnl"/>
        </w:rPr>
        <w:t>Mejorar el intercambio de información entre las entidades miembros e invitadas de la COPRECLAFT con responsabilidad en la prevención de lavado de activos y de administración tributaria, mediante la adopción de un acuerdo marco de coordinación interinstitucional e intercambio de información entre los mismos, incluyendo la SAT; e implementar un sistema de intercambio de información estadística entre las entidades miembros e invitadas de la COPRECLAFT con una plataforma tecnológica diseñada con tal propósito; y</w:t>
      </w:r>
    </w:p>
    <w:p w14:paraId="5AEEC17B" w14:textId="77777777" w:rsidR="0058209F" w:rsidRPr="00D97056" w:rsidRDefault="0058209F" w:rsidP="004348BE">
      <w:pPr>
        <w:pStyle w:val="Paragraph"/>
        <w:numPr>
          <w:ilvl w:val="0"/>
          <w:numId w:val="38"/>
        </w:numPr>
        <w:rPr>
          <w:rFonts w:ascii="Arial" w:hAnsi="Arial" w:cs="Arial"/>
          <w:spacing w:val="-3"/>
          <w:sz w:val="22"/>
          <w:szCs w:val="22"/>
        </w:rPr>
      </w:pPr>
      <w:r w:rsidRPr="0058209F">
        <w:rPr>
          <w:rFonts w:ascii="Arial" w:hAnsi="Arial" w:cs="Arial"/>
          <w:sz w:val="22"/>
          <w:lang w:val="es-ES_tradnl"/>
        </w:rPr>
        <w:t xml:space="preserve">Fortalecer la normativa de prevención y represión del lavado de activos y financiamiento del terrorismo y la proliferación de armas de destrucción masiva, mediante la preparación y envío al Congreso de la República de un proyecto de </w:t>
      </w:r>
      <w:r w:rsidRPr="0058209F">
        <w:rPr>
          <w:rFonts w:ascii="Arial" w:hAnsi="Arial" w:cs="Arial"/>
          <w:sz w:val="22"/>
          <w:lang w:val="es-ES_tradnl"/>
        </w:rPr>
        <w:lastRenderedPageBreak/>
        <w:t>ley de actualización y fortalecimiento del marco legal para la prevención, control y represión de la delincuencia financiera</w:t>
      </w:r>
    </w:p>
    <w:p w14:paraId="148164C7" w14:textId="77777777" w:rsidR="0037197A" w:rsidRPr="00D97056" w:rsidRDefault="0037197A"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Actividades</w:t>
      </w:r>
    </w:p>
    <w:p w14:paraId="4303D8A5" w14:textId="65E6DF13" w:rsidR="0037197A" w:rsidRPr="00D97056" w:rsidRDefault="0037197A" w:rsidP="004348BE">
      <w:pPr>
        <w:pStyle w:val="Paragraph"/>
        <w:numPr>
          <w:ilvl w:val="0"/>
          <w:numId w:val="0"/>
        </w:numPr>
        <w:rPr>
          <w:rFonts w:ascii="Arial" w:hAnsi="Arial" w:cs="Arial"/>
          <w:spacing w:val="-3"/>
          <w:sz w:val="22"/>
          <w:szCs w:val="22"/>
        </w:rPr>
      </w:pPr>
      <w:r w:rsidRPr="00D97056">
        <w:rPr>
          <w:rFonts w:ascii="Arial" w:hAnsi="Arial" w:cs="Arial"/>
          <w:spacing w:val="-3"/>
          <w:sz w:val="22"/>
          <w:szCs w:val="22"/>
        </w:rPr>
        <w:t xml:space="preserve">Preparar un documento con el análisis de las </w:t>
      </w:r>
      <w:r>
        <w:rPr>
          <w:rFonts w:ascii="Arial" w:hAnsi="Arial" w:cs="Arial"/>
          <w:spacing w:val="-3"/>
          <w:sz w:val="22"/>
          <w:szCs w:val="22"/>
        </w:rPr>
        <w:t xml:space="preserve">medidas de reforma </w:t>
      </w:r>
      <w:r w:rsidR="0058209F">
        <w:rPr>
          <w:rFonts w:ascii="Arial" w:hAnsi="Arial" w:cs="Arial"/>
          <w:spacing w:val="-3"/>
          <w:sz w:val="22"/>
          <w:szCs w:val="22"/>
        </w:rPr>
        <w:t>de la transparencia fiscal</w:t>
      </w:r>
      <w:r>
        <w:rPr>
          <w:rFonts w:ascii="Arial" w:hAnsi="Arial" w:cs="Arial"/>
          <w:spacing w:val="-3"/>
          <w:sz w:val="22"/>
          <w:szCs w:val="22"/>
        </w:rPr>
        <w:t xml:space="preserve"> </w:t>
      </w:r>
      <w:r w:rsidRPr="00D97056">
        <w:rPr>
          <w:rFonts w:ascii="Arial" w:hAnsi="Arial" w:cs="Arial"/>
          <w:spacing w:val="-3"/>
          <w:sz w:val="22"/>
          <w:szCs w:val="22"/>
        </w:rPr>
        <w:t xml:space="preserve">llevadas a cabo en </w:t>
      </w:r>
      <w:r>
        <w:rPr>
          <w:rFonts w:ascii="Arial" w:hAnsi="Arial" w:cs="Arial"/>
          <w:spacing w:val="-3"/>
          <w:sz w:val="22"/>
          <w:szCs w:val="22"/>
        </w:rPr>
        <w:t>Guatemala</w:t>
      </w:r>
      <w:r w:rsidRPr="00D97056">
        <w:rPr>
          <w:rFonts w:ascii="Arial" w:hAnsi="Arial" w:cs="Arial"/>
          <w:spacing w:val="-3"/>
          <w:sz w:val="22"/>
          <w:szCs w:val="22"/>
        </w:rPr>
        <w:t>, que contenga lo siguiente:</w:t>
      </w:r>
      <w:r w:rsidR="0058209F" w:rsidRPr="0058209F">
        <w:rPr>
          <w:rFonts w:ascii="Arial" w:hAnsi="Arial" w:cs="Arial"/>
          <w:spacing w:val="-3"/>
          <w:sz w:val="22"/>
          <w:szCs w:val="22"/>
          <w:lang w:val="es-ES_tradnl"/>
        </w:rPr>
        <w:t xml:space="preserve"> (i) levantamiento de la situación de cada indicador del Componente </w:t>
      </w:r>
      <w:r w:rsidR="0058209F">
        <w:rPr>
          <w:rFonts w:ascii="Arial" w:hAnsi="Arial" w:cs="Arial"/>
          <w:spacing w:val="-3"/>
          <w:sz w:val="22"/>
          <w:szCs w:val="22"/>
          <w:lang w:val="es-ES_tradnl"/>
        </w:rPr>
        <w:t>I</w:t>
      </w:r>
      <w:r w:rsidR="0058209F" w:rsidRPr="0058209F">
        <w:rPr>
          <w:rFonts w:ascii="Arial" w:hAnsi="Arial" w:cs="Arial"/>
          <w:spacing w:val="-3"/>
          <w:sz w:val="22"/>
          <w:szCs w:val="22"/>
          <w:lang w:val="es-ES_tradnl"/>
        </w:rPr>
        <w:t xml:space="preserve">II incluido en la Matriz de Resultados del </w:t>
      </w:r>
      <w:r w:rsidR="00724AE6">
        <w:rPr>
          <w:rFonts w:ascii="Arial" w:hAnsi="Arial" w:cs="Arial"/>
          <w:spacing w:val="-3"/>
          <w:sz w:val="22"/>
          <w:szCs w:val="22"/>
          <w:lang w:val="es-ES_tradnl"/>
        </w:rPr>
        <w:t>programa</w:t>
      </w:r>
      <w:r w:rsidR="0058209F" w:rsidRPr="0058209F">
        <w:rPr>
          <w:rFonts w:ascii="Arial" w:hAnsi="Arial" w:cs="Arial"/>
          <w:spacing w:val="-3"/>
          <w:sz w:val="22"/>
          <w:szCs w:val="22"/>
          <w:lang w:val="es-ES_tradnl"/>
        </w:rPr>
        <w:t xml:space="preserve">, (ii) análisis de los resultados de cada indicador y diálogo con la </w:t>
      </w:r>
      <w:r w:rsidR="002B692F">
        <w:rPr>
          <w:rFonts w:ascii="Arial" w:hAnsi="Arial" w:cs="Arial"/>
          <w:spacing w:val="-3"/>
          <w:sz w:val="22"/>
          <w:szCs w:val="22"/>
          <w:lang w:val="es-ES_tradnl"/>
        </w:rPr>
        <w:t>SIB</w:t>
      </w:r>
      <w:r w:rsidR="0058209F" w:rsidRPr="0058209F">
        <w:rPr>
          <w:rFonts w:ascii="Arial" w:hAnsi="Arial" w:cs="Arial"/>
          <w:spacing w:val="-3"/>
          <w:sz w:val="22"/>
          <w:szCs w:val="22"/>
          <w:lang w:val="es-ES_tradnl"/>
        </w:rPr>
        <w:t xml:space="preserve"> para verificar eventuales ajustes y mejoras necesarias, (iii) recomendaciones sobre la calidad de los resultados de los indicadores y sobre el nivel de avance hacia las metas establecidas en la Matriz de Resultados</w:t>
      </w:r>
      <w:r w:rsidR="006D3F58">
        <w:rPr>
          <w:rFonts w:ascii="Arial" w:hAnsi="Arial" w:cs="Arial"/>
          <w:spacing w:val="-3"/>
          <w:sz w:val="22"/>
          <w:szCs w:val="22"/>
          <w:lang w:val="es-ES_tradnl"/>
        </w:rPr>
        <w:t>.</w:t>
      </w:r>
    </w:p>
    <w:p w14:paraId="059B0E2F"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Productos y Forma de Pago</w:t>
      </w:r>
    </w:p>
    <w:p w14:paraId="287BC531" w14:textId="6508BF08" w:rsidR="006D3F58" w:rsidRPr="006D3F58" w:rsidRDefault="006D3F58" w:rsidP="004348BE">
      <w:pPr>
        <w:spacing w:before="120" w:after="120"/>
        <w:jc w:val="both"/>
        <w:outlineLvl w:val="1"/>
        <w:rPr>
          <w:rFonts w:ascii="Arial" w:hAnsi="Arial" w:cs="Arial"/>
          <w:spacing w:val="-3"/>
          <w:sz w:val="22"/>
          <w:szCs w:val="22"/>
          <w:lang w:val="es-ES"/>
        </w:rPr>
      </w:pPr>
      <w:r w:rsidRPr="006D3F58">
        <w:rPr>
          <w:rFonts w:ascii="Arial" w:hAnsi="Arial" w:cs="Arial"/>
          <w:spacing w:val="-3"/>
          <w:sz w:val="22"/>
          <w:szCs w:val="22"/>
          <w:lang w:val="es-ES"/>
        </w:rPr>
        <w:t xml:space="preserve">El contractual presentará un informe preliminar, conteniendo los análisis mencionados en la sección “Actividades”. El informe preliminar será analizado por la </w:t>
      </w:r>
      <w:r w:rsidR="002B692F">
        <w:rPr>
          <w:rFonts w:ascii="Arial" w:hAnsi="Arial" w:cs="Arial"/>
          <w:spacing w:val="-3"/>
          <w:sz w:val="22"/>
          <w:szCs w:val="22"/>
          <w:lang w:val="es-ES"/>
        </w:rPr>
        <w:t>SIB</w:t>
      </w:r>
      <w:r w:rsidRPr="006D3F58">
        <w:rPr>
          <w:rFonts w:ascii="Arial" w:hAnsi="Arial" w:cs="Arial"/>
          <w:spacing w:val="-3"/>
          <w:sz w:val="22"/>
          <w:szCs w:val="22"/>
          <w:lang w:val="es-ES"/>
        </w:rPr>
        <w:t xml:space="preserve"> y por el Equipo de Proyecto del Banco que entregarán comentarios y sugerencias. El consultor entregará un informe final con los ajustes y complementaciones requeridos.</w:t>
      </w:r>
    </w:p>
    <w:p w14:paraId="2F48B168" w14:textId="77777777" w:rsidR="006D3F58" w:rsidRPr="006D3F58" w:rsidRDefault="006D3F58" w:rsidP="004348BE">
      <w:pPr>
        <w:spacing w:before="120" w:after="120"/>
        <w:jc w:val="both"/>
        <w:outlineLvl w:val="1"/>
        <w:rPr>
          <w:rFonts w:ascii="Arial" w:hAnsi="Arial" w:cs="Arial"/>
          <w:spacing w:val="-3"/>
          <w:sz w:val="22"/>
          <w:szCs w:val="22"/>
          <w:lang w:val="es-ES"/>
        </w:rPr>
      </w:pPr>
      <w:r w:rsidRPr="006D3F58">
        <w:rPr>
          <w:rFonts w:ascii="Arial" w:hAnsi="Arial" w:cs="Arial"/>
          <w:sz w:val="22"/>
          <w:szCs w:val="22"/>
          <w:lang w:val="es-ES"/>
        </w:rPr>
        <w:t>El pago se realizará el 50% a la firma del contrato, y el 50% contra la entrega y aprobación por parte del BID del informe final. E</w:t>
      </w:r>
      <w:r w:rsidRPr="006D3F58">
        <w:rPr>
          <w:rFonts w:ascii="Arial" w:hAnsi="Arial" w:cs="Arial"/>
          <w:spacing w:val="-3"/>
          <w:sz w:val="22"/>
          <w:szCs w:val="22"/>
          <w:lang w:val="es-ES"/>
        </w:rPr>
        <w:t>l costo de la consultoría se estima en US$</w:t>
      </w:r>
      <w:r w:rsidR="00961273">
        <w:rPr>
          <w:rFonts w:ascii="Arial" w:hAnsi="Arial" w:cs="Arial"/>
          <w:spacing w:val="-3"/>
          <w:sz w:val="22"/>
          <w:szCs w:val="22"/>
          <w:lang w:val="es-ES"/>
        </w:rPr>
        <w:t>5</w:t>
      </w:r>
      <w:r w:rsidRPr="006D3F58">
        <w:rPr>
          <w:rFonts w:ascii="Arial" w:hAnsi="Arial" w:cs="Arial"/>
          <w:spacing w:val="-3"/>
          <w:sz w:val="22"/>
          <w:szCs w:val="22"/>
          <w:lang w:val="es-ES"/>
        </w:rPr>
        <w:t>.000.</w:t>
      </w:r>
    </w:p>
    <w:p w14:paraId="12CABCFF"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Calificaciones</w:t>
      </w:r>
    </w:p>
    <w:p w14:paraId="06C150CA"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spacing w:val="-3"/>
          <w:sz w:val="22"/>
          <w:szCs w:val="22"/>
        </w:rPr>
        <w:t xml:space="preserve">El contractual debe tener un título de maestría o doctorado en economía, políticas públicas o afines. Con 10 años de experiencia en temas de </w:t>
      </w:r>
      <w:r w:rsidR="00961273">
        <w:rPr>
          <w:rFonts w:ascii="Arial" w:hAnsi="Arial" w:cs="Arial"/>
          <w:spacing w:val="-3"/>
          <w:sz w:val="22"/>
          <w:szCs w:val="22"/>
        </w:rPr>
        <w:t>transparencia financiera</w:t>
      </w:r>
      <w:r w:rsidRPr="00D97056">
        <w:rPr>
          <w:rFonts w:ascii="Arial" w:hAnsi="Arial" w:cs="Arial"/>
          <w:spacing w:val="-3"/>
          <w:sz w:val="22"/>
          <w:szCs w:val="22"/>
        </w:rPr>
        <w:t>.</w:t>
      </w:r>
    </w:p>
    <w:p w14:paraId="41451A2B" w14:textId="77777777" w:rsidR="004327ED" w:rsidRPr="00D97056" w:rsidRDefault="004327ED" w:rsidP="004348BE">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Características</w:t>
      </w:r>
    </w:p>
    <w:p w14:paraId="1309B3B9"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b/>
          <w:spacing w:val="-3"/>
          <w:sz w:val="22"/>
          <w:szCs w:val="22"/>
        </w:rPr>
        <w:t xml:space="preserve">Categoría y Modalidad de la Consultoría: </w:t>
      </w:r>
      <w:r w:rsidRPr="00D97056">
        <w:rPr>
          <w:rFonts w:ascii="Arial" w:hAnsi="Arial" w:cs="Arial"/>
          <w:spacing w:val="-3"/>
          <w:sz w:val="22"/>
          <w:szCs w:val="22"/>
        </w:rPr>
        <w:t>Contractual de Productos y Servicios Externos, Suma Alzada</w:t>
      </w:r>
    </w:p>
    <w:p w14:paraId="76407A59"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b/>
          <w:spacing w:val="-3"/>
          <w:sz w:val="22"/>
          <w:szCs w:val="22"/>
        </w:rPr>
        <w:t xml:space="preserve">Duración del Contrato: </w:t>
      </w:r>
      <w:r w:rsidR="00961273" w:rsidRPr="00961273">
        <w:rPr>
          <w:rFonts w:ascii="Arial" w:hAnsi="Arial" w:cs="Arial"/>
          <w:spacing w:val="-3"/>
          <w:sz w:val="22"/>
          <w:szCs w:val="22"/>
        </w:rPr>
        <w:t>1</w:t>
      </w:r>
      <w:r w:rsidRPr="00D97056">
        <w:rPr>
          <w:rFonts w:ascii="Arial" w:hAnsi="Arial" w:cs="Arial"/>
          <w:spacing w:val="-3"/>
          <w:sz w:val="22"/>
          <w:szCs w:val="22"/>
        </w:rPr>
        <w:t xml:space="preserve">0 días </w:t>
      </w:r>
      <w:r w:rsidR="00961273">
        <w:rPr>
          <w:rFonts w:ascii="Arial" w:hAnsi="Arial" w:cs="Arial"/>
          <w:spacing w:val="-3"/>
          <w:sz w:val="22"/>
          <w:szCs w:val="22"/>
        </w:rPr>
        <w:t xml:space="preserve">hábiles </w:t>
      </w:r>
      <w:r w:rsidRPr="00D97056">
        <w:rPr>
          <w:rFonts w:ascii="Arial" w:hAnsi="Arial" w:cs="Arial"/>
          <w:spacing w:val="-3"/>
          <w:sz w:val="22"/>
          <w:szCs w:val="22"/>
        </w:rPr>
        <w:t xml:space="preserve">de trabajo en un </w:t>
      </w:r>
      <w:r w:rsidR="00144C4D">
        <w:rPr>
          <w:rFonts w:ascii="Arial" w:hAnsi="Arial" w:cs="Arial"/>
          <w:spacing w:val="-3"/>
          <w:sz w:val="22"/>
          <w:szCs w:val="22"/>
        </w:rPr>
        <w:t>período</w:t>
      </w:r>
      <w:r w:rsidRPr="00D97056">
        <w:rPr>
          <w:rFonts w:ascii="Arial" w:hAnsi="Arial" w:cs="Arial"/>
          <w:spacing w:val="-3"/>
          <w:sz w:val="22"/>
          <w:szCs w:val="22"/>
        </w:rPr>
        <w:t xml:space="preserve"> de </w:t>
      </w:r>
      <w:r w:rsidR="00961273">
        <w:rPr>
          <w:rFonts w:ascii="Arial" w:hAnsi="Arial" w:cs="Arial"/>
          <w:spacing w:val="-3"/>
          <w:sz w:val="22"/>
          <w:szCs w:val="22"/>
        </w:rPr>
        <w:t>tres</w:t>
      </w:r>
      <w:r w:rsidRPr="00D97056">
        <w:rPr>
          <w:rFonts w:ascii="Arial" w:hAnsi="Arial" w:cs="Arial"/>
          <w:spacing w:val="-3"/>
          <w:sz w:val="22"/>
          <w:szCs w:val="22"/>
        </w:rPr>
        <w:t xml:space="preserve"> meses desde la firma del contrato. </w:t>
      </w:r>
    </w:p>
    <w:p w14:paraId="22A2A6BD" w14:textId="77777777" w:rsidR="004327ED" w:rsidRPr="00D97056" w:rsidRDefault="004327ED" w:rsidP="004348BE">
      <w:pPr>
        <w:pStyle w:val="Paragraph"/>
        <w:numPr>
          <w:ilvl w:val="0"/>
          <w:numId w:val="0"/>
        </w:numPr>
        <w:rPr>
          <w:rFonts w:ascii="Arial" w:hAnsi="Arial" w:cs="Arial"/>
          <w:spacing w:val="-3"/>
          <w:sz w:val="22"/>
          <w:szCs w:val="22"/>
        </w:rPr>
      </w:pPr>
      <w:r w:rsidRPr="00D97056">
        <w:rPr>
          <w:rFonts w:ascii="Arial" w:hAnsi="Arial" w:cs="Arial"/>
          <w:b/>
          <w:spacing w:val="-3"/>
          <w:sz w:val="22"/>
          <w:szCs w:val="22"/>
        </w:rPr>
        <w:t>Lugar de trabajo</w:t>
      </w:r>
      <w:r w:rsidRPr="00D97056">
        <w:rPr>
          <w:rFonts w:ascii="Arial" w:hAnsi="Arial" w:cs="Arial"/>
          <w:spacing w:val="-3"/>
          <w:sz w:val="22"/>
          <w:szCs w:val="22"/>
        </w:rPr>
        <w:t xml:space="preserve">: lugar de residencia del contractual y </w:t>
      </w:r>
      <w:r w:rsidR="00201BE9">
        <w:rPr>
          <w:rFonts w:ascii="Arial" w:hAnsi="Arial" w:cs="Arial"/>
          <w:spacing w:val="-3"/>
          <w:sz w:val="22"/>
          <w:szCs w:val="22"/>
        </w:rPr>
        <w:t>Guatemala</w:t>
      </w:r>
      <w:r w:rsidRPr="00D97056">
        <w:rPr>
          <w:rFonts w:ascii="Arial" w:hAnsi="Arial" w:cs="Arial"/>
          <w:spacing w:val="-3"/>
          <w:sz w:val="22"/>
          <w:szCs w:val="22"/>
        </w:rPr>
        <w:t>.</w:t>
      </w:r>
    </w:p>
    <w:p w14:paraId="54E3649F" w14:textId="77777777" w:rsidR="004327ED" w:rsidRDefault="004327ED" w:rsidP="004348BE">
      <w:pPr>
        <w:pStyle w:val="NoSpacing"/>
        <w:spacing w:before="120" w:after="120"/>
        <w:jc w:val="both"/>
        <w:rPr>
          <w:rFonts w:ascii="Arial" w:hAnsi="Arial" w:cs="Arial"/>
          <w:sz w:val="22"/>
          <w:szCs w:val="22"/>
          <w:lang w:val="es-ES"/>
        </w:rPr>
      </w:pPr>
      <w:r w:rsidRPr="00D97056">
        <w:rPr>
          <w:rFonts w:ascii="Arial" w:hAnsi="Arial" w:cs="Arial"/>
          <w:b/>
          <w:sz w:val="22"/>
          <w:szCs w:val="22"/>
          <w:lang w:val="es-ES_tradnl"/>
        </w:rPr>
        <w:t>Coordinación</w:t>
      </w:r>
      <w:r w:rsidRPr="00D97056">
        <w:rPr>
          <w:rFonts w:ascii="Arial" w:hAnsi="Arial" w:cs="Arial"/>
          <w:sz w:val="22"/>
          <w:szCs w:val="22"/>
          <w:lang w:val="es-ES_tradnl"/>
        </w:rPr>
        <w:t xml:space="preserve">: </w:t>
      </w:r>
      <w:r w:rsidR="00961273" w:rsidRPr="00961273">
        <w:rPr>
          <w:rFonts w:ascii="Arial" w:hAnsi="Arial" w:cs="Arial"/>
          <w:sz w:val="22"/>
          <w:szCs w:val="22"/>
          <w:lang w:val="es-ES_tradnl"/>
        </w:rPr>
        <w:t>Jefe de Equipo del Proyecto, Carlos Pimenta (</w:t>
      </w:r>
      <w:hyperlink r:id="rId28" w:history="1">
        <w:r w:rsidR="00961273" w:rsidRPr="00961273">
          <w:rPr>
            <w:rStyle w:val="Hyperlink"/>
            <w:rFonts w:ascii="Arial" w:hAnsi="Arial" w:cs="Arial"/>
            <w:sz w:val="22"/>
            <w:szCs w:val="22"/>
            <w:lang w:val="es-ES"/>
          </w:rPr>
          <w:t>carloscp@iadb.org</w:t>
        </w:r>
      </w:hyperlink>
      <w:r w:rsidR="00961273" w:rsidRPr="00961273">
        <w:rPr>
          <w:rFonts w:ascii="Arial" w:hAnsi="Arial" w:cs="Arial"/>
          <w:sz w:val="22"/>
          <w:szCs w:val="22"/>
          <w:lang w:val="es-ES_tradnl"/>
        </w:rPr>
        <w:t xml:space="preserve">), </w:t>
      </w:r>
      <w:r w:rsidR="00961273" w:rsidRPr="00961273">
        <w:rPr>
          <w:rFonts w:ascii="Arial" w:hAnsi="Arial" w:cs="Arial"/>
          <w:sz w:val="22"/>
          <w:szCs w:val="22"/>
          <w:lang w:val="es-ES"/>
        </w:rPr>
        <w:t>División de Gestión Fiscal y Municipal (FMM)</w:t>
      </w:r>
      <w:r w:rsidR="00961273">
        <w:rPr>
          <w:rFonts w:ascii="Arial" w:hAnsi="Arial" w:cs="Arial"/>
          <w:sz w:val="22"/>
          <w:szCs w:val="22"/>
          <w:lang w:val="es-ES"/>
        </w:rPr>
        <w:t>; y co-jefe del Equipo del Proyecto, Roberto De Michele (IFD/ICS)</w:t>
      </w:r>
      <w:r w:rsidR="00961273" w:rsidRPr="00961273">
        <w:rPr>
          <w:rFonts w:ascii="Arial" w:hAnsi="Arial" w:cs="Arial"/>
          <w:sz w:val="22"/>
          <w:szCs w:val="22"/>
          <w:lang w:val="es-ES"/>
        </w:rPr>
        <w:t>.</w:t>
      </w:r>
    </w:p>
    <w:p w14:paraId="3297F7F0" w14:textId="77777777" w:rsidR="00AC0AA2" w:rsidRDefault="00AC0AA2">
      <w:pPr>
        <w:spacing w:after="200" w:line="276" w:lineRule="auto"/>
        <w:rPr>
          <w:rFonts w:ascii="Arial" w:hAnsi="Arial" w:cs="Arial"/>
          <w:sz w:val="22"/>
          <w:szCs w:val="22"/>
          <w:lang w:val="es-ES"/>
        </w:rPr>
      </w:pPr>
      <w:r>
        <w:rPr>
          <w:rFonts w:ascii="Arial" w:hAnsi="Arial" w:cs="Arial"/>
          <w:sz w:val="22"/>
          <w:szCs w:val="22"/>
          <w:lang w:val="es-ES"/>
        </w:rPr>
        <w:br w:type="page"/>
      </w:r>
    </w:p>
    <w:p w14:paraId="0B0F734E" w14:textId="77777777" w:rsidR="00AC0AA2" w:rsidRPr="0049240B" w:rsidRDefault="00AC0AA2" w:rsidP="00AC0AA2">
      <w:pPr>
        <w:spacing w:before="120" w:after="120" w:line="276" w:lineRule="auto"/>
        <w:jc w:val="center"/>
        <w:rPr>
          <w:rFonts w:ascii="Arial" w:hAnsi="Arial" w:cs="Arial"/>
          <w:b/>
          <w:sz w:val="22"/>
          <w:szCs w:val="22"/>
        </w:rPr>
      </w:pPr>
      <w:r w:rsidRPr="0049240B">
        <w:rPr>
          <w:rFonts w:ascii="Arial" w:hAnsi="Arial" w:cs="Arial"/>
          <w:b/>
          <w:sz w:val="22"/>
          <w:szCs w:val="22"/>
        </w:rPr>
        <w:lastRenderedPageBreak/>
        <w:t>ANEXO 3</w:t>
      </w:r>
    </w:p>
    <w:p w14:paraId="6AC724E4" w14:textId="77777777" w:rsidR="00AC0AA2" w:rsidRPr="0082203B" w:rsidRDefault="00985DFD" w:rsidP="0082203B">
      <w:pPr>
        <w:pStyle w:val="Paragraph"/>
        <w:numPr>
          <w:ilvl w:val="0"/>
          <w:numId w:val="0"/>
        </w:numPr>
        <w:jc w:val="center"/>
        <w:rPr>
          <w:rFonts w:ascii="Arial" w:hAnsi="Arial" w:cs="Arial"/>
          <w:b/>
          <w:sz w:val="22"/>
        </w:rPr>
      </w:pPr>
      <w:r w:rsidRPr="0082203B">
        <w:rPr>
          <w:rFonts w:ascii="Arial" w:hAnsi="Arial" w:cs="Arial"/>
          <w:b/>
          <w:sz w:val="22"/>
          <w:szCs w:val="22"/>
          <w:lang w:val="es-ES_tradnl"/>
        </w:rPr>
        <w:t>Consultoría</w:t>
      </w:r>
      <w:r w:rsidR="00AC0AA2" w:rsidRPr="0082203B">
        <w:rPr>
          <w:rFonts w:ascii="Arial" w:hAnsi="Arial" w:cs="Arial"/>
          <w:b/>
          <w:sz w:val="22"/>
          <w:szCs w:val="22"/>
          <w:lang w:val="es-ES_tradnl"/>
        </w:rPr>
        <w:t xml:space="preserve"> para</w:t>
      </w:r>
      <w:r w:rsidR="0082203B" w:rsidRPr="0082203B">
        <w:rPr>
          <w:rFonts w:ascii="Arial" w:hAnsi="Arial" w:cs="Arial"/>
          <w:b/>
          <w:sz w:val="22"/>
          <w:szCs w:val="22"/>
          <w:lang w:val="es-ES_tradnl"/>
        </w:rPr>
        <w:t xml:space="preserve"> preparar un análisis económico ex post de</w:t>
      </w:r>
      <w:r w:rsidR="0082203B">
        <w:rPr>
          <w:rFonts w:ascii="Arial" w:hAnsi="Arial" w:cs="Arial"/>
          <w:b/>
          <w:sz w:val="22"/>
          <w:szCs w:val="22"/>
          <w:lang w:val="es-ES_tradnl"/>
        </w:rPr>
        <w:t>l</w:t>
      </w:r>
      <w:r w:rsidR="0082203B" w:rsidRPr="0082203B">
        <w:rPr>
          <w:rFonts w:ascii="Arial" w:hAnsi="Arial" w:cs="Arial"/>
          <w:b/>
          <w:sz w:val="22"/>
          <w:szCs w:val="22"/>
          <w:lang w:val="es-ES_tradnl"/>
        </w:rPr>
        <w:t xml:space="preserve"> impacto y resultados del programa</w:t>
      </w:r>
    </w:p>
    <w:p w14:paraId="74DF2973" w14:textId="77777777" w:rsidR="00AC0AA2" w:rsidRPr="00D97056" w:rsidRDefault="00AC0AA2" w:rsidP="00AC0AA2">
      <w:pPr>
        <w:spacing w:before="120" w:after="120" w:line="360" w:lineRule="auto"/>
        <w:jc w:val="center"/>
        <w:rPr>
          <w:rFonts w:ascii="Arial" w:hAnsi="Arial" w:cs="Arial"/>
          <w:b/>
          <w:caps/>
          <w:sz w:val="22"/>
          <w:szCs w:val="22"/>
          <w:lang w:val="es-ES"/>
        </w:rPr>
      </w:pPr>
      <w:r>
        <w:rPr>
          <w:rFonts w:ascii="Arial" w:hAnsi="Arial" w:cs="Arial"/>
          <w:b/>
          <w:sz w:val="22"/>
          <w:szCs w:val="22"/>
          <w:lang w:val="es-ES"/>
        </w:rPr>
        <w:t>Borrador de Términos de R</w:t>
      </w:r>
      <w:r w:rsidRPr="00D97056">
        <w:rPr>
          <w:rFonts w:ascii="Arial" w:hAnsi="Arial" w:cs="Arial"/>
          <w:b/>
          <w:sz w:val="22"/>
          <w:szCs w:val="22"/>
          <w:lang w:val="es-ES"/>
        </w:rPr>
        <w:t>eferencia</w:t>
      </w:r>
    </w:p>
    <w:p w14:paraId="30460CE6" w14:textId="77777777" w:rsidR="00AC0AA2" w:rsidRPr="00D97056" w:rsidRDefault="00AC0AA2" w:rsidP="00AC0AA2">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Objetivos</w:t>
      </w:r>
    </w:p>
    <w:p w14:paraId="0A69B198" w14:textId="77777777" w:rsidR="00985DFD" w:rsidRPr="00985DFD" w:rsidRDefault="00985DFD" w:rsidP="00985DFD">
      <w:pPr>
        <w:pStyle w:val="Paragraph"/>
        <w:numPr>
          <w:ilvl w:val="0"/>
          <w:numId w:val="0"/>
        </w:numPr>
        <w:rPr>
          <w:rFonts w:ascii="Arial" w:hAnsi="Arial" w:cs="Arial"/>
          <w:sz w:val="22"/>
        </w:rPr>
      </w:pPr>
      <w:r w:rsidRPr="00985DFD">
        <w:rPr>
          <w:rFonts w:ascii="Arial" w:hAnsi="Arial" w:cs="Arial"/>
          <w:sz w:val="22"/>
        </w:rPr>
        <w:t>El objetivo del programa es mejorar la administración tributaria, y la transparencia del sector financiero en Guatemala, por medio de medidas de política orientadas al incremento de los ingresos tributarios y fortalecimiento de la prevención del lavado de activos. La evaluación ex ante se centra en el análisis de la evasión tributaria en Guatemala, con un análisis adicional de la evasión del IVA sobre importaciones, obteniendo su rendimiento medido a través del incremento de los ingresos tributarios.</w:t>
      </w:r>
    </w:p>
    <w:p w14:paraId="13CEC620" w14:textId="77777777" w:rsidR="00985DFD" w:rsidRPr="00985DFD" w:rsidRDefault="00985DFD" w:rsidP="00985DFD">
      <w:pPr>
        <w:pStyle w:val="Paragraph"/>
        <w:numPr>
          <w:ilvl w:val="0"/>
          <w:numId w:val="0"/>
        </w:numPr>
        <w:rPr>
          <w:rFonts w:ascii="Arial" w:hAnsi="Arial" w:cs="Arial"/>
          <w:sz w:val="22"/>
        </w:rPr>
      </w:pPr>
      <w:r w:rsidRPr="00985DFD">
        <w:rPr>
          <w:rFonts w:ascii="Arial" w:hAnsi="Arial" w:cs="Arial"/>
          <w:sz w:val="22"/>
        </w:rPr>
        <w:t>Para la evaluación económica ex post, las principales preguntas están referidas a si la reforma logró el impacto deseado en términos de incremento de los ingresos tributarios y fortalecimiento de la prevención del lavado de activos.</w:t>
      </w:r>
    </w:p>
    <w:p w14:paraId="7E936C0C" w14:textId="5031A836" w:rsidR="00985DFD" w:rsidRPr="00985DFD" w:rsidRDefault="00985DFD" w:rsidP="00985DFD">
      <w:pPr>
        <w:pStyle w:val="Paragraph"/>
        <w:numPr>
          <w:ilvl w:val="0"/>
          <w:numId w:val="0"/>
        </w:numPr>
        <w:rPr>
          <w:rFonts w:ascii="Arial" w:hAnsi="Arial" w:cs="Arial"/>
          <w:sz w:val="22"/>
        </w:rPr>
      </w:pPr>
      <w:r w:rsidRPr="00985DFD">
        <w:rPr>
          <w:rFonts w:ascii="Arial" w:hAnsi="Arial" w:cs="Arial"/>
          <w:sz w:val="22"/>
        </w:rPr>
        <w:t xml:space="preserve">Todos los </w:t>
      </w:r>
      <w:r w:rsidR="006E2B5C">
        <w:rPr>
          <w:rFonts w:ascii="Arial" w:hAnsi="Arial" w:cs="Arial"/>
          <w:sz w:val="22"/>
        </w:rPr>
        <w:t>6</w:t>
      </w:r>
      <w:r w:rsidRPr="00985DFD">
        <w:rPr>
          <w:rFonts w:ascii="Arial" w:hAnsi="Arial" w:cs="Arial"/>
          <w:sz w:val="22"/>
        </w:rPr>
        <w:t xml:space="preserve"> indicadores de impacto y de resultados detallados en la Matriz de Resultados y en los Cuadros </w:t>
      </w:r>
      <w:r w:rsidR="006E2B5C">
        <w:rPr>
          <w:rFonts w:ascii="Arial" w:hAnsi="Arial" w:cs="Arial"/>
          <w:sz w:val="22"/>
        </w:rPr>
        <w:t xml:space="preserve">1, </w:t>
      </w:r>
      <w:r w:rsidRPr="00985DFD">
        <w:rPr>
          <w:rFonts w:ascii="Arial" w:hAnsi="Arial" w:cs="Arial"/>
          <w:sz w:val="22"/>
        </w:rPr>
        <w:t xml:space="preserve">2a y 3a tienen línea de base y metas definidas. Son dos indicadores de impacto: (i) Recaudación Tributaria Neta / PIB nominal; e (ii) Índice de Lavado de Dinero producido por el Instituto de Gobernanza de Basilea. </w:t>
      </w:r>
      <w:r w:rsidR="006E2B5C">
        <w:rPr>
          <w:rFonts w:ascii="Arial" w:hAnsi="Arial" w:cs="Arial"/>
          <w:sz w:val="22"/>
        </w:rPr>
        <w:t>Dos</w:t>
      </w:r>
      <w:r w:rsidR="006E2B5C" w:rsidRPr="00985DFD">
        <w:rPr>
          <w:rFonts w:ascii="Arial" w:hAnsi="Arial" w:cs="Arial"/>
          <w:sz w:val="22"/>
        </w:rPr>
        <w:t xml:space="preserve"> </w:t>
      </w:r>
      <w:r w:rsidRPr="00985DFD">
        <w:rPr>
          <w:rFonts w:ascii="Arial" w:hAnsi="Arial" w:cs="Arial"/>
          <w:sz w:val="22"/>
        </w:rPr>
        <w:t xml:space="preserve">indicadores de resultados de Mejora de la eficiencia y la efectividad en la recaudación tributaria: (i) Recaudación tributaria / Número de funcionarios de la SAT, </w:t>
      </w:r>
      <w:r w:rsidR="006E2B5C">
        <w:rPr>
          <w:rFonts w:ascii="Arial" w:hAnsi="Arial" w:cs="Arial"/>
          <w:sz w:val="22"/>
        </w:rPr>
        <w:t xml:space="preserve">y </w:t>
      </w:r>
      <w:r w:rsidRPr="00985DFD">
        <w:rPr>
          <w:rFonts w:ascii="Arial" w:hAnsi="Arial" w:cs="Arial"/>
          <w:sz w:val="22"/>
        </w:rPr>
        <w:t>(ii) Tasa de evasión del IVA. Dos indicadores de resultados de Mejora de la transparencia del sector financiero y de las actividades off-shore: (i) Evaluación del GAFI de Guatemala para la recomendación 22; y (ii) Flujos financieros ilícitos estimados para Guatemala.</w:t>
      </w:r>
    </w:p>
    <w:p w14:paraId="78A511ED" w14:textId="77777777" w:rsidR="00AC0AA2" w:rsidRDefault="00985DFD" w:rsidP="00985DFD">
      <w:pPr>
        <w:pStyle w:val="Paragraph"/>
        <w:numPr>
          <w:ilvl w:val="0"/>
          <w:numId w:val="0"/>
        </w:numPr>
        <w:rPr>
          <w:rFonts w:ascii="Arial" w:hAnsi="Arial" w:cs="Arial"/>
          <w:sz w:val="22"/>
        </w:rPr>
      </w:pPr>
      <w:r w:rsidRPr="00985DFD">
        <w:rPr>
          <w:rFonts w:ascii="Arial" w:hAnsi="Arial" w:cs="Arial"/>
          <w:sz w:val="22"/>
        </w:rPr>
        <w:t>La evaluación económica ex post contribuirá significativamente a la preparación del PCR del programa.</w:t>
      </w:r>
    </w:p>
    <w:p w14:paraId="6FAD9DD1" w14:textId="1C0F103D" w:rsidR="00985DFD" w:rsidRDefault="00985DFD" w:rsidP="00985DFD">
      <w:pPr>
        <w:pStyle w:val="Paragraph"/>
        <w:numPr>
          <w:ilvl w:val="0"/>
          <w:numId w:val="0"/>
        </w:numPr>
        <w:rPr>
          <w:rFonts w:ascii="Arial" w:hAnsi="Arial" w:cs="Arial"/>
          <w:sz w:val="22"/>
        </w:rPr>
      </w:pPr>
      <w:r>
        <w:rPr>
          <w:rFonts w:ascii="Arial" w:hAnsi="Arial" w:cs="Arial"/>
          <w:sz w:val="22"/>
        </w:rPr>
        <w:t xml:space="preserve">El objetivo de esta consultoría es preparar una evaluación económica ex post del programa, usando los </w:t>
      </w:r>
      <w:r w:rsidR="006E2B5C">
        <w:rPr>
          <w:rFonts w:ascii="Arial" w:hAnsi="Arial" w:cs="Arial"/>
          <w:sz w:val="22"/>
        </w:rPr>
        <w:t>6</w:t>
      </w:r>
      <w:r>
        <w:rPr>
          <w:rFonts w:ascii="Arial" w:hAnsi="Arial" w:cs="Arial"/>
          <w:sz w:val="22"/>
        </w:rPr>
        <w:t xml:space="preserve"> indicadores mencionados, toda la documentación del programa y los informes de seguimiento de los dos componentes del programa, preparados por los consultores contratados para esta finalidad.</w:t>
      </w:r>
    </w:p>
    <w:p w14:paraId="728C4A57" w14:textId="0FC4E966" w:rsidR="00AC0AA2" w:rsidRPr="00D97056" w:rsidRDefault="00AC0AA2" w:rsidP="00AC0AA2">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Actividades</w:t>
      </w:r>
      <w:r w:rsidR="006C6AB6">
        <w:rPr>
          <w:rFonts w:ascii="Arial" w:eastAsia="Arial Unicode MS" w:hAnsi="Arial" w:cs="Arial"/>
          <w:sz w:val="22"/>
          <w:szCs w:val="22"/>
          <w:lang w:val="es-ES"/>
        </w:rPr>
        <w:t xml:space="preserve"> y Metodología</w:t>
      </w:r>
    </w:p>
    <w:p w14:paraId="4D406E33" w14:textId="77777777" w:rsidR="003D1356" w:rsidRDefault="00AC0AA2" w:rsidP="003D1356">
      <w:pPr>
        <w:pStyle w:val="Paragraph"/>
        <w:numPr>
          <w:ilvl w:val="0"/>
          <w:numId w:val="0"/>
        </w:numPr>
        <w:rPr>
          <w:rFonts w:ascii="Arial" w:hAnsi="Arial" w:cs="Arial"/>
          <w:spacing w:val="-3"/>
          <w:sz w:val="22"/>
          <w:szCs w:val="22"/>
        </w:rPr>
      </w:pPr>
      <w:r w:rsidRPr="00D97056">
        <w:rPr>
          <w:rFonts w:ascii="Arial" w:hAnsi="Arial" w:cs="Arial"/>
          <w:spacing w:val="-3"/>
          <w:sz w:val="22"/>
          <w:szCs w:val="22"/>
        </w:rPr>
        <w:t>Preparar un documento con el análisis</w:t>
      </w:r>
      <w:r w:rsidR="00985DFD">
        <w:rPr>
          <w:rFonts w:ascii="Arial" w:hAnsi="Arial" w:cs="Arial"/>
          <w:spacing w:val="-3"/>
          <w:sz w:val="22"/>
          <w:szCs w:val="22"/>
        </w:rPr>
        <w:t xml:space="preserve"> de impacto</w:t>
      </w:r>
      <w:r w:rsidRPr="00D97056">
        <w:rPr>
          <w:rFonts w:ascii="Arial" w:hAnsi="Arial" w:cs="Arial"/>
          <w:spacing w:val="-3"/>
          <w:sz w:val="22"/>
          <w:szCs w:val="22"/>
        </w:rPr>
        <w:t xml:space="preserve"> económico de las </w:t>
      </w:r>
      <w:r>
        <w:rPr>
          <w:rFonts w:ascii="Arial" w:hAnsi="Arial" w:cs="Arial"/>
          <w:spacing w:val="-3"/>
          <w:sz w:val="22"/>
          <w:szCs w:val="22"/>
        </w:rPr>
        <w:t xml:space="preserve">medidas </w:t>
      </w:r>
      <w:r w:rsidR="00985DFD">
        <w:rPr>
          <w:rFonts w:ascii="Arial" w:hAnsi="Arial" w:cs="Arial"/>
          <w:spacing w:val="-3"/>
          <w:sz w:val="22"/>
          <w:szCs w:val="22"/>
        </w:rPr>
        <w:t>del programa</w:t>
      </w:r>
      <w:r w:rsidRPr="00D97056">
        <w:rPr>
          <w:rFonts w:ascii="Arial" w:hAnsi="Arial" w:cs="Arial"/>
          <w:spacing w:val="-3"/>
          <w:sz w:val="22"/>
          <w:szCs w:val="22"/>
        </w:rPr>
        <w:t>, que contenga lo siguiente:</w:t>
      </w:r>
      <w:r>
        <w:rPr>
          <w:rFonts w:ascii="Arial" w:hAnsi="Arial" w:cs="Arial"/>
          <w:spacing w:val="-3"/>
          <w:sz w:val="22"/>
          <w:szCs w:val="22"/>
        </w:rPr>
        <w:t xml:space="preserve"> (i) levantamiento de la situación de </w:t>
      </w:r>
      <w:r w:rsidR="00985DFD">
        <w:rPr>
          <w:rFonts w:ascii="Arial" w:hAnsi="Arial" w:cs="Arial"/>
          <w:spacing w:val="-3"/>
          <w:sz w:val="22"/>
          <w:szCs w:val="22"/>
        </w:rPr>
        <w:t>los</w:t>
      </w:r>
      <w:r>
        <w:rPr>
          <w:rFonts w:ascii="Arial" w:hAnsi="Arial" w:cs="Arial"/>
          <w:spacing w:val="-3"/>
          <w:sz w:val="22"/>
          <w:szCs w:val="22"/>
        </w:rPr>
        <w:t xml:space="preserve"> indicador</w:t>
      </w:r>
      <w:r w:rsidR="00985DFD">
        <w:rPr>
          <w:rFonts w:ascii="Arial" w:hAnsi="Arial" w:cs="Arial"/>
          <w:spacing w:val="-3"/>
          <w:sz w:val="22"/>
          <w:szCs w:val="22"/>
        </w:rPr>
        <w:t>es de impacto y de resultados del programa,</w:t>
      </w:r>
      <w:r>
        <w:rPr>
          <w:rFonts w:ascii="Arial" w:hAnsi="Arial" w:cs="Arial"/>
          <w:spacing w:val="-3"/>
          <w:sz w:val="22"/>
          <w:szCs w:val="22"/>
        </w:rPr>
        <w:t xml:space="preserve"> incluido</w:t>
      </w:r>
      <w:r w:rsidR="00985DFD">
        <w:rPr>
          <w:rFonts w:ascii="Arial" w:hAnsi="Arial" w:cs="Arial"/>
          <w:spacing w:val="-3"/>
          <w:sz w:val="22"/>
          <w:szCs w:val="22"/>
        </w:rPr>
        <w:t>s</w:t>
      </w:r>
      <w:r>
        <w:rPr>
          <w:rFonts w:ascii="Arial" w:hAnsi="Arial" w:cs="Arial"/>
          <w:spacing w:val="-3"/>
          <w:sz w:val="22"/>
          <w:szCs w:val="22"/>
        </w:rPr>
        <w:t xml:space="preserve"> en la Matriz de Resultados , (ii) análisis de los resultados de cada indicador y diálogo con la SAT para verificar eventuales ajustes y mejoras necesarias, (iii) recomendaciones sobre la calidad de los resultados de los indicadores y sobre el nivel de avance hacia las metas establecidas en la Matriz de Resultados.</w:t>
      </w:r>
    </w:p>
    <w:p w14:paraId="481746DB" w14:textId="3BD08394" w:rsidR="003D1356" w:rsidRP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t xml:space="preserve">A continuación se describe la metodología diseñada para identificar los efectos cuantitativos del programa. Primero analizamos el caso de los impactos esperados sobre </w:t>
      </w:r>
      <w:r w:rsidRPr="003D1356">
        <w:rPr>
          <w:rFonts w:ascii="Arial" w:hAnsi="Arial" w:cs="Arial"/>
          <w:spacing w:val="-3"/>
          <w:sz w:val="22"/>
          <w:szCs w:val="22"/>
        </w:rPr>
        <w:lastRenderedPageBreak/>
        <w:t>tributación y, luego, extendemos la metodología para cuantificar el posible efecto sobre lavado de dinero.</w:t>
      </w:r>
    </w:p>
    <w:p w14:paraId="400614FA" w14:textId="77777777" w:rsidR="003D1356" w:rsidRP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t>La metodología propuesta consiste en estimar un modelo de regresión para los determinantes de la recaudación,  el cual es usado posteriormente como modelo predictivo por fuera de la muestra. La diferencia entre el recaudo observado, o cualquier otro indicador de desempeño tributario, y el valor pronosticado por el modelo es interpretado como una medida del efecto de la mejor administración tributaria. Formalmente, estimamos la siguiente relación lineal de series de tiempo:</w:t>
      </w:r>
    </w:p>
    <w:p w14:paraId="445F975B" w14:textId="77777777" w:rsidR="003D1356" w:rsidRPr="003D1356" w:rsidRDefault="003D1356" w:rsidP="003D1356">
      <w:pPr>
        <w:pStyle w:val="Paragraph"/>
        <w:numPr>
          <w:ilvl w:val="0"/>
          <w:numId w:val="0"/>
        </w:numPr>
        <w:ind w:left="1152"/>
        <w:jc w:val="center"/>
        <w:rPr>
          <w:rFonts w:ascii="Arial" w:hAnsi="Arial" w:cs="Arial"/>
          <w:spacing w:val="-3"/>
          <w:sz w:val="22"/>
          <w:szCs w:val="22"/>
        </w:rPr>
      </w:pPr>
      <w:r w:rsidRPr="003D1356">
        <w:rPr>
          <w:rFonts w:ascii="Arial" w:hAnsi="Arial" w:cs="Arial"/>
          <w:spacing w:val="-3"/>
          <w:sz w:val="22"/>
          <w:szCs w:val="22"/>
        </w:rPr>
        <w:t>Yt=Xt β+ut</w:t>
      </w:r>
    </w:p>
    <w:p w14:paraId="223E646A" w14:textId="77777777" w:rsidR="003D1356" w:rsidRP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t>donde Yt es un indicador de desempeño tributario, Xt es el vector de determinantes de la tributación y ut es el término de error, o residuo, que mide la parte de los cambios en la variable dependiente no explicada por el modelo y que tiene un valor esperado de cero. La literatura (ver por ejemplo Sen Gupta, 2007; Morrissey et al. 2016) ha identificado numerosos determinantes del nivel de tributación tales como el nivel de ingreso per cápita, la estructura de la economía (porcentaje del PIB producido por la agricultura, la industria o sector servicios), el volumen de importaciones, las tasas estatutarias o efectivas de tributación, las tasas arancelarias, la tasa de desempleo, los términos de intercambio, etc.  El consultor buscará la mejor especificación, de acuerdo con la teoría económica, y aplicará las pruebas estadísticas necesarias para asegurar que las estimaciones satisfagan las propiedades estadísticas requeridas. Especial atención debe dedicar a enfrentar el problema de sesgo de simultaneidad (causación inversa) y la no estacionariedad (no reversión a su media) de las variables incluidas en el análisis, dos de los problemas frecuentemente encontrados en las estimaciones de series de tiempo.</w:t>
      </w:r>
    </w:p>
    <w:p w14:paraId="4E9EEEA1" w14:textId="77777777" w:rsidR="003D1356" w:rsidRP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t>La regresión se estima con información de series de tiempo hasta el periodo inmediatamente anterior a la fecha de desembolso del PBL.  Una vez estimados los parámetros del modelo β ̂, y con los valores futuros de las variables explicativas, se podrá predecir o proyectar la variable de desempeño tributario para los periodos subsiguientes al desembolso del PBL. Es decir,</w:t>
      </w:r>
    </w:p>
    <w:p w14:paraId="42357233" w14:textId="77777777" w:rsidR="003D1356" w:rsidRPr="0045601B" w:rsidRDefault="003D1356" w:rsidP="003D1356">
      <w:pPr>
        <w:pStyle w:val="Paragraph"/>
        <w:numPr>
          <w:ilvl w:val="0"/>
          <w:numId w:val="0"/>
        </w:numPr>
        <w:ind w:left="1152"/>
        <w:jc w:val="center"/>
        <w:rPr>
          <w:rFonts w:ascii="Arial" w:hAnsi="Arial" w:cs="Arial"/>
          <w:spacing w:val="-3"/>
          <w:sz w:val="22"/>
          <w:szCs w:val="22"/>
          <w:lang w:val="es-ES_tradnl"/>
        </w:rPr>
      </w:pPr>
      <w:r w:rsidRPr="0045601B">
        <w:rPr>
          <w:rFonts w:ascii="Arial" w:hAnsi="Arial" w:cs="Arial"/>
          <w:spacing w:val="-3"/>
          <w:sz w:val="22"/>
          <w:szCs w:val="22"/>
          <w:lang w:val="es-ES_tradnl"/>
        </w:rPr>
        <w:t xml:space="preserve">Y ̂_(t+j)=X_(t+j) </w:t>
      </w:r>
      <w:r w:rsidRPr="003D1356">
        <w:rPr>
          <w:rFonts w:ascii="Arial" w:hAnsi="Arial" w:cs="Arial"/>
          <w:spacing w:val="-3"/>
          <w:sz w:val="22"/>
          <w:szCs w:val="22"/>
        </w:rPr>
        <w:t>β</w:t>
      </w:r>
      <w:r w:rsidRPr="0045601B">
        <w:rPr>
          <w:rFonts w:ascii="Arial" w:hAnsi="Arial" w:cs="Arial"/>
          <w:spacing w:val="-3"/>
          <w:sz w:val="22"/>
          <w:szCs w:val="22"/>
          <w:lang w:val="es-ES_tradnl"/>
        </w:rPr>
        <w:t xml:space="preserve"> ̂</w:t>
      </w:r>
    </w:p>
    <w:p w14:paraId="176AF4F5" w14:textId="77777777" w:rsidR="003D1356" w:rsidRPr="003D1356" w:rsidRDefault="003D1356" w:rsidP="003D1356">
      <w:pPr>
        <w:pStyle w:val="Paragraph"/>
        <w:numPr>
          <w:ilvl w:val="0"/>
          <w:numId w:val="0"/>
        </w:numPr>
        <w:rPr>
          <w:rFonts w:ascii="Arial" w:hAnsi="Arial" w:cs="Arial"/>
          <w:spacing w:val="-3"/>
          <w:sz w:val="22"/>
          <w:szCs w:val="22"/>
        </w:rPr>
      </w:pPr>
      <w:r w:rsidRPr="0045601B">
        <w:rPr>
          <w:rFonts w:ascii="Arial" w:hAnsi="Arial" w:cs="Arial"/>
          <w:spacing w:val="-3"/>
          <w:sz w:val="22"/>
          <w:szCs w:val="22"/>
          <w:lang w:val="es-ES_tradnl"/>
        </w:rPr>
        <w:t xml:space="preserve">para j={1,2,3,..}. </w:t>
      </w:r>
      <w:r w:rsidRPr="003D1356">
        <w:rPr>
          <w:rFonts w:ascii="Arial" w:hAnsi="Arial" w:cs="Arial"/>
          <w:spacing w:val="-3"/>
          <w:sz w:val="22"/>
          <w:szCs w:val="22"/>
        </w:rPr>
        <w:t xml:space="preserve">La diferencia entre el valor observado (Y_(t+j)) y el pronosticado (Y ̂_(t+j)) es nuestra estimación del efecto del programa j periodos después del desembolso. En otras palabras, </w:t>
      </w:r>
    </w:p>
    <w:p w14:paraId="7D441A17" w14:textId="77777777" w:rsidR="003D1356" w:rsidRPr="003D1356" w:rsidRDefault="003D1356" w:rsidP="003D1356">
      <w:pPr>
        <w:pStyle w:val="Paragraph"/>
        <w:numPr>
          <w:ilvl w:val="0"/>
          <w:numId w:val="0"/>
        </w:numPr>
        <w:ind w:left="1152"/>
        <w:jc w:val="center"/>
        <w:rPr>
          <w:rFonts w:ascii="Arial" w:hAnsi="Arial" w:cs="Arial"/>
          <w:spacing w:val="-3"/>
          <w:sz w:val="22"/>
          <w:szCs w:val="22"/>
        </w:rPr>
      </w:pPr>
      <w:r w:rsidRPr="003D1356">
        <w:rPr>
          <w:rFonts w:ascii="Arial" w:hAnsi="Arial" w:cs="Arial"/>
          <w:spacing w:val="-3"/>
          <w:sz w:val="22"/>
          <w:szCs w:val="22"/>
        </w:rPr>
        <w:t>efecto esperado del programa en año  j=Y_(t+j)-Y ̂_(t+j)</w:t>
      </w:r>
    </w:p>
    <w:p w14:paraId="38A9E250" w14:textId="77777777" w:rsidR="003D1356" w:rsidRP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t>La variable dependiente del modelo econométrico corresponde al indicador objetivo de la Matriz de Resultados (ver Cuadro 1): la recaudación total como porcentaje del PIB. También se puede estimar el efecto del programa sobre los indicadores finales (ver Cuadro 2a) de la Matriz de Resultados: recaudación total promedio por funcionario de la SAT y tasa de evasión del IVA. En este último caso habría que ajustar el modelo econométrico para que reflejara más apropiadamente la literatura relevante sobre determinantes de la evasión. Consúltese, por ejemplo, Alm y Martinez-Vasquez (2003) Richardson (2006). La evaluación de impacto podría extenderse  también a algunos de los indicadores intermedios de impacto (Cuadro 2b) como la recaudación de IVA sobre importaciones.</w:t>
      </w:r>
    </w:p>
    <w:p w14:paraId="6C4E8269" w14:textId="685BD793" w:rsidR="003D1356" w:rsidRDefault="003D1356" w:rsidP="003D1356">
      <w:pPr>
        <w:pStyle w:val="Paragraph"/>
        <w:numPr>
          <w:ilvl w:val="0"/>
          <w:numId w:val="0"/>
        </w:numPr>
        <w:rPr>
          <w:rFonts w:ascii="Arial" w:hAnsi="Arial" w:cs="Arial"/>
          <w:spacing w:val="-3"/>
          <w:sz w:val="22"/>
          <w:szCs w:val="22"/>
        </w:rPr>
      </w:pPr>
      <w:r w:rsidRPr="003D1356">
        <w:rPr>
          <w:rFonts w:ascii="Arial" w:hAnsi="Arial" w:cs="Arial"/>
          <w:spacing w:val="-3"/>
          <w:sz w:val="22"/>
          <w:szCs w:val="22"/>
        </w:rPr>
        <w:lastRenderedPageBreak/>
        <w:t>La misma metodología puede extenderse mutatis mutandis para evaluar el impacto del programa sobre los indicadores de transparencia en el sector financiero: el índice de lavado de dinero (Cuadro 1) y el volumen de flujos financieros ilícitos (Cuadro 3a). Véase en Herkenrath (2015) un resumen de la literatura reciente sobre los determinantes de los flujos ilícitos de capital y sus consecuencias económicas, en particular, sobre evasión tributaria.</w:t>
      </w:r>
    </w:p>
    <w:p w14:paraId="103AB218" w14:textId="79C25A66" w:rsidR="006C6AB6" w:rsidRDefault="006C6AB6" w:rsidP="006C6AB6">
      <w:pPr>
        <w:pStyle w:val="Paragraph"/>
        <w:numPr>
          <w:ilvl w:val="0"/>
          <w:numId w:val="0"/>
        </w:numPr>
        <w:rPr>
          <w:rFonts w:ascii="Arial" w:hAnsi="Arial" w:cs="Arial"/>
          <w:spacing w:val="-3"/>
          <w:sz w:val="22"/>
          <w:szCs w:val="22"/>
        </w:rPr>
      </w:pPr>
    </w:p>
    <w:p w14:paraId="6DD2E795" w14:textId="77777777" w:rsidR="00AC0AA2" w:rsidRPr="00D97056" w:rsidRDefault="00AC0AA2" w:rsidP="00AC0AA2">
      <w:pPr>
        <w:pStyle w:val="Paragraph"/>
        <w:numPr>
          <w:ilvl w:val="0"/>
          <w:numId w:val="0"/>
        </w:numPr>
        <w:ind w:left="720" w:hanging="720"/>
        <w:jc w:val="left"/>
        <w:rPr>
          <w:rFonts w:ascii="Arial" w:eastAsia="Arial Unicode MS" w:hAnsi="Arial" w:cs="Arial"/>
          <w:b/>
          <w:smallCaps/>
          <w:spacing w:val="-3"/>
          <w:sz w:val="22"/>
          <w:szCs w:val="22"/>
        </w:rPr>
      </w:pPr>
      <w:r w:rsidRPr="00D97056">
        <w:rPr>
          <w:rFonts w:ascii="Arial" w:eastAsia="Arial Unicode MS" w:hAnsi="Arial" w:cs="Arial"/>
          <w:b/>
          <w:smallCaps/>
          <w:spacing w:val="-3"/>
          <w:sz w:val="22"/>
          <w:szCs w:val="22"/>
        </w:rPr>
        <w:t>Productos y Forma de Pago</w:t>
      </w:r>
    </w:p>
    <w:p w14:paraId="4F0B4314" w14:textId="77777777" w:rsidR="00AC0AA2" w:rsidRPr="00D97056" w:rsidRDefault="00AC0AA2" w:rsidP="00AC0AA2">
      <w:pPr>
        <w:pStyle w:val="Paragraph"/>
        <w:numPr>
          <w:ilvl w:val="0"/>
          <w:numId w:val="0"/>
        </w:numPr>
        <w:rPr>
          <w:rFonts w:ascii="Arial" w:hAnsi="Arial" w:cs="Arial"/>
          <w:spacing w:val="-3"/>
          <w:sz w:val="22"/>
          <w:szCs w:val="22"/>
        </w:rPr>
      </w:pPr>
      <w:r w:rsidRPr="00D97056">
        <w:rPr>
          <w:rFonts w:ascii="Arial" w:hAnsi="Arial" w:cs="Arial"/>
          <w:spacing w:val="-3"/>
          <w:sz w:val="22"/>
          <w:szCs w:val="22"/>
        </w:rPr>
        <w:t>El contractual presentará un</w:t>
      </w:r>
      <w:r>
        <w:rPr>
          <w:rFonts w:ascii="Arial" w:hAnsi="Arial" w:cs="Arial"/>
          <w:spacing w:val="-3"/>
          <w:sz w:val="22"/>
          <w:szCs w:val="22"/>
        </w:rPr>
        <w:t xml:space="preserve"> informe preliminar</w:t>
      </w:r>
      <w:r w:rsidRPr="00D97056">
        <w:rPr>
          <w:rFonts w:ascii="Arial" w:hAnsi="Arial" w:cs="Arial"/>
          <w:spacing w:val="-3"/>
          <w:sz w:val="22"/>
          <w:szCs w:val="22"/>
        </w:rPr>
        <w:t xml:space="preserve">, conteniendo </w:t>
      </w:r>
      <w:r>
        <w:rPr>
          <w:rFonts w:ascii="Arial" w:hAnsi="Arial" w:cs="Arial"/>
          <w:spacing w:val="-3"/>
          <w:sz w:val="22"/>
          <w:szCs w:val="22"/>
        </w:rPr>
        <w:t xml:space="preserve">los análisis </w:t>
      </w:r>
      <w:r w:rsidRPr="00D97056">
        <w:rPr>
          <w:rFonts w:ascii="Arial" w:hAnsi="Arial" w:cs="Arial"/>
          <w:spacing w:val="-3"/>
          <w:sz w:val="22"/>
          <w:szCs w:val="22"/>
        </w:rPr>
        <w:t>mencionado</w:t>
      </w:r>
      <w:r>
        <w:rPr>
          <w:rFonts w:ascii="Arial" w:hAnsi="Arial" w:cs="Arial"/>
          <w:spacing w:val="-3"/>
          <w:sz w:val="22"/>
          <w:szCs w:val="22"/>
        </w:rPr>
        <w:t>s</w:t>
      </w:r>
      <w:r w:rsidRPr="00D97056">
        <w:rPr>
          <w:rFonts w:ascii="Arial" w:hAnsi="Arial" w:cs="Arial"/>
          <w:spacing w:val="-3"/>
          <w:sz w:val="22"/>
          <w:szCs w:val="22"/>
        </w:rPr>
        <w:t xml:space="preserve"> en la sección “Actividades”. </w:t>
      </w:r>
      <w:r>
        <w:rPr>
          <w:rFonts w:ascii="Arial" w:hAnsi="Arial" w:cs="Arial"/>
          <w:spacing w:val="-3"/>
          <w:sz w:val="22"/>
          <w:szCs w:val="22"/>
        </w:rPr>
        <w:t xml:space="preserve">El informe preliminar será analizado por la SAT y por el Equipo de Proyecto del Banco que entregarán comentarios y sugerencias. El consultor entregará un informe </w:t>
      </w:r>
      <w:r w:rsidRPr="00D97056">
        <w:rPr>
          <w:rFonts w:ascii="Arial" w:hAnsi="Arial" w:cs="Arial"/>
          <w:spacing w:val="-3"/>
          <w:sz w:val="22"/>
          <w:szCs w:val="22"/>
        </w:rPr>
        <w:t>final</w:t>
      </w:r>
      <w:r>
        <w:rPr>
          <w:rFonts w:ascii="Arial" w:hAnsi="Arial" w:cs="Arial"/>
          <w:spacing w:val="-3"/>
          <w:sz w:val="22"/>
          <w:szCs w:val="22"/>
        </w:rPr>
        <w:t xml:space="preserve"> con los ajustes y complementaciones requeridos.</w:t>
      </w:r>
    </w:p>
    <w:p w14:paraId="7E192B28" w14:textId="77777777" w:rsidR="00AC0AA2" w:rsidRPr="00D97056" w:rsidRDefault="00AC0AA2" w:rsidP="00AC0AA2">
      <w:pPr>
        <w:pStyle w:val="Paragraph"/>
        <w:numPr>
          <w:ilvl w:val="0"/>
          <w:numId w:val="0"/>
        </w:numPr>
        <w:rPr>
          <w:rFonts w:ascii="Arial" w:hAnsi="Arial" w:cs="Arial"/>
          <w:spacing w:val="-3"/>
          <w:sz w:val="22"/>
          <w:szCs w:val="22"/>
        </w:rPr>
      </w:pPr>
      <w:r w:rsidRPr="00D97056">
        <w:rPr>
          <w:rFonts w:ascii="Arial" w:hAnsi="Arial" w:cs="Arial"/>
          <w:sz w:val="22"/>
          <w:szCs w:val="22"/>
        </w:rPr>
        <w:t xml:space="preserve">El pago se realizará </w:t>
      </w:r>
      <w:r>
        <w:rPr>
          <w:rFonts w:ascii="Arial" w:hAnsi="Arial" w:cs="Arial"/>
          <w:sz w:val="22"/>
          <w:szCs w:val="22"/>
        </w:rPr>
        <w:t xml:space="preserve">el 50% a la firma del contrato, y el 50% </w:t>
      </w:r>
      <w:r w:rsidRPr="00D97056">
        <w:rPr>
          <w:rFonts w:ascii="Arial" w:hAnsi="Arial" w:cs="Arial"/>
          <w:sz w:val="22"/>
          <w:szCs w:val="22"/>
        </w:rPr>
        <w:t xml:space="preserve">contra la entrega y aprobación por parte del BID del </w:t>
      </w:r>
      <w:r>
        <w:rPr>
          <w:rFonts w:ascii="Arial" w:hAnsi="Arial" w:cs="Arial"/>
          <w:sz w:val="22"/>
          <w:szCs w:val="22"/>
        </w:rPr>
        <w:t>informe</w:t>
      </w:r>
      <w:r w:rsidRPr="00D97056">
        <w:rPr>
          <w:rFonts w:ascii="Arial" w:hAnsi="Arial" w:cs="Arial"/>
          <w:sz w:val="22"/>
          <w:szCs w:val="22"/>
        </w:rPr>
        <w:t xml:space="preserve"> final. </w:t>
      </w:r>
      <w:r w:rsidRPr="00CD357F">
        <w:rPr>
          <w:rFonts w:ascii="Arial" w:hAnsi="Arial" w:cs="Arial"/>
          <w:sz w:val="22"/>
          <w:szCs w:val="22"/>
        </w:rPr>
        <w:t>E</w:t>
      </w:r>
      <w:r w:rsidRPr="00CD357F">
        <w:rPr>
          <w:rFonts w:ascii="Arial" w:hAnsi="Arial" w:cs="Arial"/>
          <w:spacing w:val="-3"/>
          <w:sz w:val="22"/>
          <w:szCs w:val="22"/>
        </w:rPr>
        <w:t xml:space="preserve">l costo de la </w:t>
      </w:r>
      <w:r>
        <w:rPr>
          <w:rFonts w:ascii="Arial" w:hAnsi="Arial" w:cs="Arial"/>
          <w:spacing w:val="-3"/>
          <w:sz w:val="22"/>
          <w:szCs w:val="22"/>
        </w:rPr>
        <w:t xml:space="preserve">consultoría se estima en </w:t>
      </w:r>
      <w:r w:rsidRPr="0087577D">
        <w:rPr>
          <w:rFonts w:ascii="Arial" w:hAnsi="Arial" w:cs="Arial"/>
          <w:spacing w:val="-3"/>
          <w:sz w:val="22"/>
          <w:szCs w:val="22"/>
        </w:rPr>
        <w:t>US$</w:t>
      </w:r>
      <w:r>
        <w:rPr>
          <w:rFonts w:ascii="Arial" w:hAnsi="Arial" w:cs="Arial"/>
          <w:spacing w:val="-3"/>
          <w:sz w:val="22"/>
          <w:szCs w:val="22"/>
        </w:rPr>
        <w:t>1</w:t>
      </w:r>
      <w:r w:rsidR="00985DFD">
        <w:rPr>
          <w:rFonts w:ascii="Arial" w:hAnsi="Arial" w:cs="Arial"/>
          <w:spacing w:val="-3"/>
          <w:sz w:val="22"/>
          <w:szCs w:val="22"/>
        </w:rPr>
        <w:t>5</w:t>
      </w:r>
      <w:r w:rsidRPr="0087577D">
        <w:rPr>
          <w:rFonts w:ascii="Arial" w:hAnsi="Arial" w:cs="Arial"/>
          <w:spacing w:val="-3"/>
          <w:sz w:val="22"/>
          <w:szCs w:val="22"/>
        </w:rPr>
        <w:t>.000.</w:t>
      </w:r>
    </w:p>
    <w:p w14:paraId="26999605" w14:textId="77777777" w:rsidR="00AC0AA2" w:rsidRPr="00D97056" w:rsidRDefault="00AC0AA2" w:rsidP="00AC0AA2">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Calificaciones</w:t>
      </w:r>
    </w:p>
    <w:p w14:paraId="6D1CF449" w14:textId="77777777" w:rsidR="00AC0AA2" w:rsidRPr="00D97056" w:rsidRDefault="00AC0AA2" w:rsidP="00AC0AA2">
      <w:pPr>
        <w:pStyle w:val="Paragraph"/>
        <w:numPr>
          <w:ilvl w:val="0"/>
          <w:numId w:val="0"/>
        </w:numPr>
        <w:rPr>
          <w:rFonts w:ascii="Arial" w:hAnsi="Arial" w:cs="Arial"/>
          <w:sz w:val="22"/>
          <w:szCs w:val="22"/>
        </w:rPr>
      </w:pPr>
      <w:r w:rsidRPr="00D97056">
        <w:rPr>
          <w:rFonts w:ascii="Arial" w:hAnsi="Arial" w:cs="Arial"/>
          <w:sz w:val="22"/>
          <w:szCs w:val="22"/>
        </w:rPr>
        <w:t>El contractual debe ser experto con formación profesional de maestría o doctorado y con experiencia en el área de economía y finanzas, siendo por lo menos de diez años en el tema de finanzas públicas en países de América Latina y el Caribe.</w:t>
      </w:r>
    </w:p>
    <w:p w14:paraId="75C8CCFD" w14:textId="77777777" w:rsidR="006C6AB6" w:rsidRDefault="006C6AB6" w:rsidP="00AC0AA2">
      <w:pPr>
        <w:pStyle w:val="heading-b24"/>
        <w:spacing w:before="120" w:after="120"/>
        <w:jc w:val="left"/>
        <w:rPr>
          <w:rFonts w:ascii="Arial" w:eastAsia="Arial Unicode MS" w:hAnsi="Arial" w:cs="Arial"/>
          <w:sz w:val="22"/>
          <w:szCs w:val="22"/>
          <w:lang w:val="es-ES"/>
        </w:rPr>
      </w:pPr>
    </w:p>
    <w:p w14:paraId="0AD496C0" w14:textId="77777777" w:rsidR="00AC0AA2" w:rsidRPr="00D97056" w:rsidRDefault="00AC0AA2" w:rsidP="00AC0AA2">
      <w:pPr>
        <w:pStyle w:val="heading-b24"/>
        <w:spacing w:before="120" w:after="120"/>
        <w:jc w:val="left"/>
        <w:rPr>
          <w:rFonts w:ascii="Arial" w:eastAsia="Arial Unicode MS" w:hAnsi="Arial" w:cs="Arial"/>
          <w:sz w:val="22"/>
          <w:szCs w:val="22"/>
          <w:lang w:val="es-ES"/>
        </w:rPr>
      </w:pPr>
      <w:r w:rsidRPr="00D97056">
        <w:rPr>
          <w:rFonts w:ascii="Arial" w:eastAsia="Arial Unicode MS" w:hAnsi="Arial" w:cs="Arial"/>
          <w:sz w:val="22"/>
          <w:szCs w:val="22"/>
          <w:lang w:val="es-ES"/>
        </w:rPr>
        <w:t>Características</w:t>
      </w:r>
    </w:p>
    <w:p w14:paraId="18A7EB64" w14:textId="77777777" w:rsidR="00AC0AA2" w:rsidRDefault="00AC0AA2" w:rsidP="00AC0AA2">
      <w:pPr>
        <w:pStyle w:val="NoSpacing"/>
        <w:spacing w:before="120" w:after="120"/>
        <w:jc w:val="both"/>
        <w:rPr>
          <w:rFonts w:ascii="Arial" w:hAnsi="Arial" w:cs="Arial"/>
          <w:sz w:val="22"/>
          <w:szCs w:val="22"/>
          <w:lang w:val="es-ES"/>
        </w:rPr>
      </w:pPr>
      <w:r w:rsidRPr="00D97056">
        <w:rPr>
          <w:rFonts w:ascii="Arial" w:hAnsi="Arial" w:cs="Arial"/>
          <w:b/>
          <w:sz w:val="22"/>
          <w:szCs w:val="22"/>
          <w:lang w:val="es-ES"/>
        </w:rPr>
        <w:t>Categoría y Modalidad de la Consultoría:</w:t>
      </w:r>
      <w:r w:rsidRPr="00D97056">
        <w:rPr>
          <w:rFonts w:ascii="Arial" w:hAnsi="Arial" w:cs="Arial"/>
          <w:sz w:val="22"/>
          <w:szCs w:val="22"/>
          <w:lang w:val="es-ES"/>
        </w:rPr>
        <w:t xml:space="preserve"> Contractual de Productos y Servicios Externos, Suma Alzada</w:t>
      </w:r>
      <w:r>
        <w:rPr>
          <w:rFonts w:ascii="Arial" w:hAnsi="Arial" w:cs="Arial"/>
          <w:sz w:val="22"/>
          <w:szCs w:val="22"/>
          <w:lang w:val="es-ES"/>
        </w:rPr>
        <w:t>.</w:t>
      </w:r>
    </w:p>
    <w:p w14:paraId="7CFE122C" w14:textId="77777777" w:rsidR="00AC0AA2" w:rsidRPr="00D97056" w:rsidRDefault="00AC0AA2" w:rsidP="00AC0AA2">
      <w:pPr>
        <w:pStyle w:val="NoSpacing"/>
        <w:spacing w:before="120" w:after="120"/>
        <w:jc w:val="both"/>
        <w:rPr>
          <w:rFonts w:ascii="Arial" w:hAnsi="Arial" w:cs="Arial"/>
          <w:spacing w:val="-3"/>
          <w:sz w:val="22"/>
          <w:szCs w:val="22"/>
          <w:lang w:val="es-ES"/>
        </w:rPr>
      </w:pPr>
      <w:r w:rsidRPr="00D97056">
        <w:rPr>
          <w:rFonts w:ascii="Arial" w:hAnsi="Arial" w:cs="Arial"/>
          <w:b/>
          <w:sz w:val="22"/>
          <w:szCs w:val="22"/>
          <w:lang w:val="es-ES"/>
        </w:rPr>
        <w:t>Duración del Contrato</w:t>
      </w:r>
      <w:r w:rsidRPr="00D97056">
        <w:rPr>
          <w:rFonts w:ascii="Arial" w:hAnsi="Arial" w:cs="Arial"/>
          <w:sz w:val="22"/>
          <w:szCs w:val="22"/>
          <w:lang w:val="es-ES"/>
        </w:rPr>
        <w:t xml:space="preserve">: </w:t>
      </w:r>
      <w:r w:rsidR="00985DFD">
        <w:rPr>
          <w:rFonts w:ascii="Arial" w:hAnsi="Arial" w:cs="Arial"/>
          <w:sz w:val="22"/>
          <w:szCs w:val="22"/>
          <w:lang w:val="es-ES"/>
        </w:rPr>
        <w:t>3</w:t>
      </w:r>
      <w:r>
        <w:rPr>
          <w:rFonts w:ascii="Arial" w:hAnsi="Arial" w:cs="Arial"/>
          <w:sz w:val="22"/>
          <w:szCs w:val="22"/>
          <w:lang w:val="es-ES"/>
        </w:rPr>
        <w:t>0</w:t>
      </w:r>
      <w:r w:rsidRPr="00D97056">
        <w:rPr>
          <w:rFonts w:ascii="Arial" w:hAnsi="Arial" w:cs="Arial"/>
          <w:spacing w:val="-3"/>
          <w:sz w:val="22"/>
          <w:szCs w:val="22"/>
          <w:lang w:val="es-ES"/>
        </w:rPr>
        <w:t xml:space="preserve"> días </w:t>
      </w:r>
      <w:r>
        <w:rPr>
          <w:rFonts w:ascii="Arial" w:hAnsi="Arial" w:cs="Arial"/>
          <w:spacing w:val="-3"/>
          <w:sz w:val="22"/>
          <w:szCs w:val="22"/>
          <w:lang w:val="es-ES"/>
        </w:rPr>
        <w:t xml:space="preserve">hábiles </w:t>
      </w:r>
      <w:r w:rsidRPr="00D97056">
        <w:rPr>
          <w:rFonts w:ascii="Arial" w:hAnsi="Arial" w:cs="Arial"/>
          <w:spacing w:val="-3"/>
          <w:sz w:val="22"/>
          <w:szCs w:val="22"/>
          <w:lang w:val="es-ES"/>
        </w:rPr>
        <w:t xml:space="preserve">de trabajo en un </w:t>
      </w:r>
      <w:r>
        <w:rPr>
          <w:rFonts w:ascii="Arial" w:hAnsi="Arial" w:cs="Arial"/>
          <w:spacing w:val="-3"/>
          <w:sz w:val="22"/>
          <w:szCs w:val="22"/>
          <w:lang w:val="es-ES"/>
        </w:rPr>
        <w:t>período</w:t>
      </w:r>
      <w:r w:rsidRPr="00D97056">
        <w:rPr>
          <w:rFonts w:ascii="Arial" w:hAnsi="Arial" w:cs="Arial"/>
          <w:spacing w:val="-3"/>
          <w:sz w:val="22"/>
          <w:szCs w:val="22"/>
          <w:lang w:val="es-ES"/>
        </w:rPr>
        <w:t xml:space="preserve"> de </w:t>
      </w:r>
      <w:r>
        <w:rPr>
          <w:rFonts w:ascii="Arial" w:hAnsi="Arial" w:cs="Arial"/>
          <w:spacing w:val="-3"/>
          <w:sz w:val="22"/>
          <w:szCs w:val="22"/>
          <w:lang w:val="es-ES"/>
        </w:rPr>
        <w:t>cuatro</w:t>
      </w:r>
      <w:r w:rsidRPr="00D97056">
        <w:rPr>
          <w:rFonts w:ascii="Arial" w:hAnsi="Arial" w:cs="Arial"/>
          <w:spacing w:val="-3"/>
          <w:sz w:val="22"/>
          <w:szCs w:val="22"/>
          <w:lang w:val="es-ES"/>
        </w:rPr>
        <w:t xml:space="preserve"> meses desde la firma del contrato. </w:t>
      </w:r>
    </w:p>
    <w:p w14:paraId="3A0C20B0" w14:textId="77777777" w:rsidR="00AC0AA2" w:rsidRPr="00D97056" w:rsidRDefault="00AC0AA2" w:rsidP="00AC0AA2">
      <w:pPr>
        <w:pStyle w:val="Paragraph"/>
        <w:numPr>
          <w:ilvl w:val="0"/>
          <w:numId w:val="0"/>
        </w:numPr>
        <w:rPr>
          <w:rFonts w:ascii="Arial" w:hAnsi="Arial" w:cs="Arial"/>
          <w:spacing w:val="-3"/>
          <w:sz w:val="22"/>
          <w:szCs w:val="22"/>
        </w:rPr>
      </w:pPr>
      <w:r w:rsidRPr="00D97056">
        <w:rPr>
          <w:rFonts w:ascii="Arial" w:hAnsi="Arial" w:cs="Arial"/>
          <w:b/>
          <w:spacing w:val="-3"/>
          <w:sz w:val="22"/>
          <w:szCs w:val="22"/>
        </w:rPr>
        <w:t>Lugar de trabajo</w:t>
      </w:r>
      <w:r w:rsidRPr="00D97056">
        <w:rPr>
          <w:rFonts w:ascii="Arial" w:hAnsi="Arial" w:cs="Arial"/>
          <w:spacing w:val="-3"/>
          <w:sz w:val="22"/>
          <w:szCs w:val="22"/>
        </w:rPr>
        <w:t>: lugar de residencia del contractual</w:t>
      </w:r>
      <w:r>
        <w:rPr>
          <w:rFonts w:ascii="Arial" w:hAnsi="Arial" w:cs="Arial"/>
          <w:spacing w:val="-3"/>
          <w:sz w:val="22"/>
          <w:szCs w:val="22"/>
        </w:rPr>
        <w:t xml:space="preserve"> y Guatemala</w:t>
      </w:r>
      <w:r w:rsidRPr="00D97056">
        <w:rPr>
          <w:rFonts w:ascii="Arial" w:hAnsi="Arial" w:cs="Arial"/>
          <w:spacing w:val="-3"/>
          <w:sz w:val="22"/>
          <w:szCs w:val="22"/>
        </w:rPr>
        <w:t>.</w:t>
      </w:r>
    </w:p>
    <w:p w14:paraId="7E4EDFC4" w14:textId="77777777" w:rsidR="00AC0AA2" w:rsidRPr="00D97056" w:rsidRDefault="00AC0AA2" w:rsidP="004348BE">
      <w:pPr>
        <w:pStyle w:val="NoSpacing"/>
        <w:spacing w:before="120" w:after="120"/>
        <w:jc w:val="both"/>
        <w:rPr>
          <w:rFonts w:ascii="Arial" w:hAnsi="Arial" w:cs="Arial"/>
          <w:sz w:val="22"/>
          <w:szCs w:val="22"/>
          <w:lang w:val="es-ES"/>
        </w:rPr>
      </w:pPr>
      <w:r w:rsidRPr="00D97056">
        <w:rPr>
          <w:rFonts w:ascii="Arial" w:hAnsi="Arial" w:cs="Arial"/>
          <w:b/>
          <w:sz w:val="22"/>
          <w:szCs w:val="22"/>
          <w:lang w:val="es-ES_tradnl"/>
        </w:rPr>
        <w:t>Coordinación</w:t>
      </w:r>
      <w:r w:rsidRPr="00D97056">
        <w:rPr>
          <w:rFonts w:ascii="Arial" w:hAnsi="Arial" w:cs="Arial"/>
          <w:sz w:val="22"/>
          <w:szCs w:val="22"/>
          <w:lang w:val="es-ES_tradnl"/>
        </w:rPr>
        <w:t xml:space="preserve">: </w:t>
      </w:r>
      <w:r>
        <w:rPr>
          <w:rFonts w:ascii="Arial" w:hAnsi="Arial" w:cs="Arial"/>
          <w:sz w:val="22"/>
          <w:szCs w:val="22"/>
          <w:lang w:val="es-ES_tradnl"/>
        </w:rPr>
        <w:t>Jefe de Equipo del Proyecto, Carlos Pimenta</w:t>
      </w:r>
      <w:r w:rsidRPr="00D97056">
        <w:rPr>
          <w:rFonts w:ascii="Arial" w:hAnsi="Arial" w:cs="Arial"/>
          <w:sz w:val="22"/>
          <w:szCs w:val="22"/>
          <w:lang w:val="es-ES_tradnl"/>
        </w:rPr>
        <w:t xml:space="preserve"> (</w:t>
      </w:r>
      <w:hyperlink r:id="rId29" w:history="1">
        <w:r w:rsidRPr="00B14F0C">
          <w:rPr>
            <w:rStyle w:val="Hyperlink"/>
            <w:rFonts w:ascii="Arial" w:eastAsiaTheme="majorEastAsia" w:hAnsi="Arial" w:cs="Arial"/>
            <w:sz w:val="22"/>
            <w:szCs w:val="22"/>
            <w:lang w:val="es-ES"/>
          </w:rPr>
          <w:t>carloscp@iadb.org</w:t>
        </w:r>
      </w:hyperlink>
      <w:r w:rsidRPr="00D97056">
        <w:rPr>
          <w:rFonts w:ascii="Arial" w:hAnsi="Arial" w:cs="Arial"/>
          <w:sz w:val="22"/>
          <w:szCs w:val="22"/>
          <w:lang w:val="es-ES_tradnl"/>
        </w:rPr>
        <w:t xml:space="preserve">), </w:t>
      </w:r>
      <w:r w:rsidRPr="00D97056">
        <w:rPr>
          <w:rFonts w:ascii="Arial" w:hAnsi="Arial" w:cs="Arial"/>
          <w:sz w:val="22"/>
          <w:szCs w:val="22"/>
          <w:lang w:val="es-ES"/>
        </w:rPr>
        <w:t>División de Gestión Fiscal y Municipal (FMM).</w:t>
      </w:r>
    </w:p>
    <w:p w14:paraId="32EB6E9F" w14:textId="77777777" w:rsidR="001952E4" w:rsidRDefault="001952E4" w:rsidP="004348BE">
      <w:pPr>
        <w:spacing w:before="120" w:after="120" w:line="276" w:lineRule="auto"/>
        <w:rPr>
          <w:rFonts w:ascii="Arial" w:hAnsi="Arial" w:cs="Arial"/>
          <w:sz w:val="22"/>
          <w:szCs w:val="22"/>
          <w:lang w:val="es-ES"/>
        </w:rPr>
      </w:pPr>
    </w:p>
    <w:p w14:paraId="0CFF8C60" w14:textId="77777777" w:rsidR="00C4494B" w:rsidRDefault="00C4494B" w:rsidP="004348BE">
      <w:pPr>
        <w:spacing w:before="120" w:after="120" w:line="276" w:lineRule="auto"/>
        <w:rPr>
          <w:rFonts w:ascii="Arial" w:hAnsi="Arial" w:cs="Arial"/>
          <w:sz w:val="22"/>
          <w:szCs w:val="22"/>
          <w:lang w:val="es-ES"/>
        </w:rPr>
        <w:sectPr w:rsidR="00C4494B" w:rsidSect="0037579B">
          <w:headerReference w:type="even" r:id="rId30"/>
          <w:headerReference w:type="default" r:id="rId31"/>
          <w:headerReference w:type="first" r:id="rId32"/>
          <w:type w:val="nextColumn"/>
          <w:pgSz w:w="12240" w:h="15840" w:code="1"/>
          <w:pgMar w:top="1440" w:right="1800" w:bottom="1440" w:left="1800" w:header="706" w:footer="706" w:gutter="0"/>
          <w:pgNumType w:start="1"/>
          <w:cols w:space="720"/>
          <w:formProt w:val="0"/>
          <w:titlePg/>
        </w:sectPr>
      </w:pPr>
    </w:p>
    <w:p w14:paraId="061A549F" w14:textId="77777777" w:rsidR="009C7648" w:rsidRDefault="009C7648" w:rsidP="0049240B">
      <w:pPr>
        <w:autoSpaceDE w:val="0"/>
        <w:autoSpaceDN w:val="0"/>
        <w:adjustRightInd w:val="0"/>
        <w:spacing w:after="120"/>
        <w:jc w:val="center"/>
        <w:rPr>
          <w:rFonts w:ascii="Arial" w:hAnsi="Arial"/>
          <w:b/>
          <w:smallCaps/>
          <w:lang w:val="es-ES"/>
        </w:rPr>
      </w:pPr>
    </w:p>
    <w:p w14:paraId="267CA9E7" w14:textId="36CDA495" w:rsidR="007B561B" w:rsidRPr="00B27F31" w:rsidRDefault="007B561B" w:rsidP="007B561B">
      <w:pPr>
        <w:jc w:val="center"/>
        <w:rPr>
          <w:rFonts w:ascii="Arial" w:hAnsi="Arial" w:cs="Arial"/>
          <w:sz w:val="22"/>
          <w:szCs w:val="22"/>
          <w:highlight w:val="red"/>
        </w:rPr>
      </w:pPr>
      <w:r>
        <w:rPr>
          <w:rFonts w:ascii="Arial" w:eastAsia="Arial" w:hAnsi="Arial" w:cs="Arial"/>
          <w:b/>
          <w:sz w:val="22"/>
          <w:szCs w:val="22"/>
          <w:lang w:val="es-ES"/>
        </w:rPr>
        <w:t>Anexo 4</w:t>
      </w:r>
      <w:r w:rsidRPr="007B561B">
        <w:rPr>
          <w:rFonts w:ascii="Arial" w:eastAsia="Arial" w:hAnsi="Arial" w:cs="Arial"/>
          <w:b/>
          <w:sz w:val="22"/>
          <w:szCs w:val="22"/>
          <w:lang w:val="es-ES"/>
        </w:rPr>
        <w:t xml:space="preserve"> – Plan de </w:t>
      </w:r>
      <w:r w:rsidR="007324E3" w:rsidRPr="007B561B">
        <w:rPr>
          <w:rFonts w:ascii="Arial" w:eastAsia="Arial" w:hAnsi="Arial" w:cs="Arial"/>
          <w:b/>
          <w:sz w:val="22"/>
          <w:szCs w:val="22"/>
          <w:lang w:val="es-ES"/>
        </w:rPr>
        <w:t xml:space="preserve">trabajo </w:t>
      </w:r>
      <w:r w:rsidRPr="007B561B">
        <w:rPr>
          <w:rFonts w:ascii="Arial" w:eastAsia="Arial" w:hAnsi="Arial" w:cs="Arial"/>
          <w:b/>
          <w:sz w:val="22"/>
          <w:szCs w:val="22"/>
          <w:lang w:val="es-ES"/>
        </w:rPr>
        <w:t xml:space="preserve">de </w:t>
      </w:r>
      <w:r w:rsidR="007324E3">
        <w:rPr>
          <w:rFonts w:ascii="Arial" w:eastAsia="Arial" w:hAnsi="Arial" w:cs="Arial"/>
          <w:b/>
          <w:sz w:val="22"/>
          <w:szCs w:val="22"/>
          <w:lang w:val="es-ES"/>
        </w:rPr>
        <w:t xml:space="preserve">seguimiento de las </w:t>
      </w:r>
      <w:r w:rsidR="007324E3" w:rsidRPr="007B561B">
        <w:rPr>
          <w:rFonts w:ascii="Arial" w:eastAsia="Arial" w:hAnsi="Arial" w:cs="Arial"/>
          <w:b/>
          <w:sz w:val="22"/>
          <w:szCs w:val="22"/>
          <w:lang w:val="es-ES"/>
        </w:rPr>
        <w:t xml:space="preserve">actividades </w:t>
      </w:r>
      <w:r w:rsidRPr="007B561B">
        <w:rPr>
          <w:rFonts w:ascii="Arial" w:eastAsia="Arial" w:hAnsi="Arial" w:cs="Arial"/>
          <w:b/>
          <w:sz w:val="22"/>
          <w:szCs w:val="22"/>
          <w:lang w:val="es-ES"/>
        </w:rPr>
        <w:t>de</w:t>
      </w:r>
      <w:r w:rsidR="00087D5D">
        <w:rPr>
          <w:rFonts w:ascii="Arial" w:eastAsia="Arial" w:hAnsi="Arial" w:cs="Arial"/>
          <w:b/>
          <w:sz w:val="22"/>
          <w:szCs w:val="22"/>
          <w:lang w:val="es-ES"/>
        </w:rPr>
        <w:t>l</w:t>
      </w:r>
      <w:r w:rsidRPr="007B561B">
        <w:rPr>
          <w:rFonts w:ascii="Arial" w:eastAsia="Arial" w:hAnsi="Arial" w:cs="Arial"/>
          <w:b/>
          <w:sz w:val="22"/>
          <w:szCs w:val="22"/>
          <w:lang w:val="es-ES"/>
        </w:rPr>
        <w:t xml:space="preserve"> </w:t>
      </w:r>
      <w:r w:rsidR="00087D5D" w:rsidRPr="00087D5D">
        <w:rPr>
          <w:rFonts w:ascii="Arial" w:eastAsia="Arial" w:hAnsi="Arial" w:cs="Arial"/>
          <w:b/>
          <w:sz w:val="22"/>
          <w:szCs w:val="22"/>
        </w:rPr>
        <w:t>programa</w:t>
      </w:r>
      <w:r w:rsidR="00CD39D0">
        <w:rPr>
          <w:rStyle w:val="FootnoteReference"/>
          <w:rFonts w:ascii="Arial" w:eastAsia="Arial" w:hAnsi="Arial" w:cs="Arial"/>
          <w:b/>
          <w:sz w:val="22"/>
          <w:szCs w:val="22"/>
        </w:rPr>
        <w:footnoteReference w:id="5"/>
      </w:r>
    </w:p>
    <w:p w14:paraId="178ED411" w14:textId="77777777" w:rsidR="007B561B" w:rsidRDefault="007B561B" w:rsidP="007B561B">
      <w:pPr>
        <w:spacing w:line="276" w:lineRule="auto"/>
        <w:rPr>
          <w:rFonts w:ascii="Arial" w:eastAsia="Arial" w:hAnsi="Arial" w:cs="Arial"/>
          <w:b/>
          <w:sz w:val="22"/>
          <w:szCs w:val="22"/>
          <w:lang w:val="es-ES"/>
        </w:rPr>
      </w:pPr>
    </w:p>
    <w:tbl>
      <w:tblPr>
        <w:tblW w:w="131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20"/>
        <w:gridCol w:w="360"/>
        <w:gridCol w:w="360"/>
        <w:gridCol w:w="360"/>
        <w:gridCol w:w="360"/>
        <w:gridCol w:w="360"/>
        <w:gridCol w:w="360"/>
        <w:gridCol w:w="360"/>
        <w:gridCol w:w="360"/>
        <w:gridCol w:w="360"/>
        <w:gridCol w:w="360"/>
        <w:gridCol w:w="360"/>
        <w:gridCol w:w="360"/>
        <w:gridCol w:w="1710"/>
        <w:gridCol w:w="1170"/>
        <w:gridCol w:w="1620"/>
      </w:tblGrid>
      <w:tr w:rsidR="00B27F31" w:rsidRPr="00684972" w14:paraId="6521BB24" w14:textId="77777777" w:rsidTr="006B6B00">
        <w:trPr>
          <w:jc w:val="center"/>
        </w:trPr>
        <w:tc>
          <w:tcPr>
            <w:tcW w:w="4320" w:type="dxa"/>
            <w:vMerge w:val="restart"/>
          </w:tcPr>
          <w:p w14:paraId="2C49DB5B" w14:textId="77777777" w:rsidR="00B27F31" w:rsidRPr="00684972" w:rsidRDefault="00B27F31" w:rsidP="00B27F31">
            <w:pPr>
              <w:jc w:val="center"/>
              <w:rPr>
                <w:rFonts w:ascii="Arial" w:hAnsi="Arial" w:cs="Arial"/>
                <w:b/>
                <w:spacing w:val="-3"/>
                <w:sz w:val="20"/>
                <w:lang w:val="es-ES"/>
              </w:rPr>
            </w:pPr>
            <w:r w:rsidRPr="00684972">
              <w:rPr>
                <w:rFonts w:ascii="Arial" w:hAnsi="Arial" w:cs="Arial"/>
                <w:b/>
                <w:spacing w:val="-3"/>
                <w:sz w:val="20"/>
                <w:lang w:val="es-ES"/>
              </w:rPr>
              <w:t>Principales actividades de seguimiento/Productos por actividad</w:t>
            </w:r>
          </w:p>
        </w:tc>
        <w:tc>
          <w:tcPr>
            <w:tcW w:w="1440" w:type="dxa"/>
            <w:gridSpan w:val="4"/>
            <w:shd w:val="clear" w:color="auto" w:fill="auto"/>
          </w:tcPr>
          <w:p w14:paraId="2870EB4F" w14:textId="6BEF8F5F" w:rsidR="00B27F31" w:rsidRPr="00684972" w:rsidRDefault="00B27F31" w:rsidP="0086362F">
            <w:pPr>
              <w:jc w:val="center"/>
              <w:rPr>
                <w:rFonts w:ascii="Arial" w:hAnsi="Arial" w:cs="Arial"/>
                <w:b/>
                <w:spacing w:val="-3"/>
                <w:sz w:val="20"/>
              </w:rPr>
            </w:pPr>
            <w:r w:rsidRPr="00684972">
              <w:rPr>
                <w:rFonts w:ascii="Arial" w:hAnsi="Arial" w:cs="Arial"/>
                <w:b/>
                <w:spacing w:val="-3"/>
                <w:sz w:val="20"/>
              </w:rPr>
              <w:t>201</w:t>
            </w:r>
            <w:r w:rsidR="0086362F" w:rsidRPr="00684972">
              <w:rPr>
                <w:rFonts w:ascii="Arial" w:hAnsi="Arial" w:cs="Arial"/>
                <w:b/>
                <w:spacing w:val="-3"/>
                <w:sz w:val="20"/>
              </w:rPr>
              <w:t>6</w:t>
            </w:r>
          </w:p>
        </w:tc>
        <w:tc>
          <w:tcPr>
            <w:tcW w:w="1440" w:type="dxa"/>
            <w:gridSpan w:val="4"/>
            <w:shd w:val="clear" w:color="auto" w:fill="auto"/>
          </w:tcPr>
          <w:p w14:paraId="0EFFF77D" w14:textId="46892BBD" w:rsidR="00B27F31" w:rsidRPr="00684972" w:rsidRDefault="00B27F31" w:rsidP="0086362F">
            <w:pPr>
              <w:jc w:val="center"/>
              <w:rPr>
                <w:rFonts w:ascii="Arial" w:hAnsi="Arial" w:cs="Arial"/>
                <w:b/>
                <w:spacing w:val="-3"/>
                <w:sz w:val="20"/>
              </w:rPr>
            </w:pPr>
            <w:r w:rsidRPr="00684972">
              <w:rPr>
                <w:rFonts w:ascii="Arial" w:hAnsi="Arial" w:cs="Arial"/>
                <w:b/>
                <w:spacing w:val="-3"/>
                <w:sz w:val="20"/>
              </w:rPr>
              <w:t>201</w:t>
            </w:r>
            <w:r w:rsidR="0086362F" w:rsidRPr="00684972">
              <w:rPr>
                <w:rFonts w:ascii="Arial" w:hAnsi="Arial" w:cs="Arial"/>
                <w:b/>
                <w:spacing w:val="-3"/>
                <w:sz w:val="20"/>
              </w:rPr>
              <w:t>7</w:t>
            </w:r>
          </w:p>
        </w:tc>
        <w:tc>
          <w:tcPr>
            <w:tcW w:w="1440" w:type="dxa"/>
            <w:gridSpan w:val="4"/>
            <w:shd w:val="clear" w:color="auto" w:fill="auto"/>
          </w:tcPr>
          <w:p w14:paraId="0CC63C52" w14:textId="4F0C3652" w:rsidR="00B27F31" w:rsidRPr="00684972" w:rsidRDefault="00B27F31" w:rsidP="0086362F">
            <w:pPr>
              <w:jc w:val="center"/>
              <w:rPr>
                <w:rFonts w:ascii="Arial" w:hAnsi="Arial" w:cs="Arial"/>
                <w:b/>
                <w:spacing w:val="-3"/>
                <w:sz w:val="20"/>
              </w:rPr>
            </w:pPr>
            <w:r w:rsidRPr="00684972">
              <w:rPr>
                <w:rFonts w:ascii="Arial" w:hAnsi="Arial" w:cs="Arial"/>
                <w:b/>
                <w:spacing w:val="-3"/>
                <w:sz w:val="20"/>
              </w:rPr>
              <w:t>201</w:t>
            </w:r>
            <w:r w:rsidR="0086362F" w:rsidRPr="00684972">
              <w:rPr>
                <w:rFonts w:ascii="Arial" w:hAnsi="Arial" w:cs="Arial"/>
                <w:b/>
                <w:spacing w:val="-3"/>
                <w:sz w:val="20"/>
              </w:rPr>
              <w:t>8</w:t>
            </w:r>
          </w:p>
        </w:tc>
        <w:tc>
          <w:tcPr>
            <w:tcW w:w="1710" w:type="dxa"/>
            <w:vMerge w:val="restart"/>
          </w:tcPr>
          <w:p w14:paraId="2C04DB53"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Responsable</w:t>
            </w:r>
          </w:p>
        </w:tc>
        <w:tc>
          <w:tcPr>
            <w:tcW w:w="1170" w:type="dxa"/>
            <w:vMerge w:val="restart"/>
          </w:tcPr>
          <w:p w14:paraId="515EC835"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Costo</w:t>
            </w:r>
          </w:p>
          <w:p w14:paraId="3C3376EA"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(moneda)</w:t>
            </w:r>
          </w:p>
        </w:tc>
        <w:tc>
          <w:tcPr>
            <w:tcW w:w="1620" w:type="dxa"/>
            <w:vMerge w:val="restart"/>
          </w:tcPr>
          <w:p w14:paraId="1D65CACC"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Financiamiento</w:t>
            </w:r>
          </w:p>
        </w:tc>
      </w:tr>
      <w:tr w:rsidR="00B27F31" w:rsidRPr="00E76071" w14:paraId="436AC4D3" w14:textId="77777777" w:rsidTr="006B6B00">
        <w:trPr>
          <w:jc w:val="center"/>
        </w:trPr>
        <w:tc>
          <w:tcPr>
            <w:tcW w:w="4320" w:type="dxa"/>
            <w:vMerge/>
          </w:tcPr>
          <w:p w14:paraId="5A153569" w14:textId="77777777" w:rsidR="00B27F31" w:rsidRPr="0045601B" w:rsidRDefault="00B27F31" w:rsidP="00B27F31">
            <w:pPr>
              <w:jc w:val="center"/>
              <w:rPr>
                <w:rFonts w:ascii="Arial" w:hAnsi="Arial" w:cs="Arial"/>
                <w:spacing w:val="-3"/>
                <w:sz w:val="20"/>
              </w:rPr>
            </w:pPr>
          </w:p>
        </w:tc>
        <w:tc>
          <w:tcPr>
            <w:tcW w:w="360" w:type="dxa"/>
            <w:shd w:val="clear" w:color="auto" w:fill="auto"/>
          </w:tcPr>
          <w:p w14:paraId="7AAED51B"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1</w:t>
            </w:r>
          </w:p>
        </w:tc>
        <w:tc>
          <w:tcPr>
            <w:tcW w:w="360" w:type="dxa"/>
            <w:shd w:val="clear" w:color="auto" w:fill="auto"/>
          </w:tcPr>
          <w:p w14:paraId="20327674"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2</w:t>
            </w:r>
          </w:p>
        </w:tc>
        <w:tc>
          <w:tcPr>
            <w:tcW w:w="360" w:type="dxa"/>
            <w:shd w:val="clear" w:color="auto" w:fill="auto"/>
          </w:tcPr>
          <w:p w14:paraId="4AF70D8B"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3</w:t>
            </w:r>
          </w:p>
        </w:tc>
        <w:tc>
          <w:tcPr>
            <w:tcW w:w="360" w:type="dxa"/>
            <w:shd w:val="clear" w:color="auto" w:fill="auto"/>
          </w:tcPr>
          <w:p w14:paraId="02CF5954"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4</w:t>
            </w:r>
          </w:p>
        </w:tc>
        <w:tc>
          <w:tcPr>
            <w:tcW w:w="360" w:type="dxa"/>
            <w:shd w:val="clear" w:color="auto" w:fill="auto"/>
          </w:tcPr>
          <w:p w14:paraId="67A29819"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1</w:t>
            </w:r>
          </w:p>
        </w:tc>
        <w:tc>
          <w:tcPr>
            <w:tcW w:w="360" w:type="dxa"/>
            <w:shd w:val="clear" w:color="auto" w:fill="auto"/>
          </w:tcPr>
          <w:p w14:paraId="63B1D3D8"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2</w:t>
            </w:r>
          </w:p>
        </w:tc>
        <w:tc>
          <w:tcPr>
            <w:tcW w:w="360" w:type="dxa"/>
            <w:shd w:val="clear" w:color="auto" w:fill="auto"/>
          </w:tcPr>
          <w:p w14:paraId="3818F15E"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3</w:t>
            </w:r>
          </w:p>
        </w:tc>
        <w:tc>
          <w:tcPr>
            <w:tcW w:w="360" w:type="dxa"/>
            <w:shd w:val="clear" w:color="auto" w:fill="auto"/>
          </w:tcPr>
          <w:p w14:paraId="2FF06C34"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4</w:t>
            </w:r>
          </w:p>
        </w:tc>
        <w:tc>
          <w:tcPr>
            <w:tcW w:w="360" w:type="dxa"/>
            <w:shd w:val="clear" w:color="auto" w:fill="auto"/>
          </w:tcPr>
          <w:p w14:paraId="3573E48D"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1</w:t>
            </w:r>
          </w:p>
        </w:tc>
        <w:tc>
          <w:tcPr>
            <w:tcW w:w="360" w:type="dxa"/>
            <w:shd w:val="clear" w:color="auto" w:fill="auto"/>
          </w:tcPr>
          <w:p w14:paraId="3A13D103"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2</w:t>
            </w:r>
          </w:p>
        </w:tc>
        <w:tc>
          <w:tcPr>
            <w:tcW w:w="360" w:type="dxa"/>
            <w:shd w:val="clear" w:color="auto" w:fill="auto"/>
          </w:tcPr>
          <w:p w14:paraId="25462720"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3</w:t>
            </w:r>
          </w:p>
        </w:tc>
        <w:tc>
          <w:tcPr>
            <w:tcW w:w="360" w:type="dxa"/>
            <w:shd w:val="clear" w:color="auto" w:fill="auto"/>
          </w:tcPr>
          <w:p w14:paraId="0F57B199" w14:textId="77777777" w:rsidR="00B27F31" w:rsidRPr="00684972" w:rsidRDefault="00B27F31" w:rsidP="00B27F31">
            <w:pPr>
              <w:jc w:val="center"/>
              <w:rPr>
                <w:rFonts w:ascii="Arial" w:hAnsi="Arial" w:cs="Arial"/>
                <w:b/>
                <w:spacing w:val="-3"/>
                <w:sz w:val="20"/>
              </w:rPr>
            </w:pPr>
            <w:r w:rsidRPr="00684972">
              <w:rPr>
                <w:rFonts w:ascii="Arial" w:hAnsi="Arial" w:cs="Arial"/>
                <w:b/>
                <w:spacing w:val="-3"/>
                <w:sz w:val="20"/>
              </w:rPr>
              <w:t>4</w:t>
            </w:r>
          </w:p>
        </w:tc>
        <w:tc>
          <w:tcPr>
            <w:tcW w:w="1710" w:type="dxa"/>
            <w:vMerge/>
          </w:tcPr>
          <w:p w14:paraId="3244EC30" w14:textId="77777777" w:rsidR="00B27F31" w:rsidRPr="0045601B" w:rsidRDefault="00B27F31" w:rsidP="00B27F31">
            <w:pPr>
              <w:jc w:val="center"/>
              <w:rPr>
                <w:rFonts w:ascii="Arial" w:hAnsi="Arial" w:cs="Arial"/>
                <w:spacing w:val="-3"/>
                <w:sz w:val="20"/>
              </w:rPr>
            </w:pPr>
          </w:p>
        </w:tc>
        <w:tc>
          <w:tcPr>
            <w:tcW w:w="1170" w:type="dxa"/>
            <w:vMerge/>
          </w:tcPr>
          <w:p w14:paraId="1925AA5B" w14:textId="77777777" w:rsidR="00B27F31" w:rsidRPr="0045601B" w:rsidRDefault="00B27F31" w:rsidP="00B27F31">
            <w:pPr>
              <w:jc w:val="center"/>
              <w:rPr>
                <w:rFonts w:ascii="Arial" w:hAnsi="Arial" w:cs="Arial"/>
                <w:spacing w:val="-3"/>
                <w:sz w:val="20"/>
              </w:rPr>
            </w:pPr>
          </w:p>
        </w:tc>
        <w:tc>
          <w:tcPr>
            <w:tcW w:w="1620" w:type="dxa"/>
            <w:vMerge/>
          </w:tcPr>
          <w:p w14:paraId="55053262" w14:textId="77777777" w:rsidR="00B27F31" w:rsidRPr="0045601B" w:rsidRDefault="00B27F31" w:rsidP="00B27F31">
            <w:pPr>
              <w:jc w:val="center"/>
              <w:rPr>
                <w:rFonts w:ascii="Arial" w:hAnsi="Arial" w:cs="Arial"/>
                <w:spacing w:val="-3"/>
                <w:sz w:val="20"/>
              </w:rPr>
            </w:pPr>
          </w:p>
        </w:tc>
      </w:tr>
      <w:tr w:rsidR="00B27F31" w:rsidRPr="00E76071" w14:paraId="214B1788" w14:textId="77777777" w:rsidTr="006B6B00">
        <w:trPr>
          <w:jc w:val="center"/>
        </w:trPr>
        <w:tc>
          <w:tcPr>
            <w:tcW w:w="4320" w:type="dxa"/>
          </w:tcPr>
          <w:p w14:paraId="720DA9B7" w14:textId="6703D797" w:rsidR="00B27F31" w:rsidRPr="007F2096" w:rsidRDefault="00E76071" w:rsidP="00B27F31">
            <w:pPr>
              <w:rPr>
                <w:rFonts w:ascii="Arial" w:hAnsi="Arial" w:cs="Arial"/>
                <w:spacing w:val="-3"/>
                <w:sz w:val="20"/>
              </w:rPr>
            </w:pPr>
            <w:r w:rsidRPr="007F2096">
              <w:rPr>
                <w:rFonts w:ascii="Arial" w:hAnsi="Arial" w:cs="Arial"/>
                <w:spacing w:val="-3"/>
                <w:sz w:val="20"/>
                <w:lang w:val="es-AR"/>
              </w:rPr>
              <w:t>Asegurar un contexto macroeconómico congruente con los objetivos del programa según establecido en la Matriz de Políticas.</w:t>
            </w:r>
          </w:p>
        </w:tc>
        <w:tc>
          <w:tcPr>
            <w:tcW w:w="360" w:type="dxa"/>
            <w:shd w:val="clear" w:color="auto" w:fill="auto"/>
          </w:tcPr>
          <w:p w14:paraId="1134D43C" w14:textId="6450AE30" w:rsidR="00B27F31" w:rsidRPr="007F2096" w:rsidRDefault="007F209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2BEB3ED" w14:textId="063758BC" w:rsidR="00B27F31" w:rsidRPr="007F2096" w:rsidRDefault="007F209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909526E" w14:textId="77777777" w:rsidR="00B27F31" w:rsidRPr="007F2096" w:rsidRDefault="00B27F31" w:rsidP="00B27F31">
            <w:pPr>
              <w:rPr>
                <w:rFonts w:ascii="Arial" w:hAnsi="Arial" w:cs="Arial"/>
                <w:spacing w:val="-3"/>
                <w:sz w:val="20"/>
              </w:rPr>
            </w:pPr>
          </w:p>
        </w:tc>
        <w:tc>
          <w:tcPr>
            <w:tcW w:w="360" w:type="dxa"/>
            <w:shd w:val="clear" w:color="auto" w:fill="auto"/>
          </w:tcPr>
          <w:p w14:paraId="55AC1CCD" w14:textId="77777777" w:rsidR="00B27F31" w:rsidRPr="007F2096" w:rsidRDefault="00B27F31" w:rsidP="00B27F31">
            <w:pPr>
              <w:rPr>
                <w:rFonts w:ascii="Arial" w:hAnsi="Arial" w:cs="Arial"/>
                <w:spacing w:val="-3"/>
                <w:sz w:val="20"/>
              </w:rPr>
            </w:pPr>
          </w:p>
        </w:tc>
        <w:tc>
          <w:tcPr>
            <w:tcW w:w="360" w:type="dxa"/>
            <w:shd w:val="clear" w:color="auto" w:fill="auto"/>
          </w:tcPr>
          <w:p w14:paraId="46D9D251" w14:textId="1453C9FD" w:rsidR="00B27F31" w:rsidRPr="007F2096" w:rsidRDefault="007F209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D665235" w14:textId="77777777" w:rsidR="00B27F31" w:rsidRPr="007F2096" w:rsidRDefault="00B27F31" w:rsidP="00B27F31">
            <w:pPr>
              <w:rPr>
                <w:rFonts w:ascii="Arial" w:hAnsi="Arial" w:cs="Arial"/>
                <w:spacing w:val="-3"/>
                <w:sz w:val="20"/>
              </w:rPr>
            </w:pPr>
          </w:p>
        </w:tc>
        <w:tc>
          <w:tcPr>
            <w:tcW w:w="360" w:type="dxa"/>
            <w:shd w:val="clear" w:color="auto" w:fill="auto"/>
          </w:tcPr>
          <w:p w14:paraId="496C7A7E" w14:textId="77777777" w:rsidR="00B27F31" w:rsidRPr="007F2096" w:rsidRDefault="00B27F31" w:rsidP="00B27F31">
            <w:pPr>
              <w:rPr>
                <w:rFonts w:ascii="Arial" w:hAnsi="Arial" w:cs="Arial"/>
                <w:spacing w:val="-3"/>
                <w:sz w:val="20"/>
              </w:rPr>
            </w:pPr>
          </w:p>
        </w:tc>
        <w:tc>
          <w:tcPr>
            <w:tcW w:w="360" w:type="dxa"/>
            <w:shd w:val="clear" w:color="auto" w:fill="auto"/>
          </w:tcPr>
          <w:p w14:paraId="61A4194D" w14:textId="6D78B065" w:rsidR="00B27F31" w:rsidRPr="007F2096" w:rsidRDefault="007F209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F6B7D88" w14:textId="7FD49251" w:rsidR="00B27F31" w:rsidRPr="007F2096" w:rsidRDefault="00B27F31" w:rsidP="00B27F31">
            <w:pPr>
              <w:rPr>
                <w:rFonts w:ascii="Arial" w:hAnsi="Arial" w:cs="Arial"/>
                <w:spacing w:val="-3"/>
                <w:sz w:val="20"/>
              </w:rPr>
            </w:pPr>
          </w:p>
        </w:tc>
        <w:tc>
          <w:tcPr>
            <w:tcW w:w="360" w:type="dxa"/>
            <w:shd w:val="clear" w:color="auto" w:fill="auto"/>
          </w:tcPr>
          <w:p w14:paraId="09BBAD17" w14:textId="77777777" w:rsidR="00B27F31" w:rsidRPr="007F2096" w:rsidRDefault="00B27F31" w:rsidP="00B27F31">
            <w:pPr>
              <w:rPr>
                <w:rFonts w:ascii="Arial" w:hAnsi="Arial" w:cs="Arial"/>
                <w:spacing w:val="-3"/>
                <w:sz w:val="20"/>
              </w:rPr>
            </w:pPr>
          </w:p>
        </w:tc>
        <w:tc>
          <w:tcPr>
            <w:tcW w:w="360" w:type="dxa"/>
            <w:shd w:val="clear" w:color="auto" w:fill="auto"/>
          </w:tcPr>
          <w:p w14:paraId="7FEC075F" w14:textId="77777777" w:rsidR="00B27F31" w:rsidRPr="007F2096" w:rsidRDefault="00B27F31" w:rsidP="00B27F31">
            <w:pPr>
              <w:rPr>
                <w:rFonts w:ascii="Arial" w:hAnsi="Arial" w:cs="Arial"/>
                <w:spacing w:val="-3"/>
                <w:sz w:val="20"/>
              </w:rPr>
            </w:pPr>
          </w:p>
        </w:tc>
        <w:tc>
          <w:tcPr>
            <w:tcW w:w="360" w:type="dxa"/>
            <w:shd w:val="clear" w:color="auto" w:fill="auto"/>
          </w:tcPr>
          <w:p w14:paraId="1CE3B44F" w14:textId="77777777" w:rsidR="00B27F31" w:rsidRPr="007F2096" w:rsidRDefault="00B27F31" w:rsidP="00B27F31">
            <w:pPr>
              <w:rPr>
                <w:rFonts w:ascii="Arial" w:hAnsi="Arial" w:cs="Arial"/>
                <w:spacing w:val="-3"/>
                <w:sz w:val="20"/>
              </w:rPr>
            </w:pPr>
          </w:p>
        </w:tc>
        <w:tc>
          <w:tcPr>
            <w:tcW w:w="1710" w:type="dxa"/>
          </w:tcPr>
          <w:p w14:paraId="66890AA5" w14:textId="37916454" w:rsidR="00B27F31" w:rsidRPr="007F2096" w:rsidRDefault="00BA6F13" w:rsidP="004A0BF9">
            <w:pPr>
              <w:rPr>
                <w:rFonts w:ascii="Arial" w:hAnsi="Arial" w:cs="Arial"/>
                <w:spacing w:val="-3"/>
                <w:sz w:val="20"/>
              </w:rPr>
            </w:pPr>
            <w:r>
              <w:rPr>
                <w:rFonts w:ascii="Arial" w:hAnsi="Arial" w:cs="Arial"/>
                <w:spacing w:val="-3"/>
                <w:sz w:val="20"/>
              </w:rPr>
              <w:t>Equipo Proyecto (EP)</w:t>
            </w:r>
            <w:r w:rsidR="007F2096">
              <w:rPr>
                <w:rFonts w:ascii="Arial" w:hAnsi="Arial" w:cs="Arial"/>
                <w:spacing w:val="-3"/>
                <w:sz w:val="20"/>
              </w:rPr>
              <w:t xml:space="preserve">. </w:t>
            </w:r>
            <w:r w:rsidR="00751944">
              <w:rPr>
                <w:rFonts w:ascii="Arial" w:hAnsi="Arial" w:cs="Arial"/>
                <w:spacing w:val="-3"/>
                <w:sz w:val="20"/>
              </w:rPr>
              <w:t>Es verificado con el</w:t>
            </w:r>
            <w:r w:rsidR="00751944" w:rsidRPr="00751944">
              <w:rPr>
                <w:rFonts w:ascii="Arial" w:hAnsi="Arial" w:cs="Arial"/>
                <w:spacing w:val="-3"/>
                <w:sz w:val="20"/>
              </w:rPr>
              <w:t xml:space="preserve"> IAMC </w:t>
            </w:r>
            <w:r w:rsidR="004A0BF9">
              <w:rPr>
                <w:rFonts w:ascii="Arial" w:hAnsi="Arial" w:cs="Arial"/>
                <w:spacing w:val="-3"/>
                <w:sz w:val="20"/>
              </w:rPr>
              <w:t>de</w:t>
            </w:r>
            <w:r w:rsidR="00751944" w:rsidRPr="00751944">
              <w:rPr>
                <w:rFonts w:ascii="Arial" w:hAnsi="Arial" w:cs="Arial"/>
                <w:spacing w:val="-3"/>
                <w:sz w:val="20"/>
              </w:rPr>
              <w:t xml:space="preserve"> Guatemala</w:t>
            </w:r>
            <w:r w:rsidR="00E54B19">
              <w:rPr>
                <w:rFonts w:ascii="Arial" w:hAnsi="Arial" w:cs="Arial"/>
                <w:spacing w:val="-3"/>
                <w:sz w:val="20"/>
              </w:rPr>
              <w:t xml:space="preserve">. </w:t>
            </w:r>
            <w:r w:rsidR="00751944" w:rsidRPr="00751944">
              <w:rPr>
                <w:rFonts w:ascii="Arial" w:hAnsi="Arial" w:cs="Arial"/>
                <w:spacing w:val="-3"/>
                <w:sz w:val="20"/>
              </w:rPr>
              <w:t xml:space="preserve">CID </w:t>
            </w:r>
            <w:r w:rsidR="00E54B19">
              <w:rPr>
                <w:rFonts w:ascii="Arial" w:hAnsi="Arial" w:cs="Arial"/>
                <w:spacing w:val="-3"/>
                <w:sz w:val="20"/>
              </w:rPr>
              <w:t>lo mantiene actualizado y n</w:t>
            </w:r>
            <w:r w:rsidR="00751944" w:rsidRPr="00751944">
              <w:rPr>
                <w:rFonts w:ascii="Arial" w:hAnsi="Arial" w:cs="Arial"/>
                <w:spacing w:val="-3"/>
                <w:sz w:val="20"/>
              </w:rPr>
              <w:t>o hay riesgo de</w:t>
            </w:r>
            <w:r w:rsidR="00751944" w:rsidRPr="00E54B19">
              <w:rPr>
                <w:rFonts w:ascii="Arial" w:hAnsi="Arial" w:cs="Arial"/>
                <w:spacing w:val="-3"/>
                <w:sz w:val="20"/>
              </w:rPr>
              <w:t xml:space="preserve"> discontinuidad</w:t>
            </w:r>
            <w:r w:rsidR="00751944" w:rsidRPr="00751944">
              <w:rPr>
                <w:rFonts w:ascii="Arial" w:hAnsi="Arial" w:cs="Arial"/>
                <w:spacing w:val="-3"/>
                <w:sz w:val="20"/>
              </w:rPr>
              <w:t>.</w:t>
            </w:r>
          </w:p>
        </w:tc>
        <w:tc>
          <w:tcPr>
            <w:tcW w:w="1170" w:type="dxa"/>
          </w:tcPr>
          <w:p w14:paraId="326A54E0" w14:textId="266F01D3" w:rsidR="00B27F31" w:rsidRPr="007F2096" w:rsidRDefault="00B27F31" w:rsidP="00B27F31">
            <w:pPr>
              <w:rPr>
                <w:rFonts w:ascii="Arial" w:hAnsi="Arial" w:cs="Arial"/>
                <w:spacing w:val="-3"/>
                <w:sz w:val="20"/>
              </w:rPr>
            </w:pPr>
          </w:p>
        </w:tc>
        <w:tc>
          <w:tcPr>
            <w:tcW w:w="1620" w:type="dxa"/>
          </w:tcPr>
          <w:p w14:paraId="3446F5A9" w14:textId="0BA5C130" w:rsidR="00B27F31" w:rsidRPr="007F2096" w:rsidRDefault="007F2096" w:rsidP="00B27F31">
            <w:pPr>
              <w:rPr>
                <w:rFonts w:ascii="Arial" w:hAnsi="Arial" w:cs="Arial"/>
                <w:spacing w:val="-3"/>
                <w:sz w:val="20"/>
              </w:rPr>
            </w:pPr>
            <w:r>
              <w:rPr>
                <w:rFonts w:ascii="Arial" w:hAnsi="Arial" w:cs="Arial"/>
                <w:spacing w:val="-3"/>
                <w:sz w:val="20"/>
              </w:rPr>
              <w:t>Presupuesto del Banco</w:t>
            </w:r>
          </w:p>
        </w:tc>
      </w:tr>
      <w:tr w:rsidR="00F07574" w:rsidRPr="00E76071" w14:paraId="5E51998F" w14:textId="77777777" w:rsidTr="006B06A1">
        <w:trPr>
          <w:jc w:val="center"/>
        </w:trPr>
        <w:tc>
          <w:tcPr>
            <w:tcW w:w="13140" w:type="dxa"/>
            <w:gridSpan w:val="16"/>
          </w:tcPr>
          <w:p w14:paraId="182BAB26" w14:textId="7CA0C53D" w:rsidR="00F07574" w:rsidRDefault="00F07574" w:rsidP="00B27F31">
            <w:pPr>
              <w:rPr>
                <w:rFonts w:ascii="Arial" w:hAnsi="Arial" w:cs="Arial"/>
                <w:spacing w:val="-3"/>
                <w:sz w:val="20"/>
              </w:rPr>
            </w:pPr>
            <w:r w:rsidRPr="00F07574">
              <w:rPr>
                <w:rFonts w:ascii="Arial" w:hAnsi="Arial" w:cs="Arial"/>
                <w:b/>
                <w:sz w:val="20"/>
                <w:lang w:val="es-ES"/>
              </w:rPr>
              <w:t>Acciones para mejorar la administración tributaria e incrementar los ingresos tributarios</w:t>
            </w:r>
          </w:p>
        </w:tc>
      </w:tr>
      <w:tr w:rsidR="00E76071" w:rsidRPr="00E76071" w14:paraId="74591D49" w14:textId="77777777" w:rsidTr="006B6B00">
        <w:trPr>
          <w:jc w:val="center"/>
        </w:trPr>
        <w:tc>
          <w:tcPr>
            <w:tcW w:w="4320" w:type="dxa"/>
          </w:tcPr>
          <w:p w14:paraId="58D28CA7" w14:textId="40109F65" w:rsidR="00E76071" w:rsidRPr="007F2096" w:rsidRDefault="00E76071" w:rsidP="00B27F31">
            <w:pPr>
              <w:rPr>
                <w:rFonts w:ascii="Arial" w:hAnsi="Arial" w:cs="Arial"/>
                <w:spacing w:val="-3"/>
                <w:sz w:val="20"/>
              </w:rPr>
            </w:pPr>
            <w:r w:rsidRPr="007F2096">
              <w:rPr>
                <w:rFonts w:ascii="Arial" w:hAnsi="Arial" w:cs="Arial"/>
                <w:sz w:val="20"/>
                <w:lang w:val="es-ES"/>
              </w:rPr>
              <w:t>1</w:t>
            </w:r>
            <w:r w:rsidR="00BA6F13">
              <w:rPr>
                <w:rFonts w:ascii="Arial" w:hAnsi="Arial" w:cs="Arial"/>
                <w:sz w:val="20"/>
                <w:lang w:val="es-ES"/>
              </w:rPr>
              <w:t>a</w:t>
            </w:r>
            <w:r w:rsidRPr="007F2096">
              <w:rPr>
                <w:rFonts w:ascii="Arial" w:hAnsi="Arial" w:cs="Arial"/>
                <w:sz w:val="20"/>
                <w:lang w:val="es-ES"/>
              </w:rPr>
              <w:t>. Definición de un nuevo modelo de gobernanza en la SAT, que modifica la composición y funciones del Directorio, y constituye el tribunal administrativo de primera instancia gubernativa en asuntos tributarios y aduaneros, mediante la preparación y envío al Congreso de la República de un Proyecto de Ley.</w:t>
            </w:r>
          </w:p>
        </w:tc>
        <w:tc>
          <w:tcPr>
            <w:tcW w:w="360" w:type="dxa"/>
            <w:shd w:val="clear" w:color="auto" w:fill="auto"/>
          </w:tcPr>
          <w:p w14:paraId="206AD11D" w14:textId="5B2ACE00" w:rsidR="00E76071" w:rsidRPr="007F2096" w:rsidRDefault="00BA6F13"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CE51556" w14:textId="142DACB2" w:rsidR="00E76071" w:rsidRPr="007F2096" w:rsidRDefault="00BA6F13"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B7048E1" w14:textId="77777777" w:rsidR="00E76071" w:rsidRPr="007F2096" w:rsidRDefault="00E76071" w:rsidP="00B27F31">
            <w:pPr>
              <w:rPr>
                <w:rFonts w:ascii="Arial" w:hAnsi="Arial" w:cs="Arial"/>
                <w:spacing w:val="-3"/>
                <w:sz w:val="20"/>
              </w:rPr>
            </w:pPr>
          </w:p>
        </w:tc>
        <w:tc>
          <w:tcPr>
            <w:tcW w:w="360" w:type="dxa"/>
            <w:shd w:val="clear" w:color="auto" w:fill="auto"/>
          </w:tcPr>
          <w:p w14:paraId="5DA8A1E6" w14:textId="77777777" w:rsidR="00E76071" w:rsidRPr="007F2096" w:rsidRDefault="00E76071" w:rsidP="00B27F31">
            <w:pPr>
              <w:rPr>
                <w:rFonts w:ascii="Arial" w:hAnsi="Arial" w:cs="Arial"/>
                <w:spacing w:val="-3"/>
                <w:sz w:val="20"/>
              </w:rPr>
            </w:pPr>
          </w:p>
        </w:tc>
        <w:tc>
          <w:tcPr>
            <w:tcW w:w="360" w:type="dxa"/>
            <w:shd w:val="clear" w:color="auto" w:fill="auto"/>
          </w:tcPr>
          <w:p w14:paraId="2957DD4E" w14:textId="77777777" w:rsidR="00E76071" w:rsidRPr="007F2096" w:rsidRDefault="00E76071" w:rsidP="00B27F31">
            <w:pPr>
              <w:rPr>
                <w:rFonts w:ascii="Arial" w:hAnsi="Arial" w:cs="Arial"/>
                <w:spacing w:val="-3"/>
                <w:sz w:val="20"/>
              </w:rPr>
            </w:pPr>
          </w:p>
        </w:tc>
        <w:tc>
          <w:tcPr>
            <w:tcW w:w="360" w:type="dxa"/>
            <w:shd w:val="clear" w:color="auto" w:fill="auto"/>
          </w:tcPr>
          <w:p w14:paraId="2AD1D0A1" w14:textId="77777777" w:rsidR="00E76071" w:rsidRPr="007F2096" w:rsidRDefault="00E76071" w:rsidP="00B27F31">
            <w:pPr>
              <w:rPr>
                <w:rFonts w:ascii="Arial" w:hAnsi="Arial" w:cs="Arial"/>
                <w:spacing w:val="-3"/>
                <w:sz w:val="20"/>
              </w:rPr>
            </w:pPr>
          </w:p>
        </w:tc>
        <w:tc>
          <w:tcPr>
            <w:tcW w:w="360" w:type="dxa"/>
            <w:shd w:val="clear" w:color="auto" w:fill="auto"/>
          </w:tcPr>
          <w:p w14:paraId="4E3D7B6B" w14:textId="77777777" w:rsidR="00E76071" w:rsidRPr="007F2096" w:rsidRDefault="00E76071" w:rsidP="00B27F31">
            <w:pPr>
              <w:rPr>
                <w:rFonts w:ascii="Arial" w:hAnsi="Arial" w:cs="Arial"/>
                <w:spacing w:val="-3"/>
                <w:sz w:val="20"/>
              </w:rPr>
            </w:pPr>
          </w:p>
        </w:tc>
        <w:tc>
          <w:tcPr>
            <w:tcW w:w="360" w:type="dxa"/>
            <w:shd w:val="clear" w:color="auto" w:fill="auto"/>
          </w:tcPr>
          <w:p w14:paraId="27B483ED" w14:textId="77777777" w:rsidR="00E76071" w:rsidRPr="007F2096" w:rsidRDefault="00E76071" w:rsidP="00B27F31">
            <w:pPr>
              <w:rPr>
                <w:rFonts w:ascii="Arial" w:hAnsi="Arial" w:cs="Arial"/>
                <w:spacing w:val="-3"/>
                <w:sz w:val="20"/>
              </w:rPr>
            </w:pPr>
          </w:p>
        </w:tc>
        <w:tc>
          <w:tcPr>
            <w:tcW w:w="360" w:type="dxa"/>
            <w:shd w:val="clear" w:color="auto" w:fill="auto"/>
          </w:tcPr>
          <w:p w14:paraId="5335DC96" w14:textId="77777777" w:rsidR="00E76071" w:rsidRPr="007F2096" w:rsidRDefault="00E76071" w:rsidP="00B27F31">
            <w:pPr>
              <w:rPr>
                <w:rFonts w:ascii="Arial" w:hAnsi="Arial" w:cs="Arial"/>
                <w:spacing w:val="-3"/>
                <w:sz w:val="20"/>
              </w:rPr>
            </w:pPr>
          </w:p>
        </w:tc>
        <w:tc>
          <w:tcPr>
            <w:tcW w:w="360" w:type="dxa"/>
            <w:shd w:val="clear" w:color="auto" w:fill="auto"/>
          </w:tcPr>
          <w:p w14:paraId="545C36E4" w14:textId="77777777" w:rsidR="00E76071" w:rsidRPr="007F2096" w:rsidRDefault="00E76071" w:rsidP="00B27F31">
            <w:pPr>
              <w:rPr>
                <w:rFonts w:ascii="Arial" w:hAnsi="Arial" w:cs="Arial"/>
                <w:spacing w:val="-3"/>
                <w:sz w:val="20"/>
              </w:rPr>
            </w:pPr>
          </w:p>
        </w:tc>
        <w:tc>
          <w:tcPr>
            <w:tcW w:w="360" w:type="dxa"/>
            <w:shd w:val="clear" w:color="auto" w:fill="auto"/>
          </w:tcPr>
          <w:p w14:paraId="70B29ED8" w14:textId="77777777" w:rsidR="00E76071" w:rsidRPr="007F2096" w:rsidRDefault="00E76071" w:rsidP="00B27F31">
            <w:pPr>
              <w:rPr>
                <w:rFonts w:ascii="Arial" w:hAnsi="Arial" w:cs="Arial"/>
                <w:spacing w:val="-3"/>
                <w:sz w:val="20"/>
              </w:rPr>
            </w:pPr>
          </w:p>
        </w:tc>
        <w:tc>
          <w:tcPr>
            <w:tcW w:w="360" w:type="dxa"/>
            <w:shd w:val="clear" w:color="auto" w:fill="auto"/>
          </w:tcPr>
          <w:p w14:paraId="0F84B264" w14:textId="77777777" w:rsidR="00E76071" w:rsidRPr="007F2096" w:rsidRDefault="00E76071" w:rsidP="00B27F31">
            <w:pPr>
              <w:rPr>
                <w:rFonts w:ascii="Arial" w:hAnsi="Arial" w:cs="Arial"/>
                <w:spacing w:val="-3"/>
                <w:sz w:val="20"/>
              </w:rPr>
            </w:pPr>
          </w:p>
        </w:tc>
        <w:tc>
          <w:tcPr>
            <w:tcW w:w="1710" w:type="dxa"/>
          </w:tcPr>
          <w:p w14:paraId="70BC6BC9" w14:textId="12716067" w:rsidR="00E76071" w:rsidRPr="007F2096" w:rsidRDefault="007005A5" w:rsidP="006F4949">
            <w:pPr>
              <w:rPr>
                <w:rFonts w:ascii="Arial" w:hAnsi="Arial" w:cs="Arial"/>
                <w:spacing w:val="-3"/>
                <w:sz w:val="20"/>
              </w:rPr>
            </w:pPr>
            <w:r>
              <w:rPr>
                <w:rFonts w:ascii="Arial" w:hAnsi="Arial" w:cs="Arial"/>
                <w:spacing w:val="-3"/>
                <w:sz w:val="20"/>
              </w:rPr>
              <w:t xml:space="preserve">SAT. </w:t>
            </w:r>
            <w:r w:rsidR="00BA6F13">
              <w:rPr>
                <w:rFonts w:ascii="Arial" w:hAnsi="Arial" w:cs="Arial"/>
                <w:spacing w:val="-3"/>
                <w:sz w:val="20"/>
              </w:rPr>
              <w:t xml:space="preserve">Fue definido </w:t>
            </w:r>
            <w:r w:rsidR="006F4949">
              <w:rPr>
                <w:rFonts w:ascii="Arial" w:hAnsi="Arial" w:cs="Arial"/>
                <w:spacing w:val="-3"/>
                <w:sz w:val="20"/>
              </w:rPr>
              <w:t xml:space="preserve">entre SAT y </w:t>
            </w:r>
            <w:r w:rsidR="00BA6F13">
              <w:rPr>
                <w:rFonts w:ascii="Arial" w:hAnsi="Arial" w:cs="Arial"/>
                <w:spacing w:val="-3"/>
                <w:sz w:val="20"/>
              </w:rPr>
              <w:t>el EP y enviado al Congreso.</w:t>
            </w:r>
          </w:p>
        </w:tc>
        <w:tc>
          <w:tcPr>
            <w:tcW w:w="1170" w:type="dxa"/>
          </w:tcPr>
          <w:p w14:paraId="077FE679" w14:textId="77777777" w:rsidR="00E76071" w:rsidRPr="007F2096" w:rsidRDefault="00E76071" w:rsidP="00B27F31">
            <w:pPr>
              <w:rPr>
                <w:rFonts w:ascii="Arial" w:hAnsi="Arial" w:cs="Arial"/>
                <w:spacing w:val="-3"/>
                <w:sz w:val="20"/>
              </w:rPr>
            </w:pPr>
          </w:p>
        </w:tc>
        <w:tc>
          <w:tcPr>
            <w:tcW w:w="1620" w:type="dxa"/>
          </w:tcPr>
          <w:p w14:paraId="50B96B60" w14:textId="5E46CB61" w:rsidR="00E76071" w:rsidRPr="007F2096" w:rsidRDefault="002A06D0" w:rsidP="00B27F31">
            <w:pPr>
              <w:rPr>
                <w:rFonts w:ascii="Arial" w:hAnsi="Arial" w:cs="Arial"/>
                <w:spacing w:val="-3"/>
                <w:sz w:val="20"/>
              </w:rPr>
            </w:pPr>
            <w:r>
              <w:rPr>
                <w:rFonts w:ascii="Arial" w:hAnsi="Arial" w:cs="Arial"/>
                <w:spacing w:val="-3"/>
                <w:sz w:val="20"/>
              </w:rPr>
              <w:t>SAT</w:t>
            </w:r>
          </w:p>
        </w:tc>
      </w:tr>
      <w:tr w:rsidR="00A6254C" w:rsidRPr="00E76071" w14:paraId="1FF6F0F0" w14:textId="77777777" w:rsidTr="006B6B00">
        <w:trPr>
          <w:jc w:val="center"/>
        </w:trPr>
        <w:tc>
          <w:tcPr>
            <w:tcW w:w="4320" w:type="dxa"/>
          </w:tcPr>
          <w:p w14:paraId="03077D1F" w14:textId="58BFC7D9" w:rsidR="00A6254C" w:rsidRPr="00A6254C" w:rsidRDefault="00BA6F13" w:rsidP="00BA6F13">
            <w:pPr>
              <w:rPr>
                <w:rFonts w:ascii="Arial" w:hAnsi="Arial" w:cs="Arial"/>
                <w:sz w:val="20"/>
                <w:lang w:val="es-ES"/>
              </w:rPr>
            </w:pPr>
            <w:r>
              <w:rPr>
                <w:rFonts w:ascii="Arial" w:hAnsi="Arial" w:cs="Arial"/>
                <w:sz w:val="20"/>
                <w:lang w:val="es-ES"/>
              </w:rPr>
              <w:t>1b.</w:t>
            </w:r>
            <w:r w:rsidRPr="00BA6F13">
              <w:rPr>
                <w:rFonts w:ascii="Arial" w:hAnsi="Arial" w:cs="Arial"/>
                <w:sz w:val="20"/>
                <w:lang w:val="es-ES"/>
              </w:rPr>
              <w:t>Nuevo modelo de gobernanza de la SAT y tribunal administrativo de primera instancia gubernativa establecidos, mediante la aprobación de una Ley para el fortalecimiento de la transparencia fiscal y la gobernanza de la SAT.</w:t>
            </w:r>
          </w:p>
        </w:tc>
        <w:tc>
          <w:tcPr>
            <w:tcW w:w="360" w:type="dxa"/>
            <w:shd w:val="clear" w:color="auto" w:fill="auto"/>
          </w:tcPr>
          <w:p w14:paraId="5157C077" w14:textId="77777777" w:rsidR="00A6254C" w:rsidRPr="00A6254C" w:rsidRDefault="00A6254C" w:rsidP="00B27F31">
            <w:pPr>
              <w:rPr>
                <w:rFonts w:ascii="Arial" w:hAnsi="Arial" w:cs="Arial"/>
                <w:spacing w:val="-3"/>
                <w:sz w:val="20"/>
              </w:rPr>
            </w:pPr>
          </w:p>
        </w:tc>
        <w:tc>
          <w:tcPr>
            <w:tcW w:w="360" w:type="dxa"/>
            <w:shd w:val="clear" w:color="auto" w:fill="auto"/>
          </w:tcPr>
          <w:p w14:paraId="2E7F6389" w14:textId="77777777" w:rsidR="00A6254C" w:rsidRPr="007F2096" w:rsidRDefault="00A6254C" w:rsidP="00B27F31">
            <w:pPr>
              <w:rPr>
                <w:rFonts w:ascii="Arial" w:hAnsi="Arial" w:cs="Arial"/>
                <w:spacing w:val="-3"/>
                <w:sz w:val="20"/>
              </w:rPr>
            </w:pPr>
          </w:p>
        </w:tc>
        <w:tc>
          <w:tcPr>
            <w:tcW w:w="360" w:type="dxa"/>
            <w:shd w:val="clear" w:color="auto" w:fill="auto"/>
          </w:tcPr>
          <w:p w14:paraId="681A4221" w14:textId="5062A7B9" w:rsidR="00A6254C" w:rsidRPr="00751944" w:rsidRDefault="00BA6F13"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267D124" w14:textId="73C94084" w:rsidR="00A6254C" w:rsidRPr="00BA6F13" w:rsidRDefault="00BA6F13"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3CF3428" w14:textId="77777777" w:rsidR="00A6254C" w:rsidRPr="00CD39D0" w:rsidRDefault="00A6254C" w:rsidP="00B27F31">
            <w:pPr>
              <w:rPr>
                <w:rFonts w:ascii="Arial" w:hAnsi="Arial" w:cs="Arial"/>
                <w:spacing w:val="-3"/>
                <w:sz w:val="20"/>
              </w:rPr>
            </w:pPr>
          </w:p>
        </w:tc>
        <w:tc>
          <w:tcPr>
            <w:tcW w:w="360" w:type="dxa"/>
            <w:shd w:val="clear" w:color="auto" w:fill="auto"/>
          </w:tcPr>
          <w:p w14:paraId="6F10D9D1" w14:textId="77777777" w:rsidR="00A6254C" w:rsidRPr="009D6EE7" w:rsidRDefault="00A6254C" w:rsidP="00B27F31">
            <w:pPr>
              <w:rPr>
                <w:rFonts w:ascii="Arial" w:hAnsi="Arial" w:cs="Arial"/>
                <w:spacing w:val="-3"/>
                <w:sz w:val="20"/>
              </w:rPr>
            </w:pPr>
          </w:p>
        </w:tc>
        <w:tc>
          <w:tcPr>
            <w:tcW w:w="360" w:type="dxa"/>
            <w:shd w:val="clear" w:color="auto" w:fill="auto"/>
          </w:tcPr>
          <w:p w14:paraId="7481075B" w14:textId="77777777" w:rsidR="00A6254C" w:rsidRPr="00F07574" w:rsidRDefault="00A6254C" w:rsidP="00B27F31">
            <w:pPr>
              <w:rPr>
                <w:rFonts w:ascii="Arial" w:hAnsi="Arial" w:cs="Arial"/>
                <w:spacing w:val="-3"/>
                <w:sz w:val="20"/>
              </w:rPr>
            </w:pPr>
          </w:p>
        </w:tc>
        <w:tc>
          <w:tcPr>
            <w:tcW w:w="360" w:type="dxa"/>
            <w:shd w:val="clear" w:color="auto" w:fill="auto"/>
          </w:tcPr>
          <w:p w14:paraId="15042592" w14:textId="77777777" w:rsidR="00A6254C" w:rsidRPr="00C72A25" w:rsidRDefault="00A6254C" w:rsidP="00B27F31">
            <w:pPr>
              <w:rPr>
                <w:rFonts w:ascii="Arial" w:hAnsi="Arial" w:cs="Arial"/>
                <w:spacing w:val="-3"/>
                <w:sz w:val="20"/>
              </w:rPr>
            </w:pPr>
          </w:p>
        </w:tc>
        <w:tc>
          <w:tcPr>
            <w:tcW w:w="360" w:type="dxa"/>
            <w:shd w:val="clear" w:color="auto" w:fill="auto"/>
          </w:tcPr>
          <w:p w14:paraId="5B222116" w14:textId="77777777" w:rsidR="00A6254C" w:rsidRPr="006B6B00" w:rsidRDefault="00A6254C" w:rsidP="00B27F31">
            <w:pPr>
              <w:rPr>
                <w:rFonts w:ascii="Arial" w:hAnsi="Arial" w:cs="Arial"/>
                <w:spacing w:val="-3"/>
                <w:sz w:val="20"/>
              </w:rPr>
            </w:pPr>
          </w:p>
        </w:tc>
        <w:tc>
          <w:tcPr>
            <w:tcW w:w="360" w:type="dxa"/>
            <w:shd w:val="clear" w:color="auto" w:fill="auto"/>
          </w:tcPr>
          <w:p w14:paraId="475C3B08" w14:textId="77777777" w:rsidR="00A6254C" w:rsidRPr="006B6B00" w:rsidRDefault="00A6254C" w:rsidP="00B27F31">
            <w:pPr>
              <w:rPr>
                <w:rFonts w:ascii="Arial" w:hAnsi="Arial" w:cs="Arial"/>
                <w:spacing w:val="-3"/>
                <w:sz w:val="20"/>
              </w:rPr>
            </w:pPr>
          </w:p>
        </w:tc>
        <w:tc>
          <w:tcPr>
            <w:tcW w:w="360" w:type="dxa"/>
            <w:shd w:val="clear" w:color="auto" w:fill="auto"/>
          </w:tcPr>
          <w:p w14:paraId="38518D47" w14:textId="77777777" w:rsidR="00A6254C" w:rsidRPr="006B6B00" w:rsidRDefault="00A6254C" w:rsidP="00B27F31">
            <w:pPr>
              <w:rPr>
                <w:rFonts w:ascii="Arial" w:hAnsi="Arial" w:cs="Arial"/>
                <w:spacing w:val="-3"/>
                <w:sz w:val="20"/>
              </w:rPr>
            </w:pPr>
          </w:p>
        </w:tc>
        <w:tc>
          <w:tcPr>
            <w:tcW w:w="360" w:type="dxa"/>
            <w:shd w:val="clear" w:color="auto" w:fill="auto"/>
          </w:tcPr>
          <w:p w14:paraId="2BA5C1CC" w14:textId="77777777" w:rsidR="00A6254C" w:rsidRPr="006B6B00" w:rsidRDefault="00A6254C" w:rsidP="00B27F31">
            <w:pPr>
              <w:rPr>
                <w:rFonts w:ascii="Arial" w:hAnsi="Arial" w:cs="Arial"/>
                <w:spacing w:val="-3"/>
                <w:sz w:val="20"/>
              </w:rPr>
            </w:pPr>
          </w:p>
        </w:tc>
        <w:tc>
          <w:tcPr>
            <w:tcW w:w="1710" w:type="dxa"/>
          </w:tcPr>
          <w:p w14:paraId="11088342" w14:textId="0BDE8CA4" w:rsidR="00A6254C" w:rsidRPr="00BA6F13" w:rsidRDefault="006F4949" w:rsidP="00B27F31">
            <w:pPr>
              <w:rPr>
                <w:rFonts w:ascii="Arial" w:hAnsi="Arial" w:cs="Arial"/>
                <w:spacing w:val="-3"/>
                <w:sz w:val="20"/>
              </w:rPr>
            </w:pPr>
            <w:r>
              <w:rPr>
                <w:rFonts w:ascii="Arial" w:hAnsi="Arial" w:cs="Arial"/>
                <w:spacing w:val="-3"/>
                <w:sz w:val="20"/>
              </w:rPr>
              <w:t xml:space="preserve">SAT. </w:t>
            </w:r>
            <w:r w:rsidR="00BA6F13">
              <w:rPr>
                <w:rFonts w:ascii="Arial" w:hAnsi="Arial" w:cs="Arial"/>
                <w:spacing w:val="-3"/>
                <w:sz w:val="20"/>
              </w:rPr>
              <w:t xml:space="preserve">Fue recién aprobado en el Congreso en julio y </w:t>
            </w:r>
            <w:r w:rsidR="005E0B4E">
              <w:rPr>
                <w:rFonts w:ascii="Arial" w:hAnsi="Arial" w:cs="Arial"/>
                <w:spacing w:val="-3"/>
                <w:sz w:val="20"/>
              </w:rPr>
              <w:t xml:space="preserve">todavía </w:t>
            </w:r>
            <w:r w:rsidR="00BA6F13">
              <w:rPr>
                <w:rFonts w:ascii="Arial" w:hAnsi="Arial" w:cs="Arial"/>
                <w:spacing w:val="-3"/>
                <w:sz w:val="20"/>
              </w:rPr>
              <w:t>falta la publicación.</w:t>
            </w:r>
          </w:p>
        </w:tc>
        <w:tc>
          <w:tcPr>
            <w:tcW w:w="1170" w:type="dxa"/>
          </w:tcPr>
          <w:p w14:paraId="0EA02DC8" w14:textId="77777777" w:rsidR="00A6254C" w:rsidRPr="00CD39D0" w:rsidRDefault="00A6254C" w:rsidP="00B27F31">
            <w:pPr>
              <w:rPr>
                <w:rFonts w:ascii="Arial" w:hAnsi="Arial" w:cs="Arial"/>
                <w:spacing w:val="-3"/>
                <w:sz w:val="20"/>
              </w:rPr>
            </w:pPr>
          </w:p>
        </w:tc>
        <w:tc>
          <w:tcPr>
            <w:tcW w:w="1620" w:type="dxa"/>
          </w:tcPr>
          <w:p w14:paraId="32090AFA" w14:textId="5CF534E2" w:rsidR="00A6254C" w:rsidRPr="002A06D0" w:rsidRDefault="002A06D0" w:rsidP="00B27F31">
            <w:pPr>
              <w:rPr>
                <w:rFonts w:ascii="Arial" w:hAnsi="Arial" w:cs="Arial"/>
                <w:spacing w:val="-3"/>
                <w:sz w:val="20"/>
              </w:rPr>
            </w:pPr>
            <w:r>
              <w:rPr>
                <w:rFonts w:ascii="Arial" w:hAnsi="Arial" w:cs="Arial"/>
                <w:spacing w:val="-3"/>
                <w:sz w:val="20"/>
              </w:rPr>
              <w:t>SAT</w:t>
            </w:r>
          </w:p>
        </w:tc>
      </w:tr>
      <w:tr w:rsidR="00E76071" w:rsidRPr="00E76071" w14:paraId="5529D3BA" w14:textId="77777777" w:rsidTr="006B6B00">
        <w:trPr>
          <w:jc w:val="center"/>
        </w:trPr>
        <w:tc>
          <w:tcPr>
            <w:tcW w:w="4320" w:type="dxa"/>
          </w:tcPr>
          <w:p w14:paraId="19C56A70" w14:textId="37F99B23" w:rsidR="00E76071" w:rsidRPr="007F2096" w:rsidRDefault="00E76071" w:rsidP="00B27F31">
            <w:pPr>
              <w:rPr>
                <w:rFonts w:ascii="Arial" w:hAnsi="Arial" w:cs="Arial"/>
                <w:spacing w:val="-3"/>
                <w:sz w:val="20"/>
              </w:rPr>
            </w:pPr>
            <w:r w:rsidRPr="007F2096">
              <w:rPr>
                <w:rFonts w:ascii="Arial" w:hAnsi="Arial" w:cs="Arial"/>
                <w:sz w:val="20"/>
                <w:lang w:val="es-ES"/>
              </w:rPr>
              <w:t>2</w:t>
            </w:r>
            <w:r w:rsidR="006F4949">
              <w:rPr>
                <w:rFonts w:ascii="Arial" w:hAnsi="Arial" w:cs="Arial"/>
                <w:sz w:val="20"/>
                <w:lang w:val="es-ES"/>
              </w:rPr>
              <w:t>a</w:t>
            </w:r>
            <w:r w:rsidRPr="007F2096">
              <w:rPr>
                <w:rFonts w:ascii="Arial" w:hAnsi="Arial" w:cs="Arial"/>
                <w:sz w:val="20"/>
                <w:lang w:val="es-ES"/>
              </w:rPr>
              <w:t xml:space="preserve">. Ampliación e institucionalización de evaluaciones integrales y control sobre los funcionarios de la SAT, con la creación de la </w:t>
            </w:r>
            <w:r w:rsidRPr="007F2096">
              <w:rPr>
                <w:rFonts w:ascii="Arial" w:hAnsi="Arial" w:cs="Arial"/>
                <w:sz w:val="20"/>
                <w:lang w:val="es-GT"/>
              </w:rPr>
              <w:t xml:space="preserve">Unidad </w:t>
            </w:r>
            <w:r w:rsidRPr="007F2096">
              <w:rPr>
                <w:rFonts w:ascii="Arial" w:hAnsi="Arial" w:cs="Arial"/>
                <w:sz w:val="20"/>
                <w:lang w:val="es-ES"/>
              </w:rPr>
              <w:t>de Asuntos Internos, mediante la aprobación del Acuerdo del Directorio de la SAT.</w:t>
            </w:r>
          </w:p>
        </w:tc>
        <w:tc>
          <w:tcPr>
            <w:tcW w:w="360" w:type="dxa"/>
            <w:shd w:val="clear" w:color="auto" w:fill="auto"/>
          </w:tcPr>
          <w:p w14:paraId="45911A56" w14:textId="77777777" w:rsidR="00E76071" w:rsidRPr="007F2096" w:rsidRDefault="00E76071" w:rsidP="00B27F31">
            <w:pPr>
              <w:rPr>
                <w:rFonts w:ascii="Arial" w:hAnsi="Arial" w:cs="Arial"/>
                <w:spacing w:val="-3"/>
                <w:sz w:val="20"/>
              </w:rPr>
            </w:pPr>
          </w:p>
        </w:tc>
        <w:tc>
          <w:tcPr>
            <w:tcW w:w="360" w:type="dxa"/>
            <w:shd w:val="clear" w:color="auto" w:fill="auto"/>
          </w:tcPr>
          <w:p w14:paraId="6AAC324D" w14:textId="77777777" w:rsidR="00E76071" w:rsidRPr="007F2096" w:rsidRDefault="00E76071" w:rsidP="00B27F31">
            <w:pPr>
              <w:rPr>
                <w:rFonts w:ascii="Arial" w:hAnsi="Arial" w:cs="Arial"/>
                <w:spacing w:val="-3"/>
                <w:sz w:val="20"/>
              </w:rPr>
            </w:pPr>
          </w:p>
        </w:tc>
        <w:tc>
          <w:tcPr>
            <w:tcW w:w="360" w:type="dxa"/>
            <w:shd w:val="clear" w:color="auto" w:fill="auto"/>
          </w:tcPr>
          <w:p w14:paraId="6B12A4BD" w14:textId="347B99A8" w:rsidR="00E76071" w:rsidRPr="007F2096" w:rsidRDefault="006F4949"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546CEA9" w14:textId="04C2A085" w:rsidR="00E76071" w:rsidRPr="007F2096" w:rsidRDefault="006F4949"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87307BB" w14:textId="77777777" w:rsidR="00E76071" w:rsidRPr="007F2096" w:rsidRDefault="00E76071" w:rsidP="00B27F31">
            <w:pPr>
              <w:rPr>
                <w:rFonts w:ascii="Arial" w:hAnsi="Arial" w:cs="Arial"/>
                <w:spacing w:val="-3"/>
                <w:sz w:val="20"/>
              </w:rPr>
            </w:pPr>
          </w:p>
        </w:tc>
        <w:tc>
          <w:tcPr>
            <w:tcW w:w="360" w:type="dxa"/>
            <w:shd w:val="clear" w:color="auto" w:fill="auto"/>
          </w:tcPr>
          <w:p w14:paraId="7FFC5EB5" w14:textId="77777777" w:rsidR="00E76071" w:rsidRPr="007F2096" w:rsidRDefault="00E76071" w:rsidP="00B27F31">
            <w:pPr>
              <w:rPr>
                <w:rFonts w:ascii="Arial" w:hAnsi="Arial" w:cs="Arial"/>
                <w:spacing w:val="-3"/>
                <w:sz w:val="20"/>
              </w:rPr>
            </w:pPr>
          </w:p>
        </w:tc>
        <w:tc>
          <w:tcPr>
            <w:tcW w:w="360" w:type="dxa"/>
            <w:shd w:val="clear" w:color="auto" w:fill="auto"/>
          </w:tcPr>
          <w:p w14:paraId="0FCA346D" w14:textId="77777777" w:rsidR="00E76071" w:rsidRPr="007F2096" w:rsidRDefault="00E76071" w:rsidP="00B27F31">
            <w:pPr>
              <w:rPr>
                <w:rFonts w:ascii="Arial" w:hAnsi="Arial" w:cs="Arial"/>
                <w:spacing w:val="-3"/>
                <w:sz w:val="20"/>
              </w:rPr>
            </w:pPr>
          </w:p>
        </w:tc>
        <w:tc>
          <w:tcPr>
            <w:tcW w:w="360" w:type="dxa"/>
            <w:shd w:val="clear" w:color="auto" w:fill="auto"/>
          </w:tcPr>
          <w:p w14:paraId="5B49F803" w14:textId="77777777" w:rsidR="00E76071" w:rsidRPr="007F2096" w:rsidRDefault="00E76071" w:rsidP="00B27F31">
            <w:pPr>
              <w:rPr>
                <w:rFonts w:ascii="Arial" w:hAnsi="Arial" w:cs="Arial"/>
                <w:spacing w:val="-3"/>
                <w:sz w:val="20"/>
              </w:rPr>
            </w:pPr>
          </w:p>
        </w:tc>
        <w:tc>
          <w:tcPr>
            <w:tcW w:w="360" w:type="dxa"/>
            <w:shd w:val="clear" w:color="auto" w:fill="auto"/>
          </w:tcPr>
          <w:p w14:paraId="3FBC70B1" w14:textId="77777777" w:rsidR="00E76071" w:rsidRPr="007F2096" w:rsidRDefault="00E76071" w:rsidP="00B27F31">
            <w:pPr>
              <w:rPr>
                <w:rFonts w:ascii="Arial" w:hAnsi="Arial" w:cs="Arial"/>
                <w:spacing w:val="-3"/>
                <w:sz w:val="20"/>
              </w:rPr>
            </w:pPr>
          </w:p>
        </w:tc>
        <w:tc>
          <w:tcPr>
            <w:tcW w:w="360" w:type="dxa"/>
            <w:shd w:val="clear" w:color="auto" w:fill="auto"/>
          </w:tcPr>
          <w:p w14:paraId="3B3C1BD4" w14:textId="77777777" w:rsidR="00E76071" w:rsidRPr="007F2096" w:rsidRDefault="00E76071" w:rsidP="00B27F31">
            <w:pPr>
              <w:rPr>
                <w:rFonts w:ascii="Arial" w:hAnsi="Arial" w:cs="Arial"/>
                <w:spacing w:val="-3"/>
                <w:sz w:val="20"/>
              </w:rPr>
            </w:pPr>
          </w:p>
        </w:tc>
        <w:tc>
          <w:tcPr>
            <w:tcW w:w="360" w:type="dxa"/>
            <w:shd w:val="clear" w:color="auto" w:fill="auto"/>
          </w:tcPr>
          <w:p w14:paraId="0C047294" w14:textId="77777777" w:rsidR="00E76071" w:rsidRPr="007F2096" w:rsidRDefault="00E76071" w:rsidP="00B27F31">
            <w:pPr>
              <w:rPr>
                <w:rFonts w:ascii="Arial" w:hAnsi="Arial" w:cs="Arial"/>
                <w:spacing w:val="-3"/>
                <w:sz w:val="20"/>
              </w:rPr>
            </w:pPr>
          </w:p>
        </w:tc>
        <w:tc>
          <w:tcPr>
            <w:tcW w:w="360" w:type="dxa"/>
            <w:shd w:val="clear" w:color="auto" w:fill="auto"/>
          </w:tcPr>
          <w:p w14:paraId="21AC5416" w14:textId="77777777" w:rsidR="00E76071" w:rsidRPr="007F2096" w:rsidRDefault="00E76071" w:rsidP="00B27F31">
            <w:pPr>
              <w:rPr>
                <w:rFonts w:ascii="Arial" w:hAnsi="Arial" w:cs="Arial"/>
                <w:spacing w:val="-3"/>
                <w:sz w:val="20"/>
              </w:rPr>
            </w:pPr>
          </w:p>
        </w:tc>
        <w:tc>
          <w:tcPr>
            <w:tcW w:w="1710" w:type="dxa"/>
          </w:tcPr>
          <w:p w14:paraId="6B228BEF" w14:textId="3634AA95" w:rsidR="00E76071" w:rsidRPr="007F2096" w:rsidRDefault="002A06D0" w:rsidP="0083701D">
            <w:pPr>
              <w:rPr>
                <w:rFonts w:ascii="Arial" w:hAnsi="Arial" w:cs="Arial"/>
                <w:spacing w:val="-3"/>
                <w:sz w:val="20"/>
              </w:rPr>
            </w:pPr>
            <w:r>
              <w:rPr>
                <w:rFonts w:ascii="Arial" w:hAnsi="Arial" w:cs="Arial"/>
                <w:spacing w:val="-3"/>
                <w:sz w:val="20"/>
              </w:rPr>
              <w:t xml:space="preserve">SAT. </w:t>
            </w:r>
            <w:r w:rsidR="0083701D">
              <w:rPr>
                <w:rFonts w:ascii="Arial" w:hAnsi="Arial" w:cs="Arial"/>
                <w:spacing w:val="-3"/>
                <w:sz w:val="20"/>
              </w:rPr>
              <w:t>Un</w:t>
            </w:r>
            <w:r w:rsidR="006F4949">
              <w:rPr>
                <w:rFonts w:ascii="Arial" w:hAnsi="Arial" w:cs="Arial"/>
                <w:spacing w:val="-3"/>
                <w:sz w:val="20"/>
              </w:rPr>
              <w:t xml:space="preserve"> </w:t>
            </w:r>
            <w:r w:rsidR="0083701D">
              <w:rPr>
                <w:rFonts w:ascii="Arial" w:hAnsi="Arial" w:cs="Arial"/>
                <w:spacing w:val="-3"/>
                <w:sz w:val="20"/>
              </w:rPr>
              <w:t xml:space="preserve">Acuerdo </w:t>
            </w:r>
            <w:r w:rsidR="006F4949">
              <w:rPr>
                <w:rFonts w:ascii="Arial" w:hAnsi="Arial" w:cs="Arial"/>
                <w:spacing w:val="-3"/>
                <w:sz w:val="20"/>
              </w:rPr>
              <w:t>del Directorio de la SAT aprobó su creación.</w:t>
            </w:r>
          </w:p>
        </w:tc>
        <w:tc>
          <w:tcPr>
            <w:tcW w:w="1170" w:type="dxa"/>
          </w:tcPr>
          <w:p w14:paraId="275F35A7" w14:textId="77777777" w:rsidR="00E76071" w:rsidRPr="007F2096" w:rsidRDefault="00E76071" w:rsidP="00B27F31">
            <w:pPr>
              <w:rPr>
                <w:rFonts w:ascii="Arial" w:hAnsi="Arial" w:cs="Arial"/>
                <w:spacing w:val="-3"/>
                <w:sz w:val="20"/>
              </w:rPr>
            </w:pPr>
          </w:p>
        </w:tc>
        <w:tc>
          <w:tcPr>
            <w:tcW w:w="1620" w:type="dxa"/>
          </w:tcPr>
          <w:p w14:paraId="0A9A1BD1" w14:textId="45FAAA7A" w:rsidR="00E76071" w:rsidRPr="007F2096" w:rsidRDefault="002A06D0" w:rsidP="00B27F31">
            <w:pPr>
              <w:rPr>
                <w:rFonts w:ascii="Arial" w:hAnsi="Arial" w:cs="Arial"/>
                <w:spacing w:val="-3"/>
                <w:sz w:val="20"/>
              </w:rPr>
            </w:pPr>
            <w:r>
              <w:rPr>
                <w:rFonts w:ascii="Arial" w:hAnsi="Arial" w:cs="Arial"/>
                <w:spacing w:val="-3"/>
                <w:sz w:val="20"/>
              </w:rPr>
              <w:t>SAT</w:t>
            </w:r>
          </w:p>
        </w:tc>
      </w:tr>
      <w:tr w:rsidR="00A6254C" w:rsidRPr="00E76071" w14:paraId="5533CBAB" w14:textId="77777777" w:rsidTr="006B6B00">
        <w:trPr>
          <w:jc w:val="center"/>
        </w:trPr>
        <w:tc>
          <w:tcPr>
            <w:tcW w:w="4320" w:type="dxa"/>
          </w:tcPr>
          <w:p w14:paraId="600CECAE" w14:textId="430C4791" w:rsidR="00A6254C" w:rsidRPr="00A6254C" w:rsidRDefault="006F4949" w:rsidP="00B27F31">
            <w:pPr>
              <w:rPr>
                <w:rFonts w:ascii="Arial" w:hAnsi="Arial" w:cs="Arial"/>
                <w:sz w:val="20"/>
                <w:lang w:val="es-ES"/>
              </w:rPr>
            </w:pPr>
            <w:r>
              <w:rPr>
                <w:rFonts w:ascii="Arial" w:hAnsi="Arial" w:cs="Arial"/>
                <w:sz w:val="20"/>
                <w:lang w:val="es-ES"/>
              </w:rPr>
              <w:t xml:space="preserve">2b. </w:t>
            </w:r>
            <w:r w:rsidRPr="006F4949">
              <w:rPr>
                <w:rFonts w:ascii="Arial" w:hAnsi="Arial" w:cs="Arial"/>
                <w:sz w:val="20"/>
                <w:lang w:val="es-ES"/>
              </w:rPr>
              <w:t xml:space="preserve">Unidad de Asuntos Internos de la SAT en operación, revisa y monitorea las Declaraciones de Probidad de los funcionarios de la SAT mediante la aplicación </w:t>
            </w:r>
            <w:r w:rsidRPr="006F4949">
              <w:rPr>
                <w:rFonts w:ascii="Arial" w:hAnsi="Arial" w:cs="Arial"/>
                <w:sz w:val="20"/>
                <w:lang w:val="es-ES"/>
              </w:rPr>
              <w:lastRenderedPageBreak/>
              <w:t>de un protocolo de auditoría integral del personal.</w:t>
            </w:r>
          </w:p>
        </w:tc>
        <w:tc>
          <w:tcPr>
            <w:tcW w:w="360" w:type="dxa"/>
            <w:shd w:val="clear" w:color="auto" w:fill="auto"/>
          </w:tcPr>
          <w:p w14:paraId="6AE0A66D" w14:textId="77777777" w:rsidR="00A6254C" w:rsidRPr="00A6254C" w:rsidRDefault="00A6254C" w:rsidP="00B27F31">
            <w:pPr>
              <w:rPr>
                <w:rFonts w:ascii="Arial" w:hAnsi="Arial" w:cs="Arial"/>
                <w:spacing w:val="-3"/>
                <w:sz w:val="20"/>
              </w:rPr>
            </w:pPr>
          </w:p>
        </w:tc>
        <w:tc>
          <w:tcPr>
            <w:tcW w:w="360" w:type="dxa"/>
            <w:shd w:val="clear" w:color="auto" w:fill="auto"/>
          </w:tcPr>
          <w:p w14:paraId="475D8DEC" w14:textId="77777777" w:rsidR="00A6254C" w:rsidRPr="007F2096" w:rsidRDefault="00A6254C" w:rsidP="00B27F31">
            <w:pPr>
              <w:rPr>
                <w:rFonts w:ascii="Arial" w:hAnsi="Arial" w:cs="Arial"/>
                <w:spacing w:val="-3"/>
                <w:sz w:val="20"/>
              </w:rPr>
            </w:pPr>
          </w:p>
        </w:tc>
        <w:tc>
          <w:tcPr>
            <w:tcW w:w="360" w:type="dxa"/>
            <w:shd w:val="clear" w:color="auto" w:fill="auto"/>
          </w:tcPr>
          <w:p w14:paraId="6B1A66FB" w14:textId="77777777" w:rsidR="00A6254C" w:rsidRPr="00751944" w:rsidRDefault="00A6254C" w:rsidP="00B27F31">
            <w:pPr>
              <w:rPr>
                <w:rFonts w:ascii="Arial" w:hAnsi="Arial" w:cs="Arial"/>
                <w:spacing w:val="-3"/>
                <w:sz w:val="20"/>
              </w:rPr>
            </w:pPr>
          </w:p>
        </w:tc>
        <w:tc>
          <w:tcPr>
            <w:tcW w:w="360" w:type="dxa"/>
            <w:shd w:val="clear" w:color="auto" w:fill="auto"/>
          </w:tcPr>
          <w:p w14:paraId="6EED99A0" w14:textId="77777777" w:rsidR="00A6254C" w:rsidRPr="00CD39D0" w:rsidRDefault="00A6254C" w:rsidP="00B27F31">
            <w:pPr>
              <w:rPr>
                <w:rFonts w:ascii="Arial" w:hAnsi="Arial" w:cs="Arial"/>
                <w:spacing w:val="-3"/>
                <w:sz w:val="20"/>
              </w:rPr>
            </w:pPr>
          </w:p>
        </w:tc>
        <w:tc>
          <w:tcPr>
            <w:tcW w:w="360" w:type="dxa"/>
            <w:shd w:val="clear" w:color="auto" w:fill="auto"/>
          </w:tcPr>
          <w:p w14:paraId="2C2B854A" w14:textId="45106FE7" w:rsidR="00A6254C" w:rsidRPr="002A06D0"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CA52C98" w14:textId="49226D87" w:rsidR="00A6254C" w:rsidRPr="006F4949" w:rsidRDefault="006F4949"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7AC8C5A" w14:textId="22A1C9C9" w:rsidR="00A6254C" w:rsidRPr="006F4949" w:rsidRDefault="00A6254C" w:rsidP="00B27F31">
            <w:pPr>
              <w:rPr>
                <w:rFonts w:ascii="Arial" w:hAnsi="Arial" w:cs="Arial"/>
                <w:spacing w:val="-3"/>
                <w:sz w:val="20"/>
              </w:rPr>
            </w:pPr>
          </w:p>
        </w:tc>
        <w:tc>
          <w:tcPr>
            <w:tcW w:w="360" w:type="dxa"/>
            <w:shd w:val="clear" w:color="auto" w:fill="auto"/>
          </w:tcPr>
          <w:p w14:paraId="019116F7" w14:textId="33C6E7D5" w:rsidR="00A6254C" w:rsidRPr="006F4949" w:rsidRDefault="00A6254C" w:rsidP="00B27F31">
            <w:pPr>
              <w:rPr>
                <w:rFonts w:ascii="Arial" w:hAnsi="Arial" w:cs="Arial"/>
                <w:spacing w:val="-3"/>
                <w:sz w:val="20"/>
              </w:rPr>
            </w:pPr>
          </w:p>
        </w:tc>
        <w:tc>
          <w:tcPr>
            <w:tcW w:w="360" w:type="dxa"/>
            <w:shd w:val="clear" w:color="auto" w:fill="auto"/>
          </w:tcPr>
          <w:p w14:paraId="362AB309" w14:textId="70B8989D" w:rsidR="00A6254C" w:rsidRPr="006F4949" w:rsidRDefault="00A6254C" w:rsidP="00B27F31">
            <w:pPr>
              <w:rPr>
                <w:rFonts w:ascii="Arial" w:hAnsi="Arial" w:cs="Arial"/>
                <w:spacing w:val="-3"/>
                <w:sz w:val="20"/>
              </w:rPr>
            </w:pPr>
          </w:p>
        </w:tc>
        <w:tc>
          <w:tcPr>
            <w:tcW w:w="360" w:type="dxa"/>
            <w:shd w:val="clear" w:color="auto" w:fill="auto"/>
          </w:tcPr>
          <w:p w14:paraId="1F2327AE" w14:textId="74C3AEC0" w:rsidR="00A6254C" w:rsidRPr="006F4949" w:rsidRDefault="00A6254C" w:rsidP="00B27F31">
            <w:pPr>
              <w:rPr>
                <w:rFonts w:ascii="Arial" w:hAnsi="Arial" w:cs="Arial"/>
                <w:spacing w:val="-3"/>
                <w:sz w:val="20"/>
              </w:rPr>
            </w:pPr>
          </w:p>
        </w:tc>
        <w:tc>
          <w:tcPr>
            <w:tcW w:w="360" w:type="dxa"/>
            <w:shd w:val="clear" w:color="auto" w:fill="auto"/>
          </w:tcPr>
          <w:p w14:paraId="22B60120" w14:textId="1213F55D" w:rsidR="00A6254C" w:rsidRPr="006F4949" w:rsidRDefault="00A6254C" w:rsidP="00B27F31">
            <w:pPr>
              <w:rPr>
                <w:rFonts w:ascii="Arial" w:hAnsi="Arial" w:cs="Arial"/>
                <w:spacing w:val="-3"/>
                <w:sz w:val="20"/>
              </w:rPr>
            </w:pPr>
          </w:p>
        </w:tc>
        <w:tc>
          <w:tcPr>
            <w:tcW w:w="360" w:type="dxa"/>
            <w:shd w:val="clear" w:color="auto" w:fill="auto"/>
          </w:tcPr>
          <w:p w14:paraId="3B55E3F8" w14:textId="22B89CC5" w:rsidR="00A6254C" w:rsidRPr="006F4949" w:rsidRDefault="00A6254C" w:rsidP="00B27F31">
            <w:pPr>
              <w:rPr>
                <w:rFonts w:ascii="Arial" w:hAnsi="Arial" w:cs="Arial"/>
                <w:spacing w:val="-3"/>
                <w:sz w:val="20"/>
              </w:rPr>
            </w:pPr>
          </w:p>
        </w:tc>
        <w:tc>
          <w:tcPr>
            <w:tcW w:w="1710" w:type="dxa"/>
          </w:tcPr>
          <w:p w14:paraId="69177589" w14:textId="6F0A5522" w:rsidR="00A6254C" w:rsidRPr="002A06D0" w:rsidRDefault="002A06D0" w:rsidP="00B27F31">
            <w:pPr>
              <w:rPr>
                <w:rFonts w:ascii="Arial" w:hAnsi="Arial" w:cs="Arial"/>
                <w:spacing w:val="-3"/>
                <w:sz w:val="20"/>
              </w:rPr>
            </w:pPr>
            <w:r>
              <w:rPr>
                <w:rFonts w:ascii="Arial" w:hAnsi="Arial" w:cs="Arial"/>
                <w:spacing w:val="-3"/>
                <w:sz w:val="20"/>
              </w:rPr>
              <w:t>SAT. Entrará en operación en 2017.</w:t>
            </w:r>
          </w:p>
        </w:tc>
        <w:tc>
          <w:tcPr>
            <w:tcW w:w="1170" w:type="dxa"/>
          </w:tcPr>
          <w:p w14:paraId="4404FDCF" w14:textId="15F06298" w:rsidR="00A6254C" w:rsidRPr="002A06D0" w:rsidRDefault="002A06D0" w:rsidP="00B27F31">
            <w:pPr>
              <w:rPr>
                <w:rFonts w:ascii="Arial" w:hAnsi="Arial" w:cs="Arial"/>
                <w:spacing w:val="-3"/>
                <w:sz w:val="20"/>
              </w:rPr>
            </w:pPr>
            <w:r>
              <w:rPr>
                <w:rFonts w:ascii="Arial" w:hAnsi="Arial" w:cs="Arial"/>
                <w:spacing w:val="-3"/>
                <w:sz w:val="20"/>
              </w:rPr>
              <w:t>US$</w:t>
            </w:r>
            <w:r w:rsidR="005E0B4E">
              <w:rPr>
                <w:rFonts w:ascii="Arial" w:hAnsi="Arial" w:cs="Arial"/>
                <w:spacing w:val="-3"/>
                <w:sz w:val="20"/>
              </w:rPr>
              <w:t> </w:t>
            </w:r>
            <w:r>
              <w:rPr>
                <w:rFonts w:ascii="Arial" w:hAnsi="Arial" w:cs="Arial"/>
                <w:spacing w:val="-3"/>
                <w:sz w:val="20"/>
              </w:rPr>
              <w:t>650.000 anuales</w:t>
            </w:r>
          </w:p>
        </w:tc>
        <w:tc>
          <w:tcPr>
            <w:tcW w:w="1620" w:type="dxa"/>
          </w:tcPr>
          <w:p w14:paraId="0E89BD67" w14:textId="573D1B22" w:rsidR="00A6254C" w:rsidRPr="002A06D0" w:rsidRDefault="002A06D0" w:rsidP="00B27F31">
            <w:pPr>
              <w:rPr>
                <w:rFonts w:ascii="Arial" w:hAnsi="Arial" w:cs="Arial"/>
                <w:spacing w:val="-3"/>
                <w:sz w:val="20"/>
              </w:rPr>
            </w:pPr>
            <w:r>
              <w:rPr>
                <w:rFonts w:ascii="Arial" w:hAnsi="Arial" w:cs="Arial"/>
                <w:spacing w:val="-3"/>
                <w:sz w:val="20"/>
              </w:rPr>
              <w:t>Presupuesto SAT</w:t>
            </w:r>
          </w:p>
        </w:tc>
      </w:tr>
      <w:tr w:rsidR="00E76071" w:rsidRPr="00E76071" w14:paraId="314B38D1" w14:textId="77777777" w:rsidTr="006B6B00">
        <w:trPr>
          <w:jc w:val="center"/>
        </w:trPr>
        <w:tc>
          <w:tcPr>
            <w:tcW w:w="4320" w:type="dxa"/>
          </w:tcPr>
          <w:p w14:paraId="40AC6641" w14:textId="3C6AE522" w:rsidR="00E76071" w:rsidRPr="007F2096" w:rsidRDefault="00E76071" w:rsidP="00B27F31">
            <w:pPr>
              <w:rPr>
                <w:rFonts w:ascii="Arial" w:hAnsi="Arial" w:cs="Arial"/>
                <w:spacing w:val="-3"/>
                <w:sz w:val="20"/>
              </w:rPr>
            </w:pPr>
            <w:r w:rsidRPr="007F2096">
              <w:rPr>
                <w:rFonts w:ascii="Arial" w:hAnsi="Arial" w:cs="Arial"/>
                <w:sz w:val="20"/>
                <w:lang w:val="es-ES"/>
              </w:rPr>
              <w:lastRenderedPageBreak/>
              <w:t>3</w:t>
            </w:r>
            <w:r w:rsidR="002A06D0">
              <w:rPr>
                <w:rFonts w:ascii="Arial" w:hAnsi="Arial" w:cs="Arial"/>
                <w:sz w:val="20"/>
                <w:lang w:val="es-ES"/>
              </w:rPr>
              <w:t>a</w:t>
            </w:r>
            <w:r w:rsidRPr="007F2096">
              <w:rPr>
                <w:rFonts w:ascii="Arial" w:hAnsi="Arial" w:cs="Arial"/>
                <w:sz w:val="20"/>
                <w:lang w:val="es-ES"/>
              </w:rPr>
              <w:t>. Institucionalización de un nuevo modelo de inteligencia fiscal y de gestión de riesgos en la fiscalización aduanera y tributaria, con la creación de la Gerencia de Investigación Fiscal.</w:t>
            </w:r>
          </w:p>
        </w:tc>
        <w:tc>
          <w:tcPr>
            <w:tcW w:w="360" w:type="dxa"/>
            <w:shd w:val="clear" w:color="auto" w:fill="auto"/>
          </w:tcPr>
          <w:p w14:paraId="30DBA3BB" w14:textId="77777777" w:rsidR="00E76071" w:rsidRPr="007F2096" w:rsidRDefault="00E76071" w:rsidP="00B27F31">
            <w:pPr>
              <w:rPr>
                <w:rFonts w:ascii="Arial" w:hAnsi="Arial" w:cs="Arial"/>
                <w:spacing w:val="-3"/>
                <w:sz w:val="20"/>
              </w:rPr>
            </w:pPr>
          </w:p>
        </w:tc>
        <w:tc>
          <w:tcPr>
            <w:tcW w:w="360" w:type="dxa"/>
            <w:shd w:val="clear" w:color="auto" w:fill="auto"/>
          </w:tcPr>
          <w:p w14:paraId="752507C9" w14:textId="77777777" w:rsidR="00E76071" w:rsidRPr="007F2096" w:rsidRDefault="00E76071" w:rsidP="00B27F31">
            <w:pPr>
              <w:rPr>
                <w:rFonts w:ascii="Arial" w:hAnsi="Arial" w:cs="Arial"/>
                <w:spacing w:val="-3"/>
                <w:sz w:val="20"/>
              </w:rPr>
            </w:pPr>
          </w:p>
        </w:tc>
        <w:tc>
          <w:tcPr>
            <w:tcW w:w="360" w:type="dxa"/>
            <w:shd w:val="clear" w:color="auto" w:fill="auto"/>
          </w:tcPr>
          <w:p w14:paraId="28A89578" w14:textId="6BE528E2"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67AE233" w14:textId="515E56A5"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344B4EB" w14:textId="77777777" w:rsidR="00E76071" w:rsidRPr="007F2096" w:rsidRDefault="00E76071" w:rsidP="00B27F31">
            <w:pPr>
              <w:rPr>
                <w:rFonts w:ascii="Arial" w:hAnsi="Arial" w:cs="Arial"/>
                <w:spacing w:val="-3"/>
                <w:sz w:val="20"/>
              </w:rPr>
            </w:pPr>
          </w:p>
        </w:tc>
        <w:tc>
          <w:tcPr>
            <w:tcW w:w="360" w:type="dxa"/>
            <w:shd w:val="clear" w:color="auto" w:fill="auto"/>
          </w:tcPr>
          <w:p w14:paraId="4DDD4E8C" w14:textId="77777777" w:rsidR="00E76071" w:rsidRPr="007F2096" w:rsidRDefault="00E76071" w:rsidP="00B27F31">
            <w:pPr>
              <w:rPr>
                <w:rFonts w:ascii="Arial" w:hAnsi="Arial" w:cs="Arial"/>
                <w:spacing w:val="-3"/>
                <w:sz w:val="20"/>
              </w:rPr>
            </w:pPr>
          </w:p>
        </w:tc>
        <w:tc>
          <w:tcPr>
            <w:tcW w:w="360" w:type="dxa"/>
            <w:shd w:val="clear" w:color="auto" w:fill="auto"/>
          </w:tcPr>
          <w:p w14:paraId="3E1B2D06" w14:textId="77777777" w:rsidR="00E76071" w:rsidRPr="007F2096" w:rsidRDefault="00E76071" w:rsidP="00B27F31">
            <w:pPr>
              <w:rPr>
                <w:rFonts w:ascii="Arial" w:hAnsi="Arial" w:cs="Arial"/>
                <w:spacing w:val="-3"/>
                <w:sz w:val="20"/>
              </w:rPr>
            </w:pPr>
          </w:p>
        </w:tc>
        <w:tc>
          <w:tcPr>
            <w:tcW w:w="360" w:type="dxa"/>
            <w:shd w:val="clear" w:color="auto" w:fill="auto"/>
          </w:tcPr>
          <w:p w14:paraId="339B02B1" w14:textId="77777777" w:rsidR="00E76071" w:rsidRPr="007F2096" w:rsidRDefault="00E76071" w:rsidP="00B27F31">
            <w:pPr>
              <w:rPr>
                <w:rFonts w:ascii="Arial" w:hAnsi="Arial" w:cs="Arial"/>
                <w:spacing w:val="-3"/>
                <w:sz w:val="20"/>
              </w:rPr>
            </w:pPr>
          </w:p>
        </w:tc>
        <w:tc>
          <w:tcPr>
            <w:tcW w:w="360" w:type="dxa"/>
            <w:shd w:val="clear" w:color="auto" w:fill="auto"/>
          </w:tcPr>
          <w:p w14:paraId="5CC30D07" w14:textId="77777777" w:rsidR="00E76071" w:rsidRPr="007F2096" w:rsidRDefault="00E76071" w:rsidP="00B27F31">
            <w:pPr>
              <w:rPr>
                <w:rFonts w:ascii="Arial" w:hAnsi="Arial" w:cs="Arial"/>
                <w:spacing w:val="-3"/>
                <w:sz w:val="20"/>
              </w:rPr>
            </w:pPr>
          </w:p>
        </w:tc>
        <w:tc>
          <w:tcPr>
            <w:tcW w:w="360" w:type="dxa"/>
            <w:shd w:val="clear" w:color="auto" w:fill="auto"/>
          </w:tcPr>
          <w:p w14:paraId="41D79F62" w14:textId="77777777" w:rsidR="00E76071" w:rsidRPr="007F2096" w:rsidRDefault="00E76071" w:rsidP="00B27F31">
            <w:pPr>
              <w:rPr>
                <w:rFonts w:ascii="Arial" w:hAnsi="Arial" w:cs="Arial"/>
                <w:spacing w:val="-3"/>
                <w:sz w:val="20"/>
              </w:rPr>
            </w:pPr>
          </w:p>
        </w:tc>
        <w:tc>
          <w:tcPr>
            <w:tcW w:w="360" w:type="dxa"/>
            <w:shd w:val="clear" w:color="auto" w:fill="auto"/>
          </w:tcPr>
          <w:p w14:paraId="080A4447" w14:textId="77777777" w:rsidR="00E76071" w:rsidRPr="007F2096" w:rsidRDefault="00E76071" w:rsidP="00B27F31">
            <w:pPr>
              <w:rPr>
                <w:rFonts w:ascii="Arial" w:hAnsi="Arial" w:cs="Arial"/>
                <w:spacing w:val="-3"/>
                <w:sz w:val="20"/>
              </w:rPr>
            </w:pPr>
          </w:p>
        </w:tc>
        <w:tc>
          <w:tcPr>
            <w:tcW w:w="360" w:type="dxa"/>
            <w:shd w:val="clear" w:color="auto" w:fill="auto"/>
          </w:tcPr>
          <w:p w14:paraId="0CEA0AD3" w14:textId="77777777" w:rsidR="00E76071" w:rsidRPr="007F2096" w:rsidRDefault="00E76071" w:rsidP="00B27F31">
            <w:pPr>
              <w:rPr>
                <w:rFonts w:ascii="Arial" w:hAnsi="Arial" w:cs="Arial"/>
                <w:spacing w:val="-3"/>
                <w:sz w:val="20"/>
              </w:rPr>
            </w:pPr>
          </w:p>
        </w:tc>
        <w:tc>
          <w:tcPr>
            <w:tcW w:w="1710" w:type="dxa"/>
          </w:tcPr>
          <w:p w14:paraId="09ADE885" w14:textId="51467B30" w:rsidR="00E76071" w:rsidRPr="007F2096" w:rsidRDefault="002A06D0" w:rsidP="007005A5">
            <w:pPr>
              <w:rPr>
                <w:rFonts w:ascii="Arial" w:hAnsi="Arial" w:cs="Arial"/>
                <w:spacing w:val="-3"/>
                <w:sz w:val="20"/>
              </w:rPr>
            </w:pPr>
            <w:r w:rsidRPr="002A06D0">
              <w:rPr>
                <w:rFonts w:ascii="Arial" w:hAnsi="Arial" w:cs="Arial"/>
                <w:spacing w:val="-3"/>
                <w:sz w:val="20"/>
              </w:rPr>
              <w:t xml:space="preserve">SAT. </w:t>
            </w:r>
            <w:r w:rsidR="007005A5">
              <w:rPr>
                <w:rFonts w:ascii="Arial" w:hAnsi="Arial" w:cs="Arial"/>
                <w:spacing w:val="-3"/>
                <w:sz w:val="20"/>
              </w:rPr>
              <w:t>Un</w:t>
            </w:r>
            <w:r w:rsidRPr="002A06D0">
              <w:rPr>
                <w:rFonts w:ascii="Arial" w:hAnsi="Arial" w:cs="Arial"/>
                <w:spacing w:val="-3"/>
                <w:sz w:val="20"/>
              </w:rPr>
              <w:t xml:space="preserve"> acuerdo del Directorio de la SAT aprobó su creación.</w:t>
            </w:r>
          </w:p>
        </w:tc>
        <w:tc>
          <w:tcPr>
            <w:tcW w:w="1170" w:type="dxa"/>
          </w:tcPr>
          <w:p w14:paraId="6FBDDBB4" w14:textId="77777777" w:rsidR="00E76071" w:rsidRPr="007F2096" w:rsidRDefault="00E76071" w:rsidP="00B27F31">
            <w:pPr>
              <w:rPr>
                <w:rFonts w:ascii="Arial" w:hAnsi="Arial" w:cs="Arial"/>
                <w:spacing w:val="-3"/>
                <w:sz w:val="20"/>
              </w:rPr>
            </w:pPr>
          </w:p>
        </w:tc>
        <w:tc>
          <w:tcPr>
            <w:tcW w:w="1620" w:type="dxa"/>
          </w:tcPr>
          <w:p w14:paraId="61A27ABB" w14:textId="406953C5" w:rsidR="00E76071" w:rsidRPr="007F2096" w:rsidRDefault="002A06D0" w:rsidP="00B27F31">
            <w:pPr>
              <w:rPr>
                <w:rFonts w:ascii="Arial" w:hAnsi="Arial" w:cs="Arial"/>
                <w:spacing w:val="-3"/>
                <w:sz w:val="20"/>
              </w:rPr>
            </w:pPr>
            <w:r>
              <w:rPr>
                <w:rFonts w:ascii="Arial" w:hAnsi="Arial" w:cs="Arial"/>
                <w:spacing w:val="-3"/>
                <w:sz w:val="20"/>
              </w:rPr>
              <w:t>Presupuesto SAT</w:t>
            </w:r>
          </w:p>
        </w:tc>
      </w:tr>
      <w:tr w:rsidR="00A6254C" w:rsidRPr="00E76071" w14:paraId="21455A81" w14:textId="77777777" w:rsidTr="006B6B00">
        <w:trPr>
          <w:jc w:val="center"/>
        </w:trPr>
        <w:tc>
          <w:tcPr>
            <w:tcW w:w="4320" w:type="dxa"/>
          </w:tcPr>
          <w:p w14:paraId="4D294021" w14:textId="42AAE351" w:rsidR="00A6254C" w:rsidRPr="00A6254C" w:rsidRDefault="002A06D0" w:rsidP="00B27F31">
            <w:pPr>
              <w:rPr>
                <w:rFonts w:ascii="Arial" w:hAnsi="Arial" w:cs="Arial"/>
                <w:sz w:val="20"/>
                <w:lang w:val="es-ES"/>
              </w:rPr>
            </w:pPr>
            <w:r>
              <w:rPr>
                <w:rFonts w:ascii="Arial" w:hAnsi="Arial" w:cs="Arial"/>
                <w:sz w:val="20"/>
                <w:lang w:val="es-ES"/>
              </w:rPr>
              <w:t xml:space="preserve">3b. </w:t>
            </w:r>
            <w:r w:rsidRPr="002A06D0">
              <w:rPr>
                <w:rFonts w:ascii="Arial" w:hAnsi="Arial" w:cs="Arial"/>
                <w:sz w:val="20"/>
                <w:lang w:val="es-ES"/>
              </w:rPr>
              <w:t>Gerencia de Investigación Fiscal de la SAT en operación, prepara los insumos de información para la elaboración de planes de fiscalización.</w:t>
            </w:r>
          </w:p>
        </w:tc>
        <w:tc>
          <w:tcPr>
            <w:tcW w:w="360" w:type="dxa"/>
            <w:shd w:val="clear" w:color="auto" w:fill="auto"/>
          </w:tcPr>
          <w:p w14:paraId="428DFE91" w14:textId="77777777" w:rsidR="00A6254C" w:rsidRPr="00A6254C" w:rsidRDefault="00A6254C" w:rsidP="00B27F31">
            <w:pPr>
              <w:rPr>
                <w:rFonts w:ascii="Arial" w:hAnsi="Arial" w:cs="Arial"/>
                <w:spacing w:val="-3"/>
                <w:sz w:val="20"/>
              </w:rPr>
            </w:pPr>
          </w:p>
        </w:tc>
        <w:tc>
          <w:tcPr>
            <w:tcW w:w="360" w:type="dxa"/>
            <w:shd w:val="clear" w:color="auto" w:fill="auto"/>
          </w:tcPr>
          <w:p w14:paraId="5C6BCC94" w14:textId="77777777" w:rsidR="00A6254C" w:rsidRPr="007F2096" w:rsidRDefault="00A6254C" w:rsidP="00B27F31">
            <w:pPr>
              <w:rPr>
                <w:rFonts w:ascii="Arial" w:hAnsi="Arial" w:cs="Arial"/>
                <w:spacing w:val="-3"/>
                <w:sz w:val="20"/>
              </w:rPr>
            </w:pPr>
          </w:p>
        </w:tc>
        <w:tc>
          <w:tcPr>
            <w:tcW w:w="360" w:type="dxa"/>
            <w:shd w:val="clear" w:color="auto" w:fill="auto"/>
          </w:tcPr>
          <w:p w14:paraId="2E9423AE" w14:textId="77777777" w:rsidR="00A6254C" w:rsidRPr="00751944" w:rsidRDefault="00A6254C" w:rsidP="00B27F31">
            <w:pPr>
              <w:rPr>
                <w:rFonts w:ascii="Arial" w:hAnsi="Arial" w:cs="Arial"/>
                <w:spacing w:val="-3"/>
                <w:sz w:val="20"/>
              </w:rPr>
            </w:pPr>
          </w:p>
        </w:tc>
        <w:tc>
          <w:tcPr>
            <w:tcW w:w="360" w:type="dxa"/>
            <w:shd w:val="clear" w:color="auto" w:fill="auto"/>
          </w:tcPr>
          <w:p w14:paraId="0429A2DB" w14:textId="77777777" w:rsidR="00A6254C" w:rsidRPr="00CD39D0" w:rsidRDefault="00A6254C" w:rsidP="00B27F31">
            <w:pPr>
              <w:rPr>
                <w:rFonts w:ascii="Arial" w:hAnsi="Arial" w:cs="Arial"/>
                <w:spacing w:val="-3"/>
                <w:sz w:val="20"/>
              </w:rPr>
            </w:pPr>
          </w:p>
        </w:tc>
        <w:tc>
          <w:tcPr>
            <w:tcW w:w="360" w:type="dxa"/>
            <w:shd w:val="clear" w:color="auto" w:fill="auto"/>
          </w:tcPr>
          <w:p w14:paraId="4C595A77" w14:textId="1F62FCF2" w:rsidR="00A6254C" w:rsidRPr="002A06D0"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AF055D5" w14:textId="30DF66B4" w:rsidR="00A6254C" w:rsidRPr="002A06D0"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119949D" w14:textId="338E9F6A" w:rsidR="00A6254C" w:rsidRPr="002A06D0" w:rsidRDefault="00A6254C" w:rsidP="00B27F31">
            <w:pPr>
              <w:rPr>
                <w:rFonts w:ascii="Arial" w:hAnsi="Arial" w:cs="Arial"/>
                <w:spacing w:val="-3"/>
                <w:sz w:val="20"/>
              </w:rPr>
            </w:pPr>
          </w:p>
        </w:tc>
        <w:tc>
          <w:tcPr>
            <w:tcW w:w="360" w:type="dxa"/>
            <w:shd w:val="clear" w:color="auto" w:fill="auto"/>
          </w:tcPr>
          <w:p w14:paraId="1D670269" w14:textId="018674A3" w:rsidR="00A6254C" w:rsidRPr="002A06D0" w:rsidRDefault="00A6254C" w:rsidP="00B27F31">
            <w:pPr>
              <w:rPr>
                <w:rFonts w:ascii="Arial" w:hAnsi="Arial" w:cs="Arial"/>
                <w:spacing w:val="-3"/>
                <w:sz w:val="20"/>
              </w:rPr>
            </w:pPr>
          </w:p>
        </w:tc>
        <w:tc>
          <w:tcPr>
            <w:tcW w:w="360" w:type="dxa"/>
            <w:shd w:val="clear" w:color="auto" w:fill="auto"/>
          </w:tcPr>
          <w:p w14:paraId="13D4328A" w14:textId="1E353D80" w:rsidR="00A6254C" w:rsidRPr="002A06D0" w:rsidRDefault="00A6254C" w:rsidP="00B27F31">
            <w:pPr>
              <w:rPr>
                <w:rFonts w:ascii="Arial" w:hAnsi="Arial" w:cs="Arial"/>
                <w:spacing w:val="-3"/>
                <w:sz w:val="20"/>
              </w:rPr>
            </w:pPr>
          </w:p>
        </w:tc>
        <w:tc>
          <w:tcPr>
            <w:tcW w:w="360" w:type="dxa"/>
            <w:shd w:val="clear" w:color="auto" w:fill="auto"/>
          </w:tcPr>
          <w:p w14:paraId="4EA39B0B" w14:textId="7B851863" w:rsidR="00A6254C" w:rsidRPr="002A06D0" w:rsidRDefault="00A6254C" w:rsidP="00B27F31">
            <w:pPr>
              <w:rPr>
                <w:rFonts w:ascii="Arial" w:hAnsi="Arial" w:cs="Arial"/>
                <w:spacing w:val="-3"/>
                <w:sz w:val="20"/>
              </w:rPr>
            </w:pPr>
          </w:p>
        </w:tc>
        <w:tc>
          <w:tcPr>
            <w:tcW w:w="360" w:type="dxa"/>
            <w:shd w:val="clear" w:color="auto" w:fill="auto"/>
          </w:tcPr>
          <w:p w14:paraId="757FD6B3" w14:textId="3C057ED8" w:rsidR="00A6254C" w:rsidRPr="002A06D0" w:rsidRDefault="00A6254C" w:rsidP="00B27F31">
            <w:pPr>
              <w:rPr>
                <w:rFonts w:ascii="Arial" w:hAnsi="Arial" w:cs="Arial"/>
                <w:spacing w:val="-3"/>
                <w:sz w:val="20"/>
              </w:rPr>
            </w:pPr>
          </w:p>
        </w:tc>
        <w:tc>
          <w:tcPr>
            <w:tcW w:w="360" w:type="dxa"/>
            <w:shd w:val="clear" w:color="auto" w:fill="auto"/>
          </w:tcPr>
          <w:p w14:paraId="445C8BD6" w14:textId="39E003B4" w:rsidR="00A6254C" w:rsidRPr="002A06D0" w:rsidRDefault="00A6254C" w:rsidP="00B27F31">
            <w:pPr>
              <w:rPr>
                <w:rFonts w:ascii="Arial" w:hAnsi="Arial" w:cs="Arial"/>
                <w:spacing w:val="-3"/>
                <w:sz w:val="20"/>
              </w:rPr>
            </w:pPr>
          </w:p>
        </w:tc>
        <w:tc>
          <w:tcPr>
            <w:tcW w:w="1710" w:type="dxa"/>
          </w:tcPr>
          <w:p w14:paraId="2D6D5F7E" w14:textId="32CE79BE" w:rsidR="00A6254C" w:rsidRPr="002A06D0" w:rsidRDefault="002A06D0" w:rsidP="00B27F31">
            <w:pPr>
              <w:rPr>
                <w:rFonts w:ascii="Arial" w:hAnsi="Arial" w:cs="Arial"/>
                <w:spacing w:val="-3"/>
                <w:sz w:val="20"/>
              </w:rPr>
            </w:pPr>
            <w:r w:rsidRPr="002A06D0">
              <w:rPr>
                <w:rFonts w:ascii="Arial" w:hAnsi="Arial" w:cs="Arial"/>
                <w:spacing w:val="-3"/>
                <w:sz w:val="20"/>
              </w:rPr>
              <w:t>SAT. Entrará en operación en 2017.</w:t>
            </w:r>
          </w:p>
        </w:tc>
        <w:tc>
          <w:tcPr>
            <w:tcW w:w="1170" w:type="dxa"/>
          </w:tcPr>
          <w:p w14:paraId="57F53AF1" w14:textId="4FBFEA6D" w:rsidR="00A6254C" w:rsidRPr="00CD39D0" w:rsidRDefault="005E0B4E" w:rsidP="0080003E">
            <w:pPr>
              <w:rPr>
                <w:rFonts w:ascii="Arial" w:hAnsi="Arial" w:cs="Arial"/>
                <w:spacing w:val="-3"/>
                <w:sz w:val="20"/>
              </w:rPr>
            </w:pPr>
            <w:r>
              <w:rPr>
                <w:rFonts w:ascii="Arial" w:hAnsi="Arial" w:cs="Arial"/>
                <w:spacing w:val="-3"/>
                <w:sz w:val="20"/>
              </w:rPr>
              <w:t>US$ 1 millón anual</w:t>
            </w:r>
          </w:p>
        </w:tc>
        <w:tc>
          <w:tcPr>
            <w:tcW w:w="1620" w:type="dxa"/>
          </w:tcPr>
          <w:p w14:paraId="75E3050A" w14:textId="3A2136A5" w:rsidR="00A6254C" w:rsidRPr="00CD39D0" w:rsidRDefault="00CD39D0" w:rsidP="00B27F31">
            <w:pPr>
              <w:rPr>
                <w:rFonts w:ascii="Arial" w:hAnsi="Arial" w:cs="Arial"/>
                <w:spacing w:val="-3"/>
                <w:sz w:val="20"/>
              </w:rPr>
            </w:pPr>
            <w:r>
              <w:rPr>
                <w:rFonts w:ascii="Arial" w:hAnsi="Arial" w:cs="Arial"/>
                <w:spacing w:val="-3"/>
                <w:sz w:val="20"/>
              </w:rPr>
              <w:t>Presupuesto SAT</w:t>
            </w:r>
          </w:p>
        </w:tc>
      </w:tr>
      <w:tr w:rsidR="00E76071" w:rsidRPr="00E76071" w14:paraId="7D449C51" w14:textId="77777777" w:rsidTr="006B6B00">
        <w:trPr>
          <w:jc w:val="center"/>
        </w:trPr>
        <w:tc>
          <w:tcPr>
            <w:tcW w:w="4320" w:type="dxa"/>
          </w:tcPr>
          <w:p w14:paraId="2DCF7E72" w14:textId="02341916" w:rsidR="00E76071" w:rsidRPr="007F2096" w:rsidRDefault="00E76071" w:rsidP="00B27F31">
            <w:pPr>
              <w:rPr>
                <w:rFonts w:ascii="Arial" w:hAnsi="Arial" w:cs="Arial"/>
                <w:spacing w:val="-3"/>
                <w:sz w:val="20"/>
              </w:rPr>
            </w:pPr>
            <w:r w:rsidRPr="007F2096">
              <w:rPr>
                <w:rFonts w:ascii="Arial" w:hAnsi="Arial" w:cs="Arial"/>
                <w:sz w:val="20"/>
                <w:lang w:val="es-ES"/>
              </w:rPr>
              <w:t>4</w:t>
            </w:r>
            <w:r w:rsidR="002A06D0">
              <w:rPr>
                <w:rFonts w:ascii="Arial" w:hAnsi="Arial" w:cs="Arial"/>
                <w:sz w:val="20"/>
                <w:lang w:val="es-ES"/>
              </w:rPr>
              <w:t>a</w:t>
            </w:r>
            <w:r w:rsidRPr="007F2096">
              <w:rPr>
                <w:rFonts w:ascii="Arial" w:hAnsi="Arial" w:cs="Arial"/>
                <w:sz w:val="20"/>
                <w:lang w:val="es-ES"/>
              </w:rPr>
              <w:t>. Reingeniería de personal de la SAT, incluyendo la revisión de los tipos de perfiles profesionales y técnicos requeridos, el diseño de la carrera de los funcionarios y la disponibilidad de aproximadamente 450 plazas de trabajo (nuevas o vacantes).</w:t>
            </w:r>
          </w:p>
        </w:tc>
        <w:tc>
          <w:tcPr>
            <w:tcW w:w="360" w:type="dxa"/>
            <w:shd w:val="clear" w:color="auto" w:fill="auto"/>
          </w:tcPr>
          <w:p w14:paraId="0C32B110" w14:textId="77777777" w:rsidR="00E76071" w:rsidRPr="007F2096" w:rsidRDefault="00E76071" w:rsidP="00B27F31">
            <w:pPr>
              <w:rPr>
                <w:rFonts w:ascii="Arial" w:hAnsi="Arial" w:cs="Arial"/>
                <w:spacing w:val="-3"/>
                <w:sz w:val="20"/>
              </w:rPr>
            </w:pPr>
          </w:p>
        </w:tc>
        <w:tc>
          <w:tcPr>
            <w:tcW w:w="360" w:type="dxa"/>
            <w:shd w:val="clear" w:color="auto" w:fill="auto"/>
          </w:tcPr>
          <w:p w14:paraId="0FBF5788" w14:textId="77777777" w:rsidR="00E76071" w:rsidRPr="007F2096" w:rsidRDefault="00E76071" w:rsidP="00B27F31">
            <w:pPr>
              <w:rPr>
                <w:rFonts w:ascii="Arial" w:hAnsi="Arial" w:cs="Arial"/>
                <w:spacing w:val="-3"/>
                <w:sz w:val="20"/>
              </w:rPr>
            </w:pPr>
          </w:p>
        </w:tc>
        <w:tc>
          <w:tcPr>
            <w:tcW w:w="360" w:type="dxa"/>
            <w:shd w:val="clear" w:color="auto" w:fill="auto"/>
          </w:tcPr>
          <w:p w14:paraId="3A8DB008" w14:textId="23B30D5A"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8A70283" w14:textId="2713FD8E"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A185319" w14:textId="44F3027C"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238DB6C" w14:textId="39B316FB" w:rsidR="00E76071" w:rsidRPr="007F2096" w:rsidRDefault="002A06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A4682F2" w14:textId="77777777" w:rsidR="00E76071" w:rsidRPr="007F2096" w:rsidRDefault="00E76071" w:rsidP="00B27F31">
            <w:pPr>
              <w:rPr>
                <w:rFonts w:ascii="Arial" w:hAnsi="Arial" w:cs="Arial"/>
                <w:spacing w:val="-3"/>
                <w:sz w:val="20"/>
              </w:rPr>
            </w:pPr>
          </w:p>
        </w:tc>
        <w:tc>
          <w:tcPr>
            <w:tcW w:w="360" w:type="dxa"/>
            <w:shd w:val="clear" w:color="auto" w:fill="auto"/>
          </w:tcPr>
          <w:p w14:paraId="1E1A470C" w14:textId="77777777" w:rsidR="00E76071" w:rsidRPr="007F2096" w:rsidRDefault="00E76071" w:rsidP="00B27F31">
            <w:pPr>
              <w:rPr>
                <w:rFonts w:ascii="Arial" w:hAnsi="Arial" w:cs="Arial"/>
                <w:spacing w:val="-3"/>
                <w:sz w:val="20"/>
              </w:rPr>
            </w:pPr>
          </w:p>
        </w:tc>
        <w:tc>
          <w:tcPr>
            <w:tcW w:w="360" w:type="dxa"/>
            <w:shd w:val="clear" w:color="auto" w:fill="auto"/>
          </w:tcPr>
          <w:p w14:paraId="7124559F" w14:textId="77777777" w:rsidR="00E76071" w:rsidRPr="007F2096" w:rsidRDefault="00E76071" w:rsidP="00B27F31">
            <w:pPr>
              <w:rPr>
                <w:rFonts w:ascii="Arial" w:hAnsi="Arial" w:cs="Arial"/>
                <w:spacing w:val="-3"/>
                <w:sz w:val="20"/>
              </w:rPr>
            </w:pPr>
          </w:p>
        </w:tc>
        <w:tc>
          <w:tcPr>
            <w:tcW w:w="360" w:type="dxa"/>
            <w:shd w:val="clear" w:color="auto" w:fill="auto"/>
          </w:tcPr>
          <w:p w14:paraId="19F5B2CB" w14:textId="77777777" w:rsidR="00E76071" w:rsidRPr="007F2096" w:rsidRDefault="00E76071" w:rsidP="00B27F31">
            <w:pPr>
              <w:rPr>
                <w:rFonts w:ascii="Arial" w:hAnsi="Arial" w:cs="Arial"/>
                <w:spacing w:val="-3"/>
                <w:sz w:val="20"/>
              </w:rPr>
            </w:pPr>
          </w:p>
        </w:tc>
        <w:tc>
          <w:tcPr>
            <w:tcW w:w="360" w:type="dxa"/>
            <w:shd w:val="clear" w:color="auto" w:fill="auto"/>
          </w:tcPr>
          <w:p w14:paraId="01D8DD28" w14:textId="77777777" w:rsidR="00E76071" w:rsidRPr="007F2096" w:rsidRDefault="00E76071" w:rsidP="00B27F31">
            <w:pPr>
              <w:rPr>
                <w:rFonts w:ascii="Arial" w:hAnsi="Arial" w:cs="Arial"/>
                <w:spacing w:val="-3"/>
                <w:sz w:val="20"/>
              </w:rPr>
            </w:pPr>
          </w:p>
        </w:tc>
        <w:tc>
          <w:tcPr>
            <w:tcW w:w="360" w:type="dxa"/>
            <w:shd w:val="clear" w:color="auto" w:fill="auto"/>
          </w:tcPr>
          <w:p w14:paraId="77A8FEFA" w14:textId="77777777" w:rsidR="00E76071" w:rsidRPr="007F2096" w:rsidRDefault="00E76071" w:rsidP="00B27F31">
            <w:pPr>
              <w:rPr>
                <w:rFonts w:ascii="Arial" w:hAnsi="Arial" w:cs="Arial"/>
                <w:spacing w:val="-3"/>
                <w:sz w:val="20"/>
              </w:rPr>
            </w:pPr>
          </w:p>
        </w:tc>
        <w:tc>
          <w:tcPr>
            <w:tcW w:w="1710" w:type="dxa"/>
          </w:tcPr>
          <w:p w14:paraId="294AA68C" w14:textId="4C23A64E" w:rsidR="00E76071" w:rsidRPr="007F2096" w:rsidRDefault="00191820" w:rsidP="00B27F31">
            <w:pPr>
              <w:rPr>
                <w:rFonts w:ascii="Arial" w:hAnsi="Arial" w:cs="Arial"/>
                <w:spacing w:val="-3"/>
                <w:sz w:val="20"/>
              </w:rPr>
            </w:pPr>
            <w:r>
              <w:rPr>
                <w:rFonts w:ascii="Arial" w:hAnsi="Arial" w:cs="Arial"/>
                <w:spacing w:val="-3"/>
                <w:sz w:val="20"/>
              </w:rPr>
              <w:t>Están siendo</w:t>
            </w:r>
            <w:r w:rsidR="002A06D0">
              <w:rPr>
                <w:rFonts w:ascii="Arial" w:hAnsi="Arial" w:cs="Arial"/>
                <w:spacing w:val="-3"/>
                <w:sz w:val="20"/>
              </w:rPr>
              <w:t xml:space="preserve"> contratados los estudios de revisión</w:t>
            </w:r>
            <w:r>
              <w:rPr>
                <w:rFonts w:ascii="Arial" w:hAnsi="Arial" w:cs="Arial"/>
                <w:spacing w:val="-3"/>
                <w:sz w:val="20"/>
              </w:rPr>
              <w:t xml:space="preserve"> de</w:t>
            </w:r>
            <w:r w:rsidR="002A06D0">
              <w:rPr>
                <w:rFonts w:ascii="Arial" w:hAnsi="Arial" w:cs="Arial"/>
                <w:spacing w:val="-3"/>
                <w:sz w:val="20"/>
              </w:rPr>
              <w:t xml:space="preserve"> perfiles y diseño </w:t>
            </w:r>
            <w:r>
              <w:rPr>
                <w:rFonts w:ascii="Arial" w:hAnsi="Arial" w:cs="Arial"/>
                <w:spacing w:val="-3"/>
                <w:sz w:val="20"/>
              </w:rPr>
              <w:t xml:space="preserve">de la </w:t>
            </w:r>
            <w:r w:rsidR="002A06D0">
              <w:rPr>
                <w:rFonts w:ascii="Arial" w:hAnsi="Arial" w:cs="Arial"/>
                <w:spacing w:val="-3"/>
                <w:sz w:val="20"/>
              </w:rPr>
              <w:t>carrera.</w:t>
            </w:r>
          </w:p>
        </w:tc>
        <w:tc>
          <w:tcPr>
            <w:tcW w:w="1170" w:type="dxa"/>
          </w:tcPr>
          <w:p w14:paraId="2FE41EA7" w14:textId="5860DA81" w:rsidR="00E76071" w:rsidRPr="007F2096" w:rsidRDefault="00191820" w:rsidP="00B27F31">
            <w:pPr>
              <w:rPr>
                <w:rFonts w:ascii="Arial" w:hAnsi="Arial" w:cs="Arial"/>
                <w:spacing w:val="-3"/>
                <w:sz w:val="20"/>
              </w:rPr>
            </w:pPr>
            <w:r>
              <w:rPr>
                <w:rFonts w:ascii="Arial" w:hAnsi="Arial" w:cs="Arial"/>
                <w:spacing w:val="-3"/>
                <w:sz w:val="20"/>
              </w:rPr>
              <w:t>US$100.000</w:t>
            </w:r>
            <w:r w:rsidR="00C75804">
              <w:rPr>
                <w:rFonts w:ascii="Arial" w:hAnsi="Arial" w:cs="Arial"/>
                <w:spacing w:val="-3"/>
                <w:sz w:val="20"/>
              </w:rPr>
              <w:t xml:space="preserve"> para los estudios</w:t>
            </w:r>
          </w:p>
        </w:tc>
        <w:tc>
          <w:tcPr>
            <w:tcW w:w="1620" w:type="dxa"/>
          </w:tcPr>
          <w:p w14:paraId="5D78C5AE" w14:textId="3AF97E19" w:rsidR="00E76071" w:rsidRPr="007F2096" w:rsidRDefault="00191820" w:rsidP="00B27F31">
            <w:pPr>
              <w:rPr>
                <w:rFonts w:ascii="Arial" w:hAnsi="Arial" w:cs="Arial"/>
                <w:spacing w:val="-3"/>
                <w:sz w:val="20"/>
              </w:rPr>
            </w:pPr>
            <w:r>
              <w:rPr>
                <w:rFonts w:ascii="Arial" w:hAnsi="Arial" w:cs="Arial"/>
                <w:spacing w:val="-3"/>
                <w:sz w:val="20"/>
              </w:rPr>
              <w:t>Presupuesto SAT</w:t>
            </w:r>
          </w:p>
        </w:tc>
      </w:tr>
      <w:tr w:rsidR="00A6254C" w:rsidRPr="00E76071" w14:paraId="4C3E832C" w14:textId="77777777" w:rsidTr="006B6B00">
        <w:trPr>
          <w:jc w:val="center"/>
        </w:trPr>
        <w:tc>
          <w:tcPr>
            <w:tcW w:w="4320" w:type="dxa"/>
          </w:tcPr>
          <w:p w14:paraId="01AA5388" w14:textId="1C7C27BF" w:rsidR="00A6254C" w:rsidRPr="00A6254C" w:rsidRDefault="00191820" w:rsidP="00B27F31">
            <w:pPr>
              <w:rPr>
                <w:rFonts w:ascii="Arial" w:hAnsi="Arial" w:cs="Arial"/>
                <w:sz w:val="20"/>
                <w:lang w:val="es-ES"/>
              </w:rPr>
            </w:pPr>
            <w:r>
              <w:rPr>
                <w:rFonts w:ascii="Arial" w:hAnsi="Arial" w:cs="Arial"/>
                <w:sz w:val="20"/>
                <w:lang w:val="es-ES"/>
              </w:rPr>
              <w:t xml:space="preserve">4b. </w:t>
            </w:r>
            <w:r w:rsidRPr="00191820">
              <w:rPr>
                <w:rFonts w:ascii="Arial" w:hAnsi="Arial" w:cs="Arial"/>
                <w:sz w:val="20"/>
                <w:lang w:val="es-ES"/>
              </w:rPr>
              <w:t>Contratación de aproximadamente 800 funcionarios durante el periodo 2016-2017 y capacitación inicial de personal realizada.</w:t>
            </w:r>
          </w:p>
        </w:tc>
        <w:tc>
          <w:tcPr>
            <w:tcW w:w="360" w:type="dxa"/>
            <w:shd w:val="clear" w:color="auto" w:fill="auto"/>
          </w:tcPr>
          <w:p w14:paraId="7E5346E5" w14:textId="620D79BD" w:rsidR="00A6254C" w:rsidRPr="00A6254C"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BD3ABC3" w14:textId="3A044012" w:rsidR="00A6254C" w:rsidRPr="007F2096"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27144B5" w14:textId="501AC868" w:rsidR="00A6254C" w:rsidRPr="00751944"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E65D109" w14:textId="2E871DC4" w:rsidR="00A6254C" w:rsidRPr="00191820"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31114B9" w14:textId="108DB5D5" w:rsidR="00A6254C" w:rsidRPr="00191820"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154B781" w14:textId="278566C0" w:rsidR="00A6254C" w:rsidRPr="00191820"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A108F79" w14:textId="43C39A55" w:rsidR="00A6254C" w:rsidRPr="00191820"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85D1D53" w14:textId="42048CC4" w:rsidR="00A6254C" w:rsidRPr="00191820" w:rsidRDefault="0019182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73AE978" w14:textId="77777777" w:rsidR="00A6254C" w:rsidRPr="00CD39D0" w:rsidRDefault="00A6254C" w:rsidP="00B27F31">
            <w:pPr>
              <w:rPr>
                <w:rFonts w:ascii="Arial" w:hAnsi="Arial" w:cs="Arial"/>
                <w:spacing w:val="-3"/>
                <w:sz w:val="20"/>
              </w:rPr>
            </w:pPr>
          </w:p>
        </w:tc>
        <w:tc>
          <w:tcPr>
            <w:tcW w:w="360" w:type="dxa"/>
            <w:shd w:val="clear" w:color="auto" w:fill="auto"/>
          </w:tcPr>
          <w:p w14:paraId="0A1B8527" w14:textId="77777777" w:rsidR="00A6254C" w:rsidRPr="009D6EE7" w:rsidRDefault="00A6254C" w:rsidP="00B27F31">
            <w:pPr>
              <w:rPr>
                <w:rFonts w:ascii="Arial" w:hAnsi="Arial" w:cs="Arial"/>
                <w:spacing w:val="-3"/>
                <w:sz w:val="20"/>
              </w:rPr>
            </w:pPr>
          </w:p>
        </w:tc>
        <w:tc>
          <w:tcPr>
            <w:tcW w:w="360" w:type="dxa"/>
            <w:shd w:val="clear" w:color="auto" w:fill="auto"/>
          </w:tcPr>
          <w:p w14:paraId="5CCFD380" w14:textId="77777777" w:rsidR="00A6254C" w:rsidRPr="00F07574" w:rsidRDefault="00A6254C" w:rsidP="00B27F31">
            <w:pPr>
              <w:rPr>
                <w:rFonts w:ascii="Arial" w:hAnsi="Arial" w:cs="Arial"/>
                <w:spacing w:val="-3"/>
                <w:sz w:val="20"/>
              </w:rPr>
            </w:pPr>
          </w:p>
        </w:tc>
        <w:tc>
          <w:tcPr>
            <w:tcW w:w="360" w:type="dxa"/>
            <w:shd w:val="clear" w:color="auto" w:fill="auto"/>
          </w:tcPr>
          <w:p w14:paraId="2BF1C764" w14:textId="77777777" w:rsidR="00A6254C" w:rsidRPr="00C72A25" w:rsidRDefault="00A6254C" w:rsidP="00B27F31">
            <w:pPr>
              <w:rPr>
                <w:rFonts w:ascii="Arial" w:hAnsi="Arial" w:cs="Arial"/>
                <w:spacing w:val="-3"/>
                <w:sz w:val="20"/>
              </w:rPr>
            </w:pPr>
          </w:p>
        </w:tc>
        <w:tc>
          <w:tcPr>
            <w:tcW w:w="1710" w:type="dxa"/>
          </w:tcPr>
          <w:p w14:paraId="757B24C3" w14:textId="60761370" w:rsidR="00A6254C" w:rsidRPr="00191820" w:rsidRDefault="00191820" w:rsidP="00B27F31">
            <w:pPr>
              <w:rPr>
                <w:rFonts w:ascii="Arial" w:hAnsi="Arial" w:cs="Arial"/>
                <w:spacing w:val="-3"/>
                <w:sz w:val="20"/>
              </w:rPr>
            </w:pPr>
            <w:r>
              <w:rPr>
                <w:rFonts w:ascii="Arial" w:hAnsi="Arial" w:cs="Arial"/>
                <w:spacing w:val="-3"/>
                <w:sz w:val="20"/>
              </w:rPr>
              <w:t>Fueron contratados 563 entre enero y agosto del 2016 y siguen los procesos de selección.</w:t>
            </w:r>
          </w:p>
        </w:tc>
        <w:tc>
          <w:tcPr>
            <w:tcW w:w="1170" w:type="dxa"/>
          </w:tcPr>
          <w:p w14:paraId="103E3A17" w14:textId="0BD33B9D" w:rsidR="00A6254C" w:rsidRPr="00CD39D0" w:rsidRDefault="005E0B4E" w:rsidP="00B27F31">
            <w:pPr>
              <w:rPr>
                <w:rFonts w:ascii="Arial" w:hAnsi="Arial" w:cs="Arial"/>
                <w:spacing w:val="-3"/>
                <w:sz w:val="20"/>
              </w:rPr>
            </w:pPr>
            <w:r>
              <w:rPr>
                <w:rFonts w:ascii="Arial" w:hAnsi="Arial" w:cs="Arial"/>
                <w:spacing w:val="-3"/>
                <w:sz w:val="20"/>
              </w:rPr>
              <w:t>El impacto será cero pues fueron desincorporados 1.100 funcionarios.</w:t>
            </w:r>
          </w:p>
        </w:tc>
        <w:tc>
          <w:tcPr>
            <w:tcW w:w="1620" w:type="dxa"/>
          </w:tcPr>
          <w:p w14:paraId="3E473163" w14:textId="2CD49225" w:rsidR="00A6254C" w:rsidRPr="00191820" w:rsidRDefault="00191820" w:rsidP="00B27F31">
            <w:pPr>
              <w:rPr>
                <w:rFonts w:ascii="Arial" w:hAnsi="Arial" w:cs="Arial"/>
                <w:spacing w:val="-3"/>
                <w:sz w:val="20"/>
              </w:rPr>
            </w:pPr>
            <w:r>
              <w:rPr>
                <w:rFonts w:ascii="Arial" w:hAnsi="Arial" w:cs="Arial"/>
                <w:spacing w:val="-3"/>
                <w:sz w:val="20"/>
              </w:rPr>
              <w:t>Presupuesto SAT.</w:t>
            </w:r>
          </w:p>
        </w:tc>
      </w:tr>
      <w:tr w:rsidR="00E76071" w:rsidRPr="00E76071" w14:paraId="2E4AD579" w14:textId="77777777" w:rsidTr="006B6B00">
        <w:trPr>
          <w:trHeight w:val="629"/>
          <w:jc w:val="center"/>
        </w:trPr>
        <w:tc>
          <w:tcPr>
            <w:tcW w:w="4320" w:type="dxa"/>
          </w:tcPr>
          <w:p w14:paraId="4C2DD625" w14:textId="0A569638" w:rsidR="00E76071" w:rsidRPr="007F2096" w:rsidRDefault="00E76071" w:rsidP="00B27F31">
            <w:pPr>
              <w:rPr>
                <w:rFonts w:ascii="Arial" w:hAnsi="Arial" w:cs="Arial"/>
                <w:spacing w:val="-3"/>
                <w:sz w:val="20"/>
              </w:rPr>
            </w:pPr>
            <w:r w:rsidRPr="007F2096">
              <w:rPr>
                <w:rFonts w:ascii="Arial" w:hAnsi="Arial" w:cs="Arial"/>
                <w:sz w:val="20"/>
                <w:lang w:val="es-ES"/>
              </w:rPr>
              <w:t>5</w:t>
            </w:r>
            <w:r w:rsidR="00CD39D0">
              <w:rPr>
                <w:rFonts w:ascii="Arial" w:hAnsi="Arial" w:cs="Arial"/>
                <w:sz w:val="20"/>
                <w:lang w:val="es-ES"/>
              </w:rPr>
              <w:t>a</w:t>
            </w:r>
            <w:r w:rsidRPr="007F2096">
              <w:rPr>
                <w:rFonts w:ascii="Arial" w:hAnsi="Arial" w:cs="Arial"/>
                <w:sz w:val="20"/>
                <w:lang w:val="es-ES"/>
              </w:rPr>
              <w:t xml:space="preserve">. Identificación y publicación de brechas de evasión del IVA para el 2015 y definición de metas de recaudación </w:t>
            </w:r>
            <w:r w:rsidRPr="007F2096">
              <w:rPr>
                <w:rFonts w:ascii="Arial" w:hAnsi="Arial" w:cs="Arial"/>
                <w:sz w:val="20"/>
              </w:rPr>
              <w:t xml:space="preserve">del IVA </w:t>
            </w:r>
            <w:r w:rsidRPr="007F2096">
              <w:rPr>
                <w:rFonts w:ascii="Arial" w:hAnsi="Arial" w:cs="Arial"/>
                <w:sz w:val="20"/>
                <w:lang w:val="es-ES"/>
              </w:rPr>
              <w:t>para el 2016.</w:t>
            </w:r>
          </w:p>
        </w:tc>
        <w:tc>
          <w:tcPr>
            <w:tcW w:w="360" w:type="dxa"/>
            <w:shd w:val="clear" w:color="auto" w:fill="auto"/>
          </w:tcPr>
          <w:p w14:paraId="157D39E9" w14:textId="0674785A" w:rsidR="00E76071" w:rsidRPr="007F2096" w:rsidRDefault="00CD39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0236BC7" w14:textId="273A1EFA" w:rsidR="00E76071" w:rsidRPr="007F2096" w:rsidRDefault="00CD39D0"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9EA5362" w14:textId="3D39D19D" w:rsidR="00E76071" w:rsidRPr="007F2096" w:rsidRDefault="00E76071" w:rsidP="00B27F31">
            <w:pPr>
              <w:rPr>
                <w:rFonts w:ascii="Arial" w:hAnsi="Arial" w:cs="Arial"/>
                <w:spacing w:val="-3"/>
                <w:sz w:val="20"/>
              </w:rPr>
            </w:pPr>
          </w:p>
        </w:tc>
        <w:tc>
          <w:tcPr>
            <w:tcW w:w="360" w:type="dxa"/>
            <w:shd w:val="clear" w:color="auto" w:fill="auto"/>
          </w:tcPr>
          <w:p w14:paraId="5D8DC93E" w14:textId="77777777" w:rsidR="00E76071" w:rsidRPr="007F2096" w:rsidRDefault="00E76071" w:rsidP="00B27F31">
            <w:pPr>
              <w:rPr>
                <w:rFonts w:ascii="Arial" w:hAnsi="Arial" w:cs="Arial"/>
                <w:spacing w:val="-3"/>
                <w:sz w:val="20"/>
              </w:rPr>
            </w:pPr>
          </w:p>
        </w:tc>
        <w:tc>
          <w:tcPr>
            <w:tcW w:w="360" w:type="dxa"/>
            <w:shd w:val="clear" w:color="auto" w:fill="auto"/>
          </w:tcPr>
          <w:p w14:paraId="236E344E" w14:textId="77777777" w:rsidR="00E76071" w:rsidRPr="007F2096" w:rsidRDefault="00E76071" w:rsidP="00B27F31">
            <w:pPr>
              <w:rPr>
                <w:rFonts w:ascii="Arial" w:hAnsi="Arial" w:cs="Arial"/>
                <w:spacing w:val="-3"/>
                <w:sz w:val="20"/>
              </w:rPr>
            </w:pPr>
          </w:p>
        </w:tc>
        <w:tc>
          <w:tcPr>
            <w:tcW w:w="360" w:type="dxa"/>
            <w:shd w:val="clear" w:color="auto" w:fill="auto"/>
          </w:tcPr>
          <w:p w14:paraId="55D95393" w14:textId="77777777" w:rsidR="00E76071" w:rsidRPr="007F2096" w:rsidRDefault="00E76071" w:rsidP="00B27F31">
            <w:pPr>
              <w:rPr>
                <w:rFonts w:ascii="Arial" w:hAnsi="Arial" w:cs="Arial"/>
                <w:spacing w:val="-3"/>
                <w:sz w:val="20"/>
              </w:rPr>
            </w:pPr>
          </w:p>
        </w:tc>
        <w:tc>
          <w:tcPr>
            <w:tcW w:w="360" w:type="dxa"/>
            <w:shd w:val="clear" w:color="auto" w:fill="auto"/>
          </w:tcPr>
          <w:p w14:paraId="0D6813EF" w14:textId="77777777" w:rsidR="00E76071" w:rsidRPr="007F2096" w:rsidRDefault="00E76071" w:rsidP="00B27F31">
            <w:pPr>
              <w:rPr>
                <w:rFonts w:ascii="Arial" w:hAnsi="Arial" w:cs="Arial"/>
                <w:spacing w:val="-3"/>
                <w:sz w:val="20"/>
              </w:rPr>
            </w:pPr>
          </w:p>
        </w:tc>
        <w:tc>
          <w:tcPr>
            <w:tcW w:w="360" w:type="dxa"/>
            <w:shd w:val="clear" w:color="auto" w:fill="auto"/>
          </w:tcPr>
          <w:p w14:paraId="6CD17005" w14:textId="77777777" w:rsidR="00E76071" w:rsidRPr="007F2096" w:rsidRDefault="00E76071" w:rsidP="00B27F31">
            <w:pPr>
              <w:rPr>
                <w:rFonts w:ascii="Arial" w:hAnsi="Arial" w:cs="Arial"/>
                <w:spacing w:val="-3"/>
                <w:sz w:val="20"/>
              </w:rPr>
            </w:pPr>
          </w:p>
        </w:tc>
        <w:tc>
          <w:tcPr>
            <w:tcW w:w="360" w:type="dxa"/>
            <w:shd w:val="clear" w:color="auto" w:fill="auto"/>
          </w:tcPr>
          <w:p w14:paraId="39C3527F" w14:textId="77777777" w:rsidR="00E76071" w:rsidRPr="007F2096" w:rsidRDefault="00E76071" w:rsidP="00B27F31">
            <w:pPr>
              <w:rPr>
                <w:rFonts w:ascii="Arial" w:hAnsi="Arial" w:cs="Arial"/>
                <w:spacing w:val="-3"/>
                <w:sz w:val="20"/>
              </w:rPr>
            </w:pPr>
          </w:p>
        </w:tc>
        <w:tc>
          <w:tcPr>
            <w:tcW w:w="360" w:type="dxa"/>
            <w:shd w:val="clear" w:color="auto" w:fill="auto"/>
          </w:tcPr>
          <w:p w14:paraId="1540B485" w14:textId="77777777" w:rsidR="00E76071" w:rsidRPr="007F2096" w:rsidRDefault="00E76071" w:rsidP="00B27F31">
            <w:pPr>
              <w:rPr>
                <w:rFonts w:ascii="Arial" w:hAnsi="Arial" w:cs="Arial"/>
                <w:spacing w:val="-3"/>
                <w:sz w:val="20"/>
              </w:rPr>
            </w:pPr>
          </w:p>
        </w:tc>
        <w:tc>
          <w:tcPr>
            <w:tcW w:w="360" w:type="dxa"/>
            <w:shd w:val="clear" w:color="auto" w:fill="auto"/>
          </w:tcPr>
          <w:p w14:paraId="6E5A18BF" w14:textId="77777777" w:rsidR="00E76071" w:rsidRPr="007F2096" w:rsidRDefault="00E76071" w:rsidP="00B27F31">
            <w:pPr>
              <w:rPr>
                <w:rFonts w:ascii="Arial" w:hAnsi="Arial" w:cs="Arial"/>
                <w:spacing w:val="-3"/>
                <w:sz w:val="20"/>
              </w:rPr>
            </w:pPr>
          </w:p>
        </w:tc>
        <w:tc>
          <w:tcPr>
            <w:tcW w:w="360" w:type="dxa"/>
            <w:shd w:val="clear" w:color="auto" w:fill="auto"/>
          </w:tcPr>
          <w:p w14:paraId="11744DB4" w14:textId="77777777" w:rsidR="00E76071" w:rsidRPr="007F2096" w:rsidRDefault="00E76071" w:rsidP="00B27F31">
            <w:pPr>
              <w:rPr>
                <w:rFonts w:ascii="Arial" w:hAnsi="Arial" w:cs="Arial"/>
                <w:spacing w:val="-3"/>
                <w:sz w:val="20"/>
              </w:rPr>
            </w:pPr>
          </w:p>
        </w:tc>
        <w:tc>
          <w:tcPr>
            <w:tcW w:w="1710" w:type="dxa"/>
          </w:tcPr>
          <w:p w14:paraId="35D59EAD" w14:textId="228C1C39" w:rsidR="00E76071" w:rsidRPr="007F2096" w:rsidRDefault="007005A5" w:rsidP="00B27F31">
            <w:pPr>
              <w:rPr>
                <w:rFonts w:ascii="Arial" w:hAnsi="Arial" w:cs="Arial"/>
                <w:spacing w:val="-3"/>
                <w:sz w:val="20"/>
              </w:rPr>
            </w:pPr>
            <w:r>
              <w:rPr>
                <w:rFonts w:ascii="Arial" w:hAnsi="Arial" w:cs="Arial"/>
                <w:spacing w:val="-3"/>
                <w:sz w:val="20"/>
              </w:rPr>
              <w:t xml:space="preserve">SAT. </w:t>
            </w:r>
            <w:r w:rsidR="00CD39D0">
              <w:rPr>
                <w:rFonts w:ascii="Arial" w:hAnsi="Arial" w:cs="Arial"/>
                <w:spacing w:val="-3"/>
                <w:sz w:val="20"/>
              </w:rPr>
              <w:t>Fueron publicadas en la web SAT en el primer semestre</w:t>
            </w:r>
          </w:p>
        </w:tc>
        <w:tc>
          <w:tcPr>
            <w:tcW w:w="1170" w:type="dxa"/>
          </w:tcPr>
          <w:p w14:paraId="5F3513BC" w14:textId="77777777" w:rsidR="00E76071" w:rsidRPr="007F2096" w:rsidRDefault="00E76071" w:rsidP="00B27F31">
            <w:pPr>
              <w:rPr>
                <w:rFonts w:ascii="Arial" w:hAnsi="Arial" w:cs="Arial"/>
                <w:spacing w:val="-3"/>
                <w:sz w:val="20"/>
              </w:rPr>
            </w:pPr>
          </w:p>
        </w:tc>
        <w:tc>
          <w:tcPr>
            <w:tcW w:w="1620" w:type="dxa"/>
          </w:tcPr>
          <w:p w14:paraId="1242F8AE" w14:textId="0C7751A6" w:rsidR="00E76071" w:rsidRPr="007F2096" w:rsidRDefault="00CD39D0" w:rsidP="00B27F31">
            <w:pPr>
              <w:rPr>
                <w:rFonts w:ascii="Arial" w:hAnsi="Arial" w:cs="Arial"/>
                <w:spacing w:val="-3"/>
                <w:sz w:val="20"/>
              </w:rPr>
            </w:pPr>
            <w:r>
              <w:rPr>
                <w:rFonts w:ascii="Arial" w:hAnsi="Arial" w:cs="Arial"/>
                <w:spacing w:val="-3"/>
                <w:sz w:val="20"/>
              </w:rPr>
              <w:t>Presupuesto SAT</w:t>
            </w:r>
          </w:p>
        </w:tc>
      </w:tr>
      <w:tr w:rsidR="00A6254C" w:rsidRPr="00E76071" w14:paraId="2AA64335" w14:textId="77777777" w:rsidTr="006B6B00">
        <w:trPr>
          <w:trHeight w:val="629"/>
          <w:jc w:val="center"/>
        </w:trPr>
        <w:tc>
          <w:tcPr>
            <w:tcW w:w="4320" w:type="dxa"/>
          </w:tcPr>
          <w:p w14:paraId="0919F5B5" w14:textId="61B22587" w:rsidR="00A6254C" w:rsidRPr="00A6254C" w:rsidRDefault="00CD39D0" w:rsidP="00B27F31">
            <w:pPr>
              <w:rPr>
                <w:rFonts w:ascii="Arial" w:hAnsi="Arial" w:cs="Arial"/>
                <w:sz w:val="20"/>
                <w:lang w:val="es-ES"/>
              </w:rPr>
            </w:pPr>
            <w:r>
              <w:rPr>
                <w:rFonts w:ascii="Arial" w:hAnsi="Arial" w:cs="Arial"/>
                <w:sz w:val="20"/>
                <w:lang w:val="es-ES"/>
              </w:rPr>
              <w:t xml:space="preserve">5b. </w:t>
            </w:r>
            <w:r w:rsidRPr="00CD39D0">
              <w:rPr>
                <w:rFonts w:ascii="Arial" w:hAnsi="Arial" w:cs="Arial"/>
                <w:sz w:val="20"/>
                <w:lang w:val="es-ES"/>
              </w:rPr>
              <w:t xml:space="preserve">Identificación y publicación de brechas de evasión del IVA para el 2016, desarrollo de una metodología para la medición de la brecha de evasión para el impuesto sobre la renta (ISR) y sus primeras estimaciones, y definición de metas de recaudación </w:t>
            </w:r>
            <w:r w:rsidRPr="00CD39D0">
              <w:rPr>
                <w:rFonts w:ascii="Arial" w:hAnsi="Arial" w:cs="Arial"/>
                <w:sz w:val="20"/>
              </w:rPr>
              <w:t xml:space="preserve">del ISR y del IVA </w:t>
            </w:r>
            <w:r w:rsidRPr="00CD39D0">
              <w:rPr>
                <w:rFonts w:ascii="Arial" w:hAnsi="Arial" w:cs="Arial"/>
                <w:sz w:val="20"/>
                <w:lang w:val="es-ES"/>
              </w:rPr>
              <w:t>para el 2017.</w:t>
            </w:r>
          </w:p>
        </w:tc>
        <w:tc>
          <w:tcPr>
            <w:tcW w:w="360" w:type="dxa"/>
            <w:shd w:val="clear" w:color="auto" w:fill="auto"/>
          </w:tcPr>
          <w:p w14:paraId="43F3D32E" w14:textId="77777777" w:rsidR="00A6254C" w:rsidRPr="00A6254C" w:rsidRDefault="00A6254C" w:rsidP="00B27F31">
            <w:pPr>
              <w:rPr>
                <w:rFonts w:ascii="Arial" w:hAnsi="Arial" w:cs="Arial"/>
                <w:spacing w:val="-3"/>
                <w:sz w:val="20"/>
              </w:rPr>
            </w:pPr>
          </w:p>
        </w:tc>
        <w:tc>
          <w:tcPr>
            <w:tcW w:w="360" w:type="dxa"/>
            <w:shd w:val="clear" w:color="auto" w:fill="auto"/>
          </w:tcPr>
          <w:p w14:paraId="7BF96EEA" w14:textId="77777777" w:rsidR="00A6254C" w:rsidRPr="007F2096" w:rsidRDefault="00A6254C" w:rsidP="00B27F31">
            <w:pPr>
              <w:rPr>
                <w:rFonts w:ascii="Arial" w:hAnsi="Arial" w:cs="Arial"/>
                <w:spacing w:val="-3"/>
                <w:sz w:val="20"/>
              </w:rPr>
            </w:pPr>
          </w:p>
        </w:tc>
        <w:tc>
          <w:tcPr>
            <w:tcW w:w="360" w:type="dxa"/>
            <w:shd w:val="clear" w:color="auto" w:fill="auto"/>
          </w:tcPr>
          <w:p w14:paraId="2B20F3BB" w14:textId="77777777" w:rsidR="00A6254C" w:rsidRPr="00751944" w:rsidRDefault="00A6254C" w:rsidP="00B27F31">
            <w:pPr>
              <w:rPr>
                <w:rFonts w:ascii="Arial" w:hAnsi="Arial" w:cs="Arial"/>
                <w:spacing w:val="-3"/>
                <w:sz w:val="20"/>
              </w:rPr>
            </w:pPr>
          </w:p>
        </w:tc>
        <w:tc>
          <w:tcPr>
            <w:tcW w:w="360" w:type="dxa"/>
            <w:shd w:val="clear" w:color="auto" w:fill="auto"/>
          </w:tcPr>
          <w:p w14:paraId="2A3315FE" w14:textId="77777777" w:rsidR="00A6254C" w:rsidRPr="00CD39D0" w:rsidRDefault="00A6254C" w:rsidP="00B27F31">
            <w:pPr>
              <w:rPr>
                <w:rFonts w:ascii="Arial" w:hAnsi="Arial" w:cs="Arial"/>
                <w:spacing w:val="-3"/>
                <w:sz w:val="20"/>
              </w:rPr>
            </w:pPr>
          </w:p>
        </w:tc>
        <w:tc>
          <w:tcPr>
            <w:tcW w:w="360" w:type="dxa"/>
            <w:shd w:val="clear" w:color="auto" w:fill="auto"/>
          </w:tcPr>
          <w:p w14:paraId="04DF6893" w14:textId="17F0C764"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9BB84D4" w14:textId="0B1E10D6"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9E3800B" w14:textId="1B789C7D"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7B42DB1" w14:textId="7D182A78"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649B757" w14:textId="77777777" w:rsidR="00A6254C" w:rsidRPr="009D6EE7" w:rsidRDefault="00A6254C" w:rsidP="00B27F31">
            <w:pPr>
              <w:rPr>
                <w:rFonts w:ascii="Arial" w:hAnsi="Arial" w:cs="Arial"/>
                <w:spacing w:val="-3"/>
                <w:sz w:val="20"/>
              </w:rPr>
            </w:pPr>
          </w:p>
        </w:tc>
        <w:tc>
          <w:tcPr>
            <w:tcW w:w="360" w:type="dxa"/>
            <w:shd w:val="clear" w:color="auto" w:fill="auto"/>
          </w:tcPr>
          <w:p w14:paraId="150B6EDB" w14:textId="77777777" w:rsidR="00A6254C" w:rsidRPr="00F07574" w:rsidRDefault="00A6254C" w:rsidP="00B27F31">
            <w:pPr>
              <w:rPr>
                <w:rFonts w:ascii="Arial" w:hAnsi="Arial" w:cs="Arial"/>
                <w:spacing w:val="-3"/>
                <w:sz w:val="20"/>
              </w:rPr>
            </w:pPr>
          </w:p>
        </w:tc>
        <w:tc>
          <w:tcPr>
            <w:tcW w:w="360" w:type="dxa"/>
            <w:shd w:val="clear" w:color="auto" w:fill="auto"/>
          </w:tcPr>
          <w:p w14:paraId="72A890C3" w14:textId="77777777" w:rsidR="00A6254C" w:rsidRPr="00C72A25" w:rsidRDefault="00A6254C" w:rsidP="00B27F31">
            <w:pPr>
              <w:rPr>
                <w:rFonts w:ascii="Arial" w:hAnsi="Arial" w:cs="Arial"/>
                <w:spacing w:val="-3"/>
                <w:sz w:val="20"/>
              </w:rPr>
            </w:pPr>
          </w:p>
        </w:tc>
        <w:tc>
          <w:tcPr>
            <w:tcW w:w="360" w:type="dxa"/>
            <w:shd w:val="clear" w:color="auto" w:fill="auto"/>
          </w:tcPr>
          <w:p w14:paraId="47C67470" w14:textId="77777777" w:rsidR="00A6254C" w:rsidRPr="006B6B00" w:rsidRDefault="00A6254C" w:rsidP="00B27F31">
            <w:pPr>
              <w:rPr>
                <w:rFonts w:ascii="Arial" w:hAnsi="Arial" w:cs="Arial"/>
                <w:spacing w:val="-3"/>
                <w:sz w:val="20"/>
              </w:rPr>
            </w:pPr>
          </w:p>
        </w:tc>
        <w:tc>
          <w:tcPr>
            <w:tcW w:w="1710" w:type="dxa"/>
          </w:tcPr>
          <w:p w14:paraId="236DC03C" w14:textId="74237126" w:rsidR="00A6254C" w:rsidRPr="007005A5" w:rsidRDefault="007005A5" w:rsidP="007005A5">
            <w:pPr>
              <w:rPr>
                <w:rFonts w:ascii="Arial" w:hAnsi="Arial" w:cs="Arial"/>
                <w:spacing w:val="-3"/>
                <w:sz w:val="20"/>
              </w:rPr>
            </w:pPr>
            <w:r>
              <w:rPr>
                <w:rFonts w:ascii="Arial" w:hAnsi="Arial" w:cs="Arial"/>
                <w:spacing w:val="-3"/>
                <w:sz w:val="20"/>
              </w:rPr>
              <w:t>SAT. Del IVA serán publicadas en el primer semestre 2017 y del ISR el segundo.</w:t>
            </w:r>
          </w:p>
        </w:tc>
        <w:tc>
          <w:tcPr>
            <w:tcW w:w="1170" w:type="dxa"/>
          </w:tcPr>
          <w:p w14:paraId="44748594" w14:textId="77777777" w:rsidR="00A6254C" w:rsidRPr="009D6EE7" w:rsidRDefault="00A6254C" w:rsidP="00B27F31">
            <w:pPr>
              <w:rPr>
                <w:rFonts w:ascii="Arial" w:hAnsi="Arial" w:cs="Arial"/>
                <w:spacing w:val="-3"/>
                <w:sz w:val="20"/>
              </w:rPr>
            </w:pPr>
          </w:p>
        </w:tc>
        <w:tc>
          <w:tcPr>
            <w:tcW w:w="1620" w:type="dxa"/>
          </w:tcPr>
          <w:p w14:paraId="4535590E" w14:textId="1CCBE9B3" w:rsidR="00A6254C" w:rsidRPr="007005A5" w:rsidRDefault="007005A5" w:rsidP="00B27F31">
            <w:pPr>
              <w:rPr>
                <w:rFonts w:ascii="Arial" w:hAnsi="Arial" w:cs="Arial"/>
                <w:spacing w:val="-3"/>
                <w:sz w:val="20"/>
              </w:rPr>
            </w:pPr>
            <w:r>
              <w:rPr>
                <w:rFonts w:ascii="Arial" w:hAnsi="Arial" w:cs="Arial"/>
                <w:spacing w:val="-3"/>
                <w:sz w:val="20"/>
              </w:rPr>
              <w:t>Presupuesto SAT</w:t>
            </w:r>
          </w:p>
        </w:tc>
      </w:tr>
      <w:tr w:rsidR="00E76071" w:rsidRPr="00E76071" w14:paraId="09A71333" w14:textId="77777777" w:rsidTr="006B6B00">
        <w:trPr>
          <w:trHeight w:val="620"/>
          <w:jc w:val="center"/>
        </w:trPr>
        <w:tc>
          <w:tcPr>
            <w:tcW w:w="4320" w:type="dxa"/>
          </w:tcPr>
          <w:p w14:paraId="3AF6D6B6" w14:textId="4F846504" w:rsidR="00E76071" w:rsidRPr="007F2096" w:rsidRDefault="00E76071" w:rsidP="00B27F31">
            <w:pPr>
              <w:rPr>
                <w:rFonts w:ascii="Arial" w:hAnsi="Arial" w:cs="Arial"/>
                <w:spacing w:val="-3"/>
                <w:sz w:val="20"/>
              </w:rPr>
            </w:pPr>
            <w:r w:rsidRPr="007F2096">
              <w:rPr>
                <w:rFonts w:ascii="Arial" w:hAnsi="Arial" w:cs="Arial"/>
                <w:sz w:val="20"/>
                <w:lang w:val="es-ES"/>
              </w:rPr>
              <w:t>6</w:t>
            </w:r>
            <w:r w:rsidR="007005A5">
              <w:rPr>
                <w:rFonts w:ascii="Arial" w:hAnsi="Arial" w:cs="Arial"/>
                <w:sz w:val="20"/>
                <w:lang w:val="es-ES"/>
              </w:rPr>
              <w:t>a</w:t>
            </w:r>
            <w:r w:rsidRPr="007F2096">
              <w:rPr>
                <w:rFonts w:ascii="Arial" w:hAnsi="Arial" w:cs="Arial"/>
                <w:sz w:val="20"/>
                <w:lang w:val="es-ES"/>
              </w:rPr>
              <w:t xml:space="preserve">. Depuración y fortalecimiento del catastro de contribuyentes (RTU – Registro Tributario Unificado), mediante la aprobación de un Plan de Modernización, que incluye una </w:t>
            </w:r>
            <w:r w:rsidRPr="007F2096">
              <w:rPr>
                <w:rFonts w:ascii="Arial" w:hAnsi="Arial" w:cs="Arial"/>
                <w:color w:val="000000"/>
                <w:sz w:val="20"/>
                <w:lang w:val="es-DO" w:eastAsia="es-DO"/>
              </w:rPr>
              <w:t>revisión estructural de la identificación de los contribuyentes y los usuarios aduaneros.</w:t>
            </w:r>
          </w:p>
        </w:tc>
        <w:tc>
          <w:tcPr>
            <w:tcW w:w="360" w:type="dxa"/>
            <w:shd w:val="clear" w:color="auto" w:fill="auto"/>
          </w:tcPr>
          <w:p w14:paraId="2A97CC34" w14:textId="77777777" w:rsidR="00E76071" w:rsidRPr="007F2096" w:rsidRDefault="00E76071" w:rsidP="00B27F31">
            <w:pPr>
              <w:rPr>
                <w:rFonts w:ascii="Arial" w:hAnsi="Arial" w:cs="Arial"/>
                <w:spacing w:val="-3"/>
                <w:sz w:val="20"/>
              </w:rPr>
            </w:pPr>
          </w:p>
        </w:tc>
        <w:tc>
          <w:tcPr>
            <w:tcW w:w="360" w:type="dxa"/>
            <w:shd w:val="clear" w:color="auto" w:fill="auto"/>
          </w:tcPr>
          <w:p w14:paraId="1C81A755" w14:textId="77777777" w:rsidR="00E76071" w:rsidRPr="007F2096" w:rsidRDefault="00E76071" w:rsidP="00B27F31">
            <w:pPr>
              <w:rPr>
                <w:rFonts w:ascii="Arial" w:hAnsi="Arial" w:cs="Arial"/>
                <w:spacing w:val="-3"/>
                <w:sz w:val="20"/>
              </w:rPr>
            </w:pPr>
          </w:p>
        </w:tc>
        <w:tc>
          <w:tcPr>
            <w:tcW w:w="360" w:type="dxa"/>
            <w:shd w:val="clear" w:color="auto" w:fill="auto"/>
          </w:tcPr>
          <w:p w14:paraId="34FD2373" w14:textId="55D1388A" w:rsidR="00E76071" w:rsidRPr="007F2096"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E45B5C3" w14:textId="5672EF08" w:rsidR="00E76071" w:rsidRPr="007F2096"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35AE285" w14:textId="1248EB23" w:rsidR="00E76071" w:rsidRPr="007F2096"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0B0B25A" w14:textId="77777777" w:rsidR="00E76071" w:rsidRPr="007F2096" w:rsidRDefault="00E76071" w:rsidP="00B27F31">
            <w:pPr>
              <w:rPr>
                <w:rFonts w:ascii="Arial" w:hAnsi="Arial" w:cs="Arial"/>
                <w:spacing w:val="-3"/>
                <w:sz w:val="20"/>
              </w:rPr>
            </w:pPr>
          </w:p>
        </w:tc>
        <w:tc>
          <w:tcPr>
            <w:tcW w:w="360" w:type="dxa"/>
            <w:shd w:val="clear" w:color="auto" w:fill="auto"/>
          </w:tcPr>
          <w:p w14:paraId="25B6FCB7" w14:textId="77777777" w:rsidR="00E76071" w:rsidRPr="007F2096" w:rsidRDefault="00E76071" w:rsidP="00B27F31">
            <w:pPr>
              <w:rPr>
                <w:rFonts w:ascii="Arial" w:hAnsi="Arial" w:cs="Arial"/>
                <w:spacing w:val="-3"/>
                <w:sz w:val="20"/>
              </w:rPr>
            </w:pPr>
          </w:p>
        </w:tc>
        <w:tc>
          <w:tcPr>
            <w:tcW w:w="360" w:type="dxa"/>
            <w:shd w:val="clear" w:color="auto" w:fill="auto"/>
          </w:tcPr>
          <w:p w14:paraId="7809C009" w14:textId="77777777" w:rsidR="00E76071" w:rsidRPr="007F2096" w:rsidRDefault="00E76071" w:rsidP="00B27F31">
            <w:pPr>
              <w:rPr>
                <w:rFonts w:ascii="Arial" w:hAnsi="Arial" w:cs="Arial"/>
                <w:spacing w:val="-3"/>
                <w:sz w:val="20"/>
              </w:rPr>
            </w:pPr>
          </w:p>
        </w:tc>
        <w:tc>
          <w:tcPr>
            <w:tcW w:w="360" w:type="dxa"/>
            <w:shd w:val="clear" w:color="auto" w:fill="auto"/>
          </w:tcPr>
          <w:p w14:paraId="29190505" w14:textId="77777777" w:rsidR="00E76071" w:rsidRPr="007F2096" w:rsidRDefault="00E76071" w:rsidP="00B27F31">
            <w:pPr>
              <w:rPr>
                <w:rFonts w:ascii="Arial" w:hAnsi="Arial" w:cs="Arial"/>
                <w:spacing w:val="-3"/>
                <w:sz w:val="20"/>
              </w:rPr>
            </w:pPr>
          </w:p>
        </w:tc>
        <w:tc>
          <w:tcPr>
            <w:tcW w:w="360" w:type="dxa"/>
            <w:shd w:val="clear" w:color="auto" w:fill="auto"/>
          </w:tcPr>
          <w:p w14:paraId="3FE24BEF" w14:textId="77777777" w:rsidR="00E76071" w:rsidRPr="007F2096" w:rsidRDefault="00E76071" w:rsidP="00B27F31">
            <w:pPr>
              <w:rPr>
                <w:rFonts w:ascii="Arial" w:hAnsi="Arial" w:cs="Arial"/>
                <w:spacing w:val="-3"/>
                <w:sz w:val="20"/>
              </w:rPr>
            </w:pPr>
          </w:p>
        </w:tc>
        <w:tc>
          <w:tcPr>
            <w:tcW w:w="360" w:type="dxa"/>
            <w:shd w:val="clear" w:color="auto" w:fill="auto"/>
          </w:tcPr>
          <w:p w14:paraId="6787F5B9" w14:textId="77777777" w:rsidR="00E76071" w:rsidRPr="007F2096" w:rsidRDefault="00E76071" w:rsidP="00B27F31">
            <w:pPr>
              <w:rPr>
                <w:rFonts w:ascii="Arial" w:hAnsi="Arial" w:cs="Arial"/>
                <w:spacing w:val="-3"/>
                <w:sz w:val="20"/>
              </w:rPr>
            </w:pPr>
          </w:p>
        </w:tc>
        <w:tc>
          <w:tcPr>
            <w:tcW w:w="360" w:type="dxa"/>
            <w:shd w:val="clear" w:color="auto" w:fill="auto"/>
          </w:tcPr>
          <w:p w14:paraId="65EABB9B" w14:textId="77777777" w:rsidR="00E76071" w:rsidRPr="007F2096" w:rsidRDefault="00E76071" w:rsidP="00B27F31">
            <w:pPr>
              <w:rPr>
                <w:rFonts w:ascii="Arial" w:hAnsi="Arial" w:cs="Arial"/>
                <w:spacing w:val="-3"/>
                <w:sz w:val="20"/>
              </w:rPr>
            </w:pPr>
          </w:p>
        </w:tc>
        <w:tc>
          <w:tcPr>
            <w:tcW w:w="1710" w:type="dxa"/>
          </w:tcPr>
          <w:p w14:paraId="792C1DBE" w14:textId="314C093F" w:rsidR="00E76071" w:rsidRPr="007F2096" w:rsidRDefault="007005A5" w:rsidP="00B27F31">
            <w:pPr>
              <w:rPr>
                <w:rFonts w:ascii="Arial" w:hAnsi="Arial" w:cs="Arial"/>
                <w:spacing w:val="-3"/>
                <w:sz w:val="20"/>
              </w:rPr>
            </w:pPr>
            <w:r>
              <w:rPr>
                <w:rFonts w:ascii="Arial" w:hAnsi="Arial" w:cs="Arial"/>
                <w:spacing w:val="-3"/>
                <w:sz w:val="20"/>
              </w:rPr>
              <w:t>SAT. En preparación para el inicio del 2017.</w:t>
            </w:r>
          </w:p>
        </w:tc>
        <w:tc>
          <w:tcPr>
            <w:tcW w:w="1170" w:type="dxa"/>
          </w:tcPr>
          <w:p w14:paraId="2C7E0C91" w14:textId="77777777" w:rsidR="00E76071" w:rsidRPr="007F2096" w:rsidRDefault="00E76071" w:rsidP="00B27F31">
            <w:pPr>
              <w:rPr>
                <w:rFonts w:ascii="Arial" w:hAnsi="Arial" w:cs="Arial"/>
                <w:spacing w:val="-3"/>
                <w:sz w:val="20"/>
              </w:rPr>
            </w:pPr>
          </w:p>
        </w:tc>
        <w:tc>
          <w:tcPr>
            <w:tcW w:w="1620" w:type="dxa"/>
          </w:tcPr>
          <w:p w14:paraId="7AB4EAF8" w14:textId="4D0B8F47" w:rsidR="00E76071" w:rsidRPr="007F2096" w:rsidRDefault="007005A5" w:rsidP="00B27F31">
            <w:pPr>
              <w:rPr>
                <w:rFonts w:ascii="Arial" w:hAnsi="Arial" w:cs="Arial"/>
                <w:spacing w:val="-3"/>
                <w:sz w:val="20"/>
              </w:rPr>
            </w:pPr>
            <w:r>
              <w:rPr>
                <w:rFonts w:ascii="Arial" w:hAnsi="Arial" w:cs="Arial"/>
                <w:spacing w:val="-3"/>
                <w:sz w:val="20"/>
              </w:rPr>
              <w:t>Presupuesto SAT</w:t>
            </w:r>
          </w:p>
        </w:tc>
      </w:tr>
      <w:tr w:rsidR="00A6254C" w:rsidRPr="00E76071" w14:paraId="4A8B4B52" w14:textId="77777777" w:rsidTr="006B6B00">
        <w:trPr>
          <w:trHeight w:val="620"/>
          <w:jc w:val="center"/>
        </w:trPr>
        <w:tc>
          <w:tcPr>
            <w:tcW w:w="4320" w:type="dxa"/>
          </w:tcPr>
          <w:p w14:paraId="78B09DF2" w14:textId="1025BA05" w:rsidR="00A6254C" w:rsidRPr="00A6254C" w:rsidRDefault="007005A5" w:rsidP="00B27F31">
            <w:pPr>
              <w:rPr>
                <w:rFonts w:ascii="Arial" w:hAnsi="Arial" w:cs="Arial"/>
                <w:sz w:val="20"/>
                <w:lang w:val="es-ES"/>
              </w:rPr>
            </w:pPr>
            <w:r>
              <w:rPr>
                <w:rFonts w:ascii="Arial" w:hAnsi="Arial" w:cs="Arial"/>
                <w:sz w:val="20"/>
                <w:lang w:val="es-ES"/>
              </w:rPr>
              <w:lastRenderedPageBreak/>
              <w:t xml:space="preserve">6b. </w:t>
            </w:r>
            <w:r w:rsidRPr="007005A5">
              <w:rPr>
                <w:rFonts w:ascii="Arial" w:hAnsi="Arial" w:cs="Arial"/>
                <w:sz w:val="20"/>
                <w:lang w:val="es-ES"/>
              </w:rPr>
              <w:t>Plan de Modernización del catastro de contribuyentes (RTU – Registro Tributario Unificado), en proceso de implantación</w:t>
            </w:r>
            <w:r>
              <w:rPr>
                <w:rFonts w:ascii="Arial" w:hAnsi="Arial" w:cs="Arial"/>
                <w:sz w:val="20"/>
                <w:lang w:val="es-ES"/>
              </w:rPr>
              <w:t xml:space="preserve"> (primera fase concluida)</w:t>
            </w:r>
            <w:r w:rsidRPr="007005A5">
              <w:rPr>
                <w:rFonts w:ascii="Arial" w:hAnsi="Arial" w:cs="Arial"/>
                <w:sz w:val="20"/>
                <w:lang w:val="es-ES"/>
              </w:rPr>
              <w:t>, incluyendo su depuración</w:t>
            </w:r>
            <w:r w:rsidRPr="007005A5">
              <w:rPr>
                <w:rFonts w:ascii="Arial" w:hAnsi="Arial" w:cs="Arial"/>
                <w:sz w:val="20"/>
              </w:rPr>
              <w:t xml:space="preserve"> e identificación del contribuyente y un monitoreo de resultados</w:t>
            </w:r>
            <w:r w:rsidRPr="007005A5">
              <w:rPr>
                <w:rFonts w:ascii="Arial" w:hAnsi="Arial" w:cs="Arial"/>
                <w:sz w:val="20"/>
                <w:lang w:val="es-ES"/>
              </w:rPr>
              <w:t>.</w:t>
            </w:r>
          </w:p>
        </w:tc>
        <w:tc>
          <w:tcPr>
            <w:tcW w:w="360" w:type="dxa"/>
            <w:shd w:val="clear" w:color="auto" w:fill="auto"/>
          </w:tcPr>
          <w:p w14:paraId="2AA84639" w14:textId="77777777" w:rsidR="00A6254C" w:rsidRPr="00A6254C" w:rsidRDefault="00A6254C" w:rsidP="00B27F31">
            <w:pPr>
              <w:rPr>
                <w:rFonts w:ascii="Arial" w:hAnsi="Arial" w:cs="Arial"/>
                <w:spacing w:val="-3"/>
                <w:sz w:val="20"/>
              </w:rPr>
            </w:pPr>
          </w:p>
        </w:tc>
        <w:tc>
          <w:tcPr>
            <w:tcW w:w="360" w:type="dxa"/>
            <w:shd w:val="clear" w:color="auto" w:fill="auto"/>
          </w:tcPr>
          <w:p w14:paraId="149AD58C" w14:textId="77777777" w:rsidR="00A6254C" w:rsidRPr="007F2096" w:rsidRDefault="00A6254C" w:rsidP="00B27F31">
            <w:pPr>
              <w:rPr>
                <w:rFonts w:ascii="Arial" w:hAnsi="Arial" w:cs="Arial"/>
                <w:spacing w:val="-3"/>
                <w:sz w:val="20"/>
              </w:rPr>
            </w:pPr>
          </w:p>
        </w:tc>
        <w:tc>
          <w:tcPr>
            <w:tcW w:w="360" w:type="dxa"/>
            <w:shd w:val="clear" w:color="auto" w:fill="auto"/>
          </w:tcPr>
          <w:p w14:paraId="12FF115C" w14:textId="77777777" w:rsidR="00A6254C" w:rsidRPr="00751944" w:rsidRDefault="00A6254C" w:rsidP="00B27F31">
            <w:pPr>
              <w:rPr>
                <w:rFonts w:ascii="Arial" w:hAnsi="Arial" w:cs="Arial"/>
                <w:spacing w:val="-3"/>
                <w:sz w:val="20"/>
              </w:rPr>
            </w:pPr>
          </w:p>
        </w:tc>
        <w:tc>
          <w:tcPr>
            <w:tcW w:w="360" w:type="dxa"/>
            <w:shd w:val="clear" w:color="auto" w:fill="auto"/>
          </w:tcPr>
          <w:p w14:paraId="5E49C46C" w14:textId="77777777" w:rsidR="00A6254C" w:rsidRPr="00CD39D0" w:rsidRDefault="00A6254C" w:rsidP="00B27F31">
            <w:pPr>
              <w:rPr>
                <w:rFonts w:ascii="Arial" w:hAnsi="Arial" w:cs="Arial"/>
                <w:spacing w:val="-3"/>
                <w:sz w:val="20"/>
              </w:rPr>
            </w:pPr>
          </w:p>
        </w:tc>
        <w:tc>
          <w:tcPr>
            <w:tcW w:w="360" w:type="dxa"/>
            <w:shd w:val="clear" w:color="auto" w:fill="auto"/>
          </w:tcPr>
          <w:p w14:paraId="4F014072" w14:textId="77777777" w:rsidR="00A6254C" w:rsidRPr="009D6EE7" w:rsidRDefault="00A6254C" w:rsidP="00B27F31">
            <w:pPr>
              <w:rPr>
                <w:rFonts w:ascii="Arial" w:hAnsi="Arial" w:cs="Arial"/>
                <w:spacing w:val="-3"/>
                <w:sz w:val="20"/>
              </w:rPr>
            </w:pPr>
          </w:p>
        </w:tc>
        <w:tc>
          <w:tcPr>
            <w:tcW w:w="360" w:type="dxa"/>
            <w:shd w:val="clear" w:color="auto" w:fill="auto"/>
          </w:tcPr>
          <w:p w14:paraId="7E122DC0" w14:textId="77777777" w:rsidR="00A6254C" w:rsidRPr="00F07574" w:rsidRDefault="00A6254C" w:rsidP="00B27F31">
            <w:pPr>
              <w:rPr>
                <w:rFonts w:ascii="Arial" w:hAnsi="Arial" w:cs="Arial"/>
                <w:spacing w:val="-3"/>
                <w:sz w:val="20"/>
              </w:rPr>
            </w:pPr>
          </w:p>
        </w:tc>
        <w:tc>
          <w:tcPr>
            <w:tcW w:w="360" w:type="dxa"/>
            <w:shd w:val="clear" w:color="auto" w:fill="auto"/>
          </w:tcPr>
          <w:p w14:paraId="1A7224E0" w14:textId="125E05D2"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7FD5E19" w14:textId="3C11FF03" w:rsidR="00A6254C" w:rsidRPr="007005A5" w:rsidRDefault="007005A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E0FABD1" w14:textId="77777777" w:rsidR="00A6254C" w:rsidRPr="009D6EE7" w:rsidRDefault="00A6254C" w:rsidP="00B27F31">
            <w:pPr>
              <w:rPr>
                <w:rFonts w:ascii="Arial" w:hAnsi="Arial" w:cs="Arial"/>
                <w:spacing w:val="-3"/>
                <w:sz w:val="20"/>
              </w:rPr>
            </w:pPr>
          </w:p>
        </w:tc>
        <w:tc>
          <w:tcPr>
            <w:tcW w:w="360" w:type="dxa"/>
            <w:shd w:val="clear" w:color="auto" w:fill="auto"/>
          </w:tcPr>
          <w:p w14:paraId="7A3F3662" w14:textId="77777777" w:rsidR="00A6254C" w:rsidRPr="00F07574" w:rsidRDefault="00A6254C" w:rsidP="00B27F31">
            <w:pPr>
              <w:rPr>
                <w:rFonts w:ascii="Arial" w:hAnsi="Arial" w:cs="Arial"/>
                <w:spacing w:val="-3"/>
                <w:sz w:val="20"/>
              </w:rPr>
            </w:pPr>
          </w:p>
        </w:tc>
        <w:tc>
          <w:tcPr>
            <w:tcW w:w="360" w:type="dxa"/>
            <w:shd w:val="clear" w:color="auto" w:fill="auto"/>
          </w:tcPr>
          <w:p w14:paraId="6616360D" w14:textId="77777777" w:rsidR="00A6254C" w:rsidRPr="00C72A25" w:rsidRDefault="00A6254C" w:rsidP="00B27F31">
            <w:pPr>
              <w:rPr>
                <w:rFonts w:ascii="Arial" w:hAnsi="Arial" w:cs="Arial"/>
                <w:spacing w:val="-3"/>
                <w:sz w:val="20"/>
              </w:rPr>
            </w:pPr>
          </w:p>
        </w:tc>
        <w:tc>
          <w:tcPr>
            <w:tcW w:w="360" w:type="dxa"/>
            <w:shd w:val="clear" w:color="auto" w:fill="auto"/>
          </w:tcPr>
          <w:p w14:paraId="7D247280" w14:textId="77777777" w:rsidR="00A6254C" w:rsidRPr="006B6B00" w:rsidRDefault="00A6254C" w:rsidP="00B27F31">
            <w:pPr>
              <w:rPr>
                <w:rFonts w:ascii="Arial" w:hAnsi="Arial" w:cs="Arial"/>
                <w:spacing w:val="-3"/>
                <w:sz w:val="20"/>
              </w:rPr>
            </w:pPr>
          </w:p>
        </w:tc>
        <w:tc>
          <w:tcPr>
            <w:tcW w:w="1710" w:type="dxa"/>
          </w:tcPr>
          <w:p w14:paraId="7A499A46" w14:textId="2FC27AF4" w:rsidR="00A6254C" w:rsidRPr="007005A5" w:rsidRDefault="007005A5" w:rsidP="00F27EC8">
            <w:pPr>
              <w:rPr>
                <w:rFonts w:ascii="Arial" w:hAnsi="Arial" w:cs="Arial"/>
                <w:spacing w:val="-3"/>
                <w:sz w:val="20"/>
              </w:rPr>
            </w:pPr>
            <w:r>
              <w:rPr>
                <w:rFonts w:ascii="Arial" w:hAnsi="Arial" w:cs="Arial"/>
                <w:spacing w:val="-3"/>
                <w:sz w:val="20"/>
              </w:rPr>
              <w:t>SAT.</w:t>
            </w:r>
            <w:r w:rsidR="00F27EC8" w:rsidRPr="00F27EC8">
              <w:rPr>
                <w:rFonts w:ascii="Arial" w:hAnsi="Arial" w:cs="Arial"/>
                <w:spacing w:val="-3"/>
                <w:sz w:val="20"/>
              </w:rPr>
              <w:t xml:space="preserve"> . El Banco viene discutiendo la posibilidad de apoyar financieramente.</w:t>
            </w:r>
          </w:p>
        </w:tc>
        <w:tc>
          <w:tcPr>
            <w:tcW w:w="1170" w:type="dxa"/>
          </w:tcPr>
          <w:p w14:paraId="74B06058" w14:textId="0AF97FCA" w:rsidR="00A6254C" w:rsidRPr="009D6EE7" w:rsidRDefault="00DF7433" w:rsidP="0080003E">
            <w:pPr>
              <w:rPr>
                <w:rFonts w:ascii="Arial" w:hAnsi="Arial" w:cs="Arial"/>
                <w:spacing w:val="-3"/>
                <w:sz w:val="20"/>
              </w:rPr>
            </w:pPr>
            <w:r>
              <w:rPr>
                <w:rFonts w:ascii="Arial" w:hAnsi="Arial" w:cs="Arial"/>
                <w:spacing w:val="-3"/>
                <w:sz w:val="20"/>
              </w:rPr>
              <w:t xml:space="preserve">US$ 150.000 en 2017 y </w:t>
            </w:r>
            <w:r w:rsidR="005E0B4E">
              <w:rPr>
                <w:rFonts w:ascii="Arial" w:hAnsi="Arial" w:cs="Arial"/>
                <w:spacing w:val="-3"/>
                <w:sz w:val="20"/>
              </w:rPr>
              <w:t>US$ 5 millones en</w:t>
            </w:r>
            <w:r>
              <w:rPr>
                <w:rFonts w:ascii="Arial" w:hAnsi="Arial" w:cs="Arial"/>
                <w:spacing w:val="-3"/>
                <w:sz w:val="20"/>
              </w:rPr>
              <w:t>tre</w:t>
            </w:r>
            <w:r w:rsidR="005E0B4E">
              <w:rPr>
                <w:rFonts w:ascii="Arial" w:hAnsi="Arial" w:cs="Arial"/>
                <w:spacing w:val="-3"/>
                <w:sz w:val="20"/>
              </w:rPr>
              <w:t xml:space="preserve"> </w:t>
            </w:r>
            <w:r>
              <w:rPr>
                <w:rFonts w:ascii="Arial" w:hAnsi="Arial" w:cs="Arial"/>
                <w:spacing w:val="-3"/>
                <w:sz w:val="20"/>
              </w:rPr>
              <w:t>2018 y 2021.</w:t>
            </w:r>
          </w:p>
        </w:tc>
        <w:tc>
          <w:tcPr>
            <w:tcW w:w="1620" w:type="dxa"/>
          </w:tcPr>
          <w:p w14:paraId="2D6D05FB" w14:textId="090FC3C9" w:rsidR="00A6254C" w:rsidRPr="007005A5" w:rsidRDefault="007005A5" w:rsidP="00B27F31">
            <w:pPr>
              <w:rPr>
                <w:rFonts w:ascii="Arial" w:hAnsi="Arial" w:cs="Arial"/>
                <w:spacing w:val="-3"/>
                <w:sz w:val="20"/>
              </w:rPr>
            </w:pPr>
            <w:r>
              <w:rPr>
                <w:rFonts w:ascii="Arial" w:hAnsi="Arial" w:cs="Arial"/>
                <w:spacing w:val="-3"/>
                <w:sz w:val="20"/>
              </w:rPr>
              <w:t>Presupuesto SAT</w:t>
            </w:r>
          </w:p>
        </w:tc>
      </w:tr>
      <w:tr w:rsidR="00E76071" w:rsidRPr="00E76071" w14:paraId="161CF5EE" w14:textId="77777777" w:rsidTr="006B6B00">
        <w:trPr>
          <w:jc w:val="center"/>
        </w:trPr>
        <w:tc>
          <w:tcPr>
            <w:tcW w:w="4320" w:type="dxa"/>
          </w:tcPr>
          <w:p w14:paraId="69983C9A" w14:textId="347B135F" w:rsidR="00E76071" w:rsidRPr="007F2096" w:rsidRDefault="00E76071" w:rsidP="00B27F31">
            <w:pPr>
              <w:rPr>
                <w:rFonts w:ascii="Arial" w:hAnsi="Arial" w:cs="Arial"/>
                <w:spacing w:val="-3"/>
                <w:sz w:val="20"/>
              </w:rPr>
            </w:pPr>
            <w:r w:rsidRPr="007F2096">
              <w:rPr>
                <w:rFonts w:ascii="Arial" w:hAnsi="Arial" w:cs="Arial"/>
                <w:sz w:val="20"/>
                <w:lang w:val="es-ES"/>
              </w:rPr>
              <w:t>7</w:t>
            </w:r>
            <w:r w:rsidR="00F27EC8">
              <w:rPr>
                <w:rFonts w:ascii="Arial" w:hAnsi="Arial" w:cs="Arial"/>
                <w:sz w:val="20"/>
                <w:lang w:val="es-ES"/>
              </w:rPr>
              <w:t>a</w:t>
            </w:r>
            <w:r w:rsidRPr="007F2096">
              <w:rPr>
                <w:rFonts w:ascii="Arial" w:hAnsi="Arial" w:cs="Arial"/>
                <w:sz w:val="20"/>
                <w:lang w:val="es-ES"/>
              </w:rPr>
              <w:t xml:space="preserve">. </w:t>
            </w:r>
            <w:r w:rsidRPr="007F2096">
              <w:rPr>
                <w:rFonts w:ascii="Arial" w:hAnsi="Arial" w:cs="Arial"/>
                <w:sz w:val="20"/>
                <w:lang w:val="es-DO"/>
              </w:rPr>
              <w:t xml:space="preserve">Levantamiento y revisión de los principales macro procesos de la SAT de IVA y Aduanas, incluyendo la </w:t>
            </w:r>
            <w:r w:rsidRPr="007F2096">
              <w:rPr>
                <w:rFonts w:ascii="Arial" w:hAnsi="Arial" w:cs="Arial"/>
                <w:color w:val="000000"/>
                <w:sz w:val="20"/>
                <w:lang w:val="es-DO" w:eastAsia="es-DO"/>
              </w:rPr>
              <w:t>identificación y estimación  de riesgos operacionales y las estrategias para su mitigación.</w:t>
            </w:r>
          </w:p>
        </w:tc>
        <w:tc>
          <w:tcPr>
            <w:tcW w:w="360" w:type="dxa"/>
            <w:shd w:val="clear" w:color="auto" w:fill="auto"/>
          </w:tcPr>
          <w:p w14:paraId="1059DF2D" w14:textId="77777777" w:rsidR="00E76071" w:rsidRPr="007F2096" w:rsidRDefault="00E76071" w:rsidP="00B27F31">
            <w:pPr>
              <w:rPr>
                <w:rFonts w:ascii="Arial" w:hAnsi="Arial" w:cs="Arial"/>
                <w:spacing w:val="-3"/>
                <w:sz w:val="20"/>
              </w:rPr>
            </w:pPr>
          </w:p>
        </w:tc>
        <w:tc>
          <w:tcPr>
            <w:tcW w:w="360" w:type="dxa"/>
            <w:shd w:val="clear" w:color="auto" w:fill="auto"/>
          </w:tcPr>
          <w:p w14:paraId="62D38528" w14:textId="77777777" w:rsidR="00E76071" w:rsidRPr="007F2096" w:rsidRDefault="00E76071" w:rsidP="00B27F31">
            <w:pPr>
              <w:rPr>
                <w:rFonts w:ascii="Arial" w:hAnsi="Arial" w:cs="Arial"/>
                <w:spacing w:val="-3"/>
                <w:sz w:val="20"/>
              </w:rPr>
            </w:pPr>
          </w:p>
        </w:tc>
        <w:tc>
          <w:tcPr>
            <w:tcW w:w="360" w:type="dxa"/>
            <w:shd w:val="clear" w:color="auto" w:fill="auto"/>
          </w:tcPr>
          <w:p w14:paraId="67A83821" w14:textId="34EC33AF" w:rsidR="00E76071" w:rsidRPr="007F2096"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B7E39B5" w14:textId="6487925B" w:rsidR="00E76071" w:rsidRPr="007F2096"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478A7EC" w14:textId="4006A415" w:rsidR="00E76071" w:rsidRPr="007F2096"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3CEFA66" w14:textId="59D194E4" w:rsidR="00E76071" w:rsidRPr="007F2096"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6690A06" w14:textId="77777777" w:rsidR="00E76071" w:rsidRPr="007F2096" w:rsidRDefault="00E76071" w:rsidP="00B27F31">
            <w:pPr>
              <w:rPr>
                <w:rFonts w:ascii="Arial" w:hAnsi="Arial" w:cs="Arial"/>
                <w:spacing w:val="-3"/>
                <w:sz w:val="20"/>
              </w:rPr>
            </w:pPr>
          </w:p>
        </w:tc>
        <w:tc>
          <w:tcPr>
            <w:tcW w:w="360" w:type="dxa"/>
            <w:shd w:val="clear" w:color="auto" w:fill="auto"/>
          </w:tcPr>
          <w:p w14:paraId="46B26265" w14:textId="77777777" w:rsidR="00E76071" w:rsidRPr="007F2096" w:rsidRDefault="00E76071" w:rsidP="00B27F31">
            <w:pPr>
              <w:rPr>
                <w:rFonts w:ascii="Arial" w:hAnsi="Arial" w:cs="Arial"/>
                <w:spacing w:val="-3"/>
                <w:sz w:val="20"/>
              </w:rPr>
            </w:pPr>
          </w:p>
        </w:tc>
        <w:tc>
          <w:tcPr>
            <w:tcW w:w="360" w:type="dxa"/>
            <w:shd w:val="clear" w:color="auto" w:fill="auto"/>
          </w:tcPr>
          <w:p w14:paraId="44758AD7" w14:textId="77777777" w:rsidR="00E76071" w:rsidRPr="007F2096" w:rsidRDefault="00E76071" w:rsidP="00B27F31">
            <w:pPr>
              <w:rPr>
                <w:rFonts w:ascii="Arial" w:hAnsi="Arial" w:cs="Arial"/>
                <w:spacing w:val="-3"/>
                <w:sz w:val="20"/>
              </w:rPr>
            </w:pPr>
          </w:p>
        </w:tc>
        <w:tc>
          <w:tcPr>
            <w:tcW w:w="360" w:type="dxa"/>
            <w:shd w:val="clear" w:color="auto" w:fill="auto"/>
          </w:tcPr>
          <w:p w14:paraId="6C5C4540" w14:textId="77777777" w:rsidR="00E76071" w:rsidRPr="007F2096" w:rsidRDefault="00E76071" w:rsidP="00B27F31">
            <w:pPr>
              <w:rPr>
                <w:rFonts w:ascii="Arial" w:hAnsi="Arial" w:cs="Arial"/>
                <w:spacing w:val="-3"/>
                <w:sz w:val="20"/>
              </w:rPr>
            </w:pPr>
          </w:p>
        </w:tc>
        <w:tc>
          <w:tcPr>
            <w:tcW w:w="360" w:type="dxa"/>
            <w:shd w:val="clear" w:color="auto" w:fill="auto"/>
          </w:tcPr>
          <w:p w14:paraId="2AD99EB7" w14:textId="77777777" w:rsidR="00E76071" w:rsidRPr="007F2096" w:rsidRDefault="00E76071" w:rsidP="00B27F31">
            <w:pPr>
              <w:rPr>
                <w:rFonts w:ascii="Arial" w:hAnsi="Arial" w:cs="Arial"/>
                <w:spacing w:val="-3"/>
                <w:sz w:val="20"/>
              </w:rPr>
            </w:pPr>
          </w:p>
        </w:tc>
        <w:tc>
          <w:tcPr>
            <w:tcW w:w="360" w:type="dxa"/>
            <w:shd w:val="clear" w:color="auto" w:fill="auto"/>
          </w:tcPr>
          <w:p w14:paraId="79AA8CB2" w14:textId="77777777" w:rsidR="00E76071" w:rsidRPr="007F2096" w:rsidRDefault="00E76071" w:rsidP="00B27F31">
            <w:pPr>
              <w:rPr>
                <w:rFonts w:ascii="Arial" w:hAnsi="Arial" w:cs="Arial"/>
                <w:spacing w:val="-3"/>
                <w:sz w:val="20"/>
              </w:rPr>
            </w:pPr>
          </w:p>
        </w:tc>
        <w:tc>
          <w:tcPr>
            <w:tcW w:w="1710" w:type="dxa"/>
          </w:tcPr>
          <w:p w14:paraId="1EE48E0A" w14:textId="550645CA" w:rsidR="00E76071" w:rsidRPr="007F2096" w:rsidRDefault="00F27EC8" w:rsidP="00F27EC8">
            <w:pPr>
              <w:rPr>
                <w:rFonts w:ascii="Arial" w:hAnsi="Arial" w:cs="Arial"/>
                <w:spacing w:val="-3"/>
                <w:sz w:val="20"/>
              </w:rPr>
            </w:pPr>
            <w:r>
              <w:rPr>
                <w:rFonts w:ascii="Arial" w:hAnsi="Arial" w:cs="Arial"/>
                <w:spacing w:val="-3"/>
                <w:sz w:val="20"/>
              </w:rPr>
              <w:t>SAT. Está siendo contratada una consultoría. El Banco viene discutiendo la posibilidad de apoyar financieramente.</w:t>
            </w:r>
          </w:p>
        </w:tc>
        <w:tc>
          <w:tcPr>
            <w:tcW w:w="1170" w:type="dxa"/>
          </w:tcPr>
          <w:p w14:paraId="4129D566" w14:textId="1769A237" w:rsidR="00E76071" w:rsidRPr="007F2096" w:rsidRDefault="00617B2F" w:rsidP="0080003E">
            <w:pPr>
              <w:rPr>
                <w:rFonts w:ascii="Arial" w:hAnsi="Arial" w:cs="Arial"/>
                <w:spacing w:val="-3"/>
                <w:sz w:val="20"/>
              </w:rPr>
            </w:pPr>
            <w:r>
              <w:rPr>
                <w:rFonts w:ascii="Arial" w:hAnsi="Arial" w:cs="Arial"/>
                <w:spacing w:val="-3"/>
                <w:sz w:val="20"/>
              </w:rPr>
              <w:t>US$ 2</w:t>
            </w:r>
            <w:r w:rsidR="005E0B4E">
              <w:rPr>
                <w:rFonts w:ascii="Arial" w:hAnsi="Arial" w:cs="Arial"/>
                <w:spacing w:val="-3"/>
                <w:sz w:val="20"/>
              </w:rPr>
              <w:t>,5</w:t>
            </w:r>
            <w:r>
              <w:rPr>
                <w:rFonts w:ascii="Arial" w:hAnsi="Arial" w:cs="Arial"/>
                <w:spacing w:val="-3"/>
                <w:sz w:val="20"/>
              </w:rPr>
              <w:t> millones</w:t>
            </w:r>
            <w:r w:rsidR="005E0B4E">
              <w:rPr>
                <w:rFonts w:ascii="Arial" w:hAnsi="Arial" w:cs="Arial"/>
                <w:spacing w:val="-3"/>
                <w:sz w:val="20"/>
              </w:rPr>
              <w:t xml:space="preserve"> en el 2017 y US$ 10,5 millones entre 2018 y 2021. Incluyendo todos los macro procesos.</w:t>
            </w:r>
          </w:p>
        </w:tc>
        <w:tc>
          <w:tcPr>
            <w:tcW w:w="1620" w:type="dxa"/>
          </w:tcPr>
          <w:p w14:paraId="7CEC73A2" w14:textId="6CB049B2" w:rsidR="00E76071" w:rsidRPr="007F2096" w:rsidRDefault="00F27EC8" w:rsidP="00B27F31">
            <w:pPr>
              <w:rPr>
                <w:rFonts w:ascii="Arial" w:hAnsi="Arial" w:cs="Arial"/>
                <w:spacing w:val="-3"/>
                <w:sz w:val="20"/>
              </w:rPr>
            </w:pPr>
            <w:r>
              <w:rPr>
                <w:rFonts w:ascii="Arial" w:hAnsi="Arial" w:cs="Arial"/>
                <w:spacing w:val="-3"/>
                <w:sz w:val="20"/>
              </w:rPr>
              <w:t>Presupuesto SAT</w:t>
            </w:r>
          </w:p>
        </w:tc>
      </w:tr>
      <w:tr w:rsidR="00A6254C" w:rsidRPr="00E76071" w14:paraId="3BB69B93" w14:textId="77777777" w:rsidTr="006B6B00">
        <w:trPr>
          <w:jc w:val="center"/>
        </w:trPr>
        <w:tc>
          <w:tcPr>
            <w:tcW w:w="4320" w:type="dxa"/>
          </w:tcPr>
          <w:p w14:paraId="2727F251" w14:textId="00C218E3" w:rsidR="00A6254C" w:rsidRPr="00A6254C" w:rsidRDefault="00F27EC8" w:rsidP="00B27F31">
            <w:pPr>
              <w:rPr>
                <w:rFonts w:ascii="Arial" w:hAnsi="Arial" w:cs="Arial"/>
                <w:sz w:val="20"/>
                <w:lang w:val="es-ES"/>
              </w:rPr>
            </w:pPr>
            <w:r>
              <w:rPr>
                <w:rFonts w:ascii="Arial" w:hAnsi="Arial" w:cs="Arial"/>
                <w:sz w:val="20"/>
                <w:lang w:val="es-ES"/>
              </w:rPr>
              <w:t xml:space="preserve">7b. </w:t>
            </w:r>
            <w:r w:rsidRPr="00F27EC8">
              <w:rPr>
                <w:rFonts w:ascii="Arial" w:hAnsi="Arial" w:cs="Arial"/>
                <w:sz w:val="20"/>
                <w:lang w:val="es-DO"/>
              </w:rPr>
              <w:t>Levantamiento y revisión del macro proceso de la SAT de Impuesto sobre la Renta (ISR), incluyendo la identificación y estimación  de riesgos operacionales y las estrategias para su mitigación.</w:t>
            </w:r>
          </w:p>
        </w:tc>
        <w:tc>
          <w:tcPr>
            <w:tcW w:w="360" w:type="dxa"/>
            <w:shd w:val="clear" w:color="auto" w:fill="auto"/>
          </w:tcPr>
          <w:p w14:paraId="4287D31C" w14:textId="77777777" w:rsidR="00A6254C" w:rsidRPr="00A6254C" w:rsidRDefault="00A6254C" w:rsidP="00B27F31">
            <w:pPr>
              <w:rPr>
                <w:rFonts w:ascii="Arial" w:hAnsi="Arial" w:cs="Arial"/>
                <w:spacing w:val="-3"/>
                <w:sz w:val="20"/>
              </w:rPr>
            </w:pPr>
          </w:p>
        </w:tc>
        <w:tc>
          <w:tcPr>
            <w:tcW w:w="360" w:type="dxa"/>
            <w:shd w:val="clear" w:color="auto" w:fill="auto"/>
          </w:tcPr>
          <w:p w14:paraId="6FBAB029" w14:textId="77777777" w:rsidR="00A6254C" w:rsidRPr="007F2096" w:rsidRDefault="00A6254C" w:rsidP="00B27F31">
            <w:pPr>
              <w:rPr>
                <w:rFonts w:ascii="Arial" w:hAnsi="Arial" w:cs="Arial"/>
                <w:spacing w:val="-3"/>
                <w:sz w:val="20"/>
              </w:rPr>
            </w:pPr>
          </w:p>
        </w:tc>
        <w:tc>
          <w:tcPr>
            <w:tcW w:w="360" w:type="dxa"/>
            <w:shd w:val="clear" w:color="auto" w:fill="auto"/>
          </w:tcPr>
          <w:p w14:paraId="680510AD" w14:textId="77777777" w:rsidR="00A6254C" w:rsidRPr="00751944" w:rsidRDefault="00A6254C" w:rsidP="00B27F31">
            <w:pPr>
              <w:rPr>
                <w:rFonts w:ascii="Arial" w:hAnsi="Arial" w:cs="Arial"/>
                <w:spacing w:val="-3"/>
                <w:sz w:val="20"/>
              </w:rPr>
            </w:pPr>
          </w:p>
        </w:tc>
        <w:tc>
          <w:tcPr>
            <w:tcW w:w="360" w:type="dxa"/>
            <w:shd w:val="clear" w:color="auto" w:fill="auto"/>
          </w:tcPr>
          <w:p w14:paraId="255D9963" w14:textId="77777777" w:rsidR="00A6254C" w:rsidRPr="00CD39D0" w:rsidRDefault="00A6254C" w:rsidP="00B27F31">
            <w:pPr>
              <w:rPr>
                <w:rFonts w:ascii="Arial" w:hAnsi="Arial" w:cs="Arial"/>
                <w:spacing w:val="-3"/>
                <w:sz w:val="20"/>
              </w:rPr>
            </w:pPr>
          </w:p>
        </w:tc>
        <w:tc>
          <w:tcPr>
            <w:tcW w:w="360" w:type="dxa"/>
            <w:shd w:val="clear" w:color="auto" w:fill="auto"/>
          </w:tcPr>
          <w:p w14:paraId="12D22AF5" w14:textId="5849D1CF" w:rsidR="00A6254C" w:rsidRPr="00F27EC8"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3C6B121" w14:textId="2302CA04" w:rsidR="00A6254C" w:rsidRPr="00F27EC8"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885F457" w14:textId="3D0CD0CC" w:rsidR="00A6254C" w:rsidRPr="00F27EC8"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5FB6DAB" w14:textId="2FB2F7AE" w:rsidR="00A6254C" w:rsidRPr="00F27EC8" w:rsidRDefault="00F27EC8"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9AB1E92" w14:textId="77777777" w:rsidR="00A6254C" w:rsidRPr="009D6EE7" w:rsidRDefault="00A6254C" w:rsidP="00B27F31">
            <w:pPr>
              <w:rPr>
                <w:rFonts w:ascii="Arial" w:hAnsi="Arial" w:cs="Arial"/>
                <w:spacing w:val="-3"/>
                <w:sz w:val="20"/>
              </w:rPr>
            </w:pPr>
          </w:p>
        </w:tc>
        <w:tc>
          <w:tcPr>
            <w:tcW w:w="360" w:type="dxa"/>
            <w:shd w:val="clear" w:color="auto" w:fill="auto"/>
          </w:tcPr>
          <w:p w14:paraId="34C0C4FF" w14:textId="77777777" w:rsidR="00A6254C" w:rsidRPr="00F07574" w:rsidRDefault="00A6254C" w:rsidP="00B27F31">
            <w:pPr>
              <w:rPr>
                <w:rFonts w:ascii="Arial" w:hAnsi="Arial" w:cs="Arial"/>
                <w:spacing w:val="-3"/>
                <w:sz w:val="20"/>
              </w:rPr>
            </w:pPr>
          </w:p>
        </w:tc>
        <w:tc>
          <w:tcPr>
            <w:tcW w:w="360" w:type="dxa"/>
            <w:shd w:val="clear" w:color="auto" w:fill="auto"/>
          </w:tcPr>
          <w:p w14:paraId="62522B26" w14:textId="77777777" w:rsidR="00A6254C" w:rsidRPr="00C72A25" w:rsidRDefault="00A6254C" w:rsidP="00B27F31">
            <w:pPr>
              <w:rPr>
                <w:rFonts w:ascii="Arial" w:hAnsi="Arial" w:cs="Arial"/>
                <w:spacing w:val="-3"/>
                <w:sz w:val="20"/>
              </w:rPr>
            </w:pPr>
          </w:p>
        </w:tc>
        <w:tc>
          <w:tcPr>
            <w:tcW w:w="360" w:type="dxa"/>
            <w:shd w:val="clear" w:color="auto" w:fill="auto"/>
          </w:tcPr>
          <w:p w14:paraId="054E39B5" w14:textId="77777777" w:rsidR="00A6254C" w:rsidRPr="006B6B00" w:rsidRDefault="00A6254C" w:rsidP="00B27F31">
            <w:pPr>
              <w:rPr>
                <w:rFonts w:ascii="Arial" w:hAnsi="Arial" w:cs="Arial"/>
                <w:spacing w:val="-3"/>
                <w:sz w:val="20"/>
              </w:rPr>
            </w:pPr>
          </w:p>
        </w:tc>
        <w:tc>
          <w:tcPr>
            <w:tcW w:w="1710" w:type="dxa"/>
          </w:tcPr>
          <w:p w14:paraId="2508939F" w14:textId="67A039A7" w:rsidR="00A6254C" w:rsidRPr="00F27EC8" w:rsidRDefault="00F27EC8" w:rsidP="00B27F31">
            <w:pPr>
              <w:rPr>
                <w:rFonts w:ascii="Arial" w:hAnsi="Arial" w:cs="Arial"/>
                <w:spacing w:val="-3"/>
                <w:sz w:val="20"/>
              </w:rPr>
            </w:pPr>
            <w:r w:rsidRPr="00F27EC8">
              <w:rPr>
                <w:rFonts w:ascii="Arial" w:hAnsi="Arial" w:cs="Arial"/>
                <w:spacing w:val="-3"/>
                <w:sz w:val="20"/>
              </w:rPr>
              <w:t>SAT. Está siendo contratada una consultoría. El Banco viene discutiendo la posibilidad de apoyar financieramente.</w:t>
            </w:r>
          </w:p>
        </w:tc>
        <w:tc>
          <w:tcPr>
            <w:tcW w:w="1170" w:type="dxa"/>
          </w:tcPr>
          <w:p w14:paraId="5513FD72" w14:textId="77777777" w:rsidR="00A6254C" w:rsidRPr="00F27EC8" w:rsidRDefault="00A6254C" w:rsidP="00B27F31">
            <w:pPr>
              <w:rPr>
                <w:rFonts w:ascii="Arial" w:hAnsi="Arial" w:cs="Arial"/>
                <w:spacing w:val="-3"/>
                <w:sz w:val="20"/>
              </w:rPr>
            </w:pPr>
          </w:p>
        </w:tc>
        <w:tc>
          <w:tcPr>
            <w:tcW w:w="1620" w:type="dxa"/>
          </w:tcPr>
          <w:p w14:paraId="7AEEF193" w14:textId="77777777" w:rsidR="00A6254C" w:rsidRPr="009D6EE7" w:rsidRDefault="00A6254C" w:rsidP="00B27F31">
            <w:pPr>
              <w:rPr>
                <w:rFonts w:ascii="Arial" w:hAnsi="Arial" w:cs="Arial"/>
                <w:spacing w:val="-3"/>
                <w:sz w:val="20"/>
              </w:rPr>
            </w:pPr>
          </w:p>
        </w:tc>
      </w:tr>
      <w:tr w:rsidR="00E76071" w:rsidRPr="00E76071" w14:paraId="0F24F815" w14:textId="77777777" w:rsidTr="006B6B00">
        <w:trPr>
          <w:jc w:val="center"/>
        </w:trPr>
        <w:tc>
          <w:tcPr>
            <w:tcW w:w="4320" w:type="dxa"/>
          </w:tcPr>
          <w:p w14:paraId="1F7C118E" w14:textId="32AA8301" w:rsidR="00E76071" w:rsidRPr="007F2096" w:rsidRDefault="00E76071" w:rsidP="00B27F31">
            <w:pPr>
              <w:rPr>
                <w:rFonts w:ascii="Arial" w:hAnsi="Arial" w:cs="Arial"/>
                <w:spacing w:val="-3"/>
                <w:sz w:val="20"/>
              </w:rPr>
            </w:pPr>
            <w:r w:rsidRPr="007F2096">
              <w:rPr>
                <w:rFonts w:ascii="Arial" w:hAnsi="Arial" w:cs="Arial"/>
                <w:sz w:val="20"/>
                <w:lang w:val="es-ES"/>
              </w:rPr>
              <w:t>8</w:t>
            </w:r>
            <w:r w:rsidR="00A01F8A">
              <w:rPr>
                <w:rFonts w:ascii="Arial" w:hAnsi="Arial" w:cs="Arial"/>
                <w:sz w:val="20"/>
                <w:lang w:val="es-ES"/>
              </w:rPr>
              <w:t>a</w:t>
            </w:r>
            <w:r w:rsidRPr="007F2096">
              <w:rPr>
                <w:rFonts w:ascii="Arial" w:hAnsi="Arial" w:cs="Arial"/>
                <w:sz w:val="20"/>
                <w:lang w:val="es-ES"/>
              </w:rPr>
              <w:t>. Elaboración de un Plan de control integral de la Carga en los recintos fiscalizados durante el despacho aduanero, con énfasis en Puerto Quetzal.</w:t>
            </w:r>
          </w:p>
        </w:tc>
        <w:tc>
          <w:tcPr>
            <w:tcW w:w="360" w:type="dxa"/>
            <w:shd w:val="clear" w:color="auto" w:fill="auto"/>
          </w:tcPr>
          <w:p w14:paraId="75BA27AF" w14:textId="77777777" w:rsidR="00E76071" w:rsidRPr="007F2096" w:rsidRDefault="00E76071" w:rsidP="00B27F31">
            <w:pPr>
              <w:rPr>
                <w:rFonts w:ascii="Arial" w:hAnsi="Arial" w:cs="Arial"/>
                <w:spacing w:val="-3"/>
                <w:sz w:val="20"/>
              </w:rPr>
            </w:pPr>
          </w:p>
        </w:tc>
        <w:tc>
          <w:tcPr>
            <w:tcW w:w="360" w:type="dxa"/>
            <w:shd w:val="clear" w:color="auto" w:fill="auto"/>
          </w:tcPr>
          <w:p w14:paraId="01916023" w14:textId="77777777" w:rsidR="00E76071" w:rsidRPr="007F2096" w:rsidRDefault="00E76071" w:rsidP="00B27F31">
            <w:pPr>
              <w:rPr>
                <w:rFonts w:ascii="Arial" w:hAnsi="Arial" w:cs="Arial"/>
                <w:spacing w:val="-3"/>
                <w:sz w:val="20"/>
              </w:rPr>
            </w:pPr>
          </w:p>
        </w:tc>
        <w:tc>
          <w:tcPr>
            <w:tcW w:w="360" w:type="dxa"/>
            <w:shd w:val="clear" w:color="auto" w:fill="auto"/>
          </w:tcPr>
          <w:p w14:paraId="4121C00F" w14:textId="77777777" w:rsidR="00E76071" w:rsidRPr="007F2096" w:rsidRDefault="00E76071" w:rsidP="00B27F31">
            <w:pPr>
              <w:rPr>
                <w:rFonts w:ascii="Arial" w:hAnsi="Arial" w:cs="Arial"/>
                <w:spacing w:val="-3"/>
                <w:sz w:val="20"/>
              </w:rPr>
            </w:pPr>
          </w:p>
        </w:tc>
        <w:tc>
          <w:tcPr>
            <w:tcW w:w="360" w:type="dxa"/>
            <w:shd w:val="clear" w:color="auto" w:fill="auto"/>
          </w:tcPr>
          <w:p w14:paraId="46D1D2C5" w14:textId="38153606" w:rsidR="00E76071" w:rsidRPr="007F2096"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A8FB444" w14:textId="20C6636A" w:rsidR="00E76071" w:rsidRPr="007F2096"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60399B3" w14:textId="77777777" w:rsidR="00E76071" w:rsidRPr="007F2096" w:rsidRDefault="00E76071" w:rsidP="00B27F31">
            <w:pPr>
              <w:rPr>
                <w:rFonts w:ascii="Arial" w:hAnsi="Arial" w:cs="Arial"/>
                <w:spacing w:val="-3"/>
                <w:sz w:val="20"/>
              </w:rPr>
            </w:pPr>
          </w:p>
        </w:tc>
        <w:tc>
          <w:tcPr>
            <w:tcW w:w="360" w:type="dxa"/>
            <w:shd w:val="clear" w:color="auto" w:fill="auto"/>
          </w:tcPr>
          <w:p w14:paraId="032C51C1" w14:textId="77777777" w:rsidR="00E76071" w:rsidRPr="007F2096" w:rsidRDefault="00E76071" w:rsidP="00B27F31">
            <w:pPr>
              <w:rPr>
                <w:rFonts w:ascii="Arial" w:hAnsi="Arial" w:cs="Arial"/>
                <w:spacing w:val="-3"/>
                <w:sz w:val="20"/>
              </w:rPr>
            </w:pPr>
          </w:p>
        </w:tc>
        <w:tc>
          <w:tcPr>
            <w:tcW w:w="360" w:type="dxa"/>
            <w:shd w:val="clear" w:color="auto" w:fill="auto"/>
          </w:tcPr>
          <w:p w14:paraId="564917FA" w14:textId="77777777" w:rsidR="00E76071" w:rsidRPr="007F2096" w:rsidRDefault="00E76071" w:rsidP="00B27F31">
            <w:pPr>
              <w:rPr>
                <w:rFonts w:ascii="Arial" w:hAnsi="Arial" w:cs="Arial"/>
                <w:spacing w:val="-3"/>
                <w:sz w:val="20"/>
              </w:rPr>
            </w:pPr>
          </w:p>
        </w:tc>
        <w:tc>
          <w:tcPr>
            <w:tcW w:w="360" w:type="dxa"/>
            <w:shd w:val="clear" w:color="auto" w:fill="auto"/>
          </w:tcPr>
          <w:p w14:paraId="4D29BADF" w14:textId="77777777" w:rsidR="00E76071" w:rsidRPr="007F2096" w:rsidRDefault="00E76071" w:rsidP="00B27F31">
            <w:pPr>
              <w:rPr>
                <w:rFonts w:ascii="Arial" w:hAnsi="Arial" w:cs="Arial"/>
                <w:spacing w:val="-3"/>
                <w:sz w:val="20"/>
              </w:rPr>
            </w:pPr>
          </w:p>
        </w:tc>
        <w:tc>
          <w:tcPr>
            <w:tcW w:w="360" w:type="dxa"/>
            <w:shd w:val="clear" w:color="auto" w:fill="auto"/>
          </w:tcPr>
          <w:p w14:paraId="54F2E0D1" w14:textId="77777777" w:rsidR="00E76071" w:rsidRPr="007F2096" w:rsidRDefault="00E76071" w:rsidP="00B27F31">
            <w:pPr>
              <w:rPr>
                <w:rFonts w:ascii="Arial" w:hAnsi="Arial" w:cs="Arial"/>
                <w:spacing w:val="-3"/>
                <w:sz w:val="20"/>
              </w:rPr>
            </w:pPr>
          </w:p>
        </w:tc>
        <w:tc>
          <w:tcPr>
            <w:tcW w:w="360" w:type="dxa"/>
            <w:shd w:val="clear" w:color="auto" w:fill="auto"/>
          </w:tcPr>
          <w:p w14:paraId="04A789AC" w14:textId="77777777" w:rsidR="00E76071" w:rsidRPr="007F2096" w:rsidRDefault="00E76071" w:rsidP="00B27F31">
            <w:pPr>
              <w:rPr>
                <w:rFonts w:ascii="Arial" w:hAnsi="Arial" w:cs="Arial"/>
                <w:spacing w:val="-3"/>
                <w:sz w:val="20"/>
              </w:rPr>
            </w:pPr>
          </w:p>
        </w:tc>
        <w:tc>
          <w:tcPr>
            <w:tcW w:w="360" w:type="dxa"/>
            <w:shd w:val="clear" w:color="auto" w:fill="auto"/>
          </w:tcPr>
          <w:p w14:paraId="2A59337F" w14:textId="77777777" w:rsidR="00E76071" w:rsidRPr="007F2096" w:rsidRDefault="00E76071" w:rsidP="00B27F31">
            <w:pPr>
              <w:rPr>
                <w:rFonts w:ascii="Arial" w:hAnsi="Arial" w:cs="Arial"/>
                <w:spacing w:val="-3"/>
                <w:sz w:val="20"/>
              </w:rPr>
            </w:pPr>
          </w:p>
        </w:tc>
        <w:tc>
          <w:tcPr>
            <w:tcW w:w="1710" w:type="dxa"/>
          </w:tcPr>
          <w:p w14:paraId="3B1968D4" w14:textId="6279B7DE" w:rsidR="00E76071" w:rsidRPr="007F2096" w:rsidRDefault="00A01F8A" w:rsidP="00B27F31">
            <w:pPr>
              <w:rPr>
                <w:rFonts w:ascii="Arial" w:hAnsi="Arial" w:cs="Arial"/>
                <w:spacing w:val="-3"/>
                <w:sz w:val="20"/>
              </w:rPr>
            </w:pPr>
            <w:r>
              <w:rPr>
                <w:rFonts w:ascii="Arial" w:hAnsi="Arial" w:cs="Arial"/>
                <w:spacing w:val="-3"/>
                <w:sz w:val="20"/>
              </w:rPr>
              <w:t>SAT. El Banco viene apoyando con staff.</w:t>
            </w:r>
          </w:p>
        </w:tc>
        <w:tc>
          <w:tcPr>
            <w:tcW w:w="1170" w:type="dxa"/>
          </w:tcPr>
          <w:p w14:paraId="58D750C0" w14:textId="60C5EB04" w:rsidR="00E76071" w:rsidRPr="007F2096" w:rsidRDefault="00E76071" w:rsidP="00B27F31">
            <w:pPr>
              <w:rPr>
                <w:rFonts w:ascii="Arial" w:hAnsi="Arial" w:cs="Arial"/>
                <w:spacing w:val="-3"/>
                <w:sz w:val="20"/>
              </w:rPr>
            </w:pPr>
          </w:p>
        </w:tc>
        <w:tc>
          <w:tcPr>
            <w:tcW w:w="1620" w:type="dxa"/>
          </w:tcPr>
          <w:p w14:paraId="5741B761" w14:textId="728F9FC7" w:rsidR="00E76071" w:rsidRPr="007F2096" w:rsidRDefault="00A01F8A" w:rsidP="00B27F31">
            <w:pPr>
              <w:rPr>
                <w:rFonts w:ascii="Arial" w:hAnsi="Arial" w:cs="Arial"/>
                <w:spacing w:val="-3"/>
                <w:sz w:val="20"/>
              </w:rPr>
            </w:pPr>
            <w:r>
              <w:rPr>
                <w:rFonts w:ascii="Arial" w:hAnsi="Arial" w:cs="Arial"/>
                <w:spacing w:val="-3"/>
                <w:sz w:val="20"/>
              </w:rPr>
              <w:t>Presupuesto SAT</w:t>
            </w:r>
          </w:p>
        </w:tc>
      </w:tr>
      <w:tr w:rsidR="00A6254C" w:rsidRPr="00E76071" w14:paraId="53CD476C" w14:textId="77777777" w:rsidTr="006B6B00">
        <w:trPr>
          <w:jc w:val="center"/>
        </w:trPr>
        <w:tc>
          <w:tcPr>
            <w:tcW w:w="4320" w:type="dxa"/>
          </w:tcPr>
          <w:p w14:paraId="00DE5167" w14:textId="35F63413" w:rsidR="00A6254C" w:rsidRPr="00A6254C" w:rsidRDefault="00A01F8A" w:rsidP="00B27F31">
            <w:pPr>
              <w:rPr>
                <w:rFonts w:ascii="Arial" w:hAnsi="Arial" w:cs="Arial"/>
                <w:sz w:val="20"/>
                <w:lang w:val="es-ES"/>
              </w:rPr>
            </w:pPr>
            <w:r>
              <w:rPr>
                <w:rFonts w:ascii="Arial" w:hAnsi="Arial" w:cs="Arial"/>
                <w:sz w:val="20"/>
                <w:lang w:val="es-ES"/>
              </w:rPr>
              <w:t xml:space="preserve">8b. </w:t>
            </w:r>
            <w:r w:rsidRPr="00A01F8A">
              <w:rPr>
                <w:rFonts w:ascii="Arial" w:hAnsi="Arial" w:cs="Arial"/>
                <w:sz w:val="20"/>
                <w:lang w:val="es-ES"/>
              </w:rPr>
              <w:t xml:space="preserve">Plan de control integral de la Carga en los recintos fiscalizados durante el despacho aduanero, en proceso de implantación </w:t>
            </w:r>
            <w:r>
              <w:rPr>
                <w:rFonts w:ascii="Arial" w:hAnsi="Arial" w:cs="Arial"/>
                <w:sz w:val="20"/>
                <w:lang w:val="es-ES"/>
              </w:rPr>
              <w:t xml:space="preserve">(primera fase concluida) </w:t>
            </w:r>
            <w:r w:rsidRPr="00A01F8A">
              <w:rPr>
                <w:rFonts w:ascii="Arial" w:hAnsi="Arial" w:cs="Arial"/>
                <w:sz w:val="20"/>
                <w:lang w:val="es-ES"/>
              </w:rPr>
              <w:t>en Puerto Quetzal, y planificación para su extensión a todos los puertos con fiscalización aduanera</w:t>
            </w:r>
          </w:p>
        </w:tc>
        <w:tc>
          <w:tcPr>
            <w:tcW w:w="360" w:type="dxa"/>
            <w:shd w:val="clear" w:color="auto" w:fill="auto"/>
          </w:tcPr>
          <w:p w14:paraId="6BE58BB2" w14:textId="77777777" w:rsidR="00A6254C" w:rsidRPr="00A6254C" w:rsidRDefault="00A6254C" w:rsidP="00B27F31">
            <w:pPr>
              <w:rPr>
                <w:rFonts w:ascii="Arial" w:hAnsi="Arial" w:cs="Arial"/>
                <w:spacing w:val="-3"/>
                <w:sz w:val="20"/>
              </w:rPr>
            </w:pPr>
          </w:p>
        </w:tc>
        <w:tc>
          <w:tcPr>
            <w:tcW w:w="360" w:type="dxa"/>
            <w:shd w:val="clear" w:color="auto" w:fill="auto"/>
          </w:tcPr>
          <w:p w14:paraId="602D1D1B" w14:textId="77777777" w:rsidR="00A6254C" w:rsidRPr="007F2096" w:rsidRDefault="00A6254C" w:rsidP="00B27F31">
            <w:pPr>
              <w:rPr>
                <w:rFonts w:ascii="Arial" w:hAnsi="Arial" w:cs="Arial"/>
                <w:spacing w:val="-3"/>
                <w:sz w:val="20"/>
              </w:rPr>
            </w:pPr>
          </w:p>
        </w:tc>
        <w:tc>
          <w:tcPr>
            <w:tcW w:w="360" w:type="dxa"/>
            <w:shd w:val="clear" w:color="auto" w:fill="auto"/>
          </w:tcPr>
          <w:p w14:paraId="3DC27A56" w14:textId="77777777" w:rsidR="00A6254C" w:rsidRPr="00751944" w:rsidRDefault="00A6254C" w:rsidP="00B27F31">
            <w:pPr>
              <w:rPr>
                <w:rFonts w:ascii="Arial" w:hAnsi="Arial" w:cs="Arial"/>
                <w:spacing w:val="-3"/>
                <w:sz w:val="20"/>
              </w:rPr>
            </w:pPr>
          </w:p>
        </w:tc>
        <w:tc>
          <w:tcPr>
            <w:tcW w:w="360" w:type="dxa"/>
            <w:shd w:val="clear" w:color="auto" w:fill="auto"/>
          </w:tcPr>
          <w:p w14:paraId="68DC13CD" w14:textId="77777777" w:rsidR="00A6254C" w:rsidRPr="00CD39D0" w:rsidRDefault="00A6254C" w:rsidP="00B27F31">
            <w:pPr>
              <w:rPr>
                <w:rFonts w:ascii="Arial" w:hAnsi="Arial" w:cs="Arial"/>
                <w:spacing w:val="-3"/>
                <w:sz w:val="20"/>
              </w:rPr>
            </w:pPr>
          </w:p>
        </w:tc>
        <w:tc>
          <w:tcPr>
            <w:tcW w:w="360" w:type="dxa"/>
            <w:shd w:val="clear" w:color="auto" w:fill="auto"/>
          </w:tcPr>
          <w:p w14:paraId="5DF08227" w14:textId="75E0AE2C" w:rsidR="00A6254C" w:rsidRPr="00A01F8A"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EBDF479" w14:textId="4786D7ED" w:rsidR="00A6254C" w:rsidRPr="00A01F8A"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858ABCA" w14:textId="1B168860" w:rsidR="00A6254C" w:rsidRPr="00A01F8A"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CC3122A" w14:textId="4A7A8638" w:rsidR="00A6254C" w:rsidRPr="00A01F8A" w:rsidRDefault="00A01F8A"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29CAE6B" w14:textId="77777777" w:rsidR="00A6254C" w:rsidRPr="009D6EE7" w:rsidRDefault="00A6254C" w:rsidP="00B27F31">
            <w:pPr>
              <w:rPr>
                <w:rFonts w:ascii="Arial" w:hAnsi="Arial" w:cs="Arial"/>
                <w:spacing w:val="-3"/>
                <w:sz w:val="20"/>
              </w:rPr>
            </w:pPr>
          </w:p>
        </w:tc>
        <w:tc>
          <w:tcPr>
            <w:tcW w:w="360" w:type="dxa"/>
            <w:shd w:val="clear" w:color="auto" w:fill="auto"/>
          </w:tcPr>
          <w:p w14:paraId="7FDC44EA" w14:textId="77777777" w:rsidR="00A6254C" w:rsidRPr="00F07574" w:rsidRDefault="00A6254C" w:rsidP="00B27F31">
            <w:pPr>
              <w:rPr>
                <w:rFonts w:ascii="Arial" w:hAnsi="Arial" w:cs="Arial"/>
                <w:spacing w:val="-3"/>
                <w:sz w:val="20"/>
              </w:rPr>
            </w:pPr>
          </w:p>
        </w:tc>
        <w:tc>
          <w:tcPr>
            <w:tcW w:w="360" w:type="dxa"/>
            <w:shd w:val="clear" w:color="auto" w:fill="auto"/>
          </w:tcPr>
          <w:p w14:paraId="404CC390" w14:textId="77777777" w:rsidR="00A6254C" w:rsidRPr="00C72A25" w:rsidRDefault="00A6254C" w:rsidP="00B27F31">
            <w:pPr>
              <w:rPr>
                <w:rFonts w:ascii="Arial" w:hAnsi="Arial" w:cs="Arial"/>
                <w:spacing w:val="-3"/>
                <w:sz w:val="20"/>
              </w:rPr>
            </w:pPr>
          </w:p>
        </w:tc>
        <w:tc>
          <w:tcPr>
            <w:tcW w:w="360" w:type="dxa"/>
            <w:shd w:val="clear" w:color="auto" w:fill="auto"/>
          </w:tcPr>
          <w:p w14:paraId="5BF73D35" w14:textId="77777777" w:rsidR="00A6254C" w:rsidRPr="006B6B00" w:rsidRDefault="00A6254C" w:rsidP="00B27F31">
            <w:pPr>
              <w:rPr>
                <w:rFonts w:ascii="Arial" w:hAnsi="Arial" w:cs="Arial"/>
                <w:spacing w:val="-3"/>
                <w:sz w:val="20"/>
              </w:rPr>
            </w:pPr>
          </w:p>
        </w:tc>
        <w:tc>
          <w:tcPr>
            <w:tcW w:w="1710" w:type="dxa"/>
          </w:tcPr>
          <w:p w14:paraId="36F4088D" w14:textId="21CC2B0F" w:rsidR="00A6254C" w:rsidRPr="00A01F8A" w:rsidRDefault="00A01F8A" w:rsidP="00B27F31">
            <w:pPr>
              <w:rPr>
                <w:rFonts w:ascii="Arial" w:hAnsi="Arial" w:cs="Arial"/>
                <w:spacing w:val="-3"/>
                <w:sz w:val="20"/>
              </w:rPr>
            </w:pPr>
            <w:r>
              <w:rPr>
                <w:rFonts w:ascii="Arial" w:hAnsi="Arial" w:cs="Arial"/>
                <w:spacing w:val="-3"/>
                <w:sz w:val="20"/>
              </w:rPr>
              <w:t>SAT. Debe implantarse el 2017.</w:t>
            </w:r>
            <w:r w:rsidRPr="00A01F8A">
              <w:rPr>
                <w:rFonts w:ascii="Arial" w:hAnsi="Arial" w:cs="Arial"/>
                <w:spacing w:val="-3"/>
                <w:sz w:val="20"/>
              </w:rPr>
              <w:t xml:space="preserve"> El Banco viene discutiendo la posibilidad de apoyar financieramente.</w:t>
            </w:r>
          </w:p>
        </w:tc>
        <w:tc>
          <w:tcPr>
            <w:tcW w:w="1170" w:type="dxa"/>
          </w:tcPr>
          <w:p w14:paraId="4AF8CB16" w14:textId="23D5D8AA" w:rsidR="00A6254C" w:rsidRPr="009D6EE7" w:rsidRDefault="005E0B4E" w:rsidP="00B27F31">
            <w:pPr>
              <w:rPr>
                <w:rFonts w:ascii="Arial" w:hAnsi="Arial" w:cs="Arial"/>
                <w:spacing w:val="-3"/>
                <w:sz w:val="20"/>
              </w:rPr>
            </w:pPr>
            <w:r>
              <w:rPr>
                <w:rFonts w:ascii="Arial" w:hAnsi="Arial" w:cs="Arial"/>
                <w:spacing w:val="-3"/>
                <w:sz w:val="20"/>
              </w:rPr>
              <w:t>US$ 200.000 en el 2017 y US$ 15 millones entre el 2018 y 2021.</w:t>
            </w:r>
          </w:p>
        </w:tc>
        <w:tc>
          <w:tcPr>
            <w:tcW w:w="1620" w:type="dxa"/>
          </w:tcPr>
          <w:p w14:paraId="4593D7DE" w14:textId="0AF19739" w:rsidR="00A6254C" w:rsidRPr="00A01F8A" w:rsidRDefault="00A01F8A" w:rsidP="00B27F31">
            <w:pPr>
              <w:rPr>
                <w:rFonts w:ascii="Arial" w:hAnsi="Arial" w:cs="Arial"/>
                <w:spacing w:val="-3"/>
                <w:sz w:val="20"/>
              </w:rPr>
            </w:pPr>
            <w:r>
              <w:rPr>
                <w:rFonts w:ascii="Arial" w:hAnsi="Arial" w:cs="Arial"/>
                <w:spacing w:val="-3"/>
                <w:sz w:val="20"/>
              </w:rPr>
              <w:t>Presupuesto SAT</w:t>
            </w:r>
          </w:p>
        </w:tc>
      </w:tr>
      <w:tr w:rsidR="00E76071" w:rsidRPr="00E76071" w14:paraId="4ADB367C" w14:textId="77777777" w:rsidTr="006B6B00">
        <w:trPr>
          <w:jc w:val="center"/>
        </w:trPr>
        <w:tc>
          <w:tcPr>
            <w:tcW w:w="4320" w:type="dxa"/>
          </w:tcPr>
          <w:p w14:paraId="10F76E04" w14:textId="4BBFB22D" w:rsidR="00E76071" w:rsidRPr="007F2096" w:rsidRDefault="00E76071" w:rsidP="00B27F31">
            <w:pPr>
              <w:rPr>
                <w:rFonts w:ascii="Arial" w:hAnsi="Arial" w:cs="Arial"/>
                <w:spacing w:val="-3"/>
                <w:sz w:val="20"/>
              </w:rPr>
            </w:pPr>
            <w:r w:rsidRPr="007F2096">
              <w:rPr>
                <w:rFonts w:ascii="Arial" w:hAnsi="Arial" w:cs="Arial"/>
                <w:sz w:val="20"/>
                <w:lang w:val="es-ES"/>
              </w:rPr>
              <w:t>9</w:t>
            </w:r>
            <w:r w:rsidR="0091516F">
              <w:rPr>
                <w:rFonts w:ascii="Arial" w:hAnsi="Arial" w:cs="Arial"/>
                <w:sz w:val="20"/>
                <w:lang w:val="es-ES"/>
              </w:rPr>
              <w:t>a</w:t>
            </w:r>
            <w:r w:rsidRPr="007F2096">
              <w:rPr>
                <w:rFonts w:ascii="Arial" w:hAnsi="Arial" w:cs="Arial"/>
                <w:sz w:val="20"/>
                <w:lang w:val="es-ES"/>
              </w:rPr>
              <w:t xml:space="preserve">. Institucionalización de un marco de colaboración en investigaciones criminales de evasión tributaria y fraude fiscal, mediante  un Convenio Interinstitucional entre la SAT, el Ministerio Público y la CICIG (Comisión </w:t>
            </w:r>
            <w:r w:rsidRPr="007F2096">
              <w:rPr>
                <w:rFonts w:ascii="Arial" w:hAnsi="Arial" w:cs="Arial"/>
                <w:sz w:val="20"/>
                <w:lang w:val="es-ES"/>
              </w:rPr>
              <w:lastRenderedPageBreak/>
              <w:t>Internacional contra la Impunidad en Guatemala).</w:t>
            </w:r>
          </w:p>
        </w:tc>
        <w:tc>
          <w:tcPr>
            <w:tcW w:w="360" w:type="dxa"/>
            <w:shd w:val="clear" w:color="auto" w:fill="auto"/>
          </w:tcPr>
          <w:p w14:paraId="7F44416D" w14:textId="77777777" w:rsidR="00E76071" w:rsidRPr="007F2096" w:rsidRDefault="00E76071" w:rsidP="00B27F31">
            <w:pPr>
              <w:rPr>
                <w:rFonts w:ascii="Arial" w:hAnsi="Arial" w:cs="Arial"/>
                <w:spacing w:val="-3"/>
                <w:sz w:val="20"/>
              </w:rPr>
            </w:pPr>
          </w:p>
        </w:tc>
        <w:tc>
          <w:tcPr>
            <w:tcW w:w="360" w:type="dxa"/>
            <w:shd w:val="clear" w:color="auto" w:fill="auto"/>
          </w:tcPr>
          <w:p w14:paraId="788EF8B7" w14:textId="14233BD2" w:rsidR="00E76071" w:rsidRPr="007F2096"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FE889EE" w14:textId="26BAA81B" w:rsidR="00E76071" w:rsidRPr="007F2096"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7003645" w14:textId="77777777" w:rsidR="00E76071" w:rsidRPr="007F2096" w:rsidRDefault="00E76071" w:rsidP="00B27F31">
            <w:pPr>
              <w:rPr>
                <w:rFonts w:ascii="Arial" w:hAnsi="Arial" w:cs="Arial"/>
                <w:spacing w:val="-3"/>
                <w:sz w:val="20"/>
              </w:rPr>
            </w:pPr>
          </w:p>
        </w:tc>
        <w:tc>
          <w:tcPr>
            <w:tcW w:w="360" w:type="dxa"/>
            <w:shd w:val="clear" w:color="auto" w:fill="auto"/>
          </w:tcPr>
          <w:p w14:paraId="1E2EC17F" w14:textId="77777777" w:rsidR="00E76071" w:rsidRPr="007F2096" w:rsidRDefault="00E76071" w:rsidP="00B27F31">
            <w:pPr>
              <w:rPr>
                <w:rFonts w:ascii="Arial" w:hAnsi="Arial" w:cs="Arial"/>
                <w:spacing w:val="-3"/>
                <w:sz w:val="20"/>
              </w:rPr>
            </w:pPr>
          </w:p>
        </w:tc>
        <w:tc>
          <w:tcPr>
            <w:tcW w:w="360" w:type="dxa"/>
            <w:shd w:val="clear" w:color="auto" w:fill="auto"/>
          </w:tcPr>
          <w:p w14:paraId="02C1E31B" w14:textId="77777777" w:rsidR="00E76071" w:rsidRPr="007F2096" w:rsidRDefault="00E76071" w:rsidP="00B27F31">
            <w:pPr>
              <w:rPr>
                <w:rFonts w:ascii="Arial" w:hAnsi="Arial" w:cs="Arial"/>
                <w:spacing w:val="-3"/>
                <w:sz w:val="20"/>
              </w:rPr>
            </w:pPr>
          </w:p>
        </w:tc>
        <w:tc>
          <w:tcPr>
            <w:tcW w:w="360" w:type="dxa"/>
            <w:shd w:val="clear" w:color="auto" w:fill="auto"/>
          </w:tcPr>
          <w:p w14:paraId="63323E99" w14:textId="77777777" w:rsidR="00E76071" w:rsidRPr="007F2096" w:rsidRDefault="00E76071" w:rsidP="00B27F31">
            <w:pPr>
              <w:rPr>
                <w:rFonts w:ascii="Arial" w:hAnsi="Arial" w:cs="Arial"/>
                <w:spacing w:val="-3"/>
                <w:sz w:val="20"/>
              </w:rPr>
            </w:pPr>
          </w:p>
        </w:tc>
        <w:tc>
          <w:tcPr>
            <w:tcW w:w="360" w:type="dxa"/>
            <w:shd w:val="clear" w:color="auto" w:fill="auto"/>
          </w:tcPr>
          <w:p w14:paraId="199871D7" w14:textId="77777777" w:rsidR="00E76071" w:rsidRPr="007F2096" w:rsidRDefault="00E76071" w:rsidP="00B27F31">
            <w:pPr>
              <w:rPr>
                <w:rFonts w:ascii="Arial" w:hAnsi="Arial" w:cs="Arial"/>
                <w:spacing w:val="-3"/>
                <w:sz w:val="20"/>
              </w:rPr>
            </w:pPr>
          </w:p>
        </w:tc>
        <w:tc>
          <w:tcPr>
            <w:tcW w:w="360" w:type="dxa"/>
            <w:shd w:val="clear" w:color="auto" w:fill="auto"/>
          </w:tcPr>
          <w:p w14:paraId="08541210" w14:textId="77777777" w:rsidR="00E76071" w:rsidRPr="007F2096" w:rsidRDefault="00E76071" w:rsidP="00B27F31">
            <w:pPr>
              <w:rPr>
                <w:rFonts w:ascii="Arial" w:hAnsi="Arial" w:cs="Arial"/>
                <w:spacing w:val="-3"/>
                <w:sz w:val="20"/>
              </w:rPr>
            </w:pPr>
          </w:p>
        </w:tc>
        <w:tc>
          <w:tcPr>
            <w:tcW w:w="360" w:type="dxa"/>
            <w:shd w:val="clear" w:color="auto" w:fill="auto"/>
          </w:tcPr>
          <w:p w14:paraId="1C4591D5" w14:textId="77777777" w:rsidR="00E76071" w:rsidRPr="007F2096" w:rsidRDefault="00E76071" w:rsidP="00B27F31">
            <w:pPr>
              <w:rPr>
                <w:rFonts w:ascii="Arial" w:hAnsi="Arial" w:cs="Arial"/>
                <w:spacing w:val="-3"/>
                <w:sz w:val="20"/>
              </w:rPr>
            </w:pPr>
          </w:p>
        </w:tc>
        <w:tc>
          <w:tcPr>
            <w:tcW w:w="360" w:type="dxa"/>
            <w:shd w:val="clear" w:color="auto" w:fill="auto"/>
          </w:tcPr>
          <w:p w14:paraId="33F85DB0" w14:textId="77777777" w:rsidR="00E76071" w:rsidRPr="007F2096" w:rsidRDefault="00E76071" w:rsidP="00B27F31">
            <w:pPr>
              <w:rPr>
                <w:rFonts w:ascii="Arial" w:hAnsi="Arial" w:cs="Arial"/>
                <w:spacing w:val="-3"/>
                <w:sz w:val="20"/>
              </w:rPr>
            </w:pPr>
          </w:p>
        </w:tc>
        <w:tc>
          <w:tcPr>
            <w:tcW w:w="360" w:type="dxa"/>
            <w:shd w:val="clear" w:color="auto" w:fill="auto"/>
          </w:tcPr>
          <w:p w14:paraId="5A2F0373" w14:textId="77777777" w:rsidR="00E76071" w:rsidRPr="007F2096" w:rsidRDefault="00E76071" w:rsidP="00B27F31">
            <w:pPr>
              <w:rPr>
                <w:rFonts w:ascii="Arial" w:hAnsi="Arial" w:cs="Arial"/>
                <w:spacing w:val="-3"/>
                <w:sz w:val="20"/>
              </w:rPr>
            </w:pPr>
          </w:p>
        </w:tc>
        <w:tc>
          <w:tcPr>
            <w:tcW w:w="1710" w:type="dxa"/>
          </w:tcPr>
          <w:p w14:paraId="58A43CCD" w14:textId="7BCC654D" w:rsidR="00E76071" w:rsidRPr="007F2096" w:rsidRDefault="0091516F" w:rsidP="00B27F31">
            <w:pPr>
              <w:rPr>
                <w:rFonts w:ascii="Arial" w:hAnsi="Arial" w:cs="Arial"/>
                <w:spacing w:val="-3"/>
                <w:sz w:val="20"/>
              </w:rPr>
            </w:pPr>
            <w:r>
              <w:rPr>
                <w:rFonts w:ascii="Arial" w:hAnsi="Arial" w:cs="Arial"/>
                <w:spacing w:val="-3"/>
                <w:sz w:val="20"/>
              </w:rPr>
              <w:t>SAT. Convenio preparado y por firmarse.</w:t>
            </w:r>
          </w:p>
        </w:tc>
        <w:tc>
          <w:tcPr>
            <w:tcW w:w="1170" w:type="dxa"/>
          </w:tcPr>
          <w:p w14:paraId="2FBD5F23" w14:textId="77777777" w:rsidR="00E76071" w:rsidRPr="007F2096" w:rsidRDefault="00E76071" w:rsidP="00B27F31">
            <w:pPr>
              <w:rPr>
                <w:rFonts w:ascii="Arial" w:hAnsi="Arial" w:cs="Arial"/>
                <w:spacing w:val="-3"/>
                <w:sz w:val="20"/>
              </w:rPr>
            </w:pPr>
          </w:p>
        </w:tc>
        <w:tc>
          <w:tcPr>
            <w:tcW w:w="1620" w:type="dxa"/>
          </w:tcPr>
          <w:p w14:paraId="0EF79351" w14:textId="6B572585" w:rsidR="00E76071" w:rsidRPr="007F2096" w:rsidRDefault="0091516F" w:rsidP="00B27F31">
            <w:pPr>
              <w:rPr>
                <w:rFonts w:ascii="Arial" w:hAnsi="Arial" w:cs="Arial"/>
                <w:spacing w:val="-3"/>
                <w:sz w:val="20"/>
              </w:rPr>
            </w:pPr>
            <w:r>
              <w:rPr>
                <w:rFonts w:ascii="Arial" w:hAnsi="Arial" w:cs="Arial"/>
                <w:spacing w:val="-3"/>
                <w:sz w:val="20"/>
              </w:rPr>
              <w:t>Presupuesto SAT</w:t>
            </w:r>
          </w:p>
        </w:tc>
      </w:tr>
      <w:tr w:rsidR="00A6254C" w:rsidRPr="00E76071" w14:paraId="5FB702EC" w14:textId="77777777" w:rsidTr="006B6B00">
        <w:trPr>
          <w:jc w:val="center"/>
        </w:trPr>
        <w:tc>
          <w:tcPr>
            <w:tcW w:w="4320" w:type="dxa"/>
          </w:tcPr>
          <w:p w14:paraId="5E2ED4C2" w14:textId="022E01B1" w:rsidR="00A6254C" w:rsidRPr="00A6254C" w:rsidRDefault="0091516F" w:rsidP="00B27F31">
            <w:pPr>
              <w:rPr>
                <w:rFonts w:ascii="Arial" w:hAnsi="Arial" w:cs="Arial"/>
                <w:sz w:val="20"/>
                <w:lang w:val="es-ES"/>
              </w:rPr>
            </w:pPr>
            <w:r>
              <w:rPr>
                <w:rFonts w:ascii="Arial" w:hAnsi="Arial" w:cs="Arial"/>
                <w:sz w:val="20"/>
                <w:lang w:val="es-ES"/>
              </w:rPr>
              <w:lastRenderedPageBreak/>
              <w:t xml:space="preserve">9b. </w:t>
            </w:r>
            <w:r w:rsidRPr="0091516F">
              <w:rPr>
                <w:rFonts w:ascii="Arial" w:hAnsi="Arial" w:cs="Arial"/>
                <w:sz w:val="20"/>
                <w:lang w:val="es-ES"/>
              </w:rPr>
              <w:t>Investigaciones criminales de evasión tributaria y fraudes fiscales, en operación</w:t>
            </w:r>
          </w:p>
        </w:tc>
        <w:tc>
          <w:tcPr>
            <w:tcW w:w="360" w:type="dxa"/>
            <w:shd w:val="clear" w:color="auto" w:fill="auto"/>
          </w:tcPr>
          <w:p w14:paraId="45A4F842" w14:textId="77777777" w:rsidR="00A6254C" w:rsidRPr="00A6254C" w:rsidRDefault="00A6254C" w:rsidP="00B27F31">
            <w:pPr>
              <w:rPr>
                <w:rFonts w:ascii="Arial" w:hAnsi="Arial" w:cs="Arial"/>
                <w:spacing w:val="-3"/>
                <w:sz w:val="20"/>
              </w:rPr>
            </w:pPr>
          </w:p>
        </w:tc>
        <w:tc>
          <w:tcPr>
            <w:tcW w:w="360" w:type="dxa"/>
            <w:shd w:val="clear" w:color="auto" w:fill="auto"/>
          </w:tcPr>
          <w:p w14:paraId="64D4D763" w14:textId="36014A60" w:rsidR="00A6254C" w:rsidRPr="007F2096"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457E1E2" w14:textId="74BD2519" w:rsidR="00A6254C" w:rsidRPr="00751944"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A816AAD" w14:textId="17452606" w:rsidR="00A6254C" w:rsidRPr="00CD39D0"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1E644F0" w14:textId="52D063E8" w:rsidR="00A6254C" w:rsidRPr="0091516F"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9EFA013" w14:textId="77777777" w:rsidR="00A6254C" w:rsidRPr="009D6EE7" w:rsidRDefault="00A6254C" w:rsidP="00B27F31">
            <w:pPr>
              <w:rPr>
                <w:rFonts w:ascii="Arial" w:hAnsi="Arial" w:cs="Arial"/>
                <w:spacing w:val="-3"/>
                <w:sz w:val="20"/>
              </w:rPr>
            </w:pPr>
          </w:p>
        </w:tc>
        <w:tc>
          <w:tcPr>
            <w:tcW w:w="360" w:type="dxa"/>
            <w:shd w:val="clear" w:color="auto" w:fill="auto"/>
          </w:tcPr>
          <w:p w14:paraId="58DCE087" w14:textId="77777777" w:rsidR="00A6254C" w:rsidRPr="00F07574" w:rsidRDefault="00A6254C" w:rsidP="00B27F31">
            <w:pPr>
              <w:rPr>
                <w:rFonts w:ascii="Arial" w:hAnsi="Arial" w:cs="Arial"/>
                <w:spacing w:val="-3"/>
                <w:sz w:val="20"/>
              </w:rPr>
            </w:pPr>
          </w:p>
        </w:tc>
        <w:tc>
          <w:tcPr>
            <w:tcW w:w="360" w:type="dxa"/>
            <w:shd w:val="clear" w:color="auto" w:fill="auto"/>
          </w:tcPr>
          <w:p w14:paraId="2C9E7CE7" w14:textId="77777777" w:rsidR="00A6254C" w:rsidRPr="00C72A25" w:rsidRDefault="00A6254C" w:rsidP="00B27F31">
            <w:pPr>
              <w:rPr>
                <w:rFonts w:ascii="Arial" w:hAnsi="Arial" w:cs="Arial"/>
                <w:spacing w:val="-3"/>
                <w:sz w:val="20"/>
              </w:rPr>
            </w:pPr>
          </w:p>
        </w:tc>
        <w:tc>
          <w:tcPr>
            <w:tcW w:w="360" w:type="dxa"/>
            <w:shd w:val="clear" w:color="auto" w:fill="auto"/>
          </w:tcPr>
          <w:p w14:paraId="572A65EF" w14:textId="77777777" w:rsidR="00A6254C" w:rsidRPr="006B6B00" w:rsidRDefault="00A6254C" w:rsidP="00B27F31">
            <w:pPr>
              <w:rPr>
                <w:rFonts w:ascii="Arial" w:hAnsi="Arial" w:cs="Arial"/>
                <w:spacing w:val="-3"/>
                <w:sz w:val="20"/>
              </w:rPr>
            </w:pPr>
          </w:p>
        </w:tc>
        <w:tc>
          <w:tcPr>
            <w:tcW w:w="360" w:type="dxa"/>
            <w:shd w:val="clear" w:color="auto" w:fill="auto"/>
          </w:tcPr>
          <w:p w14:paraId="10956EA0" w14:textId="77777777" w:rsidR="00A6254C" w:rsidRPr="006B6B00" w:rsidRDefault="00A6254C" w:rsidP="00B27F31">
            <w:pPr>
              <w:rPr>
                <w:rFonts w:ascii="Arial" w:hAnsi="Arial" w:cs="Arial"/>
                <w:spacing w:val="-3"/>
                <w:sz w:val="20"/>
              </w:rPr>
            </w:pPr>
          </w:p>
        </w:tc>
        <w:tc>
          <w:tcPr>
            <w:tcW w:w="360" w:type="dxa"/>
            <w:shd w:val="clear" w:color="auto" w:fill="auto"/>
          </w:tcPr>
          <w:p w14:paraId="4FC199B6" w14:textId="77777777" w:rsidR="00A6254C" w:rsidRPr="006B6B00" w:rsidRDefault="00A6254C" w:rsidP="00B27F31">
            <w:pPr>
              <w:rPr>
                <w:rFonts w:ascii="Arial" w:hAnsi="Arial" w:cs="Arial"/>
                <w:spacing w:val="-3"/>
                <w:sz w:val="20"/>
              </w:rPr>
            </w:pPr>
          </w:p>
        </w:tc>
        <w:tc>
          <w:tcPr>
            <w:tcW w:w="360" w:type="dxa"/>
            <w:shd w:val="clear" w:color="auto" w:fill="auto"/>
          </w:tcPr>
          <w:p w14:paraId="5132ADB0" w14:textId="77777777" w:rsidR="00A6254C" w:rsidRPr="006B6B00" w:rsidRDefault="00A6254C" w:rsidP="00B27F31">
            <w:pPr>
              <w:rPr>
                <w:rFonts w:ascii="Arial" w:hAnsi="Arial" w:cs="Arial"/>
                <w:spacing w:val="-3"/>
                <w:sz w:val="20"/>
              </w:rPr>
            </w:pPr>
          </w:p>
        </w:tc>
        <w:tc>
          <w:tcPr>
            <w:tcW w:w="1710" w:type="dxa"/>
          </w:tcPr>
          <w:p w14:paraId="203E1939" w14:textId="41D15F1C" w:rsidR="00A6254C" w:rsidRPr="0091516F" w:rsidRDefault="0091516F" w:rsidP="0091516F">
            <w:pPr>
              <w:rPr>
                <w:rFonts w:ascii="Arial" w:hAnsi="Arial" w:cs="Arial"/>
                <w:spacing w:val="-3"/>
                <w:sz w:val="20"/>
              </w:rPr>
            </w:pPr>
            <w:r>
              <w:rPr>
                <w:rFonts w:ascii="Arial" w:hAnsi="Arial" w:cs="Arial"/>
                <w:spacing w:val="-3"/>
                <w:sz w:val="20"/>
              </w:rPr>
              <w:t>SAT y MP. En realización. Solamente una investigación reciente, de una firma de aceros, llevó al recibimiento de US$100 millones.</w:t>
            </w:r>
          </w:p>
        </w:tc>
        <w:tc>
          <w:tcPr>
            <w:tcW w:w="1170" w:type="dxa"/>
          </w:tcPr>
          <w:p w14:paraId="095A62D9" w14:textId="77777777" w:rsidR="00A6254C" w:rsidRPr="009D6EE7" w:rsidRDefault="00A6254C" w:rsidP="00B27F31">
            <w:pPr>
              <w:rPr>
                <w:rFonts w:ascii="Arial" w:hAnsi="Arial" w:cs="Arial"/>
                <w:spacing w:val="-3"/>
                <w:sz w:val="20"/>
              </w:rPr>
            </w:pPr>
          </w:p>
        </w:tc>
        <w:tc>
          <w:tcPr>
            <w:tcW w:w="1620" w:type="dxa"/>
          </w:tcPr>
          <w:p w14:paraId="6B8EC8B7" w14:textId="183A8520" w:rsidR="00A6254C" w:rsidRPr="0091516F" w:rsidRDefault="0091516F" w:rsidP="00B27F31">
            <w:pPr>
              <w:rPr>
                <w:rFonts w:ascii="Arial" w:hAnsi="Arial" w:cs="Arial"/>
                <w:spacing w:val="-3"/>
                <w:sz w:val="20"/>
              </w:rPr>
            </w:pPr>
            <w:r>
              <w:rPr>
                <w:rFonts w:ascii="Arial" w:hAnsi="Arial" w:cs="Arial"/>
                <w:spacing w:val="-3"/>
                <w:sz w:val="20"/>
              </w:rPr>
              <w:t>SAT y MP</w:t>
            </w:r>
          </w:p>
        </w:tc>
      </w:tr>
      <w:tr w:rsidR="00E76071" w:rsidRPr="00E76071" w14:paraId="77C5C67A" w14:textId="77777777" w:rsidTr="006B6B00">
        <w:trPr>
          <w:jc w:val="center"/>
        </w:trPr>
        <w:tc>
          <w:tcPr>
            <w:tcW w:w="4320" w:type="dxa"/>
          </w:tcPr>
          <w:p w14:paraId="031FF41B" w14:textId="18B09FDF" w:rsidR="00E76071" w:rsidRPr="007F2096" w:rsidRDefault="009D6EE7" w:rsidP="00B27F31">
            <w:pPr>
              <w:rPr>
                <w:rFonts w:ascii="Arial" w:hAnsi="Arial" w:cs="Arial"/>
                <w:spacing w:val="-3"/>
                <w:sz w:val="20"/>
              </w:rPr>
            </w:pPr>
            <w:r>
              <w:rPr>
                <w:rFonts w:ascii="Arial" w:hAnsi="Arial" w:cs="Arial"/>
                <w:spacing w:val="-3"/>
                <w:sz w:val="20"/>
                <w:lang w:val="es-ES"/>
              </w:rPr>
              <w:t>10a</w:t>
            </w:r>
            <w:r w:rsidR="0091516F">
              <w:rPr>
                <w:rFonts w:ascii="Arial" w:hAnsi="Arial" w:cs="Arial"/>
                <w:spacing w:val="-3"/>
                <w:sz w:val="20"/>
                <w:lang w:val="es-ES"/>
              </w:rPr>
              <w:t xml:space="preserve">. </w:t>
            </w:r>
            <w:r w:rsidR="00E76071" w:rsidRPr="007F2096">
              <w:rPr>
                <w:rFonts w:ascii="Arial" w:hAnsi="Arial" w:cs="Arial"/>
                <w:spacing w:val="-3"/>
                <w:sz w:val="20"/>
                <w:lang w:val="es-ES"/>
              </w:rPr>
              <w:t>Fortalecimiento del Ministerio Público, mediante la aprobación por el Congreso de la República de reformas a la Ley Orgánica del Ministerio Público.</w:t>
            </w:r>
          </w:p>
        </w:tc>
        <w:tc>
          <w:tcPr>
            <w:tcW w:w="360" w:type="dxa"/>
            <w:shd w:val="clear" w:color="auto" w:fill="auto"/>
          </w:tcPr>
          <w:p w14:paraId="7BE46A79" w14:textId="77777777" w:rsidR="00E76071" w:rsidRPr="007F2096" w:rsidRDefault="00E76071" w:rsidP="00B27F31">
            <w:pPr>
              <w:rPr>
                <w:rFonts w:ascii="Arial" w:hAnsi="Arial" w:cs="Arial"/>
                <w:spacing w:val="-3"/>
                <w:sz w:val="20"/>
              </w:rPr>
            </w:pPr>
          </w:p>
        </w:tc>
        <w:tc>
          <w:tcPr>
            <w:tcW w:w="360" w:type="dxa"/>
            <w:shd w:val="clear" w:color="auto" w:fill="auto"/>
          </w:tcPr>
          <w:p w14:paraId="04D5ACC8" w14:textId="7D5273A9" w:rsidR="00E76071" w:rsidRPr="007F2096"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45232A0" w14:textId="5F2C03E4" w:rsidR="00E76071" w:rsidRPr="007F2096" w:rsidRDefault="0091516F"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06CDFEB" w14:textId="77777777" w:rsidR="00E76071" w:rsidRPr="007F2096" w:rsidRDefault="00E76071" w:rsidP="00B27F31">
            <w:pPr>
              <w:rPr>
                <w:rFonts w:ascii="Arial" w:hAnsi="Arial" w:cs="Arial"/>
                <w:spacing w:val="-3"/>
                <w:sz w:val="20"/>
              </w:rPr>
            </w:pPr>
          </w:p>
        </w:tc>
        <w:tc>
          <w:tcPr>
            <w:tcW w:w="360" w:type="dxa"/>
            <w:shd w:val="clear" w:color="auto" w:fill="auto"/>
          </w:tcPr>
          <w:p w14:paraId="5BD71243" w14:textId="77777777" w:rsidR="00E76071" w:rsidRPr="007F2096" w:rsidRDefault="00E76071" w:rsidP="00B27F31">
            <w:pPr>
              <w:rPr>
                <w:rFonts w:ascii="Arial" w:hAnsi="Arial" w:cs="Arial"/>
                <w:spacing w:val="-3"/>
                <w:sz w:val="20"/>
              </w:rPr>
            </w:pPr>
          </w:p>
        </w:tc>
        <w:tc>
          <w:tcPr>
            <w:tcW w:w="360" w:type="dxa"/>
            <w:shd w:val="clear" w:color="auto" w:fill="auto"/>
          </w:tcPr>
          <w:p w14:paraId="64E470A6" w14:textId="77777777" w:rsidR="00E76071" w:rsidRPr="007F2096" w:rsidRDefault="00E76071" w:rsidP="00B27F31">
            <w:pPr>
              <w:rPr>
                <w:rFonts w:ascii="Arial" w:hAnsi="Arial" w:cs="Arial"/>
                <w:spacing w:val="-3"/>
                <w:sz w:val="20"/>
              </w:rPr>
            </w:pPr>
          </w:p>
        </w:tc>
        <w:tc>
          <w:tcPr>
            <w:tcW w:w="360" w:type="dxa"/>
            <w:shd w:val="clear" w:color="auto" w:fill="auto"/>
          </w:tcPr>
          <w:p w14:paraId="2AC2881E" w14:textId="77777777" w:rsidR="00E76071" w:rsidRPr="007F2096" w:rsidRDefault="00E76071" w:rsidP="00B27F31">
            <w:pPr>
              <w:rPr>
                <w:rFonts w:ascii="Arial" w:hAnsi="Arial" w:cs="Arial"/>
                <w:spacing w:val="-3"/>
                <w:sz w:val="20"/>
              </w:rPr>
            </w:pPr>
          </w:p>
        </w:tc>
        <w:tc>
          <w:tcPr>
            <w:tcW w:w="360" w:type="dxa"/>
            <w:shd w:val="clear" w:color="auto" w:fill="auto"/>
          </w:tcPr>
          <w:p w14:paraId="03ECAB63" w14:textId="77777777" w:rsidR="00E76071" w:rsidRPr="007F2096" w:rsidRDefault="00E76071" w:rsidP="00B27F31">
            <w:pPr>
              <w:rPr>
                <w:rFonts w:ascii="Arial" w:hAnsi="Arial" w:cs="Arial"/>
                <w:spacing w:val="-3"/>
                <w:sz w:val="20"/>
              </w:rPr>
            </w:pPr>
          </w:p>
        </w:tc>
        <w:tc>
          <w:tcPr>
            <w:tcW w:w="360" w:type="dxa"/>
            <w:shd w:val="clear" w:color="auto" w:fill="auto"/>
          </w:tcPr>
          <w:p w14:paraId="2977A931" w14:textId="77777777" w:rsidR="00E76071" w:rsidRPr="007F2096" w:rsidRDefault="00E76071" w:rsidP="00B27F31">
            <w:pPr>
              <w:rPr>
                <w:rFonts w:ascii="Arial" w:hAnsi="Arial" w:cs="Arial"/>
                <w:spacing w:val="-3"/>
                <w:sz w:val="20"/>
              </w:rPr>
            </w:pPr>
          </w:p>
        </w:tc>
        <w:tc>
          <w:tcPr>
            <w:tcW w:w="360" w:type="dxa"/>
            <w:shd w:val="clear" w:color="auto" w:fill="auto"/>
          </w:tcPr>
          <w:p w14:paraId="6EA2876D" w14:textId="77777777" w:rsidR="00E76071" w:rsidRPr="007F2096" w:rsidRDefault="00E76071" w:rsidP="00B27F31">
            <w:pPr>
              <w:rPr>
                <w:rFonts w:ascii="Arial" w:hAnsi="Arial" w:cs="Arial"/>
                <w:spacing w:val="-3"/>
                <w:sz w:val="20"/>
              </w:rPr>
            </w:pPr>
          </w:p>
        </w:tc>
        <w:tc>
          <w:tcPr>
            <w:tcW w:w="360" w:type="dxa"/>
            <w:shd w:val="clear" w:color="auto" w:fill="auto"/>
          </w:tcPr>
          <w:p w14:paraId="6C325D80" w14:textId="77777777" w:rsidR="00E76071" w:rsidRPr="007F2096" w:rsidRDefault="00E76071" w:rsidP="00B27F31">
            <w:pPr>
              <w:rPr>
                <w:rFonts w:ascii="Arial" w:hAnsi="Arial" w:cs="Arial"/>
                <w:spacing w:val="-3"/>
                <w:sz w:val="20"/>
              </w:rPr>
            </w:pPr>
          </w:p>
        </w:tc>
        <w:tc>
          <w:tcPr>
            <w:tcW w:w="360" w:type="dxa"/>
            <w:shd w:val="clear" w:color="auto" w:fill="auto"/>
          </w:tcPr>
          <w:p w14:paraId="6339EFE8" w14:textId="77777777" w:rsidR="00E76071" w:rsidRPr="007F2096" w:rsidRDefault="00E76071" w:rsidP="00B27F31">
            <w:pPr>
              <w:rPr>
                <w:rFonts w:ascii="Arial" w:hAnsi="Arial" w:cs="Arial"/>
                <w:spacing w:val="-3"/>
                <w:sz w:val="20"/>
              </w:rPr>
            </w:pPr>
          </w:p>
        </w:tc>
        <w:tc>
          <w:tcPr>
            <w:tcW w:w="1710" w:type="dxa"/>
          </w:tcPr>
          <w:p w14:paraId="40B59396" w14:textId="1C576289" w:rsidR="00E76071" w:rsidRPr="007F2096" w:rsidRDefault="0091516F" w:rsidP="00B27F31">
            <w:pPr>
              <w:rPr>
                <w:rFonts w:ascii="Arial" w:hAnsi="Arial" w:cs="Arial"/>
                <w:spacing w:val="-3"/>
                <w:sz w:val="20"/>
              </w:rPr>
            </w:pPr>
            <w:r>
              <w:rPr>
                <w:rFonts w:ascii="Arial" w:hAnsi="Arial" w:cs="Arial"/>
                <w:spacing w:val="-3"/>
                <w:sz w:val="20"/>
              </w:rPr>
              <w:t>SAT y MP. La Ley recién se aprobó y fue publicada.</w:t>
            </w:r>
          </w:p>
        </w:tc>
        <w:tc>
          <w:tcPr>
            <w:tcW w:w="1170" w:type="dxa"/>
          </w:tcPr>
          <w:p w14:paraId="10EBC872" w14:textId="77777777" w:rsidR="00E76071" w:rsidRPr="007F2096" w:rsidRDefault="00E76071" w:rsidP="00B27F31">
            <w:pPr>
              <w:rPr>
                <w:rFonts w:ascii="Arial" w:hAnsi="Arial" w:cs="Arial"/>
                <w:spacing w:val="-3"/>
                <w:sz w:val="20"/>
              </w:rPr>
            </w:pPr>
          </w:p>
        </w:tc>
        <w:tc>
          <w:tcPr>
            <w:tcW w:w="1620" w:type="dxa"/>
          </w:tcPr>
          <w:p w14:paraId="407586EB" w14:textId="0CFD83FC" w:rsidR="00E76071" w:rsidRPr="007F2096" w:rsidRDefault="0091516F" w:rsidP="00B27F31">
            <w:pPr>
              <w:rPr>
                <w:rFonts w:ascii="Arial" w:hAnsi="Arial" w:cs="Arial"/>
                <w:spacing w:val="-3"/>
                <w:sz w:val="20"/>
              </w:rPr>
            </w:pPr>
            <w:r>
              <w:rPr>
                <w:rFonts w:ascii="Arial" w:hAnsi="Arial" w:cs="Arial"/>
                <w:spacing w:val="-3"/>
                <w:sz w:val="20"/>
              </w:rPr>
              <w:t>SAT y MP</w:t>
            </w:r>
          </w:p>
        </w:tc>
      </w:tr>
      <w:tr w:rsidR="00E76071" w:rsidRPr="00E76071" w14:paraId="09EE22BA" w14:textId="77777777" w:rsidTr="006B6B00">
        <w:trPr>
          <w:jc w:val="center"/>
        </w:trPr>
        <w:tc>
          <w:tcPr>
            <w:tcW w:w="4320" w:type="dxa"/>
          </w:tcPr>
          <w:p w14:paraId="30259211" w14:textId="021FD5E3" w:rsidR="00E76071" w:rsidRPr="007F2096" w:rsidRDefault="009D6EE7" w:rsidP="00B27F31">
            <w:pPr>
              <w:rPr>
                <w:rFonts w:ascii="Arial" w:hAnsi="Arial" w:cs="Arial"/>
                <w:spacing w:val="-3"/>
                <w:sz w:val="20"/>
              </w:rPr>
            </w:pPr>
            <w:r>
              <w:rPr>
                <w:rFonts w:ascii="Arial" w:hAnsi="Arial" w:cs="Arial"/>
                <w:spacing w:val="-3"/>
                <w:sz w:val="20"/>
                <w:lang w:val="es-ES"/>
              </w:rPr>
              <w:t xml:space="preserve">10b. </w:t>
            </w:r>
            <w:r w:rsidRPr="009D6EE7">
              <w:rPr>
                <w:rFonts w:ascii="Arial" w:hAnsi="Arial" w:cs="Arial"/>
                <w:spacing w:val="-3"/>
                <w:sz w:val="20"/>
                <w:lang w:val="es-ES"/>
              </w:rPr>
              <w:t xml:space="preserve">Ampliación de la presencia territorial de la Fiscalía, mediante la </w:t>
            </w:r>
            <w:r w:rsidRPr="009D6EE7">
              <w:rPr>
                <w:rFonts w:ascii="Arial" w:hAnsi="Arial" w:cs="Arial"/>
                <w:spacing w:val="-3"/>
                <w:sz w:val="20"/>
                <w:lang w:val="es-DO"/>
              </w:rPr>
              <w:t>apertura de una fiscalía especializada en delitos de contrabando y fraude aduanero.</w:t>
            </w:r>
          </w:p>
        </w:tc>
        <w:tc>
          <w:tcPr>
            <w:tcW w:w="360" w:type="dxa"/>
            <w:shd w:val="clear" w:color="auto" w:fill="auto"/>
          </w:tcPr>
          <w:p w14:paraId="2C6163F4" w14:textId="77777777" w:rsidR="00E76071" w:rsidRPr="007F2096" w:rsidRDefault="00E76071" w:rsidP="00B27F31">
            <w:pPr>
              <w:rPr>
                <w:rFonts w:ascii="Arial" w:hAnsi="Arial" w:cs="Arial"/>
                <w:spacing w:val="-3"/>
                <w:sz w:val="20"/>
              </w:rPr>
            </w:pPr>
          </w:p>
        </w:tc>
        <w:tc>
          <w:tcPr>
            <w:tcW w:w="360" w:type="dxa"/>
            <w:shd w:val="clear" w:color="auto" w:fill="auto"/>
          </w:tcPr>
          <w:p w14:paraId="2F444FF3" w14:textId="77777777" w:rsidR="00E76071" w:rsidRPr="007F2096" w:rsidRDefault="00E76071" w:rsidP="00B27F31">
            <w:pPr>
              <w:rPr>
                <w:rFonts w:ascii="Arial" w:hAnsi="Arial" w:cs="Arial"/>
                <w:spacing w:val="-3"/>
                <w:sz w:val="20"/>
              </w:rPr>
            </w:pPr>
          </w:p>
        </w:tc>
        <w:tc>
          <w:tcPr>
            <w:tcW w:w="360" w:type="dxa"/>
            <w:shd w:val="clear" w:color="auto" w:fill="auto"/>
          </w:tcPr>
          <w:p w14:paraId="6ABBDB9E" w14:textId="1A5D2442" w:rsidR="00E76071" w:rsidRPr="007F2096" w:rsidRDefault="009D6EE7"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3E51B08" w14:textId="0244B3B3" w:rsidR="00E76071" w:rsidRPr="007F2096" w:rsidRDefault="009D6EE7"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74AEB8E" w14:textId="20AE9B98" w:rsidR="00E76071" w:rsidRPr="007F2096" w:rsidRDefault="009D6EE7"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03B84C6" w14:textId="6593C739" w:rsidR="00E76071" w:rsidRPr="007F2096" w:rsidRDefault="009D6EE7"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6615FC5" w14:textId="77777777" w:rsidR="00E76071" w:rsidRPr="007F2096" w:rsidRDefault="00E76071" w:rsidP="00B27F31">
            <w:pPr>
              <w:rPr>
                <w:rFonts w:ascii="Arial" w:hAnsi="Arial" w:cs="Arial"/>
                <w:spacing w:val="-3"/>
                <w:sz w:val="20"/>
              </w:rPr>
            </w:pPr>
          </w:p>
        </w:tc>
        <w:tc>
          <w:tcPr>
            <w:tcW w:w="360" w:type="dxa"/>
            <w:shd w:val="clear" w:color="auto" w:fill="auto"/>
          </w:tcPr>
          <w:p w14:paraId="00A3D91E" w14:textId="77777777" w:rsidR="00E76071" w:rsidRPr="007F2096" w:rsidRDefault="00E76071" w:rsidP="00B27F31">
            <w:pPr>
              <w:rPr>
                <w:rFonts w:ascii="Arial" w:hAnsi="Arial" w:cs="Arial"/>
                <w:spacing w:val="-3"/>
                <w:sz w:val="20"/>
              </w:rPr>
            </w:pPr>
          </w:p>
        </w:tc>
        <w:tc>
          <w:tcPr>
            <w:tcW w:w="360" w:type="dxa"/>
            <w:shd w:val="clear" w:color="auto" w:fill="auto"/>
          </w:tcPr>
          <w:p w14:paraId="28CD117E" w14:textId="77777777" w:rsidR="00E76071" w:rsidRPr="007F2096" w:rsidRDefault="00E76071" w:rsidP="00B27F31">
            <w:pPr>
              <w:rPr>
                <w:rFonts w:ascii="Arial" w:hAnsi="Arial" w:cs="Arial"/>
                <w:spacing w:val="-3"/>
                <w:sz w:val="20"/>
              </w:rPr>
            </w:pPr>
          </w:p>
        </w:tc>
        <w:tc>
          <w:tcPr>
            <w:tcW w:w="360" w:type="dxa"/>
            <w:shd w:val="clear" w:color="auto" w:fill="auto"/>
          </w:tcPr>
          <w:p w14:paraId="5E24CE16" w14:textId="77777777" w:rsidR="00E76071" w:rsidRPr="007F2096" w:rsidRDefault="00E76071" w:rsidP="00B27F31">
            <w:pPr>
              <w:rPr>
                <w:rFonts w:ascii="Arial" w:hAnsi="Arial" w:cs="Arial"/>
                <w:spacing w:val="-3"/>
                <w:sz w:val="20"/>
              </w:rPr>
            </w:pPr>
          </w:p>
        </w:tc>
        <w:tc>
          <w:tcPr>
            <w:tcW w:w="360" w:type="dxa"/>
            <w:shd w:val="clear" w:color="auto" w:fill="auto"/>
          </w:tcPr>
          <w:p w14:paraId="450319FD" w14:textId="77777777" w:rsidR="00E76071" w:rsidRPr="007F2096" w:rsidRDefault="00E76071" w:rsidP="00B27F31">
            <w:pPr>
              <w:rPr>
                <w:rFonts w:ascii="Arial" w:hAnsi="Arial" w:cs="Arial"/>
                <w:spacing w:val="-3"/>
                <w:sz w:val="20"/>
              </w:rPr>
            </w:pPr>
          </w:p>
        </w:tc>
        <w:tc>
          <w:tcPr>
            <w:tcW w:w="360" w:type="dxa"/>
            <w:shd w:val="clear" w:color="auto" w:fill="auto"/>
          </w:tcPr>
          <w:p w14:paraId="2308E809" w14:textId="77777777" w:rsidR="00E76071" w:rsidRPr="007F2096" w:rsidRDefault="00E76071" w:rsidP="00B27F31">
            <w:pPr>
              <w:rPr>
                <w:rFonts w:ascii="Arial" w:hAnsi="Arial" w:cs="Arial"/>
                <w:spacing w:val="-3"/>
                <w:sz w:val="20"/>
              </w:rPr>
            </w:pPr>
          </w:p>
        </w:tc>
        <w:tc>
          <w:tcPr>
            <w:tcW w:w="1710" w:type="dxa"/>
          </w:tcPr>
          <w:p w14:paraId="27BA750B" w14:textId="1C17F38A" w:rsidR="00E76071" w:rsidRPr="007F2096" w:rsidRDefault="009D6EE7" w:rsidP="009D6EE7">
            <w:pPr>
              <w:rPr>
                <w:rFonts w:ascii="Arial" w:hAnsi="Arial" w:cs="Arial"/>
                <w:spacing w:val="-3"/>
                <w:sz w:val="20"/>
              </w:rPr>
            </w:pPr>
            <w:r>
              <w:rPr>
                <w:rFonts w:ascii="Arial" w:hAnsi="Arial" w:cs="Arial"/>
                <w:spacing w:val="-3"/>
                <w:sz w:val="20"/>
              </w:rPr>
              <w:t>SAT y MP. Recién autorizado. A implarse en 2017.</w:t>
            </w:r>
          </w:p>
        </w:tc>
        <w:tc>
          <w:tcPr>
            <w:tcW w:w="1170" w:type="dxa"/>
          </w:tcPr>
          <w:p w14:paraId="3728DD52" w14:textId="77777777" w:rsidR="00E76071" w:rsidRPr="007F2096" w:rsidRDefault="00E76071" w:rsidP="00B27F31">
            <w:pPr>
              <w:rPr>
                <w:rFonts w:ascii="Arial" w:hAnsi="Arial" w:cs="Arial"/>
                <w:spacing w:val="-3"/>
                <w:sz w:val="20"/>
              </w:rPr>
            </w:pPr>
          </w:p>
        </w:tc>
        <w:tc>
          <w:tcPr>
            <w:tcW w:w="1620" w:type="dxa"/>
          </w:tcPr>
          <w:p w14:paraId="35BF60B7" w14:textId="444556ED" w:rsidR="00E76071" w:rsidRPr="007F2096" w:rsidRDefault="009D6EE7" w:rsidP="00B27F31">
            <w:pPr>
              <w:rPr>
                <w:rFonts w:ascii="Arial" w:hAnsi="Arial" w:cs="Arial"/>
                <w:spacing w:val="-3"/>
                <w:sz w:val="20"/>
              </w:rPr>
            </w:pPr>
            <w:r>
              <w:rPr>
                <w:rFonts w:ascii="Arial" w:hAnsi="Arial" w:cs="Arial"/>
                <w:spacing w:val="-3"/>
                <w:sz w:val="20"/>
              </w:rPr>
              <w:t>SAT y MP</w:t>
            </w:r>
          </w:p>
        </w:tc>
      </w:tr>
      <w:tr w:rsidR="00D963BE" w:rsidRPr="00E76071" w14:paraId="72129468" w14:textId="77777777" w:rsidTr="00723878">
        <w:trPr>
          <w:jc w:val="center"/>
        </w:trPr>
        <w:tc>
          <w:tcPr>
            <w:tcW w:w="13140" w:type="dxa"/>
            <w:gridSpan w:val="16"/>
          </w:tcPr>
          <w:p w14:paraId="0C7EA87E" w14:textId="02B68ED5" w:rsidR="00D963BE" w:rsidRPr="007F2096" w:rsidRDefault="00D963BE" w:rsidP="00B27F31">
            <w:pPr>
              <w:rPr>
                <w:rFonts w:ascii="Arial" w:hAnsi="Arial" w:cs="Arial"/>
                <w:spacing w:val="-3"/>
                <w:sz w:val="20"/>
              </w:rPr>
            </w:pPr>
            <w:r w:rsidRPr="00D963BE">
              <w:rPr>
                <w:rFonts w:ascii="Arial" w:hAnsi="Arial" w:cs="Arial"/>
                <w:b/>
                <w:spacing w:val="-3"/>
                <w:sz w:val="20"/>
              </w:rPr>
              <w:t>Acciones para mejorar la transparencia del sector financiero y fortalecer la prevención del lavado de activos</w:t>
            </w:r>
          </w:p>
        </w:tc>
      </w:tr>
      <w:tr w:rsidR="00D963BE" w:rsidRPr="00E76071" w14:paraId="73932A9E" w14:textId="77777777" w:rsidTr="006B6B00">
        <w:trPr>
          <w:jc w:val="center"/>
        </w:trPr>
        <w:tc>
          <w:tcPr>
            <w:tcW w:w="4320" w:type="dxa"/>
          </w:tcPr>
          <w:p w14:paraId="56B203F3" w14:textId="5DD04D32" w:rsidR="00D963BE" w:rsidRPr="007F2096" w:rsidRDefault="00D963BE" w:rsidP="00B27F31">
            <w:pPr>
              <w:rPr>
                <w:rFonts w:ascii="Arial" w:hAnsi="Arial" w:cs="Arial"/>
                <w:spacing w:val="-3"/>
                <w:sz w:val="20"/>
              </w:rPr>
            </w:pPr>
            <w:r w:rsidRPr="000560DB">
              <w:rPr>
                <w:rFonts w:ascii="Arial" w:hAnsi="Arial" w:cs="Arial"/>
                <w:sz w:val="18"/>
              </w:rPr>
              <w:t>1</w:t>
            </w:r>
            <w:r>
              <w:rPr>
                <w:rFonts w:ascii="Arial" w:hAnsi="Arial" w:cs="Arial"/>
                <w:sz w:val="18"/>
              </w:rPr>
              <w:t>a</w:t>
            </w:r>
            <w:r w:rsidRPr="000560DB">
              <w:rPr>
                <w:rFonts w:ascii="Arial" w:hAnsi="Arial" w:cs="Arial"/>
                <w:sz w:val="18"/>
              </w:rPr>
              <w:t>. Mejorar la regulación y supervisión del sector financiero, en especial de las entidades off-shore, requiriendo capital adicional a entidades que otorguen financiamiento en moneda extranjera a deudores no generadores de divisas, eliminando la excepción en el artículo relacionado con los no generadores de divisas.</w:t>
            </w:r>
          </w:p>
        </w:tc>
        <w:tc>
          <w:tcPr>
            <w:tcW w:w="360" w:type="dxa"/>
            <w:shd w:val="clear" w:color="auto" w:fill="auto"/>
          </w:tcPr>
          <w:p w14:paraId="064E6C94" w14:textId="0C50155B"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9A82171" w14:textId="77500B3D"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2179DF5" w14:textId="77777777" w:rsidR="00D963BE" w:rsidRPr="007F2096" w:rsidRDefault="00D963BE" w:rsidP="00B27F31">
            <w:pPr>
              <w:rPr>
                <w:rFonts w:ascii="Arial" w:hAnsi="Arial" w:cs="Arial"/>
                <w:spacing w:val="-3"/>
                <w:sz w:val="20"/>
              </w:rPr>
            </w:pPr>
          </w:p>
        </w:tc>
        <w:tc>
          <w:tcPr>
            <w:tcW w:w="360" w:type="dxa"/>
            <w:shd w:val="clear" w:color="auto" w:fill="auto"/>
          </w:tcPr>
          <w:p w14:paraId="2F13726F" w14:textId="77777777" w:rsidR="00D963BE" w:rsidRPr="007F2096" w:rsidRDefault="00D963BE" w:rsidP="00B27F31">
            <w:pPr>
              <w:rPr>
                <w:rFonts w:ascii="Arial" w:hAnsi="Arial" w:cs="Arial"/>
                <w:spacing w:val="-3"/>
                <w:sz w:val="20"/>
              </w:rPr>
            </w:pPr>
          </w:p>
        </w:tc>
        <w:tc>
          <w:tcPr>
            <w:tcW w:w="360" w:type="dxa"/>
            <w:shd w:val="clear" w:color="auto" w:fill="auto"/>
          </w:tcPr>
          <w:p w14:paraId="1819C92B" w14:textId="77777777" w:rsidR="00D963BE" w:rsidRPr="007F2096" w:rsidRDefault="00D963BE" w:rsidP="00B27F31">
            <w:pPr>
              <w:rPr>
                <w:rFonts w:ascii="Arial" w:hAnsi="Arial" w:cs="Arial"/>
                <w:spacing w:val="-3"/>
                <w:sz w:val="20"/>
              </w:rPr>
            </w:pPr>
          </w:p>
        </w:tc>
        <w:tc>
          <w:tcPr>
            <w:tcW w:w="360" w:type="dxa"/>
            <w:shd w:val="clear" w:color="auto" w:fill="auto"/>
          </w:tcPr>
          <w:p w14:paraId="30473CFB" w14:textId="77777777" w:rsidR="00D963BE" w:rsidRPr="007F2096" w:rsidRDefault="00D963BE" w:rsidP="00B27F31">
            <w:pPr>
              <w:rPr>
                <w:rFonts w:ascii="Arial" w:hAnsi="Arial" w:cs="Arial"/>
                <w:spacing w:val="-3"/>
                <w:sz w:val="20"/>
              </w:rPr>
            </w:pPr>
          </w:p>
        </w:tc>
        <w:tc>
          <w:tcPr>
            <w:tcW w:w="360" w:type="dxa"/>
            <w:shd w:val="clear" w:color="auto" w:fill="auto"/>
          </w:tcPr>
          <w:p w14:paraId="37FB322A" w14:textId="77777777" w:rsidR="00D963BE" w:rsidRPr="007F2096" w:rsidRDefault="00D963BE" w:rsidP="00B27F31">
            <w:pPr>
              <w:rPr>
                <w:rFonts w:ascii="Arial" w:hAnsi="Arial" w:cs="Arial"/>
                <w:spacing w:val="-3"/>
                <w:sz w:val="20"/>
              </w:rPr>
            </w:pPr>
          </w:p>
        </w:tc>
        <w:tc>
          <w:tcPr>
            <w:tcW w:w="360" w:type="dxa"/>
            <w:shd w:val="clear" w:color="auto" w:fill="auto"/>
          </w:tcPr>
          <w:p w14:paraId="3AC04BF3" w14:textId="77777777" w:rsidR="00D963BE" w:rsidRPr="007F2096" w:rsidRDefault="00D963BE" w:rsidP="00B27F31">
            <w:pPr>
              <w:rPr>
                <w:rFonts w:ascii="Arial" w:hAnsi="Arial" w:cs="Arial"/>
                <w:spacing w:val="-3"/>
                <w:sz w:val="20"/>
              </w:rPr>
            </w:pPr>
          </w:p>
        </w:tc>
        <w:tc>
          <w:tcPr>
            <w:tcW w:w="360" w:type="dxa"/>
            <w:shd w:val="clear" w:color="auto" w:fill="auto"/>
          </w:tcPr>
          <w:p w14:paraId="7E2E892F" w14:textId="77777777" w:rsidR="00D963BE" w:rsidRPr="007F2096" w:rsidRDefault="00D963BE" w:rsidP="00B27F31">
            <w:pPr>
              <w:rPr>
                <w:rFonts w:ascii="Arial" w:hAnsi="Arial" w:cs="Arial"/>
                <w:spacing w:val="-3"/>
                <w:sz w:val="20"/>
              </w:rPr>
            </w:pPr>
          </w:p>
        </w:tc>
        <w:tc>
          <w:tcPr>
            <w:tcW w:w="360" w:type="dxa"/>
            <w:shd w:val="clear" w:color="auto" w:fill="auto"/>
          </w:tcPr>
          <w:p w14:paraId="5A51BD18" w14:textId="77777777" w:rsidR="00D963BE" w:rsidRPr="007F2096" w:rsidRDefault="00D963BE" w:rsidP="00B27F31">
            <w:pPr>
              <w:rPr>
                <w:rFonts w:ascii="Arial" w:hAnsi="Arial" w:cs="Arial"/>
                <w:spacing w:val="-3"/>
                <w:sz w:val="20"/>
              </w:rPr>
            </w:pPr>
          </w:p>
        </w:tc>
        <w:tc>
          <w:tcPr>
            <w:tcW w:w="360" w:type="dxa"/>
            <w:shd w:val="clear" w:color="auto" w:fill="auto"/>
          </w:tcPr>
          <w:p w14:paraId="0CD026A7" w14:textId="77777777" w:rsidR="00D963BE" w:rsidRPr="007F2096" w:rsidRDefault="00D963BE" w:rsidP="00B27F31">
            <w:pPr>
              <w:rPr>
                <w:rFonts w:ascii="Arial" w:hAnsi="Arial" w:cs="Arial"/>
                <w:spacing w:val="-3"/>
                <w:sz w:val="20"/>
              </w:rPr>
            </w:pPr>
          </w:p>
        </w:tc>
        <w:tc>
          <w:tcPr>
            <w:tcW w:w="360" w:type="dxa"/>
            <w:shd w:val="clear" w:color="auto" w:fill="auto"/>
          </w:tcPr>
          <w:p w14:paraId="28677B7C" w14:textId="77777777" w:rsidR="00D963BE" w:rsidRPr="007F2096" w:rsidRDefault="00D963BE" w:rsidP="00B27F31">
            <w:pPr>
              <w:rPr>
                <w:rFonts w:ascii="Arial" w:hAnsi="Arial" w:cs="Arial"/>
                <w:spacing w:val="-3"/>
                <w:sz w:val="20"/>
              </w:rPr>
            </w:pPr>
          </w:p>
        </w:tc>
        <w:tc>
          <w:tcPr>
            <w:tcW w:w="1710" w:type="dxa"/>
          </w:tcPr>
          <w:p w14:paraId="24F8FAF9" w14:textId="1B957BA9" w:rsidR="00D963BE" w:rsidRPr="007F2096" w:rsidRDefault="002B692F" w:rsidP="00B27F31">
            <w:pPr>
              <w:rPr>
                <w:rFonts w:ascii="Arial" w:hAnsi="Arial" w:cs="Arial"/>
                <w:spacing w:val="-3"/>
                <w:sz w:val="20"/>
              </w:rPr>
            </w:pPr>
            <w:r>
              <w:rPr>
                <w:rFonts w:ascii="Arial" w:hAnsi="Arial" w:cs="Arial"/>
                <w:spacing w:val="-3"/>
                <w:sz w:val="20"/>
              </w:rPr>
              <w:t>SIB</w:t>
            </w:r>
            <w:r w:rsidR="00E94FCC">
              <w:rPr>
                <w:rFonts w:ascii="Arial" w:hAnsi="Arial" w:cs="Arial"/>
                <w:spacing w:val="-3"/>
                <w:sz w:val="20"/>
              </w:rPr>
              <w:t>. Resolución publicada.</w:t>
            </w:r>
          </w:p>
        </w:tc>
        <w:tc>
          <w:tcPr>
            <w:tcW w:w="1170" w:type="dxa"/>
          </w:tcPr>
          <w:p w14:paraId="7EC0DB66" w14:textId="77777777" w:rsidR="00D963BE" w:rsidRPr="007F2096" w:rsidRDefault="00D963BE" w:rsidP="00B27F31">
            <w:pPr>
              <w:rPr>
                <w:rFonts w:ascii="Arial" w:hAnsi="Arial" w:cs="Arial"/>
                <w:spacing w:val="-3"/>
                <w:sz w:val="20"/>
              </w:rPr>
            </w:pPr>
          </w:p>
        </w:tc>
        <w:tc>
          <w:tcPr>
            <w:tcW w:w="1620" w:type="dxa"/>
          </w:tcPr>
          <w:p w14:paraId="47ADDA0E" w14:textId="50B5CF7F" w:rsidR="00D963BE" w:rsidRPr="007F2096" w:rsidRDefault="002B692F" w:rsidP="00B27F31">
            <w:pPr>
              <w:rPr>
                <w:rFonts w:ascii="Arial" w:hAnsi="Arial" w:cs="Arial"/>
                <w:spacing w:val="-3"/>
                <w:sz w:val="20"/>
              </w:rPr>
            </w:pPr>
            <w:r>
              <w:rPr>
                <w:rFonts w:ascii="Arial" w:hAnsi="Arial" w:cs="Arial"/>
                <w:spacing w:val="-3"/>
                <w:sz w:val="20"/>
              </w:rPr>
              <w:t>SIB</w:t>
            </w:r>
          </w:p>
        </w:tc>
      </w:tr>
      <w:tr w:rsidR="00D963BE" w:rsidRPr="00E76071" w14:paraId="0E839326" w14:textId="77777777" w:rsidTr="006B6B00">
        <w:trPr>
          <w:jc w:val="center"/>
        </w:trPr>
        <w:tc>
          <w:tcPr>
            <w:tcW w:w="4320" w:type="dxa"/>
          </w:tcPr>
          <w:p w14:paraId="0E320092" w14:textId="64C3B712" w:rsidR="00D963BE" w:rsidRPr="000560DB" w:rsidRDefault="007F30A2" w:rsidP="00B27F31">
            <w:pPr>
              <w:rPr>
                <w:rFonts w:ascii="Arial" w:hAnsi="Arial" w:cs="Arial"/>
                <w:sz w:val="18"/>
              </w:rPr>
            </w:pPr>
            <w:r>
              <w:rPr>
                <w:rFonts w:ascii="Arial" w:hAnsi="Arial" w:cs="Arial"/>
                <w:sz w:val="18"/>
              </w:rPr>
              <w:t xml:space="preserve">1b. </w:t>
            </w:r>
            <w:r w:rsidR="00C2387B" w:rsidRPr="00C2387B">
              <w:rPr>
                <w:rFonts w:ascii="Arial" w:hAnsi="Arial" w:cs="Arial"/>
                <w:sz w:val="18"/>
              </w:rPr>
              <w:t>Verificación  por parte de la Superintendencia de Bancos del cumplimiento de la Resolución emitida por la Junta Monetaria, en cuanto a requerir capital adicional a entidades que otorguen financiamiento en moneda extranjera a deudores no generadores de divisas</w:t>
            </w:r>
          </w:p>
        </w:tc>
        <w:tc>
          <w:tcPr>
            <w:tcW w:w="360" w:type="dxa"/>
            <w:shd w:val="clear" w:color="auto" w:fill="auto"/>
          </w:tcPr>
          <w:p w14:paraId="2F4C8B9A" w14:textId="77777777" w:rsidR="00D963BE" w:rsidRPr="007F2096" w:rsidRDefault="00D963BE" w:rsidP="00B27F31">
            <w:pPr>
              <w:rPr>
                <w:rFonts w:ascii="Arial" w:hAnsi="Arial" w:cs="Arial"/>
                <w:spacing w:val="-3"/>
                <w:sz w:val="20"/>
              </w:rPr>
            </w:pPr>
          </w:p>
        </w:tc>
        <w:tc>
          <w:tcPr>
            <w:tcW w:w="360" w:type="dxa"/>
            <w:shd w:val="clear" w:color="auto" w:fill="auto"/>
          </w:tcPr>
          <w:p w14:paraId="26944D04" w14:textId="77777777" w:rsidR="00D963BE" w:rsidRPr="007F2096" w:rsidRDefault="00D963BE" w:rsidP="00B27F31">
            <w:pPr>
              <w:rPr>
                <w:rFonts w:ascii="Arial" w:hAnsi="Arial" w:cs="Arial"/>
                <w:spacing w:val="-3"/>
                <w:sz w:val="20"/>
              </w:rPr>
            </w:pPr>
          </w:p>
        </w:tc>
        <w:tc>
          <w:tcPr>
            <w:tcW w:w="360" w:type="dxa"/>
            <w:shd w:val="clear" w:color="auto" w:fill="auto"/>
          </w:tcPr>
          <w:p w14:paraId="225B6387" w14:textId="78A5C781"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705FA0D" w14:textId="0AE3A47E"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B568D8E" w14:textId="5A2A249A"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2814958" w14:textId="1DCB15F1"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4E776C2" w14:textId="13158AE8"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EC3B662" w14:textId="3C7E9D47"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538B980" w14:textId="77777777" w:rsidR="00D963BE" w:rsidRPr="007F2096" w:rsidRDefault="00D963BE" w:rsidP="00B27F31">
            <w:pPr>
              <w:rPr>
                <w:rFonts w:ascii="Arial" w:hAnsi="Arial" w:cs="Arial"/>
                <w:spacing w:val="-3"/>
                <w:sz w:val="20"/>
              </w:rPr>
            </w:pPr>
          </w:p>
        </w:tc>
        <w:tc>
          <w:tcPr>
            <w:tcW w:w="360" w:type="dxa"/>
            <w:shd w:val="clear" w:color="auto" w:fill="auto"/>
          </w:tcPr>
          <w:p w14:paraId="3C312C8E" w14:textId="77777777" w:rsidR="00D963BE" w:rsidRPr="007F2096" w:rsidRDefault="00D963BE" w:rsidP="00B27F31">
            <w:pPr>
              <w:rPr>
                <w:rFonts w:ascii="Arial" w:hAnsi="Arial" w:cs="Arial"/>
                <w:spacing w:val="-3"/>
                <w:sz w:val="20"/>
              </w:rPr>
            </w:pPr>
          </w:p>
        </w:tc>
        <w:tc>
          <w:tcPr>
            <w:tcW w:w="360" w:type="dxa"/>
            <w:shd w:val="clear" w:color="auto" w:fill="auto"/>
          </w:tcPr>
          <w:p w14:paraId="4587213F" w14:textId="77777777" w:rsidR="00D963BE" w:rsidRPr="007F2096" w:rsidRDefault="00D963BE" w:rsidP="00B27F31">
            <w:pPr>
              <w:rPr>
                <w:rFonts w:ascii="Arial" w:hAnsi="Arial" w:cs="Arial"/>
                <w:spacing w:val="-3"/>
                <w:sz w:val="20"/>
              </w:rPr>
            </w:pPr>
          </w:p>
        </w:tc>
        <w:tc>
          <w:tcPr>
            <w:tcW w:w="360" w:type="dxa"/>
            <w:shd w:val="clear" w:color="auto" w:fill="auto"/>
          </w:tcPr>
          <w:p w14:paraId="6C1349AC" w14:textId="77777777" w:rsidR="00D963BE" w:rsidRPr="007F2096" w:rsidRDefault="00D963BE" w:rsidP="00B27F31">
            <w:pPr>
              <w:rPr>
                <w:rFonts w:ascii="Arial" w:hAnsi="Arial" w:cs="Arial"/>
                <w:spacing w:val="-3"/>
                <w:sz w:val="20"/>
              </w:rPr>
            </w:pPr>
          </w:p>
        </w:tc>
        <w:tc>
          <w:tcPr>
            <w:tcW w:w="1710" w:type="dxa"/>
          </w:tcPr>
          <w:p w14:paraId="3AFE38E1" w14:textId="69E61174" w:rsidR="00D963BE" w:rsidRPr="007F2096" w:rsidRDefault="002B692F" w:rsidP="00B27F31">
            <w:pPr>
              <w:rPr>
                <w:rFonts w:ascii="Arial" w:hAnsi="Arial" w:cs="Arial"/>
                <w:spacing w:val="-3"/>
                <w:sz w:val="20"/>
              </w:rPr>
            </w:pPr>
            <w:r>
              <w:rPr>
                <w:rFonts w:ascii="Arial" w:hAnsi="Arial" w:cs="Arial"/>
                <w:spacing w:val="-3"/>
                <w:sz w:val="20"/>
              </w:rPr>
              <w:t>SIB</w:t>
            </w:r>
            <w:r w:rsidR="00E94FCC">
              <w:rPr>
                <w:rFonts w:ascii="Arial" w:hAnsi="Arial" w:cs="Arial"/>
                <w:spacing w:val="-3"/>
                <w:sz w:val="20"/>
              </w:rPr>
              <w:t xml:space="preserve"> viene realizando las fiscalizaciones correspondientes.</w:t>
            </w:r>
          </w:p>
        </w:tc>
        <w:tc>
          <w:tcPr>
            <w:tcW w:w="1170" w:type="dxa"/>
          </w:tcPr>
          <w:p w14:paraId="45D8F112" w14:textId="77777777" w:rsidR="00D963BE" w:rsidRPr="007F2096" w:rsidRDefault="00D963BE" w:rsidP="00B27F31">
            <w:pPr>
              <w:rPr>
                <w:rFonts w:ascii="Arial" w:hAnsi="Arial" w:cs="Arial"/>
                <w:spacing w:val="-3"/>
                <w:sz w:val="20"/>
              </w:rPr>
            </w:pPr>
          </w:p>
        </w:tc>
        <w:tc>
          <w:tcPr>
            <w:tcW w:w="1620" w:type="dxa"/>
          </w:tcPr>
          <w:p w14:paraId="2EA51782" w14:textId="3A387292" w:rsidR="00D963BE" w:rsidRPr="007F2096" w:rsidRDefault="002B692F" w:rsidP="00B27F31">
            <w:pPr>
              <w:rPr>
                <w:rFonts w:ascii="Arial" w:hAnsi="Arial" w:cs="Arial"/>
                <w:spacing w:val="-3"/>
                <w:sz w:val="20"/>
              </w:rPr>
            </w:pPr>
            <w:r>
              <w:rPr>
                <w:rFonts w:ascii="Arial" w:hAnsi="Arial" w:cs="Arial"/>
                <w:spacing w:val="-3"/>
                <w:sz w:val="20"/>
              </w:rPr>
              <w:t>SIB</w:t>
            </w:r>
          </w:p>
        </w:tc>
      </w:tr>
      <w:tr w:rsidR="00D963BE" w:rsidRPr="00E76071" w14:paraId="44D10797" w14:textId="77777777" w:rsidTr="006B6B00">
        <w:trPr>
          <w:jc w:val="center"/>
        </w:trPr>
        <w:tc>
          <w:tcPr>
            <w:tcW w:w="4320" w:type="dxa"/>
          </w:tcPr>
          <w:p w14:paraId="2C010C45" w14:textId="1B2E710A" w:rsidR="00D963BE" w:rsidRPr="007F2096" w:rsidRDefault="00D963BE" w:rsidP="00B27F31">
            <w:pPr>
              <w:rPr>
                <w:rFonts w:ascii="Arial" w:hAnsi="Arial" w:cs="Arial"/>
                <w:spacing w:val="-3"/>
                <w:sz w:val="20"/>
              </w:rPr>
            </w:pPr>
            <w:r w:rsidRPr="000560DB">
              <w:rPr>
                <w:rFonts w:ascii="Arial" w:hAnsi="Arial" w:cs="Arial"/>
                <w:sz w:val="18"/>
              </w:rPr>
              <w:t>2</w:t>
            </w:r>
            <w:r>
              <w:rPr>
                <w:rFonts w:ascii="Arial" w:hAnsi="Arial" w:cs="Arial"/>
                <w:sz w:val="18"/>
              </w:rPr>
              <w:t>a</w:t>
            </w:r>
            <w:r w:rsidRPr="000560DB">
              <w:rPr>
                <w:rFonts w:ascii="Arial" w:hAnsi="Arial" w:cs="Arial"/>
                <w:sz w:val="18"/>
              </w:rPr>
              <w:t>. Mejorar la divulgación de la información de los indicadores financieros, respecto de la información histórica del sector, en especial de las entidades fuera de plaza o entidades off shore, las empresas especializadas en servicios financieros y otras que califique la Junta Monetaria, que formen parte de un grupo financiero y las casas de cambio, facultando al órgano supervisor a requerir la actualización de dicha información.</w:t>
            </w:r>
          </w:p>
        </w:tc>
        <w:tc>
          <w:tcPr>
            <w:tcW w:w="360" w:type="dxa"/>
            <w:shd w:val="clear" w:color="auto" w:fill="auto"/>
          </w:tcPr>
          <w:p w14:paraId="3F407348" w14:textId="5AAE85EB"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6935E2F" w14:textId="74546E6C"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E91006B" w14:textId="77777777" w:rsidR="00D963BE" w:rsidRPr="007F2096" w:rsidRDefault="00D963BE" w:rsidP="00B27F31">
            <w:pPr>
              <w:rPr>
                <w:rFonts w:ascii="Arial" w:hAnsi="Arial" w:cs="Arial"/>
                <w:spacing w:val="-3"/>
                <w:sz w:val="20"/>
              </w:rPr>
            </w:pPr>
          </w:p>
        </w:tc>
        <w:tc>
          <w:tcPr>
            <w:tcW w:w="360" w:type="dxa"/>
            <w:shd w:val="clear" w:color="auto" w:fill="auto"/>
          </w:tcPr>
          <w:p w14:paraId="1BCA16CA" w14:textId="77777777" w:rsidR="00D963BE" w:rsidRPr="007F2096" w:rsidRDefault="00D963BE" w:rsidP="00B27F31">
            <w:pPr>
              <w:rPr>
                <w:rFonts w:ascii="Arial" w:hAnsi="Arial" w:cs="Arial"/>
                <w:spacing w:val="-3"/>
                <w:sz w:val="20"/>
              </w:rPr>
            </w:pPr>
          </w:p>
        </w:tc>
        <w:tc>
          <w:tcPr>
            <w:tcW w:w="360" w:type="dxa"/>
            <w:shd w:val="clear" w:color="auto" w:fill="auto"/>
          </w:tcPr>
          <w:p w14:paraId="32D8F7E9" w14:textId="77777777" w:rsidR="00D963BE" w:rsidRPr="007F2096" w:rsidRDefault="00D963BE" w:rsidP="00B27F31">
            <w:pPr>
              <w:rPr>
                <w:rFonts w:ascii="Arial" w:hAnsi="Arial" w:cs="Arial"/>
                <w:spacing w:val="-3"/>
                <w:sz w:val="20"/>
              </w:rPr>
            </w:pPr>
          </w:p>
        </w:tc>
        <w:tc>
          <w:tcPr>
            <w:tcW w:w="360" w:type="dxa"/>
            <w:shd w:val="clear" w:color="auto" w:fill="auto"/>
          </w:tcPr>
          <w:p w14:paraId="48AB65C8" w14:textId="77777777" w:rsidR="00D963BE" w:rsidRPr="007F2096" w:rsidRDefault="00D963BE" w:rsidP="00B27F31">
            <w:pPr>
              <w:rPr>
                <w:rFonts w:ascii="Arial" w:hAnsi="Arial" w:cs="Arial"/>
                <w:spacing w:val="-3"/>
                <w:sz w:val="20"/>
              </w:rPr>
            </w:pPr>
          </w:p>
        </w:tc>
        <w:tc>
          <w:tcPr>
            <w:tcW w:w="360" w:type="dxa"/>
            <w:shd w:val="clear" w:color="auto" w:fill="auto"/>
          </w:tcPr>
          <w:p w14:paraId="726C9613" w14:textId="77777777" w:rsidR="00D963BE" w:rsidRPr="007F2096" w:rsidRDefault="00D963BE" w:rsidP="00B27F31">
            <w:pPr>
              <w:rPr>
                <w:rFonts w:ascii="Arial" w:hAnsi="Arial" w:cs="Arial"/>
                <w:spacing w:val="-3"/>
                <w:sz w:val="20"/>
              </w:rPr>
            </w:pPr>
          </w:p>
        </w:tc>
        <w:tc>
          <w:tcPr>
            <w:tcW w:w="360" w:type="dxa"/>
            <w:shd w:val="clear" w:color="auto" w:fill="auto"/>
          </w:tcPr>
          <w:p w14:paraId="4AC650BC" w14:textId="77777777" w:rsidR="00D963BE" w:rsidRPr="007F2096" w:rsidRDefault="00D963BE" w:rsidP="00B27F31">
            <w:pPr>
              <w:rPr>
                <w:rFonts w:ascii="Arial" w:hAnsi="Arial" w:cs="Arial"/>
                <w:spacing w:val="-3"/>
                <w:sz w:val="20"/>
              </w:rPr>
            </w:pPr>
          </w:p>
        </w:tc>
        <w:tc>
          <w:tcPr>
            <w:tcW w:w="360" w:type="dxa"/>
            <w:shd w:val="clear" w:color="auto" w:fill="auto"/>
          </w:tcPr>
          <w:p w14:paraId="35142379" w14:textId="77777777" w:rsidR="00D963BE" w:rsidRPr="007F2096" w:rsidRDefault="00D963BE" w:rsidP="00B27F31">
            <w:pPr>
              <w:rPr>
                <w:rFonts w:ascii="Arial" w:hAnsi="Arial" w:cs="Arial"/>
                <w:spacing w:val="-3"/>
                <w:sz w:val="20"/>
              </w:rPr>
            </w:pPr>
          </w:p>
        </w:tc>
        <w:tc>
          <w:tcPr>
            <w:tcW w:w="360" w:type="dxa"/>
            <w:shd w:val="clear" w:color="auto" w:fill="auto"/>
          </w:tcPr>
          <w:p w14:paraId="60A1B75D" w14:textId="77777777" w:rsidR="00D963BE" w:rsidRPr="007F2096" w:rsidRDefault="00D963BE" w:rsidP="00B27F31">
            <w:pPr>
              <w:rPr>
                <w:rFonts w:ascii="Arial" w:hAnsi="Arial" w:cs="Arial"/>
                <w:spacing w:val="-3"/>
                <w:sz w:val="20"/>
              </w:rPr>
            </w:pPr>
          </w:p>
        </w:tc>
        <w:tc>
          <w:tcPr>
            <w:tcW w:w="360" w:type="dxa"/>
            <w:shd w:val="clear" w:color="auto" w:fill="auto"/>
          </w:tcPr>
          <w:p w14:paraId="370465E5" w14:textId="77777777" w:rsidR="00D963BE" w:rsidRPr="007F2096" w:rsidRDefault="00D963BE" w:rsidP="00B27F31">
            <w:pPr>
              <w:rPr>
                <w:rFonts w:ascii="Arial" w:hAnsi="Arial" w:cs="Arial"/>
                <w:spacing w:val="-3"/>
                <w:sz w:val="20"/>
              </w:rPr>
            </w:pPr>
          </w:p>
        </w:tc>
        <w:tc>
          <w:tcPr>
            <w:tcW w:w="360" w:type="dxa"/>
            <w:shd w:val="clear" w:color="auto" w:fill="auto"/>
          </w:tcPr>
          <w:p w14:paraId="3EC5C660" w14:textId="77777777" w:rsidR="00D963BE" w:rsidRPr="007F2096" w:rsidRDefault="00D963BE" w:rsidP="00B27F31">
            <w:pPr>
              <w:rPr>
                <w:rFonts w:ascii="Arial" w:hAnsi="Arial" w:cs="Arial"/>
                <w:spacing w:val="-3"/>
                <w:sz w:val="20"/>
              </w:rPr>
            </w:pPr>
          </w:p>
        </w:tc>
        <w:tc>
          <w:tcPr>
            <w:tcW w:w="1710" w:type="dxa"/>
          </w:tcPr>
          <w:p w14:paraId="445835F4" w14:textId="2290264E" w:rsidR="00D963BE" w:rsidRPr="007F2096" w:rsidRDefault="002B692F" w:rsidP="00B27F31">
            <w:pPr>
              <w:rPr>
                <w:rFonts w:ascii="Arial" w:hAnsi="Arial" w:cs="Arial"/>
                <w:spacing w:val="-3"/>
                <w:sz w:val="20"/>
              </w:rPr>
            </w:pPr>
            <w:r>
              <w:rPr>
                <w:rFonts w:ascii="Arial" w:hAnsi="Arial" w:cs="Arial"/>
                <w:spacing w:val="-3"/>
                <w:sz w:val="20"/>
              </w:rPr>
              <w:t>SIB</w:t>
            </w:r>
            <w:r w:rsidR="00E94FCC" w:rsidRPr="00E94FCC">
              <w:rPr>
                <w:rFonts w:ascii="Arial" w:hAnsi="Arial" w:cs="Arial"/>
                <w:spacing w:val="-3"/>
                <w:sz w:val="20"/>
              </w:rPr>
              <w:t>. Resolución publicada.</w:t>
            </w:r>
          </w:p>
        </w:tc>
        <w:tc>
          <w:tcPr>
            <w:tcW w:w="1170" w:type="dxa"/>
          </w:tcPr>
          <w:p w14:paraId="071AACC2" w14:textId="77777777" w:rsidR="00D963BE" w:rsidRPr="007F2096" w:rsidRDefault="00D963BE" w:rsidP="00B27F31">
            <w:pPr>
              <w:rPr>
                <w:rFonts w:ascii="Arial" w:hAnsi="Arial" w:cs="Arial"/>
                <w:spacing w:val="-3"/>
                <w:sz w:val="20"/>
              </w:rPr>
            </w:pPr>
          </w:p>
        </w:tc>
        <w:tc>
          <w:tcPr>
            <w:tcW w:w="1620" w:type="dxa"/>
          </w:tcPr>
          <w:p w14:paraId="25623D29" w14:textId="0F1A3AF5" w:rsidR="00D963BE" w:rsidRPr="007F2096" w:rsidRDefault="002B692F" w:rsidP="00B27F31">
            <w:pPr>
              <w:rPr>
                <w:rFonts w:ascii="Arial" w:hAnsi="Arial" w:cs="Arial"/>
                <w:spacing w:val="-3"/>
                <w:sz w:val="20"/>
              </w:rPr>
            </w:pPr>
            <w:r>
              <w:rPr>
                <w:rFonts w:ascii="Arial" w:hAnsi="Arial" w:cs="Arial"/>
                <w:spacing w:val="-3"/>
                <w:sz w:val="20"/>
              </w:rPr>
              <w:t>SIB</w:t>
            </w:r>
          </w:p>
        </w:tc>
      </w:tr>
      <w:tr w:rsidR="00D963BE" w:rsidRPr="00E76071" w14:paraId="55458B6A" w14:textId="77777777" w:rsidTr="006B6B00">
        <w:trPr>
          <w:jc w:val="center"/>
        </w:trPr>
        <w:tc>
          <w:tcPr>
            <w:tcW w:w="4320" w:type="dxa"/>
            <w:vAlign w:val="center"/>
          </w:tcPr>
          <w:p w14:paraId="6579E4EC" w14:textId="4A14614E" w:rsidR="00D963BE" w:rsidRPr="007F2096" w:rsidRDefault="007F30A2" w:rsidP="00B27F31">
            <w:pPr>
              <w:rPr>
                <w:rFonts w:ascii="Arial" w:hAnsi="Arial" w:cs="Arial"/>
                <w:spacing w:val="-3"/>
                <w:sz w:val="20"/>
              </w:rPr>
            </w:pPr>
            <w:r>
              <w:rPr>
                <w:rFonts w:ascii="Arial" w:hAnsi="Arial" w:cs="Arial"/>
                <w:spacing w:val="-3"/>
                <w:sz w:val="20"/>
              </w:rPr>
              <w:t xml:space="preserve">2b. </w:t>
            </w:r>
            <w:r w:rsidR="00C2387B" w:rsidRPr="00C2387B">
              <w:rPr>
                <w:rFonts w:ascii="Arial" w:hAnsi="Arial" w:cs="Arial"/>
                <w:spacing w:val="-3"/>
                <w:sz w:val="20"/>
              </w:rPr>
              <w:t xml:space="preserve">Verificación por parte de la Superintendencia de Bancos del cumplimiento </w:t>
            </w:r>
            <w:r w:rsidR="00C2387B" w:rsidRPr="00C2387B">
              <w:rPr>
                <w:rFonts w:ascii="Arial" w:hAnsi="Arial" w:cs="Arial"/>
                <w:spacing w:val="-3"/>
                <w:sz w:val="20"/>
              </w:rPr>
              <w:lastRenderedPageBreak/>
              <w:t>de la Resolución emitida por la Junta Monetaria para mejorar la divulgación de la información de los indicadores financieros, mediante aplicación de la misma a las entidades del sistema.</w:t>
            </w:r>
          </w:p>
        </w:tc>
        <w:tc>
          <w:tcPr>
            <w:tcW w:w="360" w:type="dxa"/>
            <w:shd w:val="clear" w:color="auto" w:fill="auto"/>
          </w:tcPr>
          <w:p w14:paraId="105029FF" w14:textId="77777777" w:rsidR="00D963BE" w:rsidRPr="007F2096" w:rsidRDefault="00D963BE" w:rsidP="00B27F31">
            <w:pPr>
              <w:rPr>
                <w:rFonts w:ascii="Arial" w:hAnsi="Arial" w:cs="Arial"/>
                <w:spacing w:val="-3"/>
                <w:sz w:val="20"/>
              </w:rPr>
            </w:pPr>
          </w:p>
        </w:tc>
        <w:tc>
          <w:tcPr>
            <w:tcW w:w="360" w:type="dxa"/>
            <w:shd w:val="clear" w:color="auto" w:fill="auto"/>
          </w:tcPr>
          <w:p w14:paraId="6E67E391" w14:textId="77777777" w:rsidR="00D963BE" w:rsidRPr="007F2096" w:rsidRDefault="00D963BE" w:rsidP="00B27F31">
            <w:pPr>
              <w:rPr>
                <w:rFonts w:ascii="Arial" w:hAnsi="Arial" w:cs="Arial"/>
                <w:spacing w:val="-3"/>
                <w:sz w:val="20"/>
              </w:rPr>
            </w:pPr>
          </w:p>
        </w:tc>
        <w:tc>
          <w:tcPr>
            <w:tcW w:w="360" w:type="dxa"/>
            <w:shd w:val="clear" w:color="auto" w:fill="auto"/>
          </w:tcPr>
          <w:p w14:paraId="229219E7" w14:textId="1AB772F4"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9F87FDE" w14:textId="0AC1B011"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D4E5665" w14:textId="438C4335"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1552600" w14:textId="76FB2995"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A9FA884" w14:textId="1C773776"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A10939D" w14:textId="249766C9"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8FBC8B2" w14:textId="77777777" w:rsidR="00D963BE" w:rsidRPr="007F2096" w:rsidRDefault="00D963BE" w:rsidP="00B27F31">
            <w:pPr>
              <w:rPr>
                <w:rFonts w:ascii="Arial" w:hAnsi="Arial" w:cs="Arial"/>
                <w:spacing w:val="-3"/>
                <w:sz w:val="20"/>
              </w:rPr>
            </w:pPr>
          </w:p>
        </w:tc>
        <w:tc>
          <w:tcPr>
            <w:tcW w:w="360" w:type="dxa"/>
            <w:shd w:val="clear" w:color="auto" w:fill="auto"/>
          </w:tcPr>
          <w:p w14:paraId="6E4F4C9F" w14:textId="77777777" w:rsidR="00D963BE" w:rsidRPr="007F2096" w:rsidRDefault="00D963BE" w:rsidP="00B27F31">
            <w:pPr>
              <w:rPr>
                <w:rFonts w:ascii="Arial" w:hAnsi="Arial" w:cs="Arial"/>
                <w:spacing w:val="-3"/>
                <w:sz w:val="20"/>
              </w:rPr>
            </w:pPr>
          </w:p>
        </w:tc>
        <w:tc>
          <w:tcPr>
            <w:tcW w:w="360" w:type="dxa"/>
            <w:shd w:val="clear" w:color="auto" w:fill="auto"/>
          </w:tcPr>
          <w:p w14:paraId="733B689E" w14:textId="77777777" w:rsidR="00D963BE" w:rsidRPr="007F2096" w:rsidRDefault="00D963BE" w:rsidP="00B27F31">
            <w:pPr>
              <w:rPr>
                <w:rFonts w:ascii="Arial" w:hAnsi="Arial" w:cs="Arial"/>
                <w:spacing w:val="-3"/>
                <w:sz w:val="20"/>
              </w:rPr>
            </w:pPr>
          </w:p>
        </w:tc>
        <w:tc>
          <w:tcPr>
            <w:tcW w:w="360" w:type="dxa"/>
            <w:shd w:val="clear" w:color="auto" w:fill="auto"/>
          </w:tcPr>
          <w:p w14:paraId="49297527" w14:textId="77777777" w:rsidR="00D963BE" w:rsidRPr="007F2096" w:rsidRDefault="00D963BE" w:rsidP="00B27F31">
            <w:pPr>
              <w:rPr>
                <w:rFonts w:ascii="Arial" w:hAnsi="Arial" w:cs="Arial"/>
                <w:spacing w:val="-3"/>
                <w:sz w:val="20"/>
              </w:rPr>
            </w:pPr>
          </w:p>
        </w:tc>
        <w:tc>
          <w:tcPr>
            <w:tcW w:w="1710" w:type="dxa"/>
          </w:tcPr>
          <w:p w14:paraId="56802778" w14:textId="7C547A74" w:rsidR="00D963BE" w:rsidRPr="007F2096" w:rsidRDefault="002B692F" w:rsidP="00B27F31">
            <w:pPr>
              <w:rPr>
                <w:rFonts w:ascii="Arial" w:hAnsi="Arial" w:cs="Arial"/>
                <w:spacing w:val="-3"/>
                <w:sz w:val="20"/>
              </w:rPr>
            </w:pPr>
            <w:r>
              <w:rPr>
                <w:rFonts w:ascii="Arial" w:hAnsi="Arial" w:cs="Arial"/>
                <w:spacing w:val="-3"/>
                <w:sz w:val="20"/>
              </w:rPr>
              <w:t>SIB</w:t>
            </w:r>
            <w:r w:rsidR="00E94FCC" w:rsidRPr="00E94FCC">
              <w:rPr>
                <w:rFonts w:ascii="Arial" w:hAnsi="Arial" w:cs="Arial"/>
                <w:spacing w:val="-3"/>
                <w:sz w:val="20"/>
              </w:rPr>
              <w:t xml:space="preserve"> viene realizando las </w:t>
            </w:r>
            <w:r w:rsidR="00E94FCC" w:rsidRPr="00E94FCC">
              <w:rPr>
                <w:rFonts w:ascii="Arial" w:hAnsi="Arial" w:cs="Arial"/>
                <w:spacing w:val="-3"/>
                <w:sz w:val="20"/>
              </w:rPr>
              <w:lastRenderedPageBreak/>
              <w:t>fiscalizaciones correspondientes</w:t>
            </w:r>
            <w:r w:rsidR="00E94FCC">
              <w:rPr>
                <w:rFonts w:ascii="Arial" w:hAnsi="Arial" w:cs="Arial"/>
                <w:spacing w:val="-3"/>
                <w:sz w:val="20"/>
              </w:rPr>
              <w:t>.</w:t>
            </w:r>
          </w:p>
        </w:tc>
        <w:tc>
          <w:tcPr>
            <w:tcW w:w="1170" w:type="dxa"/>
          </w:tcPr>
          <w:p w14:paraId="0D76F951" w14:textId="77777777" w:rsidR="00D963BE" w:rsidRPr="007F2096" w:rsidRDefault="00D963BE" w:rsidP="00B27F31">
            <w:pPr>
              <w:rPr>
                <w:rFonts w:ascii="Arial" w:hAnsi="Arial" w:cs="Arial"/>
                <w:spacing w:val="-3"/>
                <w:sz w:val="20"/>
              </w:rPr>
            </w:pPr>
          </w:p>
        </w:tc>
        <w:tc>
          <w:tcPr>
            <w:tcW w:w="1620" w:type="dxa"/>
          </w:tcPr>
          <w:p w14:paraId="28476049" w14:textId="4FEAAFD9" w:rsidR="00D963BE" w:rsidRPr="007F2096" w:rsidRDefault="002B692F" w:rsidP="00B27F31">
            <w:pPr>
              <w:rPr>
                <w:rFonts w:ascii="Arial" w:hAnsi="Arial" w:cs="Arial"/>
                <w:spacing w:val="-3"/>
                <w:sz w:val="20"/>
              </w:rPr>
            </w:pPr>
            <w:r>
              <w:rPr>
                <w:rFonts w:ascii="Arial" w:hAnsi="Arial" w:cs="Arial"/>
                <w:spacing w:val="-3"/>
                <w:sz w:val="20"/>
              </w:rPr>
              <w:t>SIB</w:t>
            </w:r>
          </w:p>
        </w:tc>
      </w:tr>
      <w:tr w:rsidR="00D963BE" w:rsidRPr="00E76071" w14:paraId="141BFB8D" w14:textId="77777777" w:rsidTr="006B6B00">
        <w:trPr>
          <w:jc w:val="center"/>
        </w:trPr>
        <w:tc>
          <w:tcPr>
            <w:tcW w:w="4320" w:type="dxa"/>
          </w:tcPr>
          <w:p w14:paraId="6799F9BC" w14:textId="5FB33DC9" w:rsidR="00D963BE" w:rsidRPr="007F2096" w:rsidRDefault="00D963BE" w:rsidP="00B27F31">
            <w:pPr>
              <w:rPr>
                <w:rFonts w:ascii="Arial" w:hAnsi="Arial" w:cs="Arial"/>
                <w:spacing w:val="-3"/>
                <w:sz w:val="20"/>
              </w:rPr>
            </w:pPr>
            <w:r w:rsidRPr="000560DB">
              <w:rPr>
                <w:rFonts w:ascii="Arial" w:hAnsi="Arial" w:cs="Arial"/>
                <w:sz w:val="18"/>
              </w:rPr>
              <w:lastRenderedPageBreak/>
              <w:t>3</w:t>
            </w:r>
            <w:r>
              <w:rPr>
                <w:rFonts w:ascii="Arial" w:hAnsi="Arial" w:cs="Arial"/>
                <w:sz w:val="18"/>
              </w:rPr>
              <w:t>a</w:t>
            </w:r>
            <w:r w:rsidRPr="000560DB">
              <w:rPr>
                <w:rFonts w:ascii="Arial" w:hAnsi="Arial" w:cs="Arial"/>
                <w:sz w:val="18"/>
              </w:rPr>
              <w:t xml:space="preserve">. Fortalecer el sistema de prevención de lavado de activos en Guatemala, observando las recomendaciones del GAFI </w:t>
            </w:r>
            <w:r>
              <w:rPr>
                <w:rFonts w:ascii="Arial" w:hAnsi="Arial" w:cs="Arial"/>
                <w:sz w:val="18"/>
              </w:rPr>
              <w:t xml:space="preserve">del 2010 </w:t>
            </w:r>
            <w:r w:rsidRPr="000560DB">
              <w:rPr>
                <w:rFonts w:ascii="Arial" w:hAnsi="Arial" w:cs="Arial"/>
                <w:sz w:val="18"/>
              </w:rPr>
              <w:t>(Grupo de Acción Financiera, o FATF por sus siglas en inglés) y su metodología de evaluación</w:t>
            </w:r>
            <w:r w:rsidRPr="0079004E">
              <w:rPr>
                <w:rFonts w:ascii="Arial" w:hAnsi="Arial" w:cs="Arial"/>
                <w:sz w:val="18"/>
              </w:rPr>
              <w:t xml:space="preserve">, mediante un Plan Estratégico Nacional </w:t>
            </w:r>
            <w:r>
              <w:rPr>
                <w:rFonts w:ascii="Arial" w:hAnsi="Arial" w:cs="Arial"/>
                <w:sz w:val="18"/>
              </w:rPr>
              <w:t>alineado a estos</w:t>
            </w:r>
            <w:r w:rsidRPr="0079004E">
              <w:rPr>
                <w:rFonts w:ascii="Arial" w:hAnsi="Arial" w:cs="Arial"/>
                <w:sz w:val="18"/>
              </w:rPr>
              <w:t xml:space="preserve"> Estándares</w:t>
            </w:r>
            <w:r w:rsidRPr="000560DB">
              <w:rPr>
                <w:rFonts w:ascii="Arial" w:hAnsi="Arial" w:cs="Arial"/>
                <w:sz w:val="18"/>
              </w:rPr>
              <w:t xml:space="preserve">. </w:t>
            </w:r>
          </w:p>
        </w:tc>
        <w:tc>
          <w:tcPr>
            <w:tcW w:w="360" w:type="dxa"/>
            <w:shd w:val="clear" w:color="auto" w:fill="auto"/>
          </w:tcPr>
          <w:p w14:paraId="190E94C4" w14:textId="350D83C9"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F6DD328" w14:textId="77777777" w:rsidR="00D963BE" w:rsidRPr="007F2096" w:rsidRDefault="00D963BE" w:rsidP="00B27F31">
            <w:pPr>
              <w:rPr>
                <w:rFonts w:ascii="Arial" w:hAnsi="Arial" w:cs="Arial"/>
                <w:spacing w:val="-3"/>
                <w:sz w:val="20"/>
              </w:rPr>
            </w:pPr>
          </w:p>
        </w:tc>
        <w:tc>
          <w:tcPr>
            <w:tcW w:w="360" w:type="dxa"/>
            <w:shd w:val="clear" w:color="auto" w:fill="auto"/>
          </w:tcPr>
          <w:p w14:paraId="134A88F7" w14:textId="77777777" w:rsidR="00D963BE" w:rsidRPr="007F2096" w:rsidRDefault="00D963BE" w:rsidP="00B27F31">
            <w:pPr>
              <w:rPr>
                <w:rFonts w:ascii="Arial" w:hAnsi="Arial" w:cs="Arial"/>
                <w:spacing w:val="-3"/>
                <w:sz w:val="20"/>
              </w:rPr>
            </w:pPr>
          </w:p>
        </w:tc>
        <w:tc>
          <w:tcPr>
            <w:tcW w:w="360" w:type="dxa"/>
            <w:shd w:val="clear" w:color="auto" w:fill="auto"/>
          </w:tcPr>
          <w:p w14:paraId="2D7520A2" w14:textId="77777777" w:rsidR="00D963BE" w:rsidRPr="007F2096" w:rsidRDefault="00D963BE" w:rsidP="00B27F31">
            <w:pPr>
              <w:rPr>
                <w:rFonts w:ascii="Arial" w:hAnsi="Arial" w:cs="Arial"/>
                <w:spacing w:val="-3"/>
                <w:sz w:val="20"/>
              </w:rPr>
            </w:pPr>
          </w:p>
        </w:tc>
        <w:tc>
          <w:tcPr>
            <w:tcW w:w="360" w:type="dxa"/>
            <w:shd w:val="clear" w:color="auto" w:fill="auto"/>
          </w:tcPr>
          <w:p w14:paraId="0171A379" w14:textId="77777777" w:rsidR="00D963BE" w:rsidRPr="007F2096" w:rsidRDefault="00D963BE" w:rsidP="00B27F31">
            <w:pPr>
              <w:rPr>
                <w:rFonts w:ascii="Arial" w:hAnsi="Arial" w:cs="Arial"/>
                <w:spacing w:val="-3"/>
                <w:sz w:val="20"/>
              </w:rPr>
            </w:pPr>
          </w:p>
        </w:tc>
        <w:tc>
          <w:tcPr>
            <w:tcW w:w="360" w:type="dxa"/>
            <w:shd w:val="clear" w:color="auto" w:fill="auto"/>
          </w:tcPr>
          <w:p w14:paraId="7F990A68" w14:textId="77777777" w:rsidR="00D963BE" w:rsidRPr="007F2096" w:rsidRDefault="00D963BE" w:rsidP="00B27F31">
            <w:pPr>
              <w:rPr>
                <w:rFonts w:ascii="Arial" w:hAnsi="Arial" w:cs="Arial"/>
                <w:spacing w:val="-3"/>
                <w:sz w:val="20"/>
              </w:rPr>
            </w:pPr>
          </w:p>
        </w:tc>
        <w:tc>
          <w:tcPr>
            <w:tcW w:w="360" w:type="dxa"/>
            <w:shd w:val="clear" w:color="auto" w:fill="auto"/>
          </w:tcPr>
          <w:p w14:paraId="2D31337E" w14:textId="77777777" w:rsidR="00D963BE" w:rsidRPr="007F2096" w:rsidRDefault="00D963BE" w:rsidP="00B27F31">
            <w:pPr>
              <w:rPr>
                <w:rFonts w:ascii="Arial" w:hAnsi="Arial" w:cs="Arial"/>
                <w:spacing w:val="-3"/>
                <w:sz w:val="20"/>
              </w:rPr>
            </w:pPr>
          </w:p>
        </w:tc>
        <w:tc>
          <w:tcPr>
            <w:tcW w:w="360" w:type="dxa"/>
            <w:shd w:val="clear" w:color="auto" w:fill="auto"/>
          </w:tcPr>
          <w:p w14:paraId="53912371" w14:textId="77777777" w:rsidR="00D963BE" w:rsidRPr="007F2096" w:rsidRDefault="00D963BE" w:rsidP="00B27F31">
            <w:pPr>
              <w:rPr>
                <w:rFonts w:ascii="Arial" w:hAnsi="Arial" w:cs="Arial"/>
                <w:spacing w:val="-3"/>
                <w:sz w:val="20"/>
              </w:rPr>
            </w:pPr>
          </w:p>
        </w:tc>
        <w:tc>
          <w:tcPr>
            <w:tcW w:w="360" w:type="dxa"/>
            <w:shd w:val="clear" w:color="auto" w:fill="auto"/>
          </w:tcPr>
          <w:p w14:paraId="02098883" w14:textId="77777777" w:rsidR="00D963BE" w:rsidRPr="007F2096" w:rsidRDefault="00D963BE" w:rsidP="00B27F31">
            <w:pPr>
              <w:rPr>
                <w:rFonts w:ascii="Arial" w:hAnsi="Arial" w:cs="Arial"/>
                <w:spacing w:val="-3"/>
                <w:sz w:val="20"/>
              </w:rPr>
            </w:pPr>
          </w:p>
        </w:tc>
        <w:tc>
          <w:tcPr>
            <w:tcW w:w="360" w:type="dxa"/>
            <w:shd w:val="clear" w:color="auto" w:fill="auto"/>
          </w:tcPr>
          <w:p w14:paraId="42C6B0A1" w14:textId="77777777" w:rsidR="00D963BE" w:rsidRPr="007F2096" w:rsidRDefault="00D963BE" w:rsidP="00B27F31">
            <w:pPr>
              <w:rPr>
                <w:rFonts w:ascii="Arial" w:hAnsi="Arial" w:cs="Arial"/>
                <w:spacing w:val="-3"/>
                <w:sz w:val="20"/>
              </w:rPr>
            </w:pPr>
          </w:p>
        </w:tc>
        <w:tc>
          <w:tcPr>
            <w:tcW w:w="360" w:type="dxa"/>
            <w:shd w:val="clear" w:color="auto" w:fill="auto"/>
          </w:tcPr>
          <w:p w14:paraId="5B72DC51" w14:textId="77777777" w:rsidR="00D963BE" w:rsidRPr="007F2096" w:rsidRDefault="00D963BE" w:rsidP="00B27F31">
            <w:pPr>
              <w:rPr>
                <w:rFonts w:ascii="Arial" w:hAnsi="Arial" w:cs="Arial"/>
                <w:spacing w:val="-3"/>
                <w:sz w:val="20"/>
              </w:rPr>
            </w:pPr>
          </w:p>
        </w:tc>
        <w:tc>
          <w:tcPr>
            <w:tcW w:w="360" w:type="dxa"/>
            <w:shd w:val="clear" w:color="auto" w:fill="auto"/>
          </w:tcPr>
          <w:p w14:paraId="607AF95F" w14:textId="77777777" w:rsidR="00D963BE" w:rsidRPr="007F2096" w:rsidRDefault="00D963BE" w:rsidP="00B27F31">
            <w:pPr>
              <w:rPr>
                <w:rFonts w:ascii="Arial" w:hAnsi="Arial" w:cs="Arial"/>
                <w:spacing w:val="-3"/>
                <w:sz w:val="20"/>
              </w:rPr>
            </w:pPr>
          </w:p>
        </w:tc>
        <w:tc>
          <w:tcPr>
            <w:tcW w:w="1710" w:type="dxa"/>
          </w:tcPr>
          <w:p w14:paraId="68BDAB91" w14:textId="3D93F7E0" w:rsidR="00D963BE" w:rsidRPr="007F2096" w:rsidRDefault="00E94FCC" w:rsidP="00B27F31">
            <w:pPr>
              <w:rPr>
                <w:rFonts w:ascii="Arial" w:hAnsi="Arial" w:cs="Arial"/>
                <w:spacing w:val="-3"/>
                <w:sz w:val="20"/>
              </w:rPr>
            </w:pPr>
            <w:r>
              <w:rPr>
                <w:rFonts w:ascii="Arial" w:hAnsi="Arial" w:cs="Arial"/>
                <w:spacing w:val="-3"/>
                <w:sz w:val="20"/>
              </w:rPr>
              <w:t xml:space="preserve">COPRECLAFT aprobó un </w:t>
            </w:r>
            <w:r w:rsidRPr="00E94FCC">
              <w:rPr>
                <w:rFonts w:ascii="Arial" w:hAnsi="Arial" w:cs="Arial"/>
                <w:spacing w:val="-3"/>
                <w:sz w:val="20"/>
              </w:rPr>
              <w:t>Plan Estratégico Nacional alineado a estos Estándares.</w:t>
            </w:r>
          </w:p>
        </w:tc>
        <w:tc>
          <w:tcPr>
            <w:tcW w:w="1170" w:type="dxa"/>
          </w:tcPr>
          <w:p w14:paraId="4F6BD5C2" w14:textId="77777777" w:rsidR="00D963BE" w:rsidRPr="007F2096" w:rsidRDefault="00D963BE" w:rsidP="00B27F31">
            <w:pPr>
              <w:rPr>
                <w:rFonts w:ascii="Arial" w:hAnsi="Arial" w:cs="Arial"/>
                <w:spacing w:val="-3"/>
                <w:sz w:val="20"/>
              </w:rPr>
            </w:pPr>
          </w:p>
        </w:tc>
        <w:tc>
          <w:tcPr>
            <w:tcW w:w="1620" w:type="dxa"/>
          </w:tcPr>
          <w:p w14:paraId="76F44585" w14:textId="70992DDB" w:rsidR="00D963BE" w:rsidRPr="007F2096" w:rsidRDefault="00E94FCC" w:rsidP="00B27F31">
            <w:pPr>
              <w:rPr>
                <w:rFonts w:ascii="Arial" w:hAnsi="Arial" w:cs="Arial"/>
                <w:spacing w:val="-3"/>
                <w:sz w:val="20"/>
              </w:rPr>
            </w:pPr>
            <w:r>
              <w:rPr>
                <w:rFonts w:ascii="Arial" w:hAnsi="Arial" w:cs="Arial"/>
                <w:spacing w:val="-3"/>
                <w:sz w:val="20"/>
              </w:rPr>
              <w:t>COPRECLAFT</w:t>
            </w:r>
          </w:p>
        </w:tc>
      </w:tr>
      <w:tr w:rsidR="00D963BE" w:rsidRPr="00E76071" w14:paraId="1F5D6AA0" w14:textId="77777777" w:rsidTr="006B6B00">
        <w:trPr>
          <w:jc w:val="center"/>
        </w:trPr>
        <w:tc>
          <w:tcPr>
            <w:tcW w:w="4320" w:type="dxa"/>
          </w:tcPr>
          <w:p w14:paraId="3D89F48E" w14:textId="52266BE0" w:rsidR="00D963BE" w:rsidRPr="000560DB" w:rsidRDefault="007F30A2" w:rsidP="00B27F31">
            <w:pPr>
              <w:rPr>
                <w:rFonts w:ascii="Arial" w:hAnsi="Arial" w:cs="Arial"/>
                <w:sz w:val="18"/>
              </w:rPr>
            </w:pPr>
            <w:r>
              <w:rPr>
                <w:rFonts w:ascii="Arial" w:hAnsi="Arial" w:cs="Arial"/>
                <w:sz w:val="18"/>
              </w:rPr>
              <w:t xml:space="preserve">3b. </w:t>
            </w:r>
            <w:r w:rsidR="00C2387B" w:rsidRPr="00C2387B">
              <w:rPr>
                <w:rFonts w:ascii="Arial" w:hAnsi="Arial" w:cs="Arial"/>
                <w:sz w:val="18"/>
              </w:rPr>
              <w:t>Adecuar el Plan Estratégico Nacional Contra el Lavado de Activos, y el Financiamiento del Terrorismo y el Financiamiento de la Proliferación de Armas de Destrucción Masiva, a los Resultados de la Evaluación Nacional de Riesgos y el Informe de Evaluación Mutua de los grupos regionales del GAFI (GAFILAT-Latinoamérica y GAFIC-Caribe) previsto publicarse a finales del 2016 o inicio del 2017.</w:t>
            </w:r>
          </w:p>
        </w:tc>
        <w:tc>
          <w:tcPr>
            <w:tcW w:w="360" w:type="dxa"/>
            <w:shd w:val="clear" w:color="auto" w:fill="auto"/>
          </w:tcPr>
          <w:p w14:paraId="7077CF63" w14:textId="77777777" w:rsidR="00D963BE" w:rsidRPr="007F2096" w:rsidRDefault="00D963BE" w:rsidP="00B27F31">
            <w:pPr>
              <w:rPr>
                <w:rFonts w:ascii="Arial" w:hAnsi="Arial" w:cs="Arial"/>
                <w:spacing w:val="-3"/>
                <w:sz w:val="20"/>
              </w:rPr>
            </w:pPr>
          </w:p>
        </w:tc>
        <w:tc>
          <w:tcPr>
            <w:tcW w:w="360" w:type="dxa"/>
            <w:shd w:val="clear" w:color="auto" w:fill="auto"/>
          </w:tcPr>
          <w:p w14:paraId="3F5C0712" w14:textId="77777777" w:rsidR="00D963BE" w:rsidRPr="007F2096" w:rsidRDefault="00D963BE" w:rsidP="00B27F31">
            <w:pPr>
              <w:rPr>
                <w:rFonts w:ascii="Arial" w:hAnsi="Arial" w:cs="Arial"/>
                <w:spacing w:val="-3"/>
                <w:sz w:val="20"/>
              </w:rPr>
            </w:pPr>
          </w:p>
        </w:tc>
        <w:tc>
          <w:tcPr>
            <w:tcW w:w="360" w:type="dxa"/>
            <w:shd w:val="clear" w:color="auto" w:fill="auto"/>
          </w:tcPr>
          <w:p w14:paraId="48880BFD" w14:textId="77777777" w:rsidR="00D963BE" w:rsidRPr="007F2096" w:rsidRDefault="00D963BE" w:rsidP="00B27F31">
            <w:pPr>
              <w:rPr>
                <w:rFonts w:ascii="Arial" w:hAnsi="Arial" w:cs="Arial"/>
                <w:spacing w:val="-3"/>
                <w:sz w:val="20"/>
              </w:rPr>
            </w:pPr>
          </w:p>
        </w:tc>
        <w:tc>
          <w:tcPr>
            <w:tcW w:w="360" w:type="dxa"/>
            <w:shd w:val="clear" w:color="auto" w:fill="auto"/>
          </w:tcPr>
          <w:p w14:paraId="2640C992" w14:textId="3F811076"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E81A5A8" w14:textId="556159E7"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EBCD9AC" w14:textId="12C2E75C"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DF78BCD" w14:textId="397D7E26"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CBB1C19" w14:textId="1E5D4C67" w:rsidR="00D963BE" w:rsidRPr="007F2096" w:rsidRDefault="00E94FCC"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131E91D" w14:textId="77777777" w:rsidR="00D963BE" w:rsidRPr="007F2096" w:rsidRDefault="00D963BE" w:rsidP="00B27F31">
            <w:pPr>
              <w:rPr>
                <w:rFonts w:ascii="Arial" w:hAnsi="Arial" w:cs="Arial"/>
                <w:spacing w:val="-3"/>
                <w:sz w:val="20"/>
              </w:rPr>
            </w:pPr>
          </w:p>
        </w:tc>
        <w:tc>
          <w:tcPr>
            <w:tcW w:w="360" w:type="dxa"/>
            <w:shd w:val="clear" w:color="auto" w:fill="auto"/>
          </w:tcPr>
          <w:p w14:paraId="62C8C4F1" w14:textId="77777777" w:rsidR="00D963BE" w:rsidRPr="007F2096" w:rsidRDefault="00D963BE" w:rsidP="00B27F31">
            <w:pPr>
              <w:rPr>
                <w:rFonts w:ascii="Arial" w:hAnsi="Arial" w:cs="Arial"/>
                <w:spacing w:val="-3"/>
                <w:sz w:val="20"/>
              </w:rPr>
            </w:pPr>
          </w:p>
        </w:tc>
        <w:tc>
          <w:tcPr>
            <w:tcW w:w="360" w:type="dxa"/>
            <w:shd w:val="clear" w:color="auto" w:fill="auto"/>
          </w:tcPr>
          <w:p w14:paraId="4B382F5C" w14:textId="77777777" w:rsidR="00D963BE" w:rsidRPr="007F2096" w:rsidRDefault="00D963BE" w:rsidP="00B27F31">
            <w:pPr>
              <w:rPr>
                <w:rFonts w:ascii="Arial" w:hAnsi="Arial" w:cs="Arial"/>
                <w:spacing w:val="-3"/>
                <w:sz w:val="20"/>
              </w:rPr>
            </w:pPr>
          </w:p>
        </w:tc>
        <w:tc>
          <w:tcPr>
            <w:tcW w:w="360" w:type="dxa"/>
            <w:shd w:val="clear" w:color="auto" w:fill="auto"/>
          </w:tcPr>
          <w:p w14:paraId="457DC625" w14:textId="77777777" w:rsidR="00D963BE" w:rsidRPr="007F2096" w:rsidRDefault="00D963BE" w:rsidP="00B27F31">
            <w:pPr>
              <w:rPr>
                <w:rFonts w:ascii="Arial" w:hAnsi="Arial" w:cs="Arial"/>
                <w:spacing w:val="-3"/>
                <w:sz w:val="20"/>
              </w:rPr>
            </w:pPr>
          </w:p>
        </w:tc>
        <w:tc>
          <w:tcPr>
            <w:tcW w:w="1710" w:type="dxa"/>
          </w:tcPr>
          <w:p w14:paraId="05275E99" w14:textId="41782703" w:rsidR="00D963BE" w:rsidRPr="007F2096" w:rsidRDefault="00E94FCC" w:rsidP="00E94FCC">
            <w:pPr>
              <w:rPr>
                <w:rFonts w:ascii="Arial" w:hAnsi="Arial" w:cs="Arial"/>
                <w:spacing w:val="-3"/>
                <w:sz w:val="20"/>
              </w:rPr>
            </w:pPr>
            <w:r>
              <w:rPr>
                <w:rFonts w:ascii="Arial" w:hAnsi="Arial" w:cs="Arial"/>
                <w:spacing w:val="-3"/>
                <w:sz w:val="20"/>
              </w:rPr>
              <w:t xml:space="preserve">Después de publicado el nuevo GAFI al final del 2016, la </w:t>
            </w:r>
            <w:r w:rsidRPr="00E94FCC">
              <w:rPr>
                <w:rFonts w:ascii="Arial" w:hAnsi="Arial" w:cs="Arial"/>
                <w:spacing w:val="-3"/>
                <w:sz w:val="20"/>
              </w:rPr>
              <w:t xml:space="preserve">COPRECLAFT </w:t>
            </w:r>
            <w:r>
              <w:rPr>
                <w:rFonts w:ascii="Arial" w:hAnsi="Arial" w:cs="Arial"/>
                <w:spacing w:val="-3"/>
                <w:sz w:val="20"/>
              </w:rPr>
              <w:t>revisará su</w:t>
            </w:r>
            <w:r w:rsidRPr="00E94FCC">
              <w:rPr>
                <w:rFonts w:ascii="Arial" w:hAnsi="Arial" w:cs="Arial"/>
                <w:spacing w:val="-3"/>
                <w:sz w:val="20"/>
              </w:rPr>
              <w:t xml:space="preserve"> Plan Estratégico Nacional alineado a estos Estándares.</w:t>
            </w:r>
          </w:p>
        </w:tc>
        <w:tc>
          <w:tcPr>
            <w:tcW w:w="1170" w:type="dxa"/>
          </w:tcPr>
          <w:p w14:paraId="5264CF4D" w14:textId="77777777" w:rsidR="00D963BE" w:rsidRPr="007F2096" w:rsidRDefault="00D963BE" w:rsidP="00B27F31">
            <w:pPr>
              <w:rPr>
                <w:rFonts w:ascii="Arial" w:hAnsi="Arial" w:cs="Arial"/>
                <w:spacing w:val="-3"/>
                <w:sz w:val="20"/>
              </w:rPr>
            </w:pPr>
          </w:p>
        </w:tc>
        <w:tc>
          <w:tcPr>
            <w:tcW w:w="1620" w:type="dxa"/>
          </w:tcPr>
          <w:p w14:paraId="00718DE6" w14:textId="75E9CDB3" w:rsidR="00D963BE" w:rsidRPr="007F2096" w:rsidRDefault="00E94FCC" w:rsidP="00B27F31">
            <w:pPr>
              <w:rPr>
                <w:rFonts w:ascii="Arial" w:hAnsi="Arial" w:cs="Arial"/>
                <w:spacing w:val="-3"/>
                <w:sz w:val="20"/>
              </w:rPr>
            </w:pPr>
            <w:r w:rsidRPr="00E94FCC">
              <w:rPr>
                <w:rFonts w:ascii="Arial" w:hAnsi="Arial" w:cs="Arial"/>
                <w:spacing w:val="-3"/>
                <w:sz w:val="20"/>
              </w:rPr>
              <w:t>COPRECLAFT</w:t>
            </w:r>
          </w:p>
        </w:tc>
      </w:tr>
      <w:tr w:rsidR="00D963BE" w:rsidRPr="00E76071" w14:paraId="4C5CD57A" w14:textId="77777777" w:rsidTr="006B6B00">
        <w:trPr>
          <w:jc w:val="center"/>
        </w:trPr>
        <w:tc>
          <w:tcPr>
            <w:tcW w:w="4320" w:type="dxa"/>
          </w:tcPr>
          <w:p w14:paraId="729F1357" w14:textId="7A5627D9" w:rsidR="00D963BE" w:rsidRPr="007F2096" w:rsidRDefault="00D963BE" w:rsidP="00B27F31">
            <w:pPr>
              <w:rPr>
                <w:rFonts w:ascii="Arial" w:hAnsi="Arial" w:cs="Arial"/>
                <w:spacing w:val="-3"/>
                <w:sz w:val="20"/>
              </w:rPr>
            </w:pPr>
            <w:r w:rsidRPr="000560DB">
              <w:rPr>
                <w:rFonts w:ascii="Arial" w:hAnsi="Arial" w:cs="Arial"/>
                <w:sz w:val="18"/>
              </w:rPr>
              <w:t>4</w:t>
            </w:r>
            <w:r>
              <w:rPr>
                <w:rFonts w:ascii="Arial" w:hAnsi="Arial" w:cs="Arial"/>
                <w:sz w:val="18"/>
              </w:rPr>
              <w:t>a</w:t>
            </w:r>
            <w:r w:rsidRPr="000560DB">
              <w:rPr>
                <w:rFonts w:ascii="Arial" w:hAnsi="Arial" w:cs="Arial"/>
                <w:sz w:val="18"/>
              </w:rPr>
              <w:t>. Mejorar el intercambio de información entre las entidades miembros e invitadas de la COPRECLAFT con responsabilidad en la prevención de lavado de activos y de administración tributaria, mediante la adopción de un acuerdo marco de coordinación interinstitucional e intercambio de información entre los mismos, incluyendo la SAT.</w:t>
            </w:r>
          </w:p>
        </w:tc>
        <w:tc>
          <w:tcPr>
            <w:tcW w:w="360" w:type="dxa"/>
            <w:shd w:val="clear" w:color="auto" w:fill="auto"/>
          </w:tcPr>
          <w:p w14:paraId="5BB5F42E" w14:textId="77777777" w:rsidR="00D963BE" w:rsidRPr="007F2096" w:rsidRDefault="00D963BE" w:rsidP="00B27F31">
            <w:pPr>
              <w:rPr>
                <w:rFonts w:ascii="Arial" w:hAnsi="Arial" w:cs="Arial"/>
                <w:spacing w:val="-3"/>
                <w:sz w:val="20"/>
              </w:rPr>
            </w:pPr>
          </w:p>
        </w:tc>
        <w:tc>
          <w:tcPr>
            <w:tcW w:w="360" w:type="dxa"/>
            <w:shd w:val="clear" w:color="auto" w:fill="auto"/>
          </w:tcPr>
          <w:p w14:paraId="6E65610D" w14:textId="316DB8CA" w:rsidR="00D963BE" w:rsidRPr="007F2096" w:rsidRDefault="00FA656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2490F7B" w14:textId="5956E6A9" w:rsidR="00D963BE" w:rsidRPr="007F2096" w:rsidRDefault="00FA656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7E3C0C5" w14:textId="77777777" w:rsidR="00D963BE" w:rsidRPr="007F2096" w:rsidRDefault="00D963BE" w:rsidP="00B27F31">
            <w:pPr>
              <w:rPr>
                <w:rFonts w:ascii="Arial" w:hAnsi="Arial" w:cs="Arial"/>
                <w:spacing w:val="-3"/>
                <w:sz w:val="20"/>
              </w:rPr>
            </w:pPr>
          </w:p>
        </w:tc>
        <w:tc>
          <w:tcPr>
            <w:tcW w:w="360" w:type="dxa"/>
            <w:shd w:val="clear" w:color="auto" w:fill="auto"/>
          </w:tcPr>
          <w:p w14:paraId="47670C4C" w14:textId="77777777" w:rsidR="00D963BE" w:rsidRPr="007F2096" w:rsidRDefault="00D963BE" w:rsidP="00B27F31">
            <w:pPr>
              <w:rPr>
                <w:rFonts w:ascii="Arial" w:hAnsi="Arial" w:cs="Arial"/>
                <w:spacing w:val="-3"/>
                <w:sz w:val="20"/>
              </w:rPr>
            </w:pPr>
          </w:p>
        </w:tc>
        <w:tc>
          <w:tcPr>
            <w:tcW w:w="360" w:type="dxa"/>
            <w:shd w:val="clear" w:color="auto" w:fill="auto"/>
          </w:tcPr>
          <w:p w14:paraId="574FAB6E" w14:textId="77777777" w:rsidR="00D963BE" w:rsidRPr="007F2096" w:rsidRDefault="00D963BE" w:rsidP="00B27F31">
            <w:pPr>
              <w:rPr>
                <w:rFonts w:ascii="Arial" w:hAnsi="Arial" w:cs="Arial"/>
                <w:spacing w:val="-3"/>
                <w:sz w:val="20"/>
              </w:rPr>
            </w:pPr>
          </w:p>
        </w:tc>
        <w:tc>
          <w:tcPr>
            <w:tcW w:w="360" w:type="dxa"/>
            <w:shd w:val="clear" w:color="auto" w:fill="auto"/>
          </w:tcPr>
          <w:p w14:paraId="2670836A" w14:textId="77777777" w:rsidR="00D963BE" w:rsidRPr="007F2096" w:rsidRDefault="00D963BE" w:rsidP="00B27F31">
            <w:pPr>
              <w:rPr>
                <w:rFonts w:ascii="Arial" w:hAnsi="Arial" w:cs="Arial"/>
                <w:spacing w:val="-3"/>
                <w:sz w:val="20"/>
              </w:rPr>
            </w:pPr>
          </w:p>
        </w:tc>
        <w:tc>
          <w:tcPr>
            <w:tcW w:w="360" w:type="dxa"/>
            <w:shd w:val="clear" w:color="auto" w:fill="auto"/>
          </w:tcPr>
          <w:p w14:paraId="456E34ED" w14:textId="77777777" w:rsidR="00D963BE" w:rsidRPr="007F2096" w:rsidRDefault="00D963BE" w:rsidP="00B27F31">
            <w:pPr>
              <w:rPr>
                <w:rFonts w:ascii="Arial" w:hAnsi="Arial" w:cs="Arial"/>
                <w:spacing w:val="-3"/>
                <w:sz w:val="20"/>
              </w:rPr>
            </w:pPr>
          </w:p>
        </w:tc>
        <w:tc>
          <w:tcPr>
            <w:tcW w:w="360" w:type="dxa"/>
            <w:shd w:val="clear" w:color="auto" w:fill="auto"/>
          </w:tcPr>
          <w:p w14:paraId="2FF14383" w14:textId="77777777" w:rsidR="00D963BE" w:rsidRPr="007F2096" w:rsidRDefault="00D963BE" w:rsidP="00B27F31">
            <w:pPr>
              <w:rPr>
                <w:rFonts w:ascii="Arial" w:hAnsi="Arial" w:cs="Arial"/>
                <w:spacing w:val="-3"/>
                <w:sz w:val="20"/>
              </w:rPr>
            </w:pPr>
          </w:p>
        </w:tc>
        <w:tc>
          <w:tcPr>
            <w:tcW w:w="360" w:type="dxa"/>
            <w:shd w:val="clear" w:color="auto" w:fill="auto"/>
          </w:tcPr>
          <w:p w14:paraId="55B7C324" w14:textId="77777777" w:rsidR="00D963BE" w:rsidRPr="007F2096" w:rsidRDefault="00D963BE" w:rsidP="00B27F31">
            <w:pPr>
              <w:rPr>
                <w:rFonts w:ascii="Arial" w:hAnsi="Arial" w:cs="Arial"/>
                <w:spacing w:val="-3"/>
                <w:sz w:val="20"/>
              </w:rPr>
            </w:pPr>
          </w:p>
        </w:tc>
        <w:tc>
          <w:tcPr>
            <w:tcW w:w="360" w:type="dxa"/>
            <w:shd w:val="clear" w:color="auto" w:fill="auto"/>
          </w:tcPr>
          <w:p w14:paraId="05C63205" w14:textId="77777777" w:rsidR="00D963BE" w:rsidRPr="007F2096" w:rsidRDefault="00D963BE" w:rsidP="00B27F31">
            <w:pPr>
              <w:rPr>
                <w:rFonts w:ascii="Arial" w:hAnsi="Arial" w:cs="Arial"/>
                <w:spacing w:val="-3"/>
                <w:sz w:val="20"/>
              </w:rPr>
            </w:pPr>
          </w:p>
        </w:tc>
        <w:tc>
          <w:tcPr>
            <w:tcW w:w="360" w:type="dxa"/>
            <w:shd w:val="clear" w:color="auto" w:fill="auto"/>
          </w:tcPr>
          <w:p w14:paraId="1F79998C" w14:textId="77777777" w:rsidR="00D963BE" w:rsidRPr="007F2096" w:rsidRDefault="00D963BE" w:rsidP="00B27F31">
            <w:pPr>
              <w:rPr>
                <w:rFonts w:ascii="Arial" w:hAnsi="Arial" w:cs="Arial"/>
                <w:spacing w:val="-3"/>
                <w:sz w:val="20"/>
              </w:rPr>
            </w:pPr>
          </w:p>
        </w:tc>
        <w:tc>
          <w:tcPr>
            <w:tcW w:w="1710" w:type="dxa"/>
          </w:tcPr>
          <w:p w14:paraId="17045E63" w14:textId="7968ED79" w:rsidR="00D963BE" w:rsidRPr="007F2096" w:rsidRDefault="002B692F" w:rsidP="00B27F31">
            <w:pPr>
              <w:rPr>
                <w:rFonts w:ascii="Arial" w:hAnsi="Arial" w:cs="Arial"/>
                <w:spacing w:val="-3"/>
                <w:sz w:val="20"/>
              </w:rPr>
            </w:pPr>
            <w:r>
              <w:rPr>
                <w:rFonts w:ascii="Arial" w:hAnsi="Arial" w:cs="Arial"/>
                <w:spacing w:val="-3"/>
                <w:sz w:val="20"/>
              </w:rPr>
              <w:t>SIB</w:t>
            </w:r>
            <w:r w:rsidR="00FA6565">
              <w:rPr>
                <w:rFonts w:ascii="Arial" w:hAnsi="Arial" w:cs="Arial"/>
                <w:spacing w:val="-3"/>
                <w:sz w:val="20"/>
              </w:rPr>
              <w:t xml:space="preserve"> y SAT. </w:t>
            </w:r>
            <w:r w:rsidR="00C72A25" w:rsidRPr="00FA6565">
              <w:rPr>
                <w:rFonts w:ascii="Arial" w:hAnsi="Arial" w:cs="Arial"/>
                <w:spacing w:val="-3"/>
                <w:sz w:val="20"/>
              </w:rPr>
              <w:t xml:space="preserve">Acuerdo </w:t>
            </w:r>
            <w:r w:rsidR="00FA6565" w:rsidRPr="00FA6565">
              <w:rPr>
                <w:rFonts w:ascii="Arial" w:hAnsi="Arial" w:cs="Arial"/>
                <w:spacing w:val="-3"/>
                <w:sz w:val="20"/>
              </w:rPr>
              <w:t>marco de coordinación interinstitucional e intercambio de información</w:t>
            </w:r>
            <w:r w:rsidR="00C72A25">
              <w:rPr>
                <w:rFonts w:ascii="Arial" w:hAnsi="Arial" w:cs="Arial"/>
                <w:spacing w:val="-3"/>
                <w:sz w:val="20"/>
              </w:rPr>
              <w:t>, aprobado</w:t>
            </w:r>
          </w:p>
        </w:tc>
        <w:tc>
          <w:tcPr>
            <w:tcW w:w="1170" w:type="dxa"/>
          </w:tcPr>
          <w:p w14:paraId="1DA5BD3B" w14:textId="77777777" w:rsidR="00D963BE" w:rsidRPr="007F2096" w:rsidRDefault="00D963BE" w:rsidP="00B27F31">
            <w:pPr>
              <w:rPr>
                <w:rFonts w:ascii="Arial" w:hAnsi="Arial" w:cs="Arial"/>
                <w:spacing w:val="-3"/>
                <w:sz w:val="20"/>
              </w:rPr>
            </w:pPr>
          </w:p>
        </w:tc>
        <w:tc>
          <w:tcPr>
            <w:tcW w:w="1620" w:type="dxa"/>
          </w:tcPr>
          <w:p w14:paraId="7A593BEC" w14:textId="496B2C66" w:rsidR="00D963BE" w:rsidRPr="007F2096" w:rsidRDefault="002B692F" w:rsidP="00B27F31">
            <w:pPr>
              <w:rPr>
                <w:rFonts w:ascii="Arial" w:hAnsi="Arial" w:cs="Arial"/>
                <w:spacing w:val="-3"/>
                <w:sz w:val="20"/>
              </w:rPr>
            </w:pPr>
            <w:r>
              <w:rPr>
                <w:rFonts w:ascii="Arial" w:hAnsi="Arial" w:cs="Arial"/>
                <w:spacing w:val="-3"/>
                <w:sz w:val="20"/>
              </w:rPr>
              <w:t>SIB</w:t>
            </w:r>
            <w:r w:rsidR="00C72A25">
              <w:rPr>
                <w:rFonts w:ascii="Arial" w:hAnsi="Arial" w:cs="Arial"/>
                <w:spacing w:val="-3"/>
                <w:sz w:val="20"/>
              </w:rPr>
              <w:t xml:space="preserve"> y SAT</w:t>
            </w:r>
          </w:p>
        </w:tc>
      </w:tr>
      <w:tr w:rsidR="00E76071" w:rsidRPr="00E76071" w14:paraId="17A8DE21" w14:textId="77777777" w:rsidTr="006B6B00">
        <w:trPr>
          <w:jc w:val="center"/>
        </w:trPr>
        <w:tc>
          <w:tcPr>
            <w:tcW w:w="4320" w:type="dxa"/>
          </w:tcPr>
          <w:p w14:paraId="0C9B8A78" w14:textId="6D6E6D49" w:rsidR="00E76071" w:rsidRPr="007F2096" w:rsidRDefault="007F30A2" w:rsidP="00B27F31">
            <w:pPr>
              <w:rPr>
                <w:rFonts w:ascii="Arial" w:hAnsi="Arial" w:cs="Arial"/>
                <w:spacing w:val="-3"/>
                <w:sz w:val="20"/>
              </w:rPr>
            </w:pPr>
            <w:r>
              <w:rPr>
                <w:rFonts w:ascii="Arial" w:hAnsi="Arial" w:cs="Arial"/>
                <w:spacing w:val="-3"/>
                <w:sz w:val="20"/>
              </w:rPr>
              <w:t xml:space="preserve">4b. </w:t>
            </w:r>
            <w:r w:rsidR="00C2387B" w:rsidRPr="00C2387B">
              <w:rPr>
                <w:rFonts w:ascii="Arial" w:hAnsi="Arial" w:cs="Arial"/>
                <w:spacing w:val="-3"/>
                <w:sz w:val="20"/>
              </w:rPr>
              <w:t>Implementar un sistema de intercambio de información estadística entre las entidades miembros e invitadas de la COPRECLAFT mediante una plataforma tecnológica diseñada con tal propósito.</w:t>
            </w:r>
          </w:p>
        </w:tc>
        <w:tc>
          <w:tcPr>
            <w:tcW w:w="360" w:type="dxa"/>
            <w:shd w:val="clear" w:color="auto" w:fill="auto"/>
          </w:tcPr>
          <w:p w14:paraId="461BE2AD" w14:textId="77777777" w:rsidR="00E76071" w:rsidRPr="007F2096" w:rsidRDefault="00E76071" w:rsidP="00B27F31">
            <w:pPr>
              <w:rPr>
                <w:rFonts w:ascii="Arial" w:hAnsi="Arial" w:cs="Arial"/>
                <w:spacing w:val="-3"/>
                <w:sz w:val="20"/>
              </w:rPr>
            </w:pPr>
          </w:p>
        </w:tc>
        <w:tc>
          <w:tcPr>
            <w:tcW w:w="360" w:type="dxa"/>
            <w:shd w:val="clear" w:color="auto" w:fill="auto"/>
          </w:tcPr>
          <w:p w14:paraId="36D3F2D2" w14:textId="77777777" w:rsidR="00E76071" w:rsidRPr="007F2096" w:rsidRDefault="00E76071" w:rsidP="00B27F31">
            <w:pPr>
              <w:rPr>
                <w:rFonts w:ascii="Arial" w:hAnsi="Arial" w:cs="Arial"/>
                <w:spacing w:val="-3"/>
                <w:sz w:val="20"/>
              </w:rPr>
            </w:pPr>
          </w:p>
        </w:tc>
        <w:tc>
          <w:tcPr>
            <w:tcW w:w="360" w:type="dxa"/>
            <w:shd w:val="clear" w:color="auto" w:fill="auto"/>
          </w:tcPr>
          <w:p w14:paraId="7C17324F" w14:textId="269F9BB4"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0F2009B" w14:textId="5424FE1D"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F0DF02E" w14:textId="2A358171"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54C4058D" w14:textId="61B39CE6"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F15E130" w14:textId="77777777" w:rsidR="00E76071" w:rsidRPr="007F2096" w:rsidRDefault="00E76071" w:rsidP="00B27F31">
            <w:pPr>
              <w:rPr>
                <w:rFonts w:ascii="Arial" w:hAnsi="Arial" w:cs="Arial"/>
                <w:spacing w:val="-3"/>
                <w:sz w:val="20"/>
              </w:rPr>
            </w:pPr>
          </w:p>
        </w:tc>
        <w:tc>
          <w:tcPr>
            <w:tcW w:w="360" w:type="dxa"/>
            <w:shd w:val="clear" w:color="auto" w:fill="auto"/>
          </w:tcPr>
          <w:p w14:paraId="056CEF05" w14:textId="77777777" w:rsidR="00E76071" w:rsidRPr="007F2096" w:rsidRDefault="00E76071" w:rsidP="00B27F31">
            <w:pPr>
              <w:rPr>
                <w:rFonts w:ascii="Arial" w:hAnsi="Arial" w:cs="Arial"/>
                <w:spacing w:val="-3"/>
                <w:sz w:val="20"/>
              </w:rPr>
            </w:pPr>
          </w:p>
        </w:tc>
        <w:tc>
          <w:tcPr>
            <w:tcW w:w="360" w:type="dxa"/>
            <w:shd w:val="clear" w:color="auto" w:fill="auto"/>
          </w:tcPr>
          <w:p w14:paraId="3F1A3A9B" w14:textId="77777777" w:rsidR="00E76071" w:rsidRPr="007F2096" w:rsidRDefault="00E76071" w:rsidP="00B27F31">
            <w:pPr>
              <w:rPr>
                <w:rFonts w:ascii="Arial" w:hAnsi="Arial" w:cs="Arial"/>
                <w:spacing w:val="-3"/>
                <w:sz w:val="20"/>
              </w:rPr>
            </w:pPr>
          </w:p>
        </w:tc>
        <w:tc>
          <w:tcPr>
            <w:tcW w:w="360" w:type="dxa"/>
            <w:shd w:val="clear" w:color="auto" w:fill="auto"/>
          </w:tcPr>
          <w:p w14:paraId="6C471117" w14:textId="77777777" w:rsidR="00E76071" w:rsidRPr="007F2096" w:rsidRDefault="00E76071" w:rsidP="00B27F31">
            <w:pPr>
              <w:rPr>
                <w:rFonts w:ascii="Arial" w:hAnsi="Arial" w:cs="Arial"/>
                <w:spacing w:val="-3"/>
                <w:sz w:val="20"/>
              </w:rPr>
            </w:pPr>
          </w:p>
        </w:tc>
        <w:tc>
          <w:tcPr>
            <w:tcW w:w="360" w:type="dxa"/>
            <w:shd w:val="clear" w:color="auto" w:fill="auto"/>
          </w:tcPr>
          <w:p w14:paraId="7D6795D0" w14:textId="77777777" w:rsidR="00E76071" w:rsidRPr="007F2096" w:rsidRDefault="00E76071" w:rsidP="00B27F31">
            <w:pPr>
              <w:rPr>
                <w:rFonts w:ascii="Arial" w:hAnsi="Arial" w:cs="Arial"/>
                <w:spacing w:val="-3"/>
                <w:sz w:val="20"/>
              </w:rPr>
            </w:pPr>
          </w:p>
        </w:tc>
        <w:tc>
          <w:tcPr>
            <w:tcW w:w="360" w:type="dxa"/>
            <w:shd w:val="clear" w:color="auto" w:fill="auto"/>
          </w:tcPr>
          <w:p w14:paraId="09EB5383" w14:textId="77777777" w:rsidR="00E76071" w:rsidRPr="007F2096" w:rsidRDefault="00E76071" w:rsidP="00B27F31">
            <w:pPr>
              <w:rPr>
                <w:rFonts w:ascii="Arial" w:hAnsi="Arial" w:cs="Arial"/>
                <w:spacing w:val="-3"/>
                <w:sz w:val="20"/>
              </w:rPr>
            </w:pPr>
          </w:p>
        </w:tc>
        <w:tc>
          <w:tcPr>
            <w:tcW w:w="1710" w:type="dxa"/>
          </w:tcPr>
          <w:p w14:paraId="23EF8150" w14:textId="2F931F0B" w:rsidR="00E76071" w:rsidRPr="007F2096" w:rsidRDefault="002B692F" w:rsidP="00B27F31">
            <w:pPr>
              <w:rPr>
                <w:rFonts w:ascii="Arial" w:hAnsi="Arial" w:cs="Arial"/>
                <w:spacing w:val="-3"/>
                <w:sz w:val="20"/>
              </w:rPr>
            </w:pPr>
            <w:r>
              <w:rPr>
                <w:rFonts w:ascii="Arial" w:hAnsi="Arial" w:cs="Arial"/>
                <w:spacing w:val="-3"/>
                <w:sz w:val="20"/>
              </w:rPr>
              <w:t>SIB</w:t>
            </w:r>
            <w:r w:rsidR="00C72A25">
              <w:rPr>
                <w:rFonts w:ascii="Arial" w:hAnsi="Arial" w:cs="Arial"/>
                <w:spacing w:val="-3"/>
                <w:sz w:val="20"/>
              </w:rPr>
              <w:t xml:space="preserve"> viene implantando el sistema</w:t>
            </w:r>
          </w:p>
        </w:tc>
        <w:tc>
          <w:tcPr>
            <w:tcW w:w="1170" w:type="dxa"/>
          </w:tcPr>
          <w:p w14:paraId="3640A0CC" w14:textId="77777777" w:rsidR="00E76071" w:rsidRPr="007F2096" w:rsidRDefault="00E76071" w:rsidP="00B27F31">
            <w:pPr>
              <w:rPr>
                <w:rFonts w:ascii="Arial" w:hAnsi="Arial" w:cs="Arial"/>
                <w:spacing w:val="-3"/>
                <w:sz w:val="20"/>
              </w:rPr>
            </w:pPr>
          </w:p>
        </w:tc>
        <w:tc>
          <w:tcPr>
            <w:tcW w:w="1620" w:type="dxa"/>
          </w:tcPr>
          <w:p w14:paraId="68657791" w14:textId="3A1AC89B" w:rsidR="00E76071" w:rsidRPr="007F2096" w:rsidRDefault="002B692F" w:rsidP="00B27F31">
            <w:pPr>
              <w:rPr>
                <w:rFonts w:ascii="Arial" w:hAnsi="Arial" w:cs="Arial"/>
                <w:spacing w:val="-3"/>
                <w:sz w:val="20"/>
              </w:rPr>
            </w:pPr>
            <w:r>
              <w:rPr>
                <w:rFonts w:ascii="Arial" w:hAnsi="Arial" w:cs="Arial"/>
                <w:spacing w:val="-3"/>
                <w:sz w:val="20"/>
              </w:rPr>
              <w:t>SIB</w:t>
            </w:r>
          </w:p>
        </w:tc>
      </w:tr>
      <w:tr w:rsidR="00E76071" w:rsidRPr="00E76071" w14:paraId="79744CFA" w14:textId="77777777" w:rsidTr="006B6B00">
        <w:trPr>
          <w:jc w:val="center"/>
        </w:trPr>
        <w:tc>
          <w:tcPr>
            <w:tcW w:w="4320" w:type="dxa"/>
          </w:tcPr>
          <w:p w14:paraId="31AF1AF3" w14:textId="596D5544" w:rsidR="00E76071" w:rsidRPr="007F2096" w:rsidRDefault="00D963BE" w:rsidP="00B27F31">
            <w:pPr>
              <w:rPr>
                <w:rFonts w:ascii="Arial" w:hAnsi="Arial" w:cs="Arial"/>
                <w:spacing w:val="-3"/>
                <w:sz w:val="20"/>
              </w:rPr>
            </w:pPr>
            <w:r>
              <w:rPr>
                <w:rFonts w:ascii="Arial" w:hAnsi="Arial" w:cs="Arial"/>
                <w:spacing w:val="-3"/>
                <w:sz w:val="20"/>
              </w:rPr>
              <w:t xml:space="preserve">5a. </w:t>
            </w:r>
            <w:r w:rsidRPr="00D963BE">
              <w:rPr>
                <w:rFonts w:ascii="Arial" w:hAnsi="Arial" w:cs="Arial"/>
                <w:spacing w:val="-3"/>
                <w:sz w:val="20"/>
              </w:rPr>
              <w:t>Fortalecer la normativa de prevención de lavado de activos, mediante la preparación de un proyecto de ley para fortalecer el sistema de prevención y represión del lavado de activos y financiamiento del terrorismo y la proliferación de armas de destrucción masiva, que incluye reformas a las principales leyes asociadas con la materia.</w:t>
            </w:r>
          </w:p>
        </w:tc>
        <w:tc>
          <w:tcPr>
            <w:tcW w:w="360" w:type="dxa"/>
            <w:shd w:val="clear" w:color="auto" w:fill="auto"/>
          </w:tcPr>
          <w:p w14:paraId="25A9A449" w14:textId="77777777" w:rsidR="00E76071" w:rsidRPr="007F2096" w:rsidRDefault="00E76071" w:rsidP="00B27F31">
            <w:pPr>
              <w:rPr>
                <w:rFonts w:ascii="Arial" w:hAnsi="Arial" w:cs="Arial"/>
                <w:spacing w:val="-3"/>
                <w:sz w:val="20"/>
              </w:rPr>
            </w:pPr>
          </w:p>
        </w:tc>
        <w:tc>
          <w:tcPr>
            <w:tcW w:w="360" w:type="dxa"/>
            <w:shd w:val="clear" w:color="auto" w:fill="auto"/>
          </w:tcPr>
          <w:p w14:paraId="78104D59" w14:textId="77777777" w:rsidR="00E76071" w:rsidRPr="007F2096" w:rsidRDefault="00E76071" w:rsidP="00B27F31">
            <w:pPr>
              <w:rPr>
                <w:rFonts w:ascii="Arial" w:hAnsi="Arial" w:cs="Arial"/>
                <w:spacing w:val="-3"/>
                <w:sz w:val="20"/>
              </w:rPr>
            </w:pPr>
          </w:p>
        </w:tc>
        <w:tc>
          <w:tcPr>
            <w:tcW w:w="360" w:type="dxa"/>
            <w:shd w:val="clear" w:color="auto" w:fill="auto"/>
          </w:tcPr>
          <w:p w14:paraId="24743E74" w14:textId="777000B8"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A8CAA01" w14:textId="1ED88590"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162B53E" w14:textId="73889C62"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2CFCCEF" w14:textId="77777777" w:rsidR="00E76071" w:rsidRPr="007F2096" w:rsidRDefault="00E76071" w:rsidP="00B27F31">
            <w:pPr>
              <w:rPr>
                <w:rFonts w:ascii="Arial" w:hAnsi="Arial" w:cs="Arial"/>
                <w:spacing w:val="-3"/>
                <w:sz w:val="20"/>
              </w:rPr>
            </w:pPr>
          </w:p>
        </w:tc>
        <w:tc>
          <w:tcPr>
            <w:tcW w:w="360" w:type="dxa"/>
            <w:shd w:val="clear" w:color="auto" w:fill="auto"/>
          </w:tcPr>
          <w:p w14:paraId="58F5DC9E" w14:textId="77777777" w:rsidR="00E76071" w:rsidRPr="007F2096" w:rsidRDefault="00E76071" w:rsidP="00B27F31">
            <w:pPr>
              <w:rPr>
                <w:rFonts w:ascii="Arial" w:hAnsi="Arial" w:cs="Arial"/>
                <w:spacing w:val="-3"/>
                <w:sz w:val="20"/>
              </w:rPr>
            </w:pPr>
          </w:p>
        </w:tc>
        <w:tc>
          <w:tcPr>
            <w:tcW w:w="360" w:type="dxa"/>
            <w:shd w:val="clear" w:color="auto" w:fill="auto"/>
          </w:tcPr>
          <w:p w14:paraId="6B1D7389" w14:textId="77777777" w:rsidR="00E76071" w:rsidRPr="007F2096" w:rsidRDefault="00E76071" w:rsidP="00B27F31">
            <w:pPr>
              <w:rPr>
                <w:rFonts w:ascii="Arial" w:hAnsi="Arial" w:cs="Arial"/>
                <w:spacing w:val="-3"/>
                <w:sz w:val="20"/>
              </w:rPr>
            </w:pPr>
          </w:p>
        </w:tc>
        <w:tc>
          <w:tcPr>
            <w:tcW w:w="360" w:type="dxa"/>
            <w:shd w:val="clear" w:color="auto" w:fill="auto"/>
          </w:tcPr>
          <w:p w14:paraId="63E63C50" w14:textId="77777777" w:rsidR="00E76071" w:rsidRPr="007F2096" w:rsidRDefault="00E76071" w:rsidP="00B27F31">
            <w:pPr>
              <w:rPr>
                <w:rFonts w:ascii="Arial" w:hAnsi="Arial" w:cs="Arial"/>
                <w:spacing w:val="-3"/>
                <w:sz w:val="20"/>
              </w:rPr>
            </w:pPr>
          </w:p>
        </w:tc>
        <w:tc>
          <w:tcPr>
            <w:tcW w:w="360" w:type="dxa"/>
            <w:shd w:val="clear" w:color="auto" w:fill="auto"/>
          </w:tcPr>
          <w:p w14:paraId="12A4B856" w14:textId="77777777" w:rsidR="00E76071" w:rsidRPr="007F2096" w:rsidRDefault="00E76071" w:rsidP="00B27F31">
            <w:pPr>
              <w:rPr>
                <w:rFonts w:ascii="Arial" w:hAnsi="Arial" w:cs="Arial"/>
                <w:spacing w:val="-3"/>
                <w:sz w:val="20"/>
              </w:rPr>
            </w:pPr>
          </w:p>
        </w:tc>
        <w:tc>
          <w:tcPr>
            <w:tcW w:w="360" w:type="dxa"/>
            <w:shd w:val="clear" w:color="auto" w:fill="auto"/>
          </w:tcPr>
          <w:p w14:paraId="5440649A" w14:textId="77777777" w:rsidR="00E76071" w:rsidRPr="007F2096" w:rsidRDefault="00E76071" w:rsidP="00B27F31">
            <w:pPr>
              <w:rPr>
                <w:rFonts w:ascii="Arial" w:hAnsi="Arial" w:cs="Arial"/>
                <w:spacing w:val="-3"/>
                <w:sz w:val="20"/>
              </w:rPr>
            </w:pPr>
          </w:p>
        </w:tc>
        <w:tc>
          <w:tcPr>
            <w:tcW w:w="360" w:type="dxa"/>
            <w:shd w:val="clear" w:color="auto" w:fill="auto"/>
          </w:tcPr>
          <w:p w14:paraId="45604BF9" w14:textId="77777777" w:rsidR="00E76071" w:rsidRPr="007F2096" w:rsidRDefault="00E76071" w:rsidP="00B27F31">
            <w:pPr>
              <w:rPr>
                <w:rFonts w:ascii="Arial" w:hAnsi="Arial" w:cs="Arial"/>
                <w:spacing w:val="-3"/>
                <w:sz w:val="20"/>
              </w:rPr>
            </w:pPr>
          </w:p>
        </w:tc>
        <w:tc>
          <w:tcPr>
            <w:tcW w:w="1710" w:type="dxa"/>
          </w:tcPr>
          <w:p w14:paraId="1A4F7C1B" w14:textId="308EB375" w:rsidR="00E76071" w:rsidRPr="007F2096" w:rsidRDefault="002B692F" w:rsidP="00B27F31">
            <w:pPr>
              <w:rPr>
                <w:rFonts w:ascii="Arial" w:hAnsi="Arial" w:cs="Arial"/>
                <w:spacing w:val="-3"/>
                <w:sz w:val="20"/>
              </w:rPr>
            </w:pPr>
            <w:r>
              <w:rPr>
                <w:rFonts w:ascii="Arial" w:hAnsi="Arial" w:cs="Arial"/>
                <w:spacing w:val="-3"/>
                <w:sz w:val="20"/>
              </w:rPr>
              <w:t>SIB</w:t>
            </w:r>
            <w:r w:rsidR="00C72A25">
              <w:rPr>
                <w:rFonts w:ascii="Arial" w:hAnsi="Arial" w:cs="Arial"/>
                <w:spacing w:val="-3"/>
                <w:sz w:val="20"/>
              </w:rPr>
              <w:t xml:space="preserve"> viene preparando un </w:t>
            </w:r>
            <w:r w:rsidR="00C72A25" w:rsidRPr="00C72A25">
              <w:rPr>
                <w:rFonts w:ascii="Arial" w:hAnsi="Arial" w:cs="Arial"/>
                <w:spacing w:val="-3"/>
                <w:sz w:val="20"/>
              </w:rPr>
              <w:t>proyecto de ley para fortalecer el sistema de prevención y represión del lavado de activos</w:t>
            </w:r>
            <w:r w:rsidR="00C72A25">
              <w:rPr>
                <w:rFonts w:ascii="Arial" w:hAnsi="Arial" w:cs="Arial"/>
                <w:spacing w:val="-3"/>
                <w:sz w:val="20"/>
              </w:rPr>
              <w:t xml:space="preserve">, con el apoyo del </w:t>
            </w:r>
            <w:r w:rsidR="00C72A25">
              <w:rPr>
                <w:rFonts w:ascii="Arial" w:hAnsi="Arial" w:cs="Arial"/>
                <w:spacing w:val="-3"/>
                <w:sz w:val="20"/>
              </w:rPr>
              <w:lastRenderedPageBreak/>
              <w:t>Banco.</w:t>
            </w:r>
          </w:p>
        </w:tc>
        <w:tc>
          <w:tcPr>
            <w:tcW w:w="1170" w:type="dxa"/>
          </w:tcPr>
          <w:p w14:paraId="7658D9D1" w14:textId="77777777" w:rsidR="00E76071" w:rsidRPr="007F2096" w:rsidRDefault="00E76071" w:rsidP="00B27F31">
            <w:pPr>
              <w:rPr>
                <w:rFonts w:ascii="Arial" w:hAnsi="Arial" w:cs="Arial"/>
                <w:spacing w:val="-3"/>
                <w:sz w:val="20"/>
              </w:rPr>
            </w:pPr>
          </w:p>
        </w:tc>
        <w:tc>
          <w:tcPr>
            <w:tcW w:w="1620" w:type="dxa"/>
          </w:tcPr>
          <w:p w14:paraId="49A9281A" w14:textId="6D875E7A" w:rsidR="00E76071" w:rsidRPr="007F2096" w:rsidRDefault="002B692F" w:rsidP="00B27F31">
            <w:pPr>
              <w:rPr>
                <w:rFonts w:ascii="Arial" w:hAnsi="Arial" w:cs="Arial"/>
                <w:spacing w:val="-3"/>
                <w:sz w:val="20"/>
              </w:rPr>
            </w:pPr>
            <w:r>
              <w:rPr>
                <w:rFonts w:ascii="Arial" w:hAnsi="Arial" w:cs="Arial"/>
                <w:spacing w:val="-3"/>
                <w:sz w:val="20"/>
              </w:rPr>
              <w:t>SIB</w:t>
            </w:r>
          </w:p>
        </w:tc>
      </w:tr>
      <w:tr w:rsidR="00E76071" w:rsidRPr="00E76071" w14:paraId="0D41E3E3" w14:textId="77777777" w:rsidTr="006B6B00">
        <w:trPr>
          <w:jc w:val="center"/>
        </w:trPr>
        <w:tc>
          <w:tcPr>
            <w:tcW w:w="4320" w:type="dxa"/>
          </w:tcPr>
          <w:p w14:paraId="33903D0F" w14:textId="706BA851" w:rsidR="00E76071" w:rsidRPr="007F2096" w:rsidRDefault="007F30A2" w:rsidP="00B27F31">
            <w:pPr>
              <w:rPr>
                <w:rFonts w:ascii="Arial" w:hAnsi="Arial" w:cs="Arial"/>
                <w:spacing w:val="-3"/>
                <w:sz w:val="20"/>
              </w:rPr>
            </w:pPr>
            <w:r>
              <w:rPr>
                <w:rFonts w:ascii="Arial" w:hAnsi="Arial" w:cs="Arial"/>
                <w:spacing w:val="-3"/>
                <w:sz w:val="20"/>
              </w:rPr>
              <w:lastRenderedPageBreak/>
              <w:t xml:space="preserve">5b. </w:t>
            </w:r>
            <w:r w:rsidR="00C2387B" w:rsidRPr="00C2387B">
              <w:rPr>
                <w:rFonts w:ascii="Arial" w:hAnsi="Arial" w:cs="Arial"/>
                <w:spacing w:val="-3"/>
                <w:sz w:val="20"/>
              </w:rPr>
              <w:t>Remitir al Congreso de la República de Guatemala un proyecto de ley para fortalecer la normativa de prevención y represión del lavado de activos y financiamiento del terrorismo y la proliferación de armas de destrucción masiva.</w:t>
            </w:r>
          </w:p>
        </w:tc>
        <w:tc>
          <w:tcPr>
            <w:tcW w:w="360" w:type="dxa"/>
            <w:shd w:val="clear" w:color="auto" w:fill="auto"/>
          </w:tcPr>
          <w:p w14:paraId="3F8326DD" w14:textId="77777777" w:rsidR="00E76071" w:rsidRPr="007F2096" w:rsidRDefault="00E76071" w:rsidP="00B27F31">
            <w:pPr>
              <w:rPr>
                <w:rFonts w:ascii="Arial" w:hAnsi="Arial" w:cs="Arial"/>
                <w:spacing w:val="-3"/>
                <w:sz w:val="20"/>
              </w:rPr>
            </w:pPr>
          </w:p>
        </w:tc>
        <w:tc>
          <w:tcPr>
            <w:tcW w:w="360" w:type="dxa"/>
            <w:shd w:val="clear" w:color="auto" w:fill="auto"/>
          </w:tcPr>
          <w:p w14:paraId="2576D1E4" w14:textId="77777777" w:rsidR="00E76071" w:rsidRPr="007F2096" w:rsidRDefault="00E76071" w:rsidP="00B27F31">
            <w:pPr>
              <w:rPr>
                <w:rFonts w:ascii="Arial" w:hAnsi="Arial" w:cs="Arial"/>
                <w:spacing w:val="-3"/>
                <w:sz w:val="20"/>
              </w:rPr>
            </w:pPr>
          </w:p>
        </w:tc>
        <w:tc>
          <w:tcPr>
            <w:tcW w:w="360" w:type="dxa"/>
            <w:shd w:val="clear" w:color="auto" w:fill="auto"/>
          </w:tcPr>
          <w:p w14:paraId="5A5ED6FE" w14:textId="77777777" w:rsidR="00E76071" w:rsidRPr="007F2096" w:rsidRDefault="00E76071" w:rsidP="00B27F31">
            <w:pPr>
              <w:rPr>
                <w:rFonts w:ascii="Arial" w:hAnsi="Arial" w:cs="Arial"/>
                <w:spacing w:val="-3"/>
                <w:sz w:val="20"/>
              </w:rPr>
            </w:pPr>
          </w:p>
        </w:tc>
        <w:tc>
          <w:tcPr>
            <w:tcW w:w="360" w:type="dxa"/>
            <w:shd w:val="clear" w:color="auto" w:fill="auto"/>
          </w:tcPr>
          <w:p w14:paraId="036AACD6" w14:textId="77777777" w:rsidR="00E76071" w:rsidRPr="007F2096" w:rsidRDefault="00E76071" w:rsidP="00B27F31">
            <w:pPr>
              <w:rPr>
                <w:rFonts w:ascii="Arial" w:hAnsi="Arial" w:cs="Arial"/>
                <w:spacing w:val="-3"/>
                <w:sz w:val="20"/>
              </w:rPr>
            </w:pPr>
          </w:p>
        </w:tc>
        <w:tc>
          <w:tcPr>
            <w:tcW w:w="360" w:type="dxa"/>
            <w:shd w:val="clear" w:color="auto" w:fill="auto"/>
          </w:tcPr>
          <w:p w14:paraId="2E754A10" w14:textId="77777777" w:rsidR="00E76071" w:rsidRPr="007F2096" w:rsidRDefault="00E76071" w:rsidP="00B27F31">
            <w:pPr>
              <w:rPr>
                <w:rFonts w:ascii="Arial" w:hAnsi="Arial" w:cs="Arial"/>
                <w:spacing w:val="-3"/>
                <w:sz w:val="20"/>
              </w:rPr>
            </w:pPr>
          </w:p>
        </w:tc>
        <w:tc>
          <w:tcPr>
            <w:tcW w:w="360" w:type="dxa"/>
            <w:shd w:val="clear" w:color="auto" w:fill="auto"/>
          </w:tcPr>
          <w:p w14:paraId="64A703C1" w14:textId="63E5B9A3"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7647E8F0" w14:textId="32E4A056"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FC0399F" w14:textId="07E7D512" w:rsidR="00E76071" w:rsidRPr="007F2096" w:rsidRDefault="00C72A25"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C6F5AF5" w14:textId="77777777" w:rsidR="00E76071" w:rsidRPr="007F2096" w:rsidRDefault="00E76071" w:rsidP="00B27F31">
            <w:pPr>
              <w:rPr>
                <w:rFonts w:ascii="Arial" w:hAnsi="Arial" w:cs="Arial"/>
                <w:spacing w:val="-3"/>
                <w:sz w:val="20"/>
              </w:rPr>
            </w:pPr>
          </w:p>
        </w:tc>
        <w:tc>
          <w:tcPr>
            <w:tcW w:w="360" w:type="dxa"/>
            <w:shd w:val="clear" w:color="auto" w:fill="auto"/>
          </w:tcPr>
          <w:p w14:paraId="67014CCE" w14:textId="77777777" w:rsidR="00E76071" w:rsidRPr="007F2096" w:rsidRDefault="00E76071" w:rsidP="00B27F31">
            <w:pPr>
              <w:rPr>
                <w:rFonts w:ascii="Arial" w:hAnsi="Arial" w:cs="Arial"/>
                <w:spacing w:val="-3"/>
                <w:sz w:val="20"/>
              </w:rPr>
            </w:pPr>
          </w:p>
        </w:tc>
        <w:tc>
          <w:tcPr>
            <w:tcW w:w="360" w:type="dxa"/>
            <w:shd w:val="clear" w:color="auto" w:fill="auto"/>
          </w:tcPr>
          <w:p w14:paraId="37EC78F1" w14:textId="77777777" w:rsidR="00E76071" w:rsidRPr="007F2096" w:rsidRDefault="00E76071" w:rsidP="00B27F31">
            <w:pPr>
              <w:rPr>
                <w:rFonts w:ascii="Arial" w:hAnsi="Arial" w:cs="Arial"/>
                <w:spacing w:val="-3"/>
                <w:sz w:val="20"/>
              </w:rPr>
            </w:pPr>
          </w:p>
        </w:tc>
        <w:tc>
          <w:tcPr>
            <w:tcW w:w="360" w:type="dxa"/>
            <w:shd w:val="clear" w:color="auto" w:fill="auto"/>
          </w:tcPr>
          <w:p w14:paraId="05E883EE" w14:textId="77777777" w:rsidR="00E76071" w:rsidRPr="007F2096" w:rsidRDefault="00E76071" w:rsidP="00B27F31">
            <w:pPr>
              <w:rPr>
                <w:rFonts w:ascii="Arial" w:hAnsi="Arial" w:cs="Arial"/>
                <w:spacing w:val="-3"/>
                <w:sz w:val="20"/>
              </w:rPr>
            </w:pPr>
          </w:p>
        </w:tc>
        <w:tc>
          <w:tcPr>
            <w:tcW w:w="1710" w:type="dxa"/>
          </w:tcPr>
          <w:p w14:paraId="4419F4C9" w14:textId="7D405964" w:rsidR="00E76071" w:rsidRPr="007F2096" w:rsidRDefault="002B692F" w:rsidP="00B27F31">
            <w:pPr>
              <w:rPr>
                <w:rFonts w:ascii="Arial" w:hAnsi="Arial" w:cs="Arial"/>
                <w:spacing w:val="-3"/>
                <w:sz w:val="20"/>
              </w:rPr>
            </w:pPr>
            <w:r>
              <w:rPr>
                <w:rFonts w:ascii="Arial" w:hAnsi="Arial" w:cs="Arial"/>
                <w:spacing w:val="-3"/>
                <w:sz w:val="20"/>
              </w:rPr>
              <w:t>SIB</w:t>
            </w:r>
            <w:r w:rsidR="00C72A25">
              <w:rPr>
                <w:rFonts w:ascii="Arial" w:hAnsi="Arial" w:cs="Arial"/>
                <w:spacing w:val="-3"/>
                <w:sz w:val="20"/>
              </w:rPr>
              <w:t>. Previsto envío al Congreso en el 2017.</w:t>
            </w:r>
          </w:p>
        </w:tc>
        <w:tc>
          <w:tcPr>
            <w:tcW w:w="1170" w:type="dxa"/>
          </w:tcPr>
          <w:p w14:paraId="32D0AD1E" w14:textId="77777777" w:rsidR="00E76071" w:rsidRPr="007F2096" w:rsidRDefault="00E76071" w:rsidP="00B27F31">
            <w:pPr>
              <w:rPr>
                <w:rFonts w:ascii="Arial" w:hAnsi="Arial" w:cs="Arial"/>
                <w:spacing w:val="-3"/>
                <w:sz w:val="20"/>
              </w:rPr>
            </w:pPr>
          </w:p>
        </w:tc>
        <w:tc>
          <w:tcPr>
            <w:tcW w:w="1620" w:type="dxa"/>
          </w:tcPr>
          <w:p w14:paraId="0A8E3989" w14:textId="28B240E6" w:rsidR="00E76071" w:rsidRPr="007F2096" w:rsidRDefault="002B692F" w:rsidP="00B27F31">
            <w:pPr>
              <w:rPr>
                <w:rFonts w:ascii="Arial" w:hAnsi="Arial" w:cs="Arial"/>
                <w:spacing w:val="-3"/>
                <w:sz w:val="20"/>
              </w:rPr>
            </w:pPr>
            <w:r>
              <w:rPr>
                <w:rFonts w:ascii="Arial" w:hAnsi="Arial" w:cs="Arial"/>
                <w:spacing w:val="-3"/>
                <w:sz w:val="20"/>
              </w:rPr>
              <w:t>SIB</w:t>
            </w:r>
          </w:p>
        </w:tc>
      </w:tr>
      <w:tr w:rsidR="00C2387B" w:rsidRPr="00E76071" w14:paraId="1664BEE6" w14:textId="77777777" w:rsidTr="00AA3C1A">
        <w:trPr>
          <w:jc w:val="center"/>
        </w:trPr>
        <w:tc>
          <w:tcPr>
            <w:tcW w:w="13140" w:type="dxa"/>
            <w:gridSpan w:val="16"/>
          </w:tcPr>
          <w:p w14:paraId="4AF43A13" w14:textId="35BC495C" w:rsidR="00C2387B" w:rsidRPr="007F2096" w:rsidRDefault="00C2387B" w:rsidP="00B27F31">
            <w:pPr>
              <w:rPr>
                <w:rFonts w:ascii="Arial" w:hAnsi="Arial" w:cs="Arial"/>
                <w:spacing w:val="-3"/>
                <w:sz w:val="20"/>
              </w:rPr>
            </w:pPr>
            <w:r w:rsidRPr="00C2387B">
              <w:rPr>
                <w:rFonts w:ascii="Arial" w:hAnsi="Arial" w:cs="Arial"/>
                <w:b/>
                <w:spacing w:val="-3"/>
                <w:sz w:val="20"/>
              </w:rPr>
              <w:t>Acciones de seguimiento y monitoreo del Banco</w:t>
            </w:r>
          </w:p>
        </w:tc>
      </w:tr>
      <w:tr w:rsidR="00C2387B" w:rsidRPr="00E76071" w14:paraId="12E20DCC" w14:textId="77777777" w:rsidTr="006B6B00">
        <w:trPr>
          <w:jc w:val="center"/>
        </w:trPr>
        <w:tc>
          <w:tcPr>
            <w:tcW w:w="4320" w:type="dxa"/>
          </w:tcPr>
          <w:p w14:paraId="1A05A5B4" w14:textId="60A87091" w:rsidR="00C2387B" w:rsidRPr="007F2096" w:rsidRDefault="00C2387B" w:rsidP="00B27F31">
            <w:pPr>
              <w:rPr>
                <w:rFonts w:ascii="Arial" w:hAnsi="Arial" w:cs="Arial"/>
                <w:spacing w:val="-3"/>
                <w:sz w:val="20"/>
              </w:rPr>
            </w:pPr>
            <w:r>
              <w:rPr>
                <w:rFonts w:ascii="Arial" w:hAnsi="Arial" w:cs="Arial"/>
                <w:spacing w:val="-3"/>
                <w:sz w:val="20"/>
              </w:rPr>
              <w:t xml:space="preserve">Misiones de </w:t>
            </w:r>
            <w:r w:rsidR="00B757E6">
              <w:rPr>
                <w:rFonts w:ascii="Arial" w:hAnsi="Arial" w:cs="Arial"/>
                <w:spacing w:val="-3"/>
                <w:sz w:val="20"/>
              </w:rPr>
              <w:t>Supervisión</w:t>
            </w:r>
          </w:p>
        </w:tc>
        <w:tc>
          <w:tcPr>
            <w:tcW w:w="360" w:type="dxa"/>
            <w:shd w:val="clear" w:color="auto" w:fill="auto"/>
          </w:tcPr>
          <w:p w14:paraId="65B29C11" w14:textId="77777777" w:rsidR="00C2387B" w:rsidRPr="007F2096" w:rsidRDefault="00C2387B" w:rsidP="00B27F31">
            <w:pPr>
              <w:rPr>
                <w:rFonts w:ascii="Arial" w:hAnsi="Arial" w:cs="Arial"/>
                <w:spacing w:val="-3"/>
                <w:sz w:val="20"/>
              </w:rPr>
            </w:pPr>
          </w:p>
        </w:tc>
        <w:tc>
          <w:tcPr>
            <w:tcW w:w="360" w:type="dxa"/>
            <w:shd w:val="clear" w:color="auto" w:fill="auto"/>
          </w:tcPr>
          <w:p w14:paraId="101A226D" w14:textId="77777777" w:rsidR="00C2387B" w:rsidRPr="007F2096" w:rsidRDefault="00C2387B" w:rsidP="00B27F31">
            <w:pPr>
              <w:rPr>
                <w:rFonts w:ascii="Arial" w:hAnsi="Arial" w:cs="Arial"/>
                <w:spacing w:val="-3"/>
                <w:sz w:val="20"/>
              </w:rPr>
            </w:pPr>
          </w:p>
        </w:tc>
        <w:tc>
          <w:tcPr>
            <w:tcW w:w="360" w:type="dxa"/>
            <w:shd w:val="clear" w:color="auto" w:fill="auto"/>
          </w:tcPr>
          <w:p w14:paraId="55A778CD" w14:textId="77777777" w:rsidR="00C2387B" w:rsidRPr="007F2096" w:rsidRDefault="00C2387B" w:rsidP="00B27F31">
            <w:pPr>
              <w:rPr>
                <w:rFonts w:ascii="Arial" w:hAnsi="Arial" w:cs="Arial"/>
                <w:spacing w:val="-3"/>
                <w:sz w:val="20"/>
              </w:rPr>
            </w:pPr>
          </w:p>
        </w:tc>
        <w:tc>
          <w:tcPr>
            <w:tcW w:w="360" w:type="dxa"/>
            <w:shd w:val="clear" w:color="auto" w:fill="auto"/>
          </w:tcPr>
          <w:p w14:paraId="14D23C13" w14:textId="38F35BE5" w:rsidR="00C2387B" w:rsidRPr="007F2096" w:rsidRDefault="00B757E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0575215" w14:textId="77777777" w:rsidR="00C2387B" w:rsidRPr="007F2096" w:rsidRDefault="00C2387B" w:rsidP="00B27F31">
            <w:pPr>
              <w:rPr>
                <w:rFonts w:ascii="Arial" w:hAnsi="Arial" w:cs="Arial"/>
                <w:spacing w:val="-3"/>
                <w:sz w:val="20"/>
              </w:rPr>
            </w:pPr>
          </w:p>
        </w:tc>
        <w:tc>
          <w:tcPr>
            <w:tcW w:w="360" w:type="dxa"/>
            <w:shd w:val="clear" w:color="auto" w:fill="auto"/>
          </w:tcPr>
          <w:p w14:paraId="10F4DDC7" w14:textId="6B192546" w:rsidR="00C2387B" w:rsidRPr="007F2096" w:rsidRDefault="00B757E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CECCF39" w14:textId="77777777" w:rsidR="00C2387B" w:rsidRPr="007F2096" w:rsidRDefault="00C2387B" w:rsidP="00B27F31">
            <w:pPr>
              <w:rPr>
                <w:rFonts w:ascii="Arial" w:hAnsi="Arial" w:cs="Arial"/>
                <w:spacing w:val="-3"/>
                <w:sz w:val="20"/>
              </w:rPr>
            </w:pPr>
          </w:p>
        </w:tc>
        <w:tc>
          <w:tcPr>
            <w:tcW w:w="360" w:type="dxa"/>
            <w:shd w:val="clear" w:color="auto" w:fill="auto"/>
          </w:tcPr>
          <w:p w14:paraId="43D66C76" w14:textId="77777777" w:rsidR="00C2387B" w:rsidRPr="007F2096" w:rsidRDefault="00C2387B" w:rsidP="00B27F31">
            <w:pPr>
              <w:rPr>
                <w:rFonts w:ascii="Arial" w:hAnsi="Arial" w:cs="Arial"/>
                <w:spacing w:val="-3"/>
                <w:sz w:val="20"/>
              </w:rPr>
            </w:pPr>
          </w:p>
        </w:tc>
        <w:tc>
          <w:tcPr>
            <w:tcW w:w="360" w:type="dxa"/>
            <w:shd w:val="clear" w:color="auto" w:fill="auto"/>
          </w:tcPr>
          <w:p w14:paraId="140BD1E6" w14:textId="3EB7DA67" w:rsidR="00C2387B" w:rsidRPr="007F2096" w:rsidRDefault="00B757E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4800EAB" w14:textId="77777777" w:rsidR="00C2387B" w:rsidRPr="007F2096" w:rsidRDefault="00C2387B" w:rsidP="00B27F31">
            <w:pPr>
              <w:rPr>
                <w:rFonts w:ascii="Arial" w:hAnsi="Arial" w:cs="Arial"/>
                <w:spacing w:val="-3"/>
                <w:sz w:val="20"/>
              </w:rPr>
            </w:pPr>
          </w:p>
        </w:tc>
        <w:tc>
          <w:tcPr>
            <w:tcW w:w="360" w:type="dxa"/>
            <w:shd w:val="clear" w:color="auto" w:fill="auto"/>
          </w:tcPr>
          <w:p w14:paraId="5FBF6CBE" w14:textId="77777777" w:rsidR="00C2387B" w:rsidRPr="007F2096" w:rsidRDefault="00C2387B" w:rsidP="00B27F31">
            <w:pPr>
              <w:rPr>
                <w:rFonts w:ascii="Arial" w:hAnsi="Arial" w:cs="Arial"/>
                <w:spacing w:val="-3"/>
                <w:sz w:val="20"/>
              </w:rPr>
            </w:pPr>
          </w:p>
        </w:tc>
        <w:tc>
          <w:tcPr>
            <w:tcW w:w="360" w:type="dxa"/>
            <w:shd w:val="clear" w:color="auto" w:fill="auto"/>
          </w:tcPr>
          <w:p w14:paraId="4DBB9ED2" w14:textId="77777777" w:rsidR="00C2387B" w:rsidRPr="007F2096" w:rsidRDefault="00C2387B" w:rsidP="00B27F31">
            <w:pPr>
              <w:rPr>
                <w:rFonts w:ascii="Arial" w:hAnsi="Arial" w:cs="Arial"/>
                <w:spacing w:val="-3"/>
                <w:sz w:val="20"/>
              </w:rPr>
            </w:pPr>
          </w:p>
        </w:tc>
        <w:tc>
          <w:tcPr>
            <w:tcW w:w="1710" w:type="dxa"/>
          </w:tcPr>
          <w:p w14:paraId="31C8CA69" w14:textId="64247498" w:rsidR="00C2387B" w:rsidRPr="007F2096" w:rsidRDefault="00D661C4" w:rsidP="00B27F31">
            <w:pPr>
              <w:rPr>
                <w:rFonts w:ascii="Arial" w:hAnsi="Arial" w:cs="Arial"/>
                <w:spacing w:val="-3"/>
                <w:sz w:val="20"/>
              </w:rPr>
            </w:pPr>
            <w:r>
              <w:rPr>
                <w:rFonts w:ascii="Arial" w:hAnsi="Arial" w:cs="Arial"/>
                <w:spacing w:val="-3"/>
                <w:sz w:val="20"/>
              </w:rPr>
              <w:t>Equipo de Proyecto</w:t>
            </w:r>
          </w:p>
        </w:tc>
        <w:tc>
          <w:tcPr>
            <w:tcW w:w="1170" w:type="dxa"/>
          </w:tcPr>
          <w:p w14:paraId="7F09FC1A" w14:textId="6599EA25" w:rsidR="00C2387B" w:rsidRPr="007F2096" w:rsidRDefault="00D661C4" w:rsidP="00B27F31">
            <w:pPr>
              <w:rPr>
                <w:rFonts w:ascii="Arial" w:hAnsi="Arial" w:cs="Arial"/>
                <w:spacing w:val="-3"/>
                <w:sz w:val="20"/>
              </w:rPr>
            </w:pPr>
            <w:r>
              <w:rPr>
                <w:rFonts w:ascii="Arial" w:hAnsi="Arial" w:cs="Arial"/>
                <w:spacing w:val="-3"/>
                <w:sz w:val="20"/>
              </w:rPr>
              <w:t>US$15.000</w:t>
            </w:r>
          </w:p>
        </w:tc>
        <w:tc>
          <w:tcPr>
            <w:tcW w:w="1620" w:type="dxa"/>
          </w:tcPr>
          <w:p w14:paraId="3D19691B" w14:textId="2D641888" w:rsidR="00C2387B" w:rsidRPr="007F2096" w:rsidRDefault="00D661C4" w:rsidP="00B27F31">
            <w:pPr>
              <w:rPr>
                <w:rFonts w:ascii="Arial" w:hAnsi="Arial" w:cs="Arial"/>
                <w:spacing w:val="-3"/>
                <w:sz w:val="20"/>
              </w:rPr>
            </w:pPr>
            <w:r>
              <w:rPr>
                <w:rFonts w:ascii="Arial" w:hAnsi="Arial" w:cs="Arial"/>
                <w:spacing w:val="-3"/>
                <w:sz w:val="20"/>
              </w:rPr>
              <w:t>Recursos de Supervisión del Banco</w:t>
            </w:r>
          </w:p>
        </w:tc>
      </w:tr>
      <w:tr w:rsidR="00C2387B" w:rsidRPr="00E76071" w14:paraId="36768670" w14:textId="77777777" w:rsidTr="006B6B00">
        <w:trPr>
          <w:jc w:val="center"/>
        </w:trPr>
        <w:tc>
          <w:tcPr>
            <w:tcW w:w="4320" w:type="dxa"/>
          </w:tcPr>
          <w:p w14:paraId="49E24573" w14:textId="5387A899" w:rsidR="00C2387B" w:rsidRPr="007F2096" w:rsidRDefault="00D661C4" w:rsidP="00B27F31">
            <w:pPr>
              <w:rPr>
                <w:rFonts w:ascii="Arial" w:hAnsi="Arial" w:cs="Arial"/>
                <w:spacing w:val="-3"/>
                <w:sz w:val="20"/>
              </w:rPr>
            </w:pPr>
            <w:r>
              <w:rPr>
                <w:rFonts w:ascii="Arial" w:hAnsi="Arial" w:cs="Arial"/>
                <w:spacing w:val="-3"/>
                <w:sz w:val="20"/>
              </w:rPr>
              <w:t>Estudio monitoreo Administración tributaria</w:t>
            </w:r>
          </w:p>
        </w:tc>
        <w:tc>
          <w:tcPr>
            <w:tcW w:w="360" w:type="dxa"/>
            <w:shd w:val="clear" w:color="auto" w:fill="auto"/>
          </w:tcPr>
          <w:p w14:paraId="088F2CC4" w14:textId="77777777" w:rsidR="00C2387B" w:rsidRPr="007F2096" w:rsidRDefault="00C2387B" w:rsidP="00B27F31">
            <w:pPr>
              <w:rPr>
                <w:rFonts w:ascii="Arial" w:hAnsi="Arial" w:cs="Arial"/>
                <w:spacing w:val="-3"/>
                <w:sz w:val="20"/>
              </w:rPr>
            </w:pPr>
          </w:p>
        </w:tc>
        <w:tc>
          <w:tcPr>
            <w:tcW w:w="360" w:type="dxa"/>
            <w:shd w:val="clear" w:color="auto" w:fill="auto"/>
          </w:tcPr>
          <w:p w14:paraId="77B50276" w14:textId="77777777" w:rsidR="00C2387B" w:rsidRPr="007F2096" w:rsidRDefault="00C2387B" w:rsidP="00B27F31">
            <w:pPr>
              <w:rPr>
                <w:rFonts w:ascii="Arial" w:hAnsi="Arial" w:cs="Arial"/>
                <w:spacing w:val="-3"/>
                <w:sz w:val="20"/>
              </w:rPr>
            </w:pPr>
          </w:p>
        </w:tc>
        <w:tc>
          <w:tcPr>
            <w:tcW w:w="360" w:type="dxa"/>
            <w:shd w:val="clear" w:color="auto" w:fill="auto"/>
          </w:tcPr>
          <w:p w14:paraId="762C6FF6" w14:textId="77777777" w:rsidR="00C2387B" w:rsidRPr="007F2096" w:rsidRDefault="00C2387B" w:rsidP="00B27F31">
            <w:pPr>
              <w:rPr>
                <w:rFonts w:ascii="Arial" w:hAnsi="Arial" w:cs="Arial"/>
                <w:spacing w:val="-3"/>
                <w:sz w:val="20"/>
              </w:rPr>
            </w:pPr>
          </w:p>
        </w:tc>
        <w:tc>
          <w:tcPr>
            <w:tcW w:w="360" w:type="dxa"/>
            <w:shd w:val="clear" w:color="auto" w:fill="auto"/>
          </w:tcPr>
          <w:p w14:paraId="21D01D64" w14:textId="77777777" w:rsidR="00C2387B" w:rsidRPr="007F2096" w:rsidRDefault="00C2387B" w:rsidP="00B27F31">
            <w:pPr>
              <w:rPr>
                <w:rFonts w:ascii="Arial" w:hAnsi="Arial" w:cs="Arial"/>
                <w:spacing w:val="-3"/>
                <w:sz w:val="20"/>
              </w:rPr>
            </w:pPr>
          </w:p>
        </w:tc>
        <w:tc>
          <w:tcPr>
            <w:tcW w:w="360" w:type="dxa"/>
            <w:shd w:val="clear" w:color="auto" w:fill="auto"/>
          </w:tcPr>
          <w:p w14:paraId="480443E5" w14:textId="114EAEB4" w:rsidR="00C2387B" w:rsidRPr="007F2096" w:rsidRDefault="00C2387B" w:rsidP="00B27F31">
            <w:pPr>
              <w:rPr>
                <w:rFonts w:ascii="Arial" w:hAnsi="Arial" w:cs="Arial"/>
                <w:spacing w:val="-3"/>
                <w:sz w:val="20"/>
              </w:rPr>
            </w:pPr>
          </w:p>
        </w:tc>
        <w:tc>
          <w:tcPr>
            <w:tcW w:w="360" w:type="dxa"/>
            <w:shd w:val="clear" w:color="auto" w:fill="auto"/>
          </w:tcPr>
          <w:p w14:paraId="66AD755E" w14:textId="5ABE176F" w:rsidR="00C2387B" w:rsidRPr="007F2096" w:rsidRDefault="003955F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277C7470" w14:textId="4995D331" w:rsidR="00C2387B" w:rsidRPr="007F2096" w:rsidRDefault="003955F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6C8BA5A1" w14:textId="77777777" w:rsidR="00C2387B" w:rsidRPr="007F2096" w:rsidRDefault="00C2387B" w:rsidP="00B27F31">
            <w:pPr>
              <w:rPr>
                <w:rFonts w:ascii="Arial" w:hAnsi="Arial" w:cs="Arial"/>
                <w:spacing w:val="-3"/>
                <w:sz w:val="20"/>
              </w:rPr>
            </w:pPr>
          </w:p>
        </w:tc>
        <w:tc>
          <w:tcPr>
            <w:tcW w:w="360" w:type="dxa"/>
            <w:shd w:val="clear" w:color="auto" w:fill="auto"/>
          </w:tcPr>
          <w:p w14:paraId="445E137D" w14:textId="77777777" w:rsidR="00C2387B" w:rsidRPr="007F2096" w:rsidRDefault="00C2387B" w:rsidP="00B27F31">
            <w:pPr>
              <w:rPr>
                <w:rFonts w:ascii="Arial" w:hAnsi="Arial" w:cs="Arial"/>
                <w:spacing w:val="-3"/>
                <w:sz w:val="20"/>
              </w:rPr>
            </w:pPr>
          </w:p>
        </w:tc>
        <w:tc>
          <w:tcPr>
            <w:tcW w:w="360" w:type="dxa"/>
            <w:shd w:val="clear" w:color="auto" w:fill="auto"/>
          </w:tcPr>
          <w:p w14:paraId="681E81F1" w14:textId="77777777" w:rsidR="00C2387B" w:rsidRPr="007F2096" w:rsidRDefault="00C2387B" w:rsidP="00B27F31">
            <w:pPr>
              <w:rPr>
                <w:rFonts w:ascii="Arial" w:hAnsi="Arial" w:cs="Arial"/>
                <w:spacing w:val="-3"/>
                <w:sz w:val="20"/>
              </w:rPr>
            </w:pPr>
          </w:p>
        </w:tc>
        <w:tc>
          <w:tcPr>
            <w:tcW w:w="360" w:type="dxa"/>
            <w:shd w:val="clear" w:color="auto" w:fill="auto"/>
          </w:tcPr>
          <w:p w14:paraId="756BEB17" w14:textId="77777777" w:rsidR="00C2387B" w:rsidRPr="007F2096" w:rsidRDefault="00C2387B" w:rsidP="00B27F31">
            <w:pPr>
              <w:rPr>
                <w:rFonts w:ascii="Arial" w:hAnsi="Arial" w:cs="Arial"/>
                <w:spacing w:val="-3"/>
                <w:sz w:val="20"/>
              </w:rPr>
            </w:pPr>
          </w:p>
        </w:tc>
        <w:tc>
          <w:tcPr>
            <w:tcW w:w="360" w:type="dxa"/>
            <w:shd w:val="clear" w:color="auto" w:fill="auto"/>
          </w:tcPr>
          <w:p w14:paraId="4826CAD0" w14:textId="77777777" w:rsidR="00C2387B" w:rsidRPr="007F2096" w:rsidRDefault="00C2387B" w:rsidP="00B27F31">
            <w:pPr>
              <w:rPr>
                <w:rFonts w:ascii="Arial" w:hAnsi="Arial" w:cs="Arial"/>
                <w:spacing w:val="-3"/>
                <w:sz w:val="20"/>
              </w:rPr>
            </w:pPr>
          </w:p>
        </w:tc>
        <w:tc>
          <w:tcPr>
            <w:tcW w:w="1710" w:type="dxa"/>
          </w:tcPr>
          <w:p w14:paraId="133F7857" w14:textId="352C5593" w:rsidR="00C2387B" w:rsidRPr="007F2096" w:rsidRDefault="00D661C4" w:rsidP="00B27F31">
            <w:pPr>
              <w:rPr>
                <w:rFonts w:ascii="Arial" w:hAnsi="Arial" w:cs="Arial"/>
                <w:spacing w:val="-3"/>
                <w:sz w:val="20"/>
              </w:rPr>
            </w:pPr>
            <w:r>
              <w:rPr>
                <w:rFonts w:ascii="Arial" w:hAnsi="Arial" w:cs="Arial"/>
                <w:spacing w:val="-3"/>
                <w:sz w:val="20"/>
              </w:rPr>
              <w:t>Equipo de Proyecto</w:t>
            </w:r>
          </w:p>
        </w:tc>
        <w:tc>
          <w:tcPr>
            <w:tcW w:w="1170" w:type="dxa"/>
          </w:tcPr>
          <w:p w14:paraId="04F84EDE" w14:textId="23C700EA" w:rsidR="00C2387B" w:rsidRPr="007F2096" w:rsidRDefault="00D661C4" w:rsidP="00B27F31">
            <w:pPr>
              <w:rPr>
                <w:rFonts w:ascii="Arial" w:hAnsi="Arial" w:cs="Arial"/>
                <w:spacing w:val="-3"/>
                <w:sz w:val="20"/>
              </w:rPr>
            </w:pPr>
            <w:r>
              <w:rPr>
                <w:rFonts w:ascii="Arial" w:hAnsi="Arial" w:cs="Arial"/>
                <w:spacing w:val="-3"/>
                <w:sz w:val="20"/>
              </w:rPr>
              <w:t>US$10.000</w:t>
            </w:r>
          </w:p>
        </w:tc>
        <w:tc>
          <w:tcPr>
            <w:tcW w:w="1620" w:type="dxa"/>
          </w:tcPr>
          <w:p w14:paraId="44F64309" w14:textId="244D42A6" w:rsidR="00C2387B" w:rsidRPr="007F2096" w:rsidRDefault="00D661C4" w:rsidP="00B27F31">
            <w:pPr>
              <w:rPr>
                <w:rFonts w:ascii="Arial" w:hAnsi="Arial" w:cs="Arial"/>
                <w:spacing w:val="-3"/>
                <w:sz w:val="20"/>
              </w:rPr>
            </w:pPr>
            <w:r w:rsidRPr="00D661C4">
              <w:rPr>
                <w:rFonts w:ascii="Arial" w:hAnsi="Arial" w:cs="Arial"/>
                <w:spacing w:val="-3"/>
                <w:sz w:val="20"/>
              </w:rPr>
              <w:t>Recursos de Supervisión del Banco</w:t>
            </w:r>
          </w:p>
        </w:tc>
      </w:tr>
      <w:tr w:rsidR="00C2387B" w:rsidRPr="00E76071" w14:paraId="627256D8" w14:textId="77777777" w:rsidTr="006B6B00">
        <w:trPr>
          <w:jc w:val="center"/>
        </w:trPr>
        <w:tc>
          <w:tcPr>
            <w:tcW w:w="4320" w:type="dxa"/>
          </w:tcPr>
          <w:p w14:paraId="50FF93A0" w14:textId="00DBB0CA" w:rsidR="00C2387B" w:rsidRPr="007F2096" w:rsidRDefault="00D661C4" w:rsidP="00B27F31">
            <w:pPr>
              <w:rPr>
                <w:rFonts w:ascii="Arial" w:hAnsi="Arial" w:cs="Arial"/>
                <w:spacing w:val="-3"/>
                <w:sz w:val="20"/>
              </w:rPr>
            </w:pPr>
            <w:r>
              <w:rPr>
                <w:rFonts w:ascii="Arial" w:hAnsi="Arial" w:cs="Arial"/>
                <w:spacing w:val="-3"/>
                <w:sz w:val="20"/>
              </w:rPr>
              <w:t>Estudio Monitoreo Transparencia Financiera</w:t>
            </w:r>
          </w:p>
        </w:tc>
        <w:tc>
          <w:tcPr>
            <w:tcW w:w="360" w:type="dxa"/>
            <w:shd w:val="clear" w:color="auto" w:fill="auto"/>
          </w:tcPr>
          <w:p w14:paraId="77CF3916" w14:textId="77777777" w:rsidR="00C2387B" w:rsidRPr="007F2096" w:rsidRDefault="00C2387B" w:rsidP="00B27F31">
            <w:pPr>
              <w:rPr>
                <w:rFonts w:ascii="Arial" w:hAnsi="Arial" w:cs="Arial"/>
                <w:spacing w:val="-3"/>
                <w:sz w:val="20"/>
              </w:rPr>
            </w:pPr>
          </w:p>
        </w:tc>
        <w:tc>
          <w:tcPr>
            <w:tcW w:w="360" w:type="dxa"/>
            <w:shd w:val="clear" w:color="auto" w:fill="auto"/>
          </w:tcPr>
          <w:p w14:paraId="63CE0AA2" w14:textId="77777777" w:rsidR="00C2387B" w:rsidRPr="007F2096" w:rsidRDefault="00C2387B" w:rsidP="00B27F31">
            <w:pPr>
              <w:rPr>
                <w:rFonts w:ascii="Arial" w:hAnsi="Arial" w:cs="Arial"/>
                <w:spacing w:val="-3"/>
                <w:sz w:val="20"/>
              </w:rPr>
            </w:pPr>
          </w:p>
        </w:tc>
        <w:tc>
          <w:tcPr>
            <w:tcW w:w="360" w:type="dxa"/>
            <w:shd w:val="clear" w:color="auto" w:fill="auto"/>
          </w:tcPr>
          <w:p w14:paraId="727ADC9D" w14:textId="77777777" w:rsidR="00C2387B" w:rsidRPr="007F2096" w:rsidRDefault="00C2387B" w:rsidP="00B27F31">
            <w:pPr>
              <w:rPr>
                <w:rFonts w:ascii="Arial" w:hAnsi="Arial" w:cs="Arial"/>
                <w:spacing w:val="-3"/>
                <w:sz w:val="20"/>
              </w:rPr>
            </w:pPr>
          </w:p>
        </w:tc>
        <w:tc>
          <w:tcPr>
            <w:tcW w:w="360" w:type="dxa"/>
            <w:shd w:val="clear" w:color="auto" w:fill="auto"/>
          </w:tcPr>
          <w:p w14:paraId="6E6E6539" w14:textId="77777777" w:rsidR="00C2387B" w:rsidRPr="007F2096" w:rsidRDefault="00C2387B" w:rsidP="00B27F31">
            <w:pPr>
              <w:rPr>
                <w:rFonts w:ascii="Arial" w:hAnsi="Arial" w:cs="Arial"/>
                <w:spacing w:val="-3"/>
                <w:sz w:val="20"/>
              </w:rPr>
            </w:pPr>
          </w:p>
        </w:tc>
        <w:tc>
          <w:tcPr>
            <w:tcW w:w="360" w:type="dxa"/>
            <w:shd w:val="clear" w:color="auto" w:fill="auto"/>
          </w:tcPr>
          <w:p w14:paraId="1C2E3505" w14:textId="13D3DEC9" w:rsidR="00C2387B" w:rsidRPr="007F2096" w:rsidRDefault="00C2387B" w:rsidP="00B27F31">
            <w:pPr>
              <w:rPr>
                <w:rFonts w:ascii="Arial" w:hAnsi="Arial" w:cs="Arial"/>
                <w:spacing w:val="-3"/>
                <w:sz w:val="20"/>
              </w:rPr>
            </w:pPr>
          </w:p>
        </w:tc>
        <w:tc>
          <w:tcPr>
            <w:tcW w:w="360" w:type="dxa"/>
            <w:shd w:val="clear" w:color="auto" w:fill="auto"/>
          </w:tcPr>
          <w:p w14:paraId="33B4B74A" w14:textId="04F37509" w:rsidR="00C2387B" w:rsidRPr="007F2096" w:rsidRDefault="00D661C4"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36E86DBF" w14:textId="421692A5" w:rsidR="00C2387B" w:rsidRPr="007F2096" w:rsidRDefault="003955F6"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DC70664" w14:textId="77777777" w:rsidR="00C2387B" w:rsidRPr="007F2096" w:rsidRDefault="00C2387B" w:rsidP="00B27F31">
            <w:pPr>
              <w:rPr>
                <w:rFonts w:ascii="Arial" w:hAnsi="Arial" w:cs="Arial"/>
                <w:spacing w:val="-3"/>
                <w:sz w:val="20"/>
              </w:rPr>
            </w:pPr>
          </w:p>
        </w:tc>
        <w:tc>
          <w:tcPr>
            <w:tcW w:w="360" w:type="dxa"/>
            <w:shd w:val="clear" w:color="auto" w:fill="auto"/>
          </w:tcPr>
          <w:p w14:paraId="274CE12D" w14:textId="77777777" w:rsidR="00C2387B" w:rsidRPr="007F2096" w:rsidRDefault="00C2387B" w:rsidP="00B27F31">
            <w:pPr>
              <w:rPr>
                <w:rFonts w:ascii="Arial" w:hAnsi="Arial" w:cs="Arial"/>
                <w:spacing w:val="-3"/>
                <w:sz w:val="20"/>
              </w:rPr>
            </w:pPr>
          </w:p>
        </w:tc>
        <w:tc>
          <w:tcPr>
            <w:tcW w:w="360" w:type="dxa"/>
            <w:shd w:val="clear" w:color="auto" w:fill="auto"/>
          </w:tcPr>
          <w:p w14:paraId="4B6753B0" w14:textId="77777777" w:rsidR="00C2387B" w:rsidRPr="007F2096" w:rsidRDefault="00C2387B" w:rsidP="00B27F31">
            <w:pPr>
              <w:rPr>
                <w:rFonts w:ascii="Arial" w:hAnsi="Arial" w:cs="Arial"/>
                <w:spacing w:val="-3"/>
                <w:sz w:val="20"/>
              </w:rPr>
            </w:pPr>
          </w:p>
        </w:tc>
        <w:tc>
          <w:tcPr>
            <w:tcW w:w="360" w:type="dxa"/>
            <w:shd w:val="clear" w:color="auto" w:fill="auto"/>
          </w:tcPr>
          <w:p w14:paraId="560266B2" w14:textId="77777777" w:rsidR="00C2387B" w:rsidRPr="007F2096" w:rsidRDefault="00C2387B" w:rsidP="00B27F31">
            <w:pPr>
              <w:rPr>
                <w:rFonts w:ascii="Arial" w:hAnsi="Arial" w:cs="Arial"/>
                <w:spacing w:val="-3"/>
                <w:sz w:val="20"/>
              </w:rPr>
            </w:pPr>
          </w:p>
        </w:tc>
        <w:tc>
          <w:tcPr>
            <w:tcW w:w="360" w:type="dxa"/>
            <w:shd w:val="clear" w:color="auto" w:fill="auto"/>
          </w:tcPr>
          <w:p w14:paraId="352A99C0" w14:textId="77777777" w:rsidR="00C2387B" w:rsidRPr="007F2096" w:rsidRDefault="00C2387B" w:rsidP="00B27F31">
            <w:pPr>
              <w:rPr>
                <w:rFonts w:ascii="Arial" w:hAnsi="Arial" w:cs="Arial"/>
                <w:spacing w:val="-3"/>
                <w:sz w:val="20"/>
              </w:rPr>
            </w:pPr>
          </w:p>
        </w:tc>
        <w:tc>
          <w:tcPr>
            <w:tcW w:w="1710" w:type="dxa"/>
          </w:tcPr>
          <w:p w14:paraId="3E59217C" w14:textId="0ADD8312" w:rsidR="00C2387B" w:rsidRPr="007F2096" w:rsidRDefault="00D661C4" w:rsidP="00B27F31">
            <w:pPr>
              <w:rPr>
                <w:rFonts w:ascii="Arial" w:hAnsi="Arial" w:cs="Arial"/>
                <w:spacing w:val="-3"/>
                <w:sz w:val="20"/>
              </w:rPr>
            </w:pPr>
            <w:r>
              <w:rPr>
                <w:rFonts w:ascii="Arial" w:hAnsi="Arial" w:cs="Arial"/>
                <w:spacing w:val="-3"/>
                <w:sz w:val="20"/>
              </w:rPr>
              <w:t>Equipo de Proyecto</w:t>
            </w:r>
          </w:p>
        </w:tc>
        <w:tc>
          <w:tcPr>
            <w:tcW w:w="1170" w:type="dxa"/>
          </w:tcPr>
          <w:p w14:paraId="7C665781" w14:textId="247AD0A0" w:rsidR="00C2387B" w:rsidRPr="007F2096" w:rsidRDefault="00D661C4" w:rsidP="00B27F31">
            <w:pPr>
              <w:rPr>
                <w:rFonts w:ascii="Arial" w:hAnsi="Arial" w:cs="Arial"/>
                <w:spacing w:val="-3"/>
                <w:sz w:val="20"/>
              </w:rPr>
            </w:pPr>
            <w:r>
              <w:rPr>
                <w:rFonts w:ascii="Arial" w:hAnsi="Arial" w:cs="Arial"/>
                <w:spacing w:val="-3"/>
                <w:sz w:val="20"/>
              </w:rPr>
              <w:t>US$5.000</w:t>
            </w:r>
          </w:p>
        </w:tc>
        <w:tc>
          <w:tcPr>
            <w:tcW w:w="1620" w:type="dxa"/>
          </w:tcPr>
          <w:p w14:paraId="7D37D84F" w14:textId="32EE61A8" w:rsidR="00C2387B" w:rsidRPr="007F2096" w:rsidRDefault="00D661C4" w:rsidP="00B27F31">
            <w:pPr>
              <w:rPr>
                <w:rFonts w:ascii="Arial" w:hAnsi="Arial" w:cs="Arial"/>
                <w:spacing w:val="-3"/>
                <w:sz w:val="20"/>
              </w:rPr>
            </w:pPr>
            <w:r w:rsidRPr="00D661C4">
              <w:rPr>
                <w:rFonts w:ascii="Arial" w:hAnsi="Arial" w:cs="Arial"/>
                <w:spacing w:val="-3"/>
                <w:sz w:val="20"/>
              </w:rPr>
              <w:t>Recursos de Supervisión del Banco</w:t>
            </w:r>
          </w:p>
        </w:tc>
      </w:tr>
      <w:tr w:rsidR="00E76071" w:rsidRPr="00E76071" w14:paraId="706F0B7C" w14:textId="77777777" w:rsidTr="006B6B00">
        <w:trPr>
          <w:jc w:val="center"/>
        </w:trPr>
        <w:tc>
          <w:tcPr>
            <w:tcW w:w="4320" w:type="dxa"/>
          </w:tcPr>
          <w:p w14:paraId="47F9A089" w14:textId="6EFA0C7C" w:rsidR="00E76071" w:rsidRPr="007F2096" w:rsidRDefault="00D661C4" w:rsidP="00B27F31">
            <w:pPr>
              <w:rPr>
                <w:rFonts w:ascii="Arial" w:hAnsi="Arial" w:cs="Arial"/>
                <w:spacing w:val="-3"/>
                <w:sz w:val="20"/>
              </w:rPr>
            </w:pPr>
            <w:r w:rsidRPr="00D661C4">
              <w:rPr>
                <w:rFonts w:ascii="Arial" w:hAnsi="Arial" w:cs="Arial"/>
                <w:spacing w:val="-3"/>
                <w:sz w:val="20"/>
                <w:lang w:val="es-ES"/>
              </w:rPr>
              <w:t>Análisis Económico ex post de Impactos y Resultados de las medidas</w:t>
            </w:r>
          </w:p>
        </w:tc>
        <w:tc>
          <w:tcPr>
            <w:tcW w:w="360" w:type="dxa"/>
            <w:shd w:val="clear" w:color="auto" w:fill="auto"/>
          </w:tcPr>
          <w:p w14:paraId="4E90856E" w14:textId="77777777" w:rsidR="00E76071" w:rsidRPr="007F2096" w:rsidRDefault="00E76071" w:rsidP="00B27F31">
            <w:pPr>
              <w:rPr>
                <w:rFonts w:ascii="Arial" w:hAnsi="Arial" w:cs="Arial"/>
                <w:spacing w:val="-3"/>
                <w:sz w:val="20"/>
              </w:rPr>
            </w:pPr>
          </w:p>
        </w:tc>
        <w:tc>
          <w:tcPr>
            <w:tcW w:w="360" w:type="dxa"/>
            <w:shd w:val="clear" w:color="auto" w:fill="auto"/>
          </w:tcPr>
          <w:p w14:paraId="195BA8C0" w14:textId="77777777" w:rsidR="00E76071" w:rsidRPr="007F2096" w:rsidRDefault="00E76071" w:rsidP="00B27F31">
            <w:pPr>
              <w:rPr>
                <w:rFonts w:ascii="Arial" w:hAnsi="Arial" w:cs="Arial"/>
                <w:spacing w:val="-3"/>
                <w:sz w:val="20"/>
              </w:rPr>
            </w:pPr>
          </w:p>
        </w:tc>
        <w:tc>
          <w:tcPr>
            <w:tcW w:w="360" w:type="dxa"/>
            <w:shd w:val="clear" w:color="auto" w:fill="auto"/>
          </w:tcPr>
          <w:p w14:paraId="6C6594C8" w14:textId="77777777" w:rsidR="00E76071" w:rsidRPr="007F2096" w:rsidRDefault="00E76071" w:rsidP="00B27F31">
            <w:pPr>
              <w:rPr>
                <w:rFonts w:ascii="Arial" w:hAnsi="Arial" w:cs="Arial"/>
                <w:spacing w:val="-3"/>
                <w:sz w:val="20"/>
              </w:rPr>
            </w:pPr>
          </w:p>
        </w:tc>
        <w:tc>
          <w:tcPr>
            <w:tcW w:w="360" w:type="dxa"/>
            <w:shd w:val="clear" w:color="auto" w:fill="auto"/>
          </w:tcPr>
          <w:p w14:paraId="10099DFE" w14:textId="77777777" w:rsidR="00E76071" w:rsidRPr="007F2096" w:rsidRDefault="00E76071" w:rsidP="00B27F31">
            <w:pPr>
              <w:rPr>
                <w:rFonts w:ascii="Arial" w:hAnsi="Arial" w:cs="Arial"/>
                <w:spacing w:val="-3"/>
                <w:sz w:val="20"/>
              </w:rPr>
            </w:pPr>
          </w:p>
        </w:tc>
        <w:tc>
          <w:tcPr>
            <w:tcW w:w="360" w:type="dxa"/>
            <w:shd w:val="clear" w:color="auto" w:fill="auto"/>
          </w:tcPr>
          <w:p w14:paraId="5BFECAF3" w14:textId="77777777" w:rsidR="00E76071" w:rsidRPr="007F2096" w:rsidRDefault="00E76071" w:rsidP="00B27F31">
            <w:pPr>
              <w:rPr>
                <w:rFonts w:ascii="Arial" w:hAnsi="Arial" w:cs="Arial"/>
                <w:spacing w:val="-3"/>
                <w:sz w:val="20"/>
              </w:rPr>
            </w:pPr>
          </w:p>
        </w:tc>
        <w:tc>
          <w:tcPr>
            <w:tcW w:w="360" w:type="dxa"/>
            <w:shd w:val="clear" w:color="auto" w:fill="auto"/>
          </w:tcPr>
          <w:p w14:paraId="58BCB686" w14:textId="77777777" w:rsidR="00E76071" w:rsidRPr="007F2096" w:rsidRDefault="00E76071" w:rsidP="00B27F31">
            <w:pPr>
              <w:rPr>
                <w:rFonts w:ascii="Arial" w:hAnsi="Arial" w:cs="Arial"/>
                <w:spacing w:val="-3"/>
                <w:sz w:val="20"/>
              </w:rPr>
            </w:pPr>
          </w:p>
        </w:tc>
        <w:tc>
          <w:tcPr>
            <w:tcW w:w="360" w:type="dxa"/>
            <w:shd w:val="clear" w:color="auto" w:fill="auto"/>
          </w:tcPr>
          <w:p w14:paraId="5AB3223F" w14:textId="77777777" w:rsidR="00E76071" w:rsidRPr="007F2096" w:rsidRDefault="00E76071" w:rsidP="00B27F31">
            <w:pPr>
              <w:rPr>
                <w:rFonts w:ascii="Arial" w:hAnsi="Arial" w:cs="Arial"/>
                <w:spacing w:val="-3"/>
                <w:sz w:val="20"/>
              </w:rPr>
            </w:pPr>
          </w:p>
        </w:tc>
        <w:tc>
          <w:tcPr>
            <w:tcW w:w="360" w:type="dxa"/>
            <w:shd w:val="clear" w:color="auto" w:fill="auto"/>
          </w:tcPr>
          <w:p w14:paraId="2535B67C" w14:textId="5228F1DC" w:rsidR="00E76071" w:rsidRPr="007F2096" w:rsidRDefault="00E76071" w:rsidP="00B27F31">
            <w:pPr>
              <w:rPr>
                <w:rFonts w:ascii="Arial" w:hAnsi="Arial" w:cs="Arial"/>
                <w:spacing w:val="-3"/>
                <w:sz w:val="20"/>
              </w:rPr>
            </w:pPr>
          </w:p>
        </w:tc>
        <w:tc>
          <w:tcPr>
            <w:tcW w:w="360" w:type="dxa"/>
            <w:shd w:val="clear" w:color="auto" w:fill="auto"/>
          </w:tcPr>
          <w:p w14:paraId="18A68698" w14:textId="72138E9D" w:rsidR="00E76071" w:rsidRPr="007F2096" w:rsidRDefault="00D661C4"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47863D00" w14:textId="7352FFB7" w:rsidR="00E76071" w:rsidRPr="007F2096" w:rsidRDefault="00D661C4"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03DF034B" w14:textId="07D371CC" w:rsidR="00E76071" w:rsidRPr="007F2096" w:rsidRDefault="00D661C4" w:rsidP="00B27F31">
            <w:pPr>
              <w:rPr>
                <w:rFonts w:ascii="Arial" w:hAnsi="Arial" w:cs="Arial"/>
                <w:spacing w:val="-3"/>
                <w:sz w:val="20"/>
              </w:rPr>
            </w:pPr>
            <w:r>
              <w:rPr>
                <w:rFonts w:ascii="Arial" w:hAnsi="Arial" w:cs="Arial"/>
                <w:spacing w:val="-3"/>
                <w:sz w:val="20"/>
              </w:rPr>
              <w:t>X</w:t>
            </w:r>
          </w:p>
        </w:tc>
        <w:tc>
          <w:tcPr>
            <w:tcW w:w="360" w:type="dxa"/>
            <w:shd w:val="clear" w:color="auto" w:fill="auto"/>
          </w:tcPr>
          <w:p w14:paraId="1D8E0301" w14:textId="55C14FA9" w:rsidR="00E76071" w:rsidRPr="007F2096" w:rsidRDefault="00D661C4" w:rsidP="00B27F31">
            <w:pPr>
              <w:rPr>
                <w:rFonts w:ascii="Arial" w:hAnsi="Arial" w:cs="Arial"/>
                <w:spacing w:val="-3"/>
                <w:sz w:val="20"/>
              </w:rPr>
            </w:pPr>
            <w:r>
              <w:rPr>
                <w:rFonts w:ascii="Arial" w:hAnsi="Arial" w:cs="Arial"/>
                <w:spacing w:val="-3"/>
                <w:sz w:val="20"/>
              </w:rPr>
              <w:t>X</w:t>
            </w:r>
          </w:p>
        </w:tc>
        <w:tc>
          <w:tcPr>
            <w:tcW w:w="1710" w:type="dxa"/>
          </w:tcPr>
          <w:p w14:paraId="6C15FE06" w14:textId="7419FB34" w:rsidR="00E76071" w:rsidRPr="007F2096" w:rsidRDefault="00D661C4" w:rsidP="00B27F31">
            <w:pPr>
              <w:rPr>
                <w:rFonts w:ascii="Arial" w:hAnsi="Arial" w:cs="Arial"/>
                <w:spacing w:val="-3"/>
                <w:sz w:val="20"/>
              </w:rPr>
            </w:pPr>
            <w:r>
              <w:rPr>
                <w:rFonts w:ascii="Arial" w:hAnsi="Arial" w:cs="Arial"/>
                <w:spacing w:val="-3"/>
                <w:sz w:val="20"/>
              </w:rPr>
              <w:t>Equipo de Proyecto</w:t>
            </w:r>
          </w:p>
        </w:tc>
        <w:tc>
          <w:tcPr>
            <w:tcW w:w="1170" w:type="dxa"/>
          </w:tcPr>
          <w:p w14:paraId="22BF2305" w14:textId="16A245C5" w:rsidR="00E76071" w:rsidRPr="007F2096" w:rsidRDefault="00D661C4" w:rsidP="00B27F31">
            <w:pPr>
              <w:rPr>
                <w:rFonts w:ascii="Arial" w:hAnsi="Arial" w:cs="Arial"/>
                <w:spacing w:val="-3"/>
                <w:sz w:val="20"/>
              </w:rPr>
            </w:pPr>
            <w:r>
              <w:rPr>
                <w:rFonts w:ascii="Arial" w:hAnsi="Arial" w:cs="Arial"/>
                <w:spacing w:val="-3"/>
                <w:sz w:val="20"/>
              </w:rPr>
              <w:t>US$15.000</w:t>
            </w:r>
          </w:p>
        </w:tc>
        <w:tc>
          <w:tcPr>
            <w:tcW w:w="1620" w:type="dxa"/>
          </w:tcPr>
          <w:p w14:paraId="19AF2D71" w14:textId="7FF4A2BE" w:rsidR="00E76071" w:rsidRPr="007F2096" w:rsidRDefault="00D661C4" w:rsidP="00B27F31">
            <w:pPr>
              <w:rPr>
                <w:rFonts w:ascii="Arial" w:hAnsi="Arial" w:cs="Arial"/>
                <w:spacing w:val="-3"/>
                <w:sz w:val="20"/>
              </w:rPr>
            </w:pPr>
            <w:r w:rsidRPr="00D661C4">
              <w:rPr>
                <w:rFonts w:ascii="Arial" w:hAnsi="Arial" w:cs="Arial"/>
                <w:spacing w:val="-3"/>
                <w:sz w:val="20"/>
              </w:rPr>
              <w:t>Recursos de Supervisión del Banco</w:t>
            </w:r>
          </w:p>
        </w:tc>
      </w:tr>
      <w:tr w:rsidR="00B27F31" w:rsidRPr="00E76071" w14:paraId="7D8CFA78" w14:textId="77777777" w:rsidTr="006B6B00">
        <w:trPr>
          <w:jc w:val="center"/>
        </w:trPr>
        <w:tc>
          <w:tcPr>
            <w:tcW w:w="10350" w:type="dxa"/>
            <w:gridSpan w:val="14"/>
          </w:tcPr>
          <w:p w14:paraId="70136A79" w14:textId="77777777" w:rsidR="00B27F31" w:rsidRPr="007F2096" w:rsidRDefault="00B27F31" w:rsidP="00B27F31">
            <w:pPr>
              <w:jc w:val="right"/>
              <w:rPr>
                <w:rFonts w:ascii="Arial" w:hAnsi="Arial" w:cs="Arial"/>
                <w:b/>
                <w:spacing w:val="-3"/>
                <w:sz w:val="20"/>
              </w:rPr>
            </w:pPr>
            <w:r w:rsidRPr="007F2096">
              <w:rPr>
                <w:rFonts w:ascii="Arial" w:hAnsi="Arial" w:cs="Arial"/>
                <w:b/>
                <w:spacing w:val="-3"/>
                <w:sz w:val="20"/>
              </w:rPr>
              <w:t>Costo Total:</w:t>
            </w:r>
          </w:p>
        </w:tc>
        <w:tc>
          <w:tcPr>
            <w:tcW w:w="2790" w:type="dxa"/>
            <w:gridSpan w:val="2"/>
          </w:tcPr>
          <w:p w14:paraId="33E89AF2" w14:textId="14930EE7" w:rsidR="00B27F31" w:rsidRPr="007F2096" w:rsidRDefault="00D661C4" w:rsidP="00B27F31">
            <w:pPr>
              <w:jc w:val="both"/>
              <w:rPr>
                <w:rFonts w:ascii="Arial" w:hAnsi="Arial" w:cs="Arial"/>
                <w:spacing w:val="-3"/>
                <w:sz w:val="20"/>
              </w:rPr>
            </w:pPr>
            <w:r>
              <w:rPr>
                <w:rFonts w:ascii="Arial" w:hAnsi="Arial" w:cs="Arial"/>
                <w:spacing w:val="-3"/>
                <w:sz w:val="20"/>
              </w:rPr>
              <w:t>US$45.000</w:t>
            </w:r>
            <w:r w:rsidR="00C72A25">
              <w:rPr>
                <w:rStyle w:val="FootnoteReference"/>
                <w:rFonts w:ascii="Arial" w:hAnsi="Arial" w:cs="Arial"/>
                <w:spacing w:val="-3"/>
                <w:sz w:val="20"/>
              </w:rPr>
              <w:footnoteReference w:id="6"/>
            </w:r>
          </w:p>
        </w:tc>
      </w:tr>
    </w:tbl>
    <w:p w14:paraId="39F1A4B8" w14:textId="77777777" w:rsidR="00B27F31" w:rsidRDefault="00B27F31" w:rsidP="007B561B">
      <w:pPr>
        <w:spacing w:line="276" w:lineRule="auto"/>
        <w:rPr>
          <w:rFonts w:ascii="Arial" w:eastAsia="Arial" w:hAnsi="Arial" w:cs="Arial"/>
          <w:b/>
          <w:sz w:val="22"/>
          <w:szCs w:val="22"/>
          <w:lang w:val="es-ES"/>
        </w:rPr>
      </w:pPr>
    </w:p>
    <w:p w14:paraId="4C035E96" w14:textId="0562FEAC" w:rsidR="009C7648" w:rsidRDefault="009C7648">
      <w:pPr>
        <w:spacing w:after="200" w:line="276" w:lineRule="auto"/>
        <w:rPr>
          <w:rFonts w:ascii="Arial" w:hAnsi="Arial"/>
          <w:b/>
          <w:smallCaps/>
          <w:lang w:val="es-ES"/>
        </w:rPr>
      </w:pPr>
      <w:r>
        <w:rPr>
          <w:rFonts w:ascii="Arial" w:hAnsi="Arial"/>
          <w:b/>
          <w:smallCaps/>
          <w:lang w:val="es-ES"/>
        </w:rPr>
        <w:br w:type="page"/>
      </w:r>
    </w:p>
    <w:p w14:paraId="41D0B9F7" w14:textId="77777777" w:rsidR="009C7648" w:rsidRDefault="009C7648" w:rsidP="0049240B">
      <w:pPr>
        <w:autoSpaceDE w:val="0"/>
        <w:autoSpaceDN w:val="0"/>
        <w:adjustRightInd w:val="0"/>
        <w:spacing w:after="120"/>
        <w:jc w:val="center"/>
        <w:rPr>
          <w:rFonts w:ascii="Arial" w:hAnsi="Arial"/>
          <w:b/>
          <w:smallCaps/>
          <w:lang w:val="es-ES"/>
        </w:rPr>
      </w:pPr>
    </w:p>
    <w:p w14:paraId="2078BFEE" w14:textId="77777777" w:rsidR="00F6362B" w:rsidRPr="002926E3" w:rsidRDefault="00F6362B" w:rsidP="00F6362B">
      <w:pPr>
        <w:autoSpaceDE w:val="0"/>
        <w:autoSpaceDN w:val="0"/>
        <w:adjustRightInd w:val="0"/>
        <w:spacing w:after="120"/>
        <w:jc w:val="center"/>
        <w:rPr>
          <w:rFonts w:ascii="Arial" w:hAnsi="Arial"/>
          <w:b/>
          <w:smallCaps/>
          <w:lang w:val="es-ES"/>
        </w:rPr>
      </w:pPr>
      <w:r w:rsidRPr="002926E3">
        <w:rPr>
          <w:rFonts w:ascii="Arial" w:hAnsi="Arial"/>
          <w:b/>
          <w:smallCaps/>
          <w:lang w:val="es-ES"/>
        </w:rPr>
        <w:t>Matriz de Resultados</w:t>
      </w:r>
    </w:p>
    <w:tbl>
      <w:tblPr>
        <w:tblStyle w:val="TableGrid"/>
        <w:tblW w:w="13518" w:type="dxa"/>
        <w:tblLook w:val="04A0" w:firstRow="1" w:lastRow="0" w:firstColumn="1" w:lastColumn="0" w:noHBand="0" w:noVBand="1"/>
      </w:tblPr>
      <w:tblGrid>
        <w:gridCol w:w="2718"/>
        <w:gridCol w:w="10800"/>
      </w:tblGrid>
      <w:tr w:rsidR="00F6362B" w:rsidRPr="0006316B" w14:paraId="37779D4B" w14:textId="77777777" w:rsidTr="00060088">
        <w:trPr>
          <w:trHeight w:val="953"/>
        </w:trPr>
        <w:tc>
          <w:tcPr>
            <w:tcW w:w="2718" w:type="dxa"/>
          </w:tcPr>
          <w:p w14:paraId="5367DC5C" w14:textId="59707CDD" w:rsidR="00F6362B" w:rsidRPr="00117DF2" w:rsidRDefault="00F6362B">
            <w:pPr>
              <w:pStyle w:val="Paragraph"/>
              <w:numPr>
                <w:ilvl w:val="0"/>
                <w:numId w:val="0"/>
              </w:numPr>
              <w:jc w:val="left"/>
              <w:rPr>
                <w:rFonts w:ascii="Arial" w:hAnsi="Arial"/>
                <w:b/>
                <w:sz w:val="20"/>
              </w:rPr>
            </w:pPr>
            <w:r w:rsidRPr="00117DF2">
              <w:rPr>
                <w:rFonts w:ascii="Arial" w:hAnsi="Arial"/>
                <w:b/>
                <w:sz w:val="20"/>
              </w:rPr>
              <w:t xml:space="preserve">Objetivo del </w:t>
            </w:r>
            <w:r w:rsidR="00D1342A">
              <w:rPr>
                <w:rFonts w:ascii="Arial" w:hAnsi="Arial"/>
                <w:b/>
                <w:sz w:val="20"/>
              </w:rPr>
              <w:t>Programa</w:t>
            </w:r>
            <w:r w:rsidRPr="00117DF2">
              <w:rPr>
                <w:rFonts w:ascii="Arial" w:hAnsi="Arial"/>
                <w:b/>
                <w:sz w:val="20"/>
              </w:rPr>
              <w:t>:</w:t>
            </w:r>
          </w:p>
        </w:tc>
        <w:tc>
          <w:tcPr>
            <w:tcW w:w="10800" w:type="dxa"/>
          </w:tcPr>
          <w:p w14:paraId="527D9986" w14:textId="77777777" w:rsidR="00F6362B" w:rsidRPr="00117DF2" w:rsidRDefault="00F6362B" w:rsidP="00060088">
            <w:pPr>
              <w:pStyle w:val="Paragraph"/>
              <w:numPr>
                <w:ilvl w:val="0"/>
                <w:numId w:val="0"/>
              </w:numPr>
              <w:rPr>
                <w:rFonts w:ascii="Arial" w:hAnsi="Arial"/>
                <w:sz w:val="20"/>
              </w:rPr>
            </w:pPr>
            <w:r w:rsidRPr="00117DF2">
              <w:rPr>
                <w:rFonts w:ascii="Arial" w:hAnsi="Arial"/>
                <w:sz w:val="20"/>
              </w:rPr>
              <w:t>El objetivo del programa es mejorar la administración tributaria, y la transparencia del sector financiero en Guatemala, por medio de medidas de política orientadas al incremento de los ingresos tributarios y fortalecimiento de la prevención del lavado de activos. El Programa se estructura bajo la modalidad de un préstamo de Apoyo de Reformas de Políticas (PBL) de tramos múltiples, dividido en dos tramos de desembolsos.</w:t>
            </w:r>
          </w:p>
        </w:tc>
      </w:tr>
    </w:tbl>
    <w:p w14:paraId="02DA2A81" w14:textId="77777777" w:rsidR="00F6362B" w:rsidRPr="00117DF2" w:rsidRDefault="00F6362B" w:rsidP="00F6362B">
      <w:pPr>
        <w:spacing w:before="120" w:after="120"/>
        <w:jc w:val="center"/>
        <w:rPr>
          <w:rFonts w:ascii="Arial" w:hAnsi="Arial"/>
          <w:b/>
          <w:smallCaps/>
          <w:lang w:val="es-ES"/>
        </w:rPr>
      </w:pPr>
      <w:r w:rsidRPr="00117DF2">
        <w:rPr>
          <w:rFonts w:ascii="Arial" w:hAnsi="Arial"/>
          <w:b/>
          <w:smallCaps/>
          <w:lang w:val="es-ES"/>
        </w:rPr>
        <w:t>Impactos Esperados</w:t>
      </w:r>
    </w:p>
    <w:tbl>
      <w:tblPr>
        <w:tblW w:w="135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072"/>
        <w:gridCol w:w="893"/>
        <w:gridCol w:w="893"/>
        <w:gridCol w:w="1039"/>
        <w:gridCol w:w="1170"/>
        <w:gridCol w:w="2521"/>
        <w:gridCol w:w="2969"/>
      </w:tblGrid>
      <w:tr w:rsidR="00F6362B" w:rsidRPr="00D5568F" w14:paraId="4218674E" w14:textId="77777777" w:rsidTr="00060088">
        <w:trPr>
          <w:trHeight w:val="347"/>
        </w:trPr>
        <w:tc>
          <w:tcPr>
            <w:tcW w:w="2943" w:type="dxa"/>
            <w:vMerge w:val="restart"/>
            <w:shd w:val="clear" w:color="auto" w:fill="D9D9D9" w:themeFill="background1" w:themeFillShade="D9"/>
            <w:vAlign w:val="center"/>
          </w:tcPr>
          <w:p w14:paraId="069D4BB1" w14:textId="77777777" w:rsidR="00F6362B" w:rsidRPr="00117DF2" w:rsidRDefault="00F6362B" w:rsidP="00060088">
            <w:pPr>
              <w:jc w:val="center"/>
              <w:rPr>
                <w:rFonts w:ascii="Arial" w:hAnsi="Arial"/>
                <w:b/>
                <w:sz w:val="20"/>
                <w:lang w:val="es-ES"/>
              </w:rPr>
            </w:pPr>
            <w:r w:rsidRPr="00117DF2">
              <w:rPr>
                <w:rFonts w:ascii="Arial" w:hAnsi="Arial"/>
                <w:b/>
                <w:sz w:val="20"/>
                <w:lang w:val="es-ES"/>
              </w:rPr>
              <w:t>Indicadores</w:t>
            </w:r>
          </w:p>
        </w:tc>
        <w:tc>
          <w:tcPr>
            <w:tcW w:w="1072" w:type="dxa"/>
            <w:vMerge w:val="restart"/>
            <w:shd w:val="clear" w:color="auto" w:fill="D9D9D9" w:themeFill="background1" w:themeFillShade="D9"/>
            <w:vAlign w:val="center"/>
          </w:tcPr>
          <w:p w14:paraId="5B6D7AF3" w14:textId="77777777" w:rsidR="00F6362B" w:rsidRPr="00117DF2" w:rsidRDefault="00F6362B" w:rsidP="00060088">
            <w:pPr>
              <w:jc w:val="center"/>
              <w:rPr>
                <w:rFonts w:ascii="Arial" w:hAnsi="Arial"/>
                <w:b/>
                <w:sz w:val="20"/>
                <w:lang w:val="es-ES"/>
              </w:rPr>
            </w:pPr>
            <w:r w:rsidRPr="00117DF2">
              <w:rPr>
                <w:rFonts w:ascii="Arial" w:hAnsi="Arial"/>
                <w:b/>
                <w:sz w:val="20"/>
                <w:lang w:val="es-ES"/>
              </w:rPr>
              <w:t xml:space="preserve">Unidad de medida </w:t>
            </w:r>
          </w:p>
        </w:tc>
        <w:tc>
          <w:tcPr>
            <w:tcW w:w="1786" w:type="dxa"/>
            <w:gridSpan w:val="2"/>
            <w:tcBorders>
              <w:bottom w:val="single" w:sz="4" w:space="0" w:color="000000"/>
            </w:tcBorders>
            <w:shd w:val="clear" w:color="auto" w:fill="D9D9D9" w:themeFill="background1" w:themeFillShade="D9"/>
            <w:vAlign w:val="center"/>
          </w:tcPr>
          <w:p w14:paraId="1212AF37" w14:textId="77777777" w:rsidR="00F6362B" w:rsidRPr="00117DF2" w:rsidRDefault="00F6362B" w:rsidP="00060088">
            <w:pPr>
              <w:jc w:val="center"/>
              <w:rPr>
                <w:rFonts w:ascii="Arial" w:hAnsi="Arial"/>
                <w:b/>
                <w:sz w:val="20"/>
                <w:lang w:val="es-ES"/>
              </w:rPr>
            </w:pPr>
            <w:r w:rsidRPr="00117DF2">
              <w:rPr>
                <w:rFonts w:ascii="Arial" w:hAnsi="Arial"/>
                <w:b/>
                <w:sz w:val="20"/>
                <w:lang w:val="es-ES"/>
              </w:rPr>
              <w:t>Línea de base</w:t>
            </w:r>
          </w:p>
        </w:tc>
        <w:tc>
          <w:tcPr>
            <w:tcW w:w="2209" w:type="dxa"/>
            <w:gridSpan w:val="2"/>
            <w:tcBorders>
              <w:bottom w:val="single" w:sz="4" w:space="0" w:color="000000"/>
            </w:tcBorders>
            <w:shd w:val="clear" w:color="auto" w:fill="D9D9D9" w:themeFill="background1" w:themeFillShade="D9"/>
            <w:vAlign w:val="center"/>
          </w:tcPr>
          <w:p w14:paraId="71D8953D" w14:textId="77777777" w:rsidR="00F6362B" w:rsidRPr="00117DF2" w:rsidRDefault="00F6362B" w:rsidP="00060088">
            <w:pPr>
              <w:jc w:val="center"/>
              <w:rPr>
                <w:rFonts w:ascii="Arial" w:hAnsi="Arial"/>
                <w:b/>
                <w:sz w:val="20"/>
                <w:lang w:val="es-ES"/>
              </w:rPr>
            </w:pPr>
            <w:r w:rsidRPr="00117DF2">
              <w:rPr>
                <w:rFonts w:ascii="Arial" w:hAnsi="Arial"/>
                <w:b/>
                <w:sz w:val="20"/>
                <w:lang w:val="es-ES"/>
              </w:rPr>
              <w:t>Metas</w:t>
            </w:r>
          </w:p>
        </w:tc>
        <w:tc>
          <w:tcPr>
            <w:tcW w:w="2521" w:type="dxa"/>
            <w:vMerge w:val="restart"/>
            <w:shd w:val="clear" w:color="auto" w:fill="D9D9D9" w:themeFill="background1" w:themeFillShade="D9"/>
            <w:vAlign w:val="center"/>
          </w:tcPr>
          <w:p w14:paraId="1CE23136" w14:textId="77777777" w:rsidR="00F6362B" w:rsidRPr="00117DF2" w:rsidRDefault="00F6362B" w:rsidP="00060088">
            <w:pPr>
              <w:jc w:val="center"/>
              <w:rPr>
                <w:rFonts w:ascii="Arial" w:hAnsi="Arial"/>
                <w:b/>
                <w:sz w:val="20"/>
                <w:lang w:val="es-ES"/>
              </w:rPr>
            </w:pPr>
            <w:r w:rsidRPr="00117DF2">
              <w:rPr>
                <w:rFonts w:ascii="Arial" w:hAnsi="Arial"/>
                <w:b/>
                <w:sz w:val="20"/>
                <w:lang w:val="es-ES"/>
              </w:rPr>
              <w:t>Medio de verificación</w:t>
            </w:r>
          </w:p>
        </w:tc>
        <w:tc>
          <w:tcPr>
            <w:tcW w:w="2969" w:type="dxa"/>
            <w:vMerge w:val="restart"/>
            <w:shd w:val="clear" w:color="auto" w:fill="D9D9D9" w:themeFill="background1" w:themeFillShade="D9"/>
            <w:vAlign w:val="center"/>
          </w:tcPr>
          <w:p w14:paraId="2C86953F" w14:textId="77777777" w:rsidR="00F6362B" w:rsidRPr="00117DF2" w:rsidRDefault="00F6362B" w:rsidP="00060088">
            <w:pPr>
              <w:jc w:val="center"/>
              <w:rPr>
                <w:rFonts w:ascii="Arial" w:hAnsi="Arial"/>
                <w:b/>
                <w:sz w:val="20"/>
                <w:lang w:val="es-ES"/>
              </w:rPr>
            </w:pPr>
            <w:r w:rsidRPr="00117DF2">
              <w:rPr>
                <w:rFonts w:ascii="Arial" w:hAnsi="Arial"/>
                <w:b/>
                <w:sz w:val="20"/>
                <w:lang w:val="es-ES"/>
              </w:rPr>
              <w:t>Observaciones</w:t>
            </w:r>
          </w:p>
        </w:tc>
      </w:tr>
      <w:tr w:rsidR="00F6362B" w:rsidRPr="00D5568F" w14:paraId="06D73E73" w14:textId="77777777" w:rsidTr="00060088">
        <w:trPr>
          <w:trHeight w:val="346"/>
        </w:trPr>
        <w:tc>
          <w:tcPr>
            <w:tcW w:w="2943" w:type="dxa"/>
            <w:vMerge/>
            <w:tcBorders>
              <w:bottom w:val="single" w:sz="4" w:space="0" w:color="000000"/>
            </w:tcBorders>
            <w:shd w:val="clear" w:color="auto" w:fill="FFFF99"/>
            <w:vAlign w:val="center"/>
          </w:tcPr>
          <w:p w14:paraId="3D3FF7DF" w14:textId="77777777" w:rsidR="00F6362B" w:rsidRPr="00D5568F" w:rsidRDefault="00F6362B" w:rsidP="00060088">
            <w:pPr>
              <w:jc w:val="center"/>
              <w:rPr>
                <w:rFonts w:ascii="Arial" w:hAnsi="Arial" w:cs="Arial"/>
                <w:b/>
                <w:sz w:val="20"/>
                <w:lang w:val="es-ES"/>
              </w:rPr>
            </w:pPr>
          </w:p>
        </w:tc>
        <w:tc>
          <w:tcPr>
            <w:tcW w:w="1072" w:type="dxa"/>
            <w:vMerge/>
            <w:tcBorders>
              <w:bottom w:val="single" w:sz="4" w:space="0" w:color="000000"/>
            </w:tcBorders>
            <w:shd w:val="clear" w:color="auto" w:fill="FFFF99"/>
            <w:vAlign w:val="center"/>
          </w:tcPr>
          <w:p w14:paraId="5A150C5D" w14:textId="77777777" w:rsidR="00F6362B" w:rsidRPr="00D5568F" w:rsidRDefault="00F6362B" w:rsidP="00060088">
            <w:pPr>
              <w:jc w:val="center"/>
              <w:rPr>
                <w:rFonts w:ascii="Arial" w:hAnsi="Arial" w:cs="Arial"/>
                <w:b/>
                <w:sz w:val="20"/>
                <w:lang w:val="es-ES"/>
              </w:rPr>
            </w:pPr>
          </w:p>
        </w:tc>
        <w:tc>
          <w:tcPr>
            <w:tcW w:w="893" w:type="dxa"/>
            <w:tcBorders>
              <w:bottom w:val="single" w:sz="4" w:space="0" w:color="000000"/>
            </w:tcBorders>
            <w:shd w:val="clear" w:color="auto" w:fill="D9D9D9" w:themeFill="background1" w:themeFillShade="D9"/>
            <w:vAlign w:val="center"/>
          </w:tcPr>
          <w:p w14:paraId="74882A44" w14:textId="77777777" w:rsidR="00F6362B" w:rsidRPr="00117DF2" w:rsidRDefault="00F6362B" w:rsidP="00060088">
            <w:pPr>
              <w:jc w:val="center"/>
              <w:rPr>
                <w:rFonts w:ascii="Arial" w:hAnsi="Arial"/>
                <w:b/>
                <w:sz w:val="20"/>
                <w:lang w:val="es-ES"/>
              </w:rPr>
            </w:pPr>
            <w:r w:rsidRPr="00117DF2">
              <w:rPr>
                <w:rFonts w:ascii="Arial" w:hAnsi="Arial"/>
                <w:b/>
                <w:sz w:val="20"/>
                <w:lang w:val="es-ES"/>
              </w:rPr>
              <w:t>Valor</w:t>
            </w:r>
          </w:p>
        </w:tc>
        <w:tc>
          <w:tcPr>
            <w:tcW w:w="893" w:type="dxa"/>
            <w:tcBorders>
              <w:bottom w:val="single" w:sz="4" w:space="0" w:color="000000"/>
            </w:tcBorders>
            <w:shd w:val="clear" w:color="auto" w:fill="D9D9D9" w:themeFill="background1" w:themeFillShade="D9"/>
            <w:vAlign w:val="center"/>
          </w:tcPr>
          <w:p w14:paraId="26CA74C8" w14:textId="77777777" w:rsidR="00F6362B" w:rsidRPr="00117DF2" w:rsidRDefault="00F6362B" w:rsidP="00060088">
            <w:pPr>
              <w:jc w:val="center"/>
              <w:rPr>
                <w:rFonts w:ascii="Arial" w:hAnsi="Arial"/>
                <w:b/>
                <w:sz w:val="20"/>
                <w:lang w:val="es-ES"/>
              </w:rPr>
            </w:pPr>
            <w:r w:rsidRPr="00117DF2">
              <w:rPr>
                <w:rFonts w:ascii="Arial" w:hAnsi="Arial"/>
                <w:b/>
                <w:sz w:val="20"/>
                <w:lang w:val="es-ES"/>
              </w:rPr>
              <w:t>Año</w:t>
            </w:r>
          </w:p>
        </w:tc>
        <w:tc>
          <w:tcPr>
            <w:tcW w:w="1039" w:type="dxa"/>
            <w:tcBorders>
              <w:bottom w:val="single" w:sz="4" w:space="0" w:color="000000"/>
            </w:tcBorders>
            <w:shd w:val="clear" w:color="auto" w:fill="D9D9D9" w:themeFill="background1" w:themeFillShade="D9"/>
            <w:vAlign w:val="center"/>
          </w:tcPr>
          <w:p w14:paraId="3FEEDCB8" w14:textId="77777777" w:rsidR="00F6362B" w:rsidRPr="00117DF2" w:rsidRDefault="00F6362B" w:rsidP="00060088">
            <w:pPr>
              <w:jc w:val="center"/>
              <w:rPr>
                <w:rFonts w:ascii="Arial" w:hAnsi="Arial"/>
                <w:b/>
                <w:sz w:val="20"/>
                <w:lang w:val="es-ES"/>
              </w:rPr>
            </w:pPr>
            <w:r w:rsidRPr="00117DF2">
              <w:rPr>
                <w:rFonts w:ascii="Arial" w:hAnsi="Arial"/>
                <w:b/>
                <w:sz w:val="20"/>
                <w:lang w:val="es-ES"/>
              </w:rPr>
              <w:t>2017</w:t>
            </w:r>
          </w:p>
        </w:tc>
        <w:tc>
          <w:tcPr>
            <w:tcW w:w="1170" w:type="dxa"/>
            <w:tcBorders>
              <w:bottom w:val="single" w:sz="4" w:space="0" w:color="000000"/>
            </w:tcBorders>
            <w:shd w:val="clear" w:color="auto" w:fill="D9D9D9" w:themeFill="background1" w:themeFillShade="D9"/>
            <w:vAlign w:val="center"/>
          </w:tcPr>
          <w:p w14:paraId="4996644C" w14:textId="77777777" w:rsidR="00F6362B" w:rsidRPr="00117DF2" w:rsidRDefault="00F6362B" w:rsidP="00060088">
            <w:pPr>
              <w:jc w:val="center"/>
              <w:rPr>
                <w:rFonts w:ascii="Arial" w:hAnsi="Arial"/>
                <w:b/>
                <w:sz w:val="20"/>
                <w:lang w:val="es-ES"/>
              </w:rPr>
            </w:pPr>
            <w:r w:rsidRPr="00117DF2">
              <w:rPr>
                <w:rFonts w:ascii="Arial" w:hAnsi="Arial"/>
                <w:b/>
                <w:sz w:val="20"/>
                <w:lang w:val="es-ES"/>
              </w:rPr>
              <w:t>2018</w:t>
            </w:r>
          </w:p>
        </w:tc>
        <w:tc>
          <w:tcPr>
            <w:tcW w:w="2521" w:type="dxa"/>
            <w:vMerge/>
            <w:tcBorders>
              <w:bottom w:val="single" w:sz="4" w:space="0" w:color="000000"/>
            </w:tcBorders>
            <w:shd w:val="clear" w:color="auto" w:fill="FFFF99"/>
            <w:vAlign w:val="center"/>
          </w:tcPr>
          <w:p w14:paraId="29928F34" w14:textId="77777777" w:rsidR="00F6362B" w:rsidRPr="00D5568F" w:rsidRDefault="00F6362B" w:rsidP="00060088">
            <w:pPr>
              <w:jc w:val="center"/>
              <w:rPr>
                <w:rFonts w:ascii="Arial" w:hAnsi="Arial" w:cs="Arial"/>
                <w:b/>
                <w:sz w:val="20"/>
                <w:lang w:val="es-ES"/>
              </w:rPr>
            </w:pPr>
          </w:p>
        </w:tc>
        <w:tc>
          <w:tcPr>
            <w:tcW w:w="2969" w:type="dxa"/>
            <w:vMerge/>
            <w:tcBorders>
              <w:bottom w:val="single" w:sz="4" w:space="0" w:color="000000"/>
            </w:tcBorders>
            <w:shd w:val="clear" w:color="auto" w:fill="FFFF99"/>
            <w:vAlign w:val="center"/>
          </w:tcPr>
          <w:p w14:paraId="768C7E53" w14:textId="77777777" w:rsidR="00F6362B" w:rsidRPr="00D5568F" w:rsidRDefault="00F6362B" w:rsidP="00060088">
            <w:pPr>
              <w:jc w:val="center"/>
              <w:rPr>
                <w:rFonts w:ascii="Arial" w:hAnsi="Arial" w:cs="Arial"/>
                <w:b/>
                <w:sz w:val="20"/>
                <w:lang w:val="es-ES"/>
              </w:rPr>
            </w:pPr>
          </w:p>
        </w:tc>
      </w:tr>
      <w:tr w:rsidR="00F6362B" w:rsidRPr="0006316B" w14:paraId="728BF562" w14:textId="77777777" w:rsidTr="00060088">
        <w:trPr>
          <w:trHeight w:val="215"/>
        </w:trPr>
        <w:tc>
          <w:tcPr>
            <w:tcW w:w="13500" w:type="dxa"/>
            <w:gridSpan w:val="8"/>
            <w:shd w:val="clear" w:color="auto" w:fill="DBE5F1" w:themeFill="accent1" w:themeFillTint="33"/>
            <w:vAlign w:val="center"/>
          </w:tcPr>
          <w:p w14:paraId="0A8384D7" w14:textId="77777777" w:rsidR="00F6362B" w:rsidRPr="00117DF2" w:rsidRDefault="00F6362B" w:rsidP="00060088">
            <w:pPr>
              <w:spacing w:before="120" w:after="120"/>
              <w:jc w:val="both"/>
              <w:rPr>
                <w:rFonts w:ascii="Arial" w:hAnsi="Arial"/>
                <w:b/>
                <w:sz w:val="18"/>
                <w:lang w:val="es-ES"/>
              </w:rPr>
            </w:pPr>
            <w:r w:rsidRPr="00CD6805">
              <w:rPr>
                <w:rFonts w:ascii="Arial" w:hAnsi="Arial"/>
                <w:b/>
                <w:sz w:val="18"/>
                <w:u w:val="single"/>
                <w:lang w:val="es-ES"/>
              </w:rPr>
              <w:t>Impacto</w:t>
            </w:r>
            <w:r>
              <w:rPr>
                <w:rFonts w:ascii="Arial" w:hAnsi="Arial"/>
                <w:b/>
                <w:sz w:val="18"/>
                <w:lang w:val="es-ES"/>
              </w:rPr>
              <w:t>:</w:t>
            </w:r>
            <w:r w:rsidRPr="00117DF2">
              <w:rPr>
                <w:rFonts w:ascii="Arial" w:hAnsi="Arial"/>
                <w:b/>
                <w:sz w:val="18"/>
                <w:lang w:val="es-ES"/>
              </w:rPr>
              <w:t xml:space="preserve"> </w:t>
            </w:r>
            <w:r w:rsidRPr="00F41D05">
              <w:rPr>
                <w:rFonts w:ascii="Arial" w:hAnsi="Arial"/>
                <w:b/>
                <w:sz w:val="18"/>
              </w:rPr>
              <w:t>Mejorar</w:t>
            </w:r>
            <w:r w:rsidRPr="00A9194E">
              <w:rPr>
                <w:rFonts w:ascii="Arial" w:hAnsi="Arial"/>
                <w:b/>
                <w:sz w:val="18"/>
              </w:rPr>
              <w:t xml:space="preserve"> la </w:t>
            </w:r>
            <w:r w:rsidRPr="00F41D05">
              <w:rPr>
                <w:rFonts w:ascii="Arial" w:hAnsi="Arial"/>
                <w:b/>
                <w:sz w:val="18"/>
              </w:rPr>
              <w:t>administración</w:t>
            </w:r>
            <w:r w:rsidRPr="00A9194E">
              <w:rPr>
                <w:rFonts w:ascii="Arial" w:hAnsi="Arial"/>
                <w:b/>
                <w:sz w:val="18"/>
              </w:rPr>
              <w:t xml:space="preserve"> tributaria y </w:t>
            </w:r>
            <w:r w:rsidRPr="00F41D05">
              <w:rPr>
                <w:rFonts w:ascii="Arial" w:hAnsi="Arial"/>
                <w:b/>
                <w:sz w:val="18"/>
              </w:rPr>
              <w:t>la transparencia del sector financiero en Guatemala</w:t>
            </w:r>
          </w:p>
        </w:tc>
      </w:tr>
      <w:tr w:rsidR="00F6362B" w:rsidRPr="0006316B" w14:paraId="2A4FD3DA" w14:textId="77777777" w:rsidTr="00060088">
        <w:trPr>
          <w:trHeight w:val="60"/>
        </w:trPr>
        <w:tc>
          <w:tcPr>
            <w:tcW w:w="2943" w:type="dxa"/>
            <w:vAlign w:val="center"/>
          </w:tcPr>
          <w:p w14:paraId="7E51A32A" w14:textId="77777777" w:rsidR="00F6362B" w:rsidRPr="00117DF2" w:rsidRDefault="00F6362B" w:rsidP="00060088">
            <w:pPr>
              <w:pStyle w:val="ListParagraph"/>
              <w:ind w:left="0"/>
              <w:jc w:val="both"/>
              <w:rPr>
                <w:rFonts w:ascii="Arial" w:hAnsi="Arial"/>
                <w:sz w:val="18"/>
                <w:lang w:val="es-ES"/>
              </w:rPr>
            </w:pPr>
            <w:r w:rsidRPr="00117DF2">
              <w:rPr>
                <w:rFonts w:ascii="Arial" w:hAnsi="Arial"/>
                <w:sz w:val="18"/>
                <w:lang w:val="es-ES"/>
              </w:rPr>
              <w:t>Recaudación Tributaria Neta / PIB nominal</w:t>
            </w:r>
          </w:p>
        </w:tc>
        <w:tc>
          <w:tcPr>
            <w:tcW w:w="1072" w:type="dxa"/>
            <w:vAlign w:val="center"/>
          </w:tcPr>
          <w:p w14:paraId="1CED781F" w14:textId="77777777" w:rsidR="00F6362B" w:rsidRPr="00117DF2" w:rsidRDefault="00F6362B" w:rsidP="00060088">
            <w:pPr>
              <w:jc w:val="center"/>
              <w:rPr>
                <w:rFonts w:ascii="Arial" w:hAnsi="Arial"/>
                <w:sz w:val="18"/>
                <w:lang w:val="es-ES"/>
              </w:rPr>
            </w:pPr>
            <w:r w:rsidRPr="00117DF2">
              <w:rPr>
                <w:rFonts w:ascii="Arial" w:hAnsi="Arial"/>
                <w:sz w:val="18"/>
                <w:lang w:val="es-ES"/>
              </w:rPr>
              <w:t>%</w:t>
            </w:r>
          </w:p>
        </w:tc>
        <w:tc>
          <w:tcPr>
            <w:tcW w:w="893" w:type="dxa"/>
            <w:vAlign w:val="center"/>
          </w:tcPr>
          <w:p w14:paraId="5D260C76" w14:textId="77777777" w:rsidR="00F6362B" w:rsidRPr="00117DF2" w:rsidRDefault="00F6362B" w:rsidP="00060088">
            <w:pPr>
              <w:jc w:val="center"/>
              <w:rPr>
                <w:rFonts w:ascii="Arial" w:hAnsi="Arial"/>
                <w:sz w:val="18"/>
                <w:lang w:val="es-ES"/>
              </w:rPr>
            </w:pPr>
            <w:r w:rsidRPr="00117DF2">
              <w:rPr>
                <w:rFonts w:ascii="Arial" w:hAnsi="Arial"/>
                <w:sz w:val="18"/>
                <w:lang w:val="es-ES"/>
              </w:rPr>
              <w:t>10,2</w:t>
            </w:r>
          </w:p>
        </w:tc>
        <w:tc>
          <w:tcPr>
            <w:tcW w:w="893" w:type="dxa"/>
            <w:vAlign w:val="center"/>
          </w:tcPr>
          <w:p w14:paraId="17B8E47C" w14:textId="77777777" w:rsidR="00F6362B" w:rsidRPr="00117DF2" w:rsidRDefault="00F6362B" w:rsidP="00060088">
            <w:pPr>
              <w:jc w:val="center"/>
              <w:rPr>
                <w:rFonts w:ascii="Arial" w:hAnsi="Arial"/>
                <w:sz w:val="18"/>
                <w:lang w:val="es-ES"/>
              </w:rPr>
            </w:pPr>
            <w:r w:rsidRPr="00117DF2">
              <w:rPr>
                <w:rFonts w:ascii="Arial" w:hAnsi="Arial"/>
                <w:sz w:val="18"/>
                <w:lang w:val="es-ES"/>
              </w:rPr>
              <w:t>2015</w:t>
            </w:r>
          </w:p>
        </w:tc>
        <w:tc>
          <w:tcPr>
            <w:tcW w:w="1039" w:type="dxa"/>
            <w:vAlign w:val="center"/>
          </w:tcPr>
          <w:p w14:paraId="2B2225D1" w14:textId="77777777" w:rsidR="00F6362B" w:rsidRPr="00117DF2" w:rsidRDefault="00F6362B" w:rsidP="00060088">
            <w:pPr>
              <w:jc w:val="center"/>
              <w:rPr>
                <w:rFonts w:ascii="Arial" w:hAnsi="Arial"/>
                <w:sz w:val="18"/>
                <w:lang w:val="es-ES"/>
              </w:rPr>
            </w:pPr>
            <w:r w:rsidRPr="00117DF2">
              <w:rPr>
                <w:rFonts w:ascii="Arial" w:hAnsi="Arial"/>
                <w:sz w:val="18"/>
                <w:lang w:val="es-ES"/>
              </w:rPr>
              <w:t>10,6</w:t>
            </w:r>
          </w:p>
        </w:tc>
        <w:tc>
          <w:tcPr>
            <w:tcW w:w="1170" w:type="dxa"/>
            <w:vAlign w:val="center"/>
          </w:tcPr>
          <w:p w14:paraId="58118250" w14:textId="77777777" w:rsidR="00F6362B" w:rsidRPr="00117DF2" w:rsidRDefault="00F6362B" w:rsidP="00060088">
            <w:pPr>
              <w:jc w:val="center"/>
              <w:rPr>
                <w:rFonts w:ascii="Arial" w:hAnsi="Arial"/>
                <w:sz w:val="18"/>
                <w:lang w:val="es-ES"/>
              </w:rPr>
            </w:pPr>
            <w:r w:rsidRPr="00117DF2">
              <w:rPr>
                <w:rFonts w:ascii="Arial" w:hAnsi="Arial"/>
                <w:sz w:val="18"/>
                <w:lang w:val="es-ES"/>
              </w:rPr>
              <w:t>11,0</w:t>
            </w:r>
          </w:p>
        </w:tc>
        <w:tc>
          <w:tcPr>
            <w:tcW w:w="2521" w:type="dxa"/>
            <w:vAlign w:val="center"/>
          </w:tcPr>
          <w:p w14:paraId="32C12A87" w14:textId="77777777" w:rsidR="00F6362B" w:rsidRPr="00117DF2" w:rsidRDefault="00F6362B" w:rsidP="00060088">
            <w:pPr>
              <w:rPr>
                <w:rFonts w:ascii="Arial" w:hAnsi="Arial"/>
                <w:sz w:val="18"/>
                <w:lang w:val="es-ES"/>
              </w:rPr>
            </w:pPr>
            <w:r w:rsidRPr="00117DF2">
              <w:rPr>
                <w:rFonts w:ascii="Arial" w:hAnsi="Arial"/>
                <w:sz w:val="18"/>
                <w:lang w:val="es-ES"/>
              </w:rPr>
              <w:t>Informe anual de cuentas presentado por el Ministerio de Finanzas de Guatemala (MINFIN) y Superintendencia de Administración Tributaria (SAT).</w:t>
            </w:r>
          </w:p>
        </w:tc>
        <w:tc>
          <w:tcPr>
            <w:tcW w:w="2969" w:type="dxa"/>
          </w:tcPr>
          <w:p w14:paraId="3789535C" w14:textId="77777777" w:rsidR="00F6362B" w:rsidRPr="00117DF2" w:rsidRDefault="00F6362B" w:rsidP="00060088">
            <w:pPr>
              <w:spacing w:before="120" w:after="120"/>
              <w:rPr>
                <w:rFonts w:ascii="Arial" w:hAnsi="Arial"/>
                <w:sz w:val="18"/>
                <w:lang w:val="es-ES"/>
              </w:rPr>
            </w:pPr>
            <w:r w:rsidRPr="00117DF2">
              <w:rPr>
                <w:rFonts w:ascii="Arial" w:hAnsi="Arial"/>
                <w:sz w:val="18"/>
                <w:lang w:val="es-ES"/>
              </w:rPr>
              <w:t>Se refiere a solamente la Recaudación Tributaria y no al total de ingresos públicos. Los datos están disponibles en http://portal.sat.gob.gt</w:t>
            </w:r>
          </w:p>
        </w:tc>
      </w:tr>
      <w:tr w:rsidR="00F6362B" w:rsidRPr="0006316B" w14:paraId="4AD820BF" w14:textId="77777777" w:rsidTr="00060088">
        <w:trPr>
          <w:trHeight w:val="60"/>
        </w:trPr>
        <w:tc>
          <w:tcPr>
            <w:tcW w:w="2943" w:type="dxa"/>
            <w:vAlign w:val="center"/>
          </w:tcPr>
          <w:p w14:paraId="537F2D75" w14:textId="77777777" w:rsidR="00F6362B" w:rsidRPr="00117DF2" w:rsidRDefault="00F6362B" w:rsidP="00060088">
            <w:pPr>
              <w:pStyle w:val="ListParagraph"/>
              <w:spacing w:before="120"/>
              <w:ind w:left="0"/>
              <w:jc w:val="both"/>
              <w:rPr>
                <w:rFonts w:ascii="Arial" w:hAnsi="Arial"/>
                <w:sz w:val="18"/>
                <w:lang w:val="es-ES"/>
              </w:rPr>
            </w:pPr>
            <w:r w:rsidRPr="00117DF2">
              <w:rPr>
                <w:rFonts w:ascii="Arial" w:hAnsi="Arial"/>
                <w:sz w:val="18"/>
                <w:lang w:val="es-ES"/>
              </w:rPr>
              <w:t>Índice de Lavado de Dinero de Guatemala. El índice mide el nivel de riesgo de lavado de dinero basado en la agregación de 14 indicadores que evalúan la fortaleza del marco institucional contra el lavado de dinero y la corrupción, así como la transparencia financiera y el estado de derecho.</w:t>
            </w:r>
          </w:p>
          <w:p w14:paraId="50FFC47C" w14:textId="77777777" w:rsidR="00F6362B" w:rsidRPr="00D5568F" w:rsidRDefault="00F6362B" w:rsidP="00060088">
            <w:pPr>
              <w:pStyle w:val="ListParagraph"/>
              <w:ind w:left="0"/>
              <w:rPr>
                <w:rFonts w:ascii="Arial" w:hAnsi="Arial" w:cs="Arial"/>
                <w:sz w:val="20"/>
                <w:lang w:val="es-ES"/>
              </w:rPr>
            </w:pPr>
          </w:p>
        </w:tc>
        <w:tc>
          <w:tcPr>
            <w:tcW w:w="1072" w:type="dxa"/>
            <w:vAlign w:val="center"/>
          </w:tcPr>
          <w:p w14:paraId="7F21A0DC" w14:textId="77777777" w:rsidR="00F6362B" w:rsidRPr="00117DF2" w:rsidRDefault="00F6362B" w:rsidP="00060088">
            <w:pPr>
              <w:jc w:val="center"/>
              <w:rPr>
                <w:rFonts w:ascii="Arial" w:hAnsi="Arial"/>
                <w:sz w:val="18"/>
                <w:lang w:val="es-ES"/>
              </w:rPr>
            </w:pPr>
            <w:r w:rsidRPr="00117DF2">
              <w:rPr>
                <w:rFonts w:ascii="Arial" w:hAnsi="Arial"/>
                <w:sz w:val="18"/>
                <w:lang w:val="es-ES"/>
              </w:rPr>
              <w:t>puntos</w:t>
            </w:r>
          </w:p>
        </w:tc>
        <w:tc>
          <w:tcPr>
            <w:tcW w:w="893" w:type="dxa"/>
            <w:vAlign w:val="center"/>
          </w:tcPr>
          <w:p w14:paraId="482513A1" w14:textId="77777777" w:rsidR="00F6362B" w:rsidRPr="00117DF2" w:rsidRDefault="00F6362B" w:rsidP="00060088">
            <w:pPr>
              <w:jc w:val="center"/>
              <w:rPr>
                <w:rFonts w:ascii="Arial" w:hAnsi="Arial"/>
                <w:sz w:val="18"/>
                <w:lang w:val="es-ES"/>
              </w:rPr>
            </w:pPr>
            <w:r w:rsidRPr="00117DF2">
              <w:rPr>
                <w:rFonts w:ascii="Arial" w:hAnsi="Arial"/>
                <w:sz w:val="18"/>
                <w:lang w:val="es-ES"/>
              </w:rPr>
              <w:t>5,78</w:t>
            </w:r>
          </w:p>
        </w:tc>
        <w:tc>
          <w:tcPr>
            <w:tcW w:w="893" w:type="dxa"/>
            <w:vAlign w:val="center"/>
          </w:tcPr>
          <w:p w14:paraId="516EDD21" w14:textId="77777777" w:rsidR="00F6362B" w:rsidRPr="00117DF2" w:rsidRDefault="00F6362B" w:rsidP="00060088">
            <w:pPr>
              <w:jc w:val="center"/>
              <w:rPr>
                <w:rFonts w:ascii="Arial" w:hAnsi="Arial"/>
                <w:sz w:val="18"/>
                <w:lang w:val="es-ES"/>
              </w:rPr>
            </w:pPr>
            <w:r w:rsidRPr="00117DF2">
              <w:rPr>
                <w:rFonts w:ascii="Arial" w:hAnsi="Arial"/>
                <w:sz w:val="18"/>
                <w:lang w:val="es-ES"/>
              </w:rPr>
              <w:t>2015</w:t>
            </w:r>
          </w:p>
        </w:tc>
        <w:tc>
          <w:tcPr>
            <w:tcW w:w="1039" w:type="dxa"/>
            <w:vAlign w:val="center"/>
          </w:tcPr>
          <w:p w14:paraId="25262C6F" w14:textId="77777777" w:rsidR="00F6362B" w:rsidRPr="00117DF2" w:rsidRDefault="00F6362B" w:rsidP="00060088">
            <w:pPr>
              <w:jc w:val="center"/>
              <w:rPr>
                <w:rFonts w:ascii="Arial" w:hAnsi="Arial"/>
                <w:sz w:val="18"/>
                <w:lang w:val="es-ES"/>
              </w:rPr>
            </w:pPr>
            <w:r w:rsidRPr="00117DF2">
              <w:rPr>
                <w:rFonts w:ascii="Arial" w:hAnsi="Arial"/>
                <w:sz w:val="18"/>
                <w:lang w:val="es-ES"/>
              </w:rPr>
              <w:t>5,63</w:t>
            </w:r>
          </w:p>
        </w:tc>
        <w:tc>
          <w:tcPr>
            <w:tcW w:w="1170" w:type="dxa"/>
            <w:vAlign w:val="center"/>
          </w:tcPr>
          <w:p w14:paraId="448351F3" w14:textId="77777777" w:rsidR="00F6362B" w:rsidRPr="00117DF2" w:rsidRDefault="00F6362B" w:rsidP="00060088">
            <w:pPr>
              <w:jc w:val="center"/>
              <w:rPr>
                <w:rFonts w:ascii="Arial" w:hAnsi="Arial"/>
                <w:sz w:val="18"/>
                <w:lang w:val="es-ES"/>
              </w:rPr>
            </w:pPr>
            <w:r w:rsidRPr="00117DF2">
              <w:rPr>
                <w:rFonts w:ascii="Arial" w:hAnsi="Arial"/>
                <w:sz w:val="18"/>
                <w:lang w:val="es-ES"/>
              </w:rPr>
              <w:t>5,49</w:t>
            </w:r>
          </w:p>
        </w:tc>
        <w:tc>
          <w:tcPr>
            <w:tcW w:w="2521" w:type="dxa"/>
            <w:vAlign w:val="center"/>
          </w:tcPr>
          <w:p w14:paraId="7CEBB6E2" w14:textId="77777777" w:rsidR="00F6362B" w:rsidRPr="00117DF2" w:rsidRDefault="006E38F8" w:rsidP="00060088">
            <w:pPr>
              <w:rPr>
                <w:rFonts w:ascii="Arial" w:hAnsi="Arial"/>
                <w:sz w:val="18"/>
                <w:lang w:val="es-ES"/>
              </w:rPr>
            </w:pPr>
            <w:hyperlink r:id="rId33" w:history="1">
              <w:r w:rsidR="00F6362B" w:rsidRPr="00117DF2">
                <w:rPr>
                  <w:rStyle w:val="Hyperlink"/>
                  <w:rFonts w:ascii="Arial" w:hAnsi="Arial"/>
                  <w:sz w:val="18"/>
                  <w:lang w:val="es-ES"/>
                </w:rPr>
                <w:t>Índice de Lavado de Dinero</w:t>
              </w:r>
            </w:hyperlink>
            <w:r w:rsidR="00F6362B" w:rsidRPr="00117DF2">
              <w:rPr>
                <w:rFonts w:ascii="Arial" w:hAnsi="Arial"/>
                <w:sz w:val="18"/>
                <w:lang w:val="es-ES"/>
              </w:rPr>
              <w:t xml:space="preserve"> producido por el Instituto de Gobernanza de Basilea</w:t>
            </w:r>
          </w:p>
          <w:p w14:paraId="79D3F39C" w14:textId="77777777" w:rsidR="00F6362B" w:rsidRPr="00117DF2" w:rsidRDefault="00F6362B" w:rsidP="00060088">
            <w:pPr>
              <w:rPr>
                <w:rFonts w:ascii="Arial" w:hAnsi="Arial"/>
                <w:sz w:val="18"/>
                <w:lang w:val="es-ES"/>
              </w:rPr>
            </w:pPr>
            <w:r w:rsidRPr="00117DF2">
              <w:rPr>
                <w:rFonts w:ascii="Arial" w:hAnsi="Arial"/>
                <w:sz w:val="18"/>
                <w:lang w:val="es-ES"/>
              </w:rPr>
              <w:t>(https://index.baselgovernance.org/)</w:t>
            </w:r>
          </w:p>
        </w:tc>
        <w:tc>
          <w:tcPr>
            <w:tcW w:w="2969" w:type="dxa"/>
          </w:tcPr>
          <w:p w14:paraId="53359D15"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El índice presenta para el 2015 que Guatemala enfrenta un nivel de riesgo medio (en la posición 77 entre 152 países). Se estima una mejora de por lo menos el 5% con las acciones de política del Programa.</w:t>
            </w:r>
          </w:p>
        </w:tc>
      </w:tr>
    </w:tbl>
    <w:p w14:paraId="606D0B5D" w14:textId="77777777" w:rsidR="00F6362B" w:rsidRDefault="00F6362B" w:rsidP="00F6362B">
      <w:pPr>
        <w:autoSpaceDE w:val="0"/>
        <w:autoSpaceDN w:val="0"/>
        <w:adjustRightInd w:val="0"/>
        <w:spacing w:after="120"/>
        <w:jc w:val="center"/>
        <w:rPr>
          <w:rFonts w:ascii="Arial" w:hAnsi="Arial" w:cs="Arial"/>
          <w:b/>
          <w:color w:val="000000"/>
          <w:lang w:val="es-ES"/>
        </w:rPr>
      </w:pPr>
    </w:p>
    <w:p w14:paraId="5259CFAB" w14:textId="77777777" w:rsidR="00F6362B" w:rsidRDefault="00F6362B" w:rsidP="00F6362B">
      <w:pPr>
        <w:autoSpaceDE w:val="0"/>
        <w:autoSpaceDN w:val="0"/>
        <w:adjustRightInd w:val="0"/>
        <w:spacing w:after="120"/>
        <w:jc w:val="center"/>
        <w:rPr>
          <w:rFonts w:ascii="Arial" w:hAnsi="Arial" w:cs="Arial"/>
          <w:b/>
          <w:color w:val="000000"/>
          <w:lang w:val="es-ES"/>
        </w:rPr>
      </w:pPr>
    </w:p>
    <w:p w14:paraId="5A80A7A4" w14:textId="77777777" w:rsidR="00F6362B" w:rsidRDefault="00F6362B" w:rsidP="00F6362B">
      <w:pPr>
        <w:autoSpaceDE w:val="0"/>
        <w:autoSpaceDN w:val="0"/>
        <w:adjustRightInd w:val="0"/>
        <w:spacing w:after="120"/>
        <w:jc w:val="center"/>
        <w:rPr>
          <w:rFonts w:ascii="Arial" w:hAnsi="Arial" w:cs="Arial"/>
          <w:b/>
          <w:color w:val="000000"/>
          <w:lang w:val="es-ES"/>
        </w:rPr>
      </w:pPr>
    </w:p>
    <w:p w14:paraId="14AC1439" w14:textId="77777777" w:rsidR="00F6362B" w:rsidRDefault="00F6362B" w:rsidP="00F6362B">
      <w:pPr>
        <w:autoSpaceDE w:val="0"/>
        <w:autoSpaceDN w:val="0"/>
        <w:adjustRightInd w:val="0"/>
        <w:spacing w:after="120"/>
        <w:jc w:val="center"/>
        <w:rPr>
          <w:rFonts w:ascii="Arial" w:hAnsi="Arial" w:cs="Arial"/>
          <w:b/>
          <w:color w:val="000000"/>
          <w:lang w:val="es-ES"/>
        </w:rPr>
      </w:pPr>
    </w:p>
    <w:p w14:paraId="289099C9" w14:textId="77777777" w:rsidR="00F6362B" w:rsidRDefault="00F6362B" w:rsidP="00F6362B">
      <w:pPr>
        <w:autoSpaceDE w:val="0"/>
        <w:autoSpaceDN w:val="0"/>
        <w:adjustRightInd w:val="0"/>
        <w:spacing w:after="120"/>
        <w:jc w:val="center"/>
        <w:rPr>
          <w:rFonts w:ascii="Arial" w:hAnsi="Arial" w:cs="Arial"/>
          <w:b/>
          <w:color w:val="000000"/>
          <w:lang w:val="es-ES"/>
        </w:rPr>
      </w:pPr>
    </w:p>
    <w:p w14:paraId="4E688E02" w14:textId="77777777" w:rsidR="00F6362B" w:rsidRDefault="00F6362B" w:rsidP="00F6362B">
      <w:pPr>
        <w:autoSpaceDE w:val="0"/>
        <w:autoSpaceDN w:val="0"/>
        <w:adjustRightInd w:val="0"/>
        <w:spacing w:after="120"/>
        <w:jc w:val="center"/>
        <w:rPr>
          <w:rFonts w:ascii="Arial" w:hAnsi="Arial" w:cs="Arial"/>
          <w:b/>
          <w:color w:val="000000"/>
          <w:lang w:val="es-ES"/>
        </w:rPr>
      </w:pPr>
    </w:p>
    <w:p w14:paraId="1C1CC256" w14:textId="77777777" w:rsidR="00F6362B" w:rsidRDefault="00F6362B" w:rsidP="00F6362B">
      <w:pPr>
        <w:autoSpaceDE w:val="0"/>
        <w:autoSpaceDN w:val="0"/>
        <w:adjustRightInd w:val="0"/>
        <w:spacing w:after="120"/>
        <w:jc w:val="center"/>
        <w:rPr>
          <w:rFonts w:ascii="Arial" w:hAnsi="Arial" w:cs="Arial"/>
          <w:b/>
          <w:color w:val="000000"/>
          <w:lang w:val="es-ES"/>
        </w:rPr>
      </w:pPr>
    </w:p>
    <w:p w14:paraId="16582E64" w14:textId="77777777" w:rsidR="00F6362B" w:rsidRPr="00117DF2" w:rsidRDefault="00F6362B" w:rsidP="00F6362B">
      <w:pPr>
        <w:autoSpaceDE w:val="0"/>
        <w:autoSpaceDN w:val="0"/>
        <w:adjustRightInd w:val="0"/>
        <w:spacing w:before="120" w:after="120"/>
        <w:jc w:val="center"/>
        <w:rPr>
          <w:rFonts w:ascii="Arial" w:hAnsi="Arial"/>
          <w:b/>
          <w:smallCaps/>
          <w:color w:val="000000"/>
          <w:lang w:val="es-ES"/>
        </w:rPr>
      </w:pPr>
      <w:r w:rsidRPr="00117DF2">
        <w:rPr>
          <w:rFonts w:ascii="Arial" w:hAnsi="Arial"/>
          <w:b/>
          <w:smallCaps/>
          <w:color w:val="000000"/>
          <w:lang w:val="es-ES"/>
        </w:rPr>
        <w:lastRenderedPageBreak/>
        <w:t>Resultados Esperados</w:t>
      </w:r>
    </w:p>
    <w:tbl>
      <w:tblPr>
        <w:tblW w:w="135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10"/>
        <w:gridCol w:w="1867"/>
        <w:gridCol w:w="13"/>
        <w:gridCol w:w="990"/>
        <w:gridCol w:w="990"/>
        <w:gridCol w:w="810"/>
        <w:gridCol w:w="990"/>
        <w:gridCol w:w="2700"/>
        <w:gridCol w:w="2790"/>
      </w:tblGrid>
      <w:tr w:rsidR="00F6362B" w:rsidRPr="008C67B4" w14:paraId="4C91D20C" w14:textId="77777777" w:rsidTr="00060088">
        <w:trPr>
          <w:trHeight w:val="347"/>
        </w:trPr>
        <w:tc>
          <w:tcPr>
            <w:tcW w:w="2350" w:type="dxa"/>
            <w:gridSpan w:val="2"/>
            <w:vMerge w:val="restart"/>
            <w:shd w:val="clear" w:color="auto" w:fill="D9D9D9" w:themeFill="background1" w:themeFillShade="D9"/>
            <w:vAlign w:val="center"/>
          </w:tcPr>
          <w:p w14:paraId="4FF8814D" w14:textId="77777777" w:rsidR="00F6362B" w:rsidRPr="00117DF2" w:rsidRDefault="00F6362B" w:rsidP="00060088">
            <w:pPr>
              <w:jc w:val="center"/>
              <w:rPr>
                <w:rFonts w:ascii="Arial" w:hAnsi="Arial"/>
                <w:b/>
                <w:sz w:val="20"/>
                <w:lang w:val="es-ES"/>
              </w:rPr>
            </w:pPr>
            <w:r w:rsidRPr="00117DF2">
              <w:rPr>
                <w:rFonts w:ascii="Arial" w:hAnsi="Arial"/>
                <w:b/>
                <w:sz w:val="20"/>
                <w:lang w:val="es-ES"/>
              </w:rPr>
              <w:t>Resultados Esperados</w:t>
            </w:r>
          </w:p>
        </w:tc>
        <w:tc>
          <w:tcPr>
            <w:tcW w:w="1867" w:type="dxa"/>
            <w:vMerge w:val="restart"/>
            <w:shd w:val="clear" w:color="auto" w:fill="D9D9D9" w:themeFill="background1" w:themeFillShade="D9"/>
            <w:vAlign w:val="center"/>
          </w:tcPr>
          <w:p w14:paraId="0B85520C" w14:textId="77777777" w:rsidR="00F6362B" w:rsidRPr="00117DF2" w:rsidRDefault="00F6362B" w:rsidP="00060088">
            <w:pPr>
              <w:jc w:val="center"/>
              <w:rPr>
                <w:rFonts w:ascii="Arial" w:hAnsi="Arial"/>
                <w:b/>
                <w:sz w:val="20"/>
                <w:lang w:val="es-ES"/>
              </w:rPr>
            </w:pPr>
            <w:r w:rsidRPr="00117DF2">
              <w:rPr>
                <w:rFonts w:ascii="Arial" w:hAnsi="Arial"/>
                <w:b/>
                <w:sz w:val="20"/>
                <w:lang w:val="es-ES"/>
              </w:rPr>
              <w:t>Unidad de medida</w:t>
            </w:r>
          </w:p>
        </w:tc>
        <w:tc>
          <w:tcPr>
            <w:tcW w:w="1993" w:type="dxa"/>
            <w:gridSpan w:val="3"/>
            <w:tcBorders>
              <w:bottom w:val="single" w:sz="4" w:space="0" w:color="000000"/>
            </w:tcBorders>
            <w:shd w:val="clear" w:color="auto" w:fill="D9D9D9" w:themeFill="background1" w:themeFillShade="D9"/>
            <w:vAlign w:val="center"/>
          </w:tcPr>
          <w:p w14:paraId="14A95F7E" w14:textId="77777777" w:rsidR="00F6362B" w:rsidRPr="00117DF2" w:rsidRDefault="00F6362B" w:rsidP="00060088">
            <w:pPr>
              <w:jc w:val="center"/>
              <w:rPr>
                <w:rFonts w:ascii="Arial" w:hAnsi="Arial"/>
                <w:b/>
                <w:sz w:val="20"/>
                <w:lang w:val="es-ES"/>
              </w:rPr>
            </w:pPr>
            <w:r w:rsidRPr="00117DF2">
              <w:rPr>
                <w:rFonts w:ascii="Arial" w:hAnsi="Arial"/>
                <w:b/>
                <w:sz w:val="20"/>
                <w:lang w:val="es-ES"/>
              </w:rPr>
              <w:t>Línea de base</w:t>
            </w:r>
          </w:p>
        </w:tc>
        <w:tc>
          <w:tcPr>
            <w:tcW w:w="1800" w:type="dxa"/>
            <w:gridSpan w:val="2"/>
            <w:tcBorders>
              <w:bottom w:val="single" w:sz="4" w:space="0" w:color="000000"/>
            </w:tcBorders>
            <w:shd w:val="clear" w:color="auto" w:fill="D9D9D9" w:themeFill="background1" w:themeFillShade="D9"/>
            <w:vAlign w:val="center"/>
          </w:tcPr>
          <w:p w14:paraId="40C1230A" w14:textId="77777777" w:rsidR="00F6362B" w:rsidRPr="00117DF2" w:rsidRDefault="00F6362B" w:rsidP="00060088">
            <w:pPr>
              <w:jc w:val="center"/>
              <w:rPr>
                <w:rFonts w:ascii="Arial" w:hAnsi="Arial"/>
                <w:b/>
                <w:sz w:val="20"/>
                <w:lang w:val="es-ES"/>
              </w:rPr>
            </w:pPr>
            <w:r w:rsidRPr="00117DF2">
              <w:rPr>
                <w:rFonts w:ascii="Arial" w:hAnsi="Arial"/>
                <w:b/>
                <w:sz w:val="20"/>
                <w:lang w:val="es-ES"/>
              </w:rPr>
              <w:t>Metas</w:t>
            </w:r>
          </w:p>
        </w:tc>
        <w:tc>
          <w:tcPr>
            <w:tcW w:w="2700" w:type="dxa"/>
            <w:vMerge w:val="restart"/>
            <w:shd w:val="clear" w:color="auto" w:fill="D9D9D9" w:themeFill="background1" w:themeFillShade="D9"/>
            <w:vAlign w:val="center"/>
          </w:tcPr>
          <w:p w14:paraId="4C6A0E4C" w14:textId="77777777" w:rsidR="00F6362B" w:rsidRPr="00117DF2" w:rsidRDefault="00F6362B" w:rsidP="00060088">
            <w:pPr>
              <w:jc w:val="center"/>
              <w:rPr>
                <w:rFonts w:ascii="Arial" w:hAnsi="Arial"/>
                <w:b/>
                <w:sz w:val="20"/>
                <w:lang w:val="es-ES"/>
              </w:rPr>
            </w:pPr>
            <w:r w:rsidRPr="00117DF2">
              <w:rPr>
                <w:rFonts w:ascii="Arial" w:hAnsi="Arial"/>
                <w:b/>
                <w:sz w:val="20"/>
                <w:lang w:val="es-ES"/>
              </w:rPr>
              <w:t>Medio de verificación</w:t>
            </w:r>
          </w:p>
        </w:tc>
        <w:tc>
          <w:tcPr>
            <w:tcW w:w="2790" w:type="dxa"/>
            <w:vMerge w:val="restart"/>
            <w:shd w:val="clear" w:color="auto" w:fill="D9D9D9" w:themeFill="background1" w:themeFillShade="D9"/>
            <w:vAlign w:val="center"/>
          </w:tcPr>
          <w:p w14:paraId="1BB36762" w14:textId="77777777" w:rsidR="00F6362B" w:rsidRPr="00117DF2" w:rsidRDefault="00F6362B" w:rsidP="00060088">
            <w:pPr>
              <w:jc w:val="center"/>
              <w:rPr>
                <w:rFonts w:ascii="Arial" w:hAnsi="Arial"/>
                <w:b/>
                <w:sz w:val="20"/>
                <w:lang w:val="es-ES"/>
              </w:rPr>
            </w:pPr>
            <w:r w:rsidRPr="00117DF2">
              <w:rPr>
                <w:rFonts w:ascii="Arial" w:hAnsi="Arial"/>
                <w:b/>
                <w:sz w:val="20"/>
                <w:lang w:val="es-ES"/>
              </w:rPr>
              <w:t>Observaciones</w:t>
            </w:r>
          </w:p>
        </w:tc>
      </w:tr>
      <w:tr w:rsidR="00F6362B" w:rsidRPr="008C67B4" w14:paraId="6E0929A3" w14:textId="77777777" w:rsidTr="00060088">
        <w:trPr>
          <w:trHeight w:val="346"/>
        </w:trPr>
        <w:tc>
          <w:tcPr>
            <w:tcW w:w="2350" w:type="dxa"/>
            <w:gridSpan w:val="2"/>
            <w:vMerge/>
            <w:tcBorders>
              <w:bottom w:val="single" w:sz="4" w:space="0" w:color="000000"/>
            </w:tcBorders>
            <w:shd w:val="clear" w:color="auto" w:fill="FFFF99"/>
            <w:vAlign w:val="center"/>
          </w:tcPr>
          <w:p w14:paraId="11340016" w14:textId="77777777" w:rsidR="00F6362B" w:rsidRPr="008C67B4" w:rsidRDefault="00F6362B" w:rsidP="00060088">
            <w:pPr>
              <w:jc w:val="center"/>
              <w:rPr>
                <w:rFonts w:ascii="Arial" w:hAnsi="Arial" w:cs="Arial"/>
                <w:b/>
                <w:sz w:val="20"/>
                <w:lang w:val="es-ES"/>
              </w:rPr>
            </w:pPr>
          </w:p>
        </w:tc>
        <w:tc>
          <w:tcPr>
            <w:tcW w:w="1867" w:type="dxa"/>
            <w:vMerge/>
            <w:tcBorders>
              <w:bottom w:val="single" w:sz="4" w:space="0" w:color="000000"/>
            </w:tcBorders>
            <w:shd w:val="clear" w:color="auto" w:fill="FFFF99"/>
            <w:vAlign w:val="center"/>
          </w:tcPr>
          <w:p w14:paraId="12F40AC9" w14:textId="77777777" w:rsidR="00F6362B" w:rsidRPr="008C67B4" w:rsidRDefault="00F6362B" w:rsidP="00060088">
            <w:pPr>
              <w:jc w:val="center"/>
              <w:rPr>
                <w:rFonts w:ascii="Arial" w:hAnsi="Arial" w:cs="Arial"/>
                <w:b/>
                <w:sz w:val="20"/>
                <w:lang w:val="es-ES"/>
              </w:rPr>
            </w:pPr>
          </w:p>
        </w:tc>
        <w:tc>
          <w:tcPr>
            <w:tcW w:w="1003" w:type="dxa"/>
            <w:gridSpan w:val="2"/>
            <w:tcBorders>
              <w:bottom w:val="single" w:sz="4" w:space="0" w:color="000000"/>
            </w:tcBorders>
            <w:shd w:val="clear" w:color="auto" w:fill="D9D9D9" w:themeFill="background1" w:themeFillShade="D9"/>
            <w:vAlign w:val="center"/>
          </w:tcPr>
          <w:p w14:paraId="374E7CBD" w14:textId="77777777" w:rsidR="00F6362B" w:rsidRPr="00117DF2" w:rsidRDefault="00F6362B" w:rsidP="00060088">
            <w:pPr>
              <w:jc w:val="center"/>
              <w:rPr>
                <w:rFonts w:ascii="Arial" w:hAnsi="Arial"/>
                <w:b/>
                <w:sz w:val="20"/>
                <w:lang w:val="es-ES"/>
              </w:rPr>
            </w:pPr>
            <w:r w:rsidRPr="00117DF2">
              <w:rPr>
                <w:rFonts w:ascii="Arial" w:hAnsi="Arial"/>
                <w:b/>
                <w:sz w:val="20"/>
                <w:lang w:val="es-ES"/>
              </w:rPr>
              <w:t>Valor</w:t>
            </w:r>
          </w:p>
        </w:tc>
        <w:tc>
          <w:tcPr>
            <w:tcW w:w="990" w:type="dxa"/>
            <w:tcBorders>
              <w:bottom w:val="single" w:sz="4" w:space="0" w:color="000000"/>
            </w:tcBorders>
            <w:shd w:val="clear" w:color="auto" w:fill="D9D9D9" w:themeFill="background1" w:themeFillShade="D9"/>
            <w:vAlign w:val="center"/>
          </w:tcPr>
          <w:p w14:paraId="59142F95" w14:textId="77777777" w:rsidR="00F6362B" w:rsidRPr="00117DF2" w:rsidRDefault="00F6362B" w:rsidP="00060088">
            <w:pPr>
              <w:jc w:val="center"/>
              <w:rPr>
                <w:rFonts w:ascii="Arial" w:hAnsi="Arial"/>
                <w:b/>
                <w:sz w:val="20"/>
                <w:lang w:val="es-ES"/>
              </w:rPr>
            </w:pPr>
            <w:r w:rsidRPr="00117DF2">
              <w:rPr>
                <w:rFonts w:ascii="Arial" w:hAnsi="Arial"/>
                <w:b/>
                <w:sz w:val="20"/>
                <w:lang w:val="es-ES"/>
              </w:rPr>
              <w:t>Año</w:t>
            </w:r>
          </w:p>
        </w:tc>
        <w:tc>
          <w:tcPr>
            <w:tcW w:w="810" w:type="dxa"/>
            <w:tcBorders>
              <w:bottom w:val="single" w:sz="4" w:space="0" w:color="000000"/>
            </w:tcBorders>
            <w:shd w:val="clear" w:color="auto" w:fill="D9D9D9" w:themeFill="background1" w:themeFillShade="D9"/>
            <w:vAlign w:val="center"/>
          </w:tcPr>
          <w:p w14:paraId="7672478F" w14:textId="77777777" w:rsidR="00F6362B" w:rsidRPr="00117DF2" w:rsidRDefault="00F6362B" w:rsidP="00060088">
            <w:pPr>
              <w:jc w:val="center"/>
              <w:rPr>
                <w:rFonts w:ascii="Arial" w:hAnsi="Arial"/>
                <w:b/>
                <w:sz w:val="20"/>
                <w:lang w:val="es-ES"/>
              </w:rPr>
            </w:pPr>
            <w:r w:rsidRPr="00117DF2">
              <w:rPr>
                <w:rFonts w:ascii="Arial" w:hAnsi="Arial"/>
                <w:b/>
                <w:sz w:val="20"/>
                <w:lang w:val="es-ES"/>
              </w:rPr>
              <w:t>2017</w:t>
            </w:r>
          </w:p>
        </w:tc>
        <w:tc>
          <w:tcPr>
            <w:tcW w:w="990" w:type="dxa"/>
            <w:tcBorders>
              <w:bottom w:val="single" w:sz="4" w:space="0" w:color="000000"/>
            </w:tcBorders>
            <w:shd w:val="clear" w:color="auto" w:fill="D9D9D9" w:themeFill="background1" w:themeFillShade="D9"/>
            <w:vAlign w:val="center"/>
          </w:tcPr>
          <w:p w14:paraId="19303063" w14:textId="77777777" w:rsidR="00F6362B" w:rsidRPr="00117DF2" w:rsidRDefault="00F6362B" w:rsidP="00060088">
            <w:pPr>
              <w:jc w:val="center"/>
              <w:rPr>
                <w:rFonts w:ascii="Arial" w:hAnsi="Arial"/>
                <w:b/>
                <w:sz w:val="20"/>
                <w:lang w:val="es-ES"/>
              </w:rPr>
            </w:pPr>
            <w:r w:rsidRPr="00F56569">
              <w:rPr>
                <w:rFonts w:ascii="Arial" w:hAnsi="Arial" w:cs="Arial"/>
                <w:b/>
                <w:sz w:val="20"/>
                <w:lang w:val="es-ES"/>
              </w:rPr>
              <w:t>2018</w:t>
            </w:r>
          </w:p>
        </w:tc>
        <w:tc>
          <w:tcPr>
            <w:tcW w:w="2700" w:type="dxa"/>
            <w:vMerge/>
            <w:tcBorders>
              <w:bottom w:val="single" w:sz="4" w:space="0" w:color="000000"/>
            </w:tcBorders>
            <w:shd w:val="clear" w:color="auto" w:fill="FFFF99"/>
            <w:vAlign w:val="center"/>
          </w:tcPr>
          <w:p w14:paraId="68BD0DF8" w14:textId="77777777" w:rsidR="00F6362B" w:rsidRPr="008C67B4" w:rsidRDefault="00F6362B" w:rsidP="00060088">
            <w:pPr>
              <w:jc w:val="center"/>
              <w:rPr>
                <w:rFonts w:ascii="Arial" w:hAnsi="Arial" w:cs="Arial"/>
                <w:b/>
                <w:sz w:val="20"/>
                <w:lang w:val="es-ES"/>
              </w:rPr>
            </w:pPr>
          </w:p>
        </w:tc>
        <w:tc>
          <w:tcPr>
            <w:tcW w:w="2790" w:type="dxa"/>
            <w:vMerge/>
            <w:tcBorders>
              <w:bottom w:val="single" w:sz="4" w:space="0" w:color="000000"/>
            </w:tcBorders>
            <w:shd w:val="clear" w:color="auto" w:fill="FFFF99"/>
            <w:vAlign w:val="center"/>
          </w:tcPr>
          <w:p w14:paraId="37CDD24A" w14:textId="77777777" w:rsidR="00F6362B" w:rsidRPr="008C67B4" w:rsidRDefault="00F6362B" w:rsidP="00060088">
            <w:pPr>
              <w:jc w:val="center"/>
              <w:rPr>
                <w:rFonts w:ascii="Arial" w:hAnsi="Arial" w:cs="Arial"/>
                <w:b/>
                <w:sz w:val="20"/>
                <w:lang w:val="es-ES"/>
              </w:rPr>
            </w:pPr>
          </w:p>
        </w:tc>
      </w:tr>
      <w:tr w:rsidR="00F6362B" w:rsidRPr="0006316B" w14:paraId="41BEEE0F" w14:textId="77777777" w:rsidTr="00060088">
        <w:trPr>
          <w:trHeight w:val="458"/>
        </w:trPr>
        <w:tc>
          <w:tcPr>
            <w:tcW w:w="13500" w:type="dxa"/>
            <w:gridSpan w:val="10"/>
            <w:tcBorders>
              <w:bottom w:val="single" w:sz="4" w:space="0" w:color="000000"/>
            </w:tcBorders>
            <w:shd w:val="clear" w:color="auto" w:fill="DAEEF3" w:themeFill="accent5" w:themeFillTint="33"/>
            <w:vAlign w:val="center"/>
          </w:tcPr>
          <w:p w14:paraId="708F3A5D" w14:textId="77777777" w:rsidR="00F6362B" w:rsidRPr="00CD6805" w:rsidRDefault="00F6362B" w:rsidP="00060088">
            <w:pPr>
              <w:spacing w:before="120" w:after="120"/>
              <w:jc w:val="both"/>
              <w:rPr>
                <w:rFonts w:ascii="Arial" w:hAnsi="Arial" w:cs="Arial"/>
                <w:b/>
                <w:sz w:val="18"/>
              </w:rPr>
            </w:pPr>
            <w:r w:rsidRPr="00CD6805">
              <w:rPr>
                <w:rFonts w:ascii="Arial" w:hAnsi="Arial" w:cs="Arial"/>
                <w:b/>
                <w:sz w:val="18"/>
                <w:u w:val="single"/>
                <w:lang w:val="es-ES"/>
              </w:rPr>
              <w:t>Resultado</w:t>
            </w:r>
            <w:r w:rsidRPr="00CD6805">
              <w:rPr>
                <w:rFonts w:ascii="Arial" w:hAnsi="Arial" w:cs="Arial"/>
                <w:b/>
                <w:sz w:val="18"/>
                <w:lang w:val="es-ES"/>
              </w:rPr>
              <w:t xml:space="preserve"> 1: </w:t>
            </w:r>
            <w:r w:rsidRPr="00CD6805">
              <w:rPr>
                <w:rFonts w:ascii="Arial" w:hAnsi="Arial" w:cs="Arial"/>
                <w:b/>
                <w:sz w:val="18"/>
              </w:rPr>
              <w:t>Incremento de los ingresos tributarios en Guatemala</w:t>
            </w:r>
          </w:p>
        </w:tc>
      </w:tr>
      <w:tr w:rsidR="00F6362B" w:rsidRPr="0006316B" w14:paraId="7029F48C" w14:textId="77777777" w:rsidTr="00060088">
        <w:trPr>
          <w:trHeight w:val="1007"/>
        </w:trPr>
        <w:tc>
          <w:tcPr>
            <w:tcW w:w="2350" w:type="dxa"/>
            <w:gridSpan w:val="2"/>
            <w:tcBorders>
              <w:bottom w:val="single" w:sz="4" w:space="0" w:color="000000"/>
            </w:tcBorders>
            <w:vAlign w:val="center"/>
          </w:tcPr>
          <w:p w14:paraId="54BF7B0F" w14:textId="77777777" w:rsidR="00F6362B" w:rsidRPr="00117DF2" w:rsidRDefault="00F6362B" w:rsidP="00060088">
            <w:pPr>
              <w:contextualSpacing/>
              <w:rPr>
                <w:rFonts w:ascii="Arial" w:hAnsi="Arial"/>
                <w:sz w:val="18"/>
                <w:lang w:val="es-ES"/>
              </w:rPr>
            </w:pPr>
            <w:r w:rsidRPr="000C7504">
              <w:rPr>
                <w:rFonts w:ascii="Arial" w:hAnsi="Arial" w:cs="Arial"/>
                <w:sz w:val="18"/>
                <w:lang w:val="es-ES"/>
              </w:rPr>
              <w:t xml:space="preserve">Recaudación tributaria / </w:t>
            </w:r>
            <w:r w:rsidRPr="00117DF2">
              <w:rPr>
                <w:rFonts w:ascii="Arial" w:hAnsi="Arial"/>
                <w:sz w:val="18"/>
                <w:lang w:val="es-ES"/>
              </w:rPr>
              <w:t xml:space="preserve">Número de </w:t>
            </w:r>
            <w:r w:rsidRPr="000C7504">
              <w:rPr>
                <w:rFonts w:ascii="Arial" w:hAnsi="Arial" w:cs="Arial"/>
                <w:sz w:val="18"/>
                <w:lang w:val="es-ES"/>
              </w:rPr>
              <w:t>funcionarios</w:t>
            </w:r>
            <w:r w:rsidRPr="00117DF2">
              <w:rPr>
                <w:rFonts w:ascii="Arial" w:hAnsi="Arial"/>
                <w:sz w:val="18"/>
                <w:lang w:val="es-ES"/>
              </w:rPr>
              <w:t xml:space="preserve"> de la SAT</w:t>
            </w:r>
          </w:p>
        </w:tc>
        <w:tc>
          <w:tcPr>
            <w:tcW w:w="1867" w:type="dxa"/>
            <w:tcBorders>
              <w:bottom w:val="single" w:sz="4" w:space="0" w:color="000000"/>
            </w:tcBorders>
            <w:vAlign w:val="center"/>
          </w:tcPr>
          <w:p w14:paraId="50E0BE79"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Millones de Quetzales</w:t>
            </w:r>
          </w:p>
        </w:tc>
        <w:tc>
          <w:tcPr>
            <w:tcW w:w="1003" w:type="dxa"/>
            <w:gridSpan w:val="2"/>
            <w:tcBorders>
              <w:bottom w:val="single" w:sz="4" w:space="0" w:color="000000"/>
            </w:tcBorders>
            <w:vAlign w:val="center"/>
          </w:tcPr>
          <w:p w14:paraId="58F8017F"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11,6</w:t>
            </w:r>
          </w:p>
        </w:tc>
        <w:tc>
          <w:tcPr>
            <w:tcW w:w="990" w:type="dxa"/>
            <w:tcBorders>
              <w:bottom w:val="single" w:sz="4" w:space="0" w:color="000000"/>
            </w:tcBorders>
            <w:vAlign w:val="center"/>
          </w:tcPr>
          <w:p w14:paraId="3D5E414D" w14:textId="77777777" w:rsidR="00F6362B" w:rsidRPr="00117DF2" w:rsidRDefault="00F6362B" w:rsidP="00060088">
            <w:pPr>
              <w:rPr>
                <w:rFonts w:ascii="Arial" w:hAnsi="Arial"/>
                <w:sz w:val="18"/>
                <w:lang w:val="es-ES"/>
              </w:rPr>
            </w:pPr>
            <w:r w:rsidRPr="000C7504">
              <w:rPr>
                <w:rFonts w:ascii="Arial" w:hAnsi="Arial" w:cs="Arial"/>
                <w:sz w:val="18"/>
                <w:lang w:val="es-ES"/>
              </w:rPr>
              <w:t>Promedio 2014-15</w:t>
            </w:r>
          </w:p>
        </w:tc>
        <w:tc>
          <w:tcPr>
            <w:tcW w:w="810" w:type="dxa"/>
            <w:tcBorders>
              <w:bottom w:val="single" w:sz="4" w:space="0" w:color="000000"/>
            </w:tcBorders>
            <w:vAlign w:val="center"/>
          </w:tcPr>
          <w:p w14:paraId="63FBEA7B"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12,0</w:t>
            </w:r>
          </w:p>
        </w:tc>
        <w:tc>
          <w:tcPr>
            <w:tcW w:w="990" w:type="dxa"/>
            <w:tcBorders>
              <w:bottom w:val="single" w:sz="4" w:space="0" w:color="000000"/>
            </w:tcBorders>
            <w:vAlign w:val="center"/>
          </w:tcPr>
          <w:p w14:paraId="525F63C6"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12,5</w:t>
            </w:r>
          </w:p>
        </w:tc>
        <w:tc>
          <w:tcPr>
            <w:tcW w:w="2700" w:type="dxa"/>
            <w:tcBorders>
              <w:bottom w:val="single" w:sz="4" w:space="0" w:color="000000"/>
            </w:tcBorders>
            <w:vAlign w:val="center"/>
          </w:tcPr>
          <w:p w14:paraId="30837CC5" w14:textId="77777777" w:rsidR="00F6362B" w:rsidRPr="00117DF2" w:rsidRDefault="00F6362B" w:rsidP="00060088">
            <w:pPr>
              <w:rPr>
                <w:rFonts w:ascii="Arial" w:hAnsi="Arial"/>
                <w:sz w:val="18"/>
                <w:lang w:val="es-ES"/>
              </w:rPr>
            </w:pPr>
            <w:r w:rsidRPr="00117DF2">
              <w:rPr>
                <w:rFonts w:ascii="Arial" w:hAnsi="Arial"/>
                <w:sz w:val="18"/>
                <w:lang w:val="es-ES"/>
              </w:rPr>
              <w:t xml:space="preserve">Informe de gestión anual de la </w:t>
            </w:r>
            <w:r w:rsidRPr="00117DF2">
              <w:rPr>
                <w:rFonts w:ascii="Arial" w:hAnsi="Arial"/>
                <w:sz w:val="18"/>
                <w:lang w:val="es-GT"/>
              </w:rPr>
              <w:t xml:space="preserve">Gerencia de Planificación y Desarrollo Institucional  </w:t>
            </w:r>
            <w:r w:rsidRPr="00117DF2">
              <w:rPr>
                <w:rFonts w:ascii="Arial" w:hAnsi="Arial"/>
                <w:sz w:val="18"/>
                <w:lang w:val="es-ES"/>
              </w:rPr>
              <w:t>de la SAT</w:t>
            </w:r>
          </w:p>
        </w:tc>
        <w:tc>
          <w:tcPr>
            <w:tcW w:w="2790" w:type="dxa"/>
            <w:tcBorders>
              <w:bottom w:val="single" w:sz="4" w:space="0" w:color="000000"/>
            </w:tcBorders>
          </w:tcPr>
          <w:p w14:paraId="3F56633D" w14:textId="77777777" w:rsidR="00F6362B" w:rsidRPr="00117DF2" w:rsidRDefault="00F6362B" w:rsidP="00060088">
            <w:pPr>
              <w:spacing w:before="120" w:after="120"/>
              <w:jc w:val="both"/>
              <w:rPr>
                <w:rFonts w:ascii="Arial" w:hAnsi="Arial"/>
                <w:sz w:val="18"/>
                <w:lang w:val="es-ES"/>
              </w:rPr>
            </w:pPr>
            <w:r w:rsidRPr="000C7504">
              <w:rPr>
                <w:rFonts w:ascii="Arial" w:hAnsi="Arial" w:cs="Arial"/>
                <w:sz w:val="18"/>
                <w:lang w:val="es-ES"/>
              </w:rPr>
              <w:t xml:space="preserve">Mide la eficiencia de los funcionarios de la SAT en la recaudación. </w:t>
            </w:r>
            <w:r w:rsidRPr="00117DF2">
              <w:rPr>
                <w:rFonts w:ascii="Arial" w:hAnsi="Arial"/>
                <w:sz w:val="18"/>
                <w:lang w:val="es-ES"/>
              </w:rPr>
              <w:t>La recaudación total promedio por funcionario de la SAT cayó 7,3% entre el 2013 y el 2015.</w:t>
            </w:r>
          </w:p>
        </w:tc>
      </w:tr>
      <w:tr w:rsidR="00F6362B" w:rsidRPr="0006316B" w14:paraId="3E33B1CD" w14:textId="77777777" w:rsidTr="00060088">
        <w:trPr>
          <w:trHeight w:val="60"/>
        </w:trPr>
        <w:tc>
          <w:tcPr>
            <w:tcW w:w="2350" w:type="dxa"/>
            <w:gridSpan w:val="2"/>
            <w:tcBorders>
              <w:bottom w:val="single" w:sz="4" w:space="0" w:color="000000"/>
            </w:tcBorders>
            <w:vAlign w:val="center"/>
          </w:tcPr>
          <w:p w14:paraId="14979373" w14:textId="77777777" w:rsidR="00F6362B" w:rsidRPr="00117DF2" w:rsidRDefault="00F6362B" w:rsidP="00060088">
            <w:pPr>
              <w:contextualSpacing/>
              <w:rPr>
                <w:rFonts w:ascii="Arial" w:hAnsi="Arial"/>
                <w:sz w:val="18"/>
                <w:lang w:val="es-ES"/>
              </w:rPr>
            </w:pPr>
            <w:r w:rsidRPr="00117DF2">
              <w:rPr>
                <w:rFonts w:ascii="Arial" w:hAnsi="Arial"/>
                <w:sz w:val="18"/>
                <w:lang w:val="es-ES"/>
              </w:rPr>
              <w:t>Tasa de evasión del IVA</w:t>
            </w:r>
          </w:p>
        </w:tc>
        <w:tc>
          <w:tcPr>
            <w:tcW w:w="1867" w:type="dxa"/>
            <w:tcBorders>
              <w:bottom w:val="single" w:sz="4" w:space="0" w:color="000000"/>
            </w:tcBorders>
            <w:vAlign w:val="center"/>
          </w:tcPr>
          <w:p w14:paraId="16006E88" w14:textId="77777777" w:rsidR="00F6362B" w:rsidRPr="00117DF2" w:rsidRDefault="00F6362B" w:rsidP="00060088">
            <w:pPr>
              <w:jc w:val="center"/>
              <w:rPr>
                <w:rFonts w:ascii="Arial" w:hAnsi="Arial"/>
                <w:sz w:val="18"/>
                <w:lang w:val="es-ES"/>
              </w:rPr>
            </w:pPr>
            <w:r w:rsidRPr="00117DF2">
              <w:rPr>
                <w:rFonts w:ascii="Arial" w:hAnsi="Arial"/>
                <w:sz w:val="18"/>
                <w:lang w:val="es-ES"/>
              </w:rPr>
              <w:t>%</w:t>
            </w:r>
          </w:p>
        </w:tc>
        <w:tc>
          <w:tcPr>
            <w:tcW w:w="1003" w:type="dxa"/>
            <w:gridSpan w:val="2"/>
            <w:tcBorders>
              <w:bottom w:val="single" w:sz="4" w:space="0" w:color="000000"/>
            </w:tcBorders>
            <w:vAlign w:val="center"/>
          </w:tcPr>
          <w:p w14:paraId="299D2363" w14:textId="77777777" w:rsidR="00F6362B" w:rsidRPr="00117DF2" w:rsidRDefault="00F6362B" w:rsidP="00060088">
            <w:pPr>
              <w:jc w:val="center"/>
              <w:rPr>
                <w:rFonts w:ascii="Arial" w:hAnsi="Arial"/>
                <w:sz w:val="18"/>
                <w:lang w:val="es-ES"/>
              </w:rPr>
            </w:pPr>
            <w:r w:rsidRPr="00117DF2">
              <w:rPr>
                <w:rFonts w:ascii="Arial" w:hAnsi="Arial"/>
                <w:sz w:val="18"/>
                <w:lang w:val="es-ES"/>
              </w:rPr>
              <w:t>34,2</w:t>
            </w:r>
          </w:p>
        </w:tc>
        <w:tc>
          <w:tcPr>
            <w:tcW w:w="990" w:type="dxa"/>
            <w:tcBorders>
              <w:bottom w:val="single" w:sz="4" w:space="0" w:color="000000"/>
            </w:tcBorders>
            <w:vAlign w:val="center"/>
          </w:tcPr>
          <w:p w14:paraId="0C63477D" w14:textId="77777777" w:rsidR="00F6362B" w:rsidRPr="00117DF2" w:rsidRDefault="00F6362B" w:rsidP="00060088">
            <w:pPr>
              <w:jc w:val="center"/>
              <w:rPr>
                <w:rFonts w:ascii="Arial" w:hAnsi="Arial"/>
                <w:sz w:val="18"/>
                <w:lang w:val="es-ES"/>
              </w:rPr>
            </w:pPr>
            <w:r w:rsidRPr="00117DF2">
              <w:rPr>
                <w:rFonts w:ascii="Arial" w:hAnsi="Arial"/>
                <w:sz w:val="18"/>
                <w:lang w:val="es-ES"/>
              </w:rPr>
              <w:t>2015</w:t>
            </w:r>
          </w:p>
        </w:tc>
        <w:tc>
          <w:tcPr>
            <w:tcW w:w="810" w:type="dxa"/>
            <w:tcBorders>
              <w:bottom w:val="single" w:sz="4" w:space="0" w:color="000000"/>
            </w:tcBorders>
            <w:vAlign w:val="center"/>
          </w:tcPr>
          <w:p w14:paraId="57BA3491" w14:textId="77777777" w:rsidR="00F6362B" w:rsidRPr="00117DF2" w:rsidRDefault="00F6362B" w:rsidP="00060088">
            <w:pPr>
              <w:jc w:val="center"/>
              <w:rPr>
                <w:rFonts w:ascii="Arial" w:hAnsi="Arial"/>
                <w:sz w:val="18"/>
                <w:lang w:val="es-ES"/>
              </w:rPr>
            </w:pPr>
            <w:r w:rsidRPr="00117DF2">
              <w:rPr>
                <w:rFonts w:ascii="Arial" w:hAnsi="Arial"/>
                <w:sz w:val="18"/>
                <w:lang w:val="es-ES"/>
              </w:rPr>
              <w:t>28</w:t>
            </w:r>
          </w:p>
        </w:tc>
        <w:tc>
          <w:tcPr>
            <w:tcW w:w="990" w:type="dxa"/>
            <w:tcBorders>
              <w:bottom w:val="single" w:sz="4" w:space="0" w:color="000000"/>
            </w:tcBorders>
            <w:vAlign w:val="center"/>
          </w:tcPr>
          <w:p w14:paraId="1D7F7452" w14:textId="77777777" w:rsidR="00F6362B" w:rsidRPr="00117DF2" w:rsidRDefault="00F6362B" w:rsidP="00060088">
            <w:pPr>
              <w:jc w:val="center"/>
              <w:rPr>
                <w:rFonts w:ascii="Arial" w:hAnsi="Arial"/>
                <w:sz w:val="18"/>
                <w:lang w:val="es-ES"/>
              </w:rPr>
            </w:pPr>
            <w:r w:rsidRPr="00117DF2">
              <w:rPr>
                <w:rFonts w:ascii="Arial" w:hAnsi="Arial"/>
                <w:sz w:val="18"/>
                <w:lang w:val="es-ES"/>
              </w:rPr>
              <w:t>25</w:t>
            </w:r>
          </w:p>
        </w:tc>
        <w:tc>
          <w:tcPr>
            <w:tcW w:w="2700" w:type="dxa"/>
            <w:tcBorders>
              <w:bottom w:val="single" w:sz="4" w:space="0" w:color="000000"/>
            </w:tcBorders>
          </w:tcPr>
          <w:p w14:paraId="3D9E38DE" w14:textId="77777777" w:rsidR="00F6362B" w:rsidRPr="00117DF2" w:rsidRDefault="00F6362B" w:rsidP="00060088">
            <w:pPr>
              <w:rPr>
                <w:rFonts w:ascii="Arial" w:hAnsi="Arial"/>
                <w:sz w:val="18"/>
                <w:lang w:val="es-ES"/>
              </w:rPr>
            </w:pPr>
          </w:p>
          <w:p w14:paraId="79F876A2" w14:textId="77777777" w:rsidR="00F6362B" w:rsidRPr="00117DF2" w:rsidRDefault="00F6362B" w:rsidP="00060088">
            <w:pPr>
              <w:rPr>
                <w:rFonts w:ascii="Arial" w:hAnsi="Arial"/>
                <w:sz w:val="18"/>
                <w:lang w:val="es-ES"/>
              </w:rPr>
            </w:pPr>
            <w:r w:rsidRPr="00117DF2">
              <w:rPr>
                <w:rFonts w:ascii="Arial" w:hAnsi="Arial"/>
                <w:sz w:val="18"/>
                <w:lang w:val="es-ES"/>
              </w:rPr>
              <w:t>Página web de la SAT</w:t>
            </w:r>
          </w:p>
        </w:tc>
        <w:tc>
          <w:tcPr>
            <w:tcW w:w="2790" w:type="dxa"/>
            <w:tcBorders>
              <w:bottom w:val="single" w:sz="4" w:space="0" w:color="000000"/>
            </w:tcBorders>
          </w:tcPr>
          <w:p w14:paraId="4BEC2AD3" w14:textId="77777777" w:rsidR="00F6362B" w:rsidRPr="00117DF2" w:rsidRDefault="00F6362B" w:rsidP="00060088">
            <w:pPr>
              <w:spacing w:before="120" w:after="120"/>
              <w:jc w:val="both"/>
              <w:rPr>
                <w:rFonts w:ascii="Arial" w:hAnsi="Arial"/>
                <w:sz w:val="18"/>
                <w:lang w:val="es-ES"/>
              </w:rPr>
            </w:pPr>
            <w:r w:rsidRPr="000C7504">
              <w:rPr>
                <w:rFonts w:ascii="Arial" w:hAnsi="Arial" w:cs="Arial"/>
                <w:sz w:val="18"/>
                <w:lang w:val="es-ES"/>
              </w:rPr>
              <w:t xml:space="preserve">Mide la reducción en la tasa de evasión fiscal del IVA. </w:t>
            </w:r>
            <w:r w:rsidRPr="00117DF2">
              <w:rPr>
                <w:rFonts w:ascii="Arial" w:hAnsi="Arial"/>
                <w:sz w:val="18"/>
                <w:lang w:val="es-ES"/>
              </w:rPr>
              <w:t>La metodología a aplicar es la que se encuentra publicada de manera oficial en el sitio web de SAT.</w:t>
            </w:r>
          </w:p>
        </w:tc>
      </w:tr>
      <w:tr w:rsidR="00F6362B" w:rsidRPr="0006316B" w14:paraId="7F3B047C" w14:textId="77777777" w:rsidTr="00060088">
        <w:trPr>
          <w:trHeight w:val="60"/>
        </w:trPr>
        <w:tc>
          <w:tcPr>
            <w:tcW w:w="13500" w:type="dxa"/>
            <w:gridSpan w:val="10"/>
            <w:shd w:val="clear" w:color="auto" w:fill="DAEEF3" w:themeFill="accent5" w:themeFillTint="33"/>
            <w:vAlign w:val="center"/>
          </w:tcPr>
          <w:p w14:paraId="6038D472" w14:textId="77777777" w:rsidR="00F6362B" w:rsidRPr="00A9194E" w:rsidRDefault="00F6362B" w:rsidP="00060088">
            <w:pPr>
              <w:spacing w:before="120" w:after="120"/>
              <w:rPr>
                <w:rFonts w:ascii="Arial" w:hAnsi="Arial"/>
                <w:b/>
                <w:sz w:val="20"/>
              </w:rPr>
            </w:pPr>
            <w:r w:rsidRPr="00CD6805">
              <w:rPr>
                <w:rFonts w:ascii="Arial" w:hAnsi="Arial" w:cs="Arial"/>
                <w:b/>
                <w:sz w:val="18"/>
                <w:u w:val="single"/>
              </w:rPr>
              <w:t>Resultado 2</w:t>
            </w:r>
            <w:r>
              <w:rPr>
                <w:rFonts w:ascii="Arial" w:hAnsi="Arial" w:cs="Arial"/>
                <w:b/>
                <w:sz w:val="18"/>
              </w:rPr>
              <w:t xml:space="preserve">: </w:t>
            </w:r>
            <w:r w:rsidRPr="000C7504">
              <w:rPr>
                <w:rFonts w:ascii="Arial" w:hAnsi="Arial" w:cs="Arial"/>
                <w:b/>
                <w:sz w:val="18"/>
              </w:rPr>
              <w:t>Fortalec</w:t>
            </w:r>
            <w:r>
              <w:rPr>
                <w:rFonts w:ascii="Arial" w:hAnsi="Arial" w:cs="Arial"/>
                <w:b/>
                <w:sz w:val="18"/>
              </w:rPr>
              <w:t>imiento</w:t>
            </w:r>
            <w:r w:rsidRPr="000C7504">
              <w:rPr>
                <w:rFonts w:ascii="Arial" w:hAnsi="Arial" w:cs="Arial"/>
                <w:b/>
                <w:sz w:val="18"/>
              </w:rPr>
              <w:t xml:space="preserve"> de</w:t>
            </w:r>
            <w:r>
              <w:rPr>
                <w:rFonts w:ascii="Arial" w:hAnsi="Arial" w:cs="Arial"/>
                <w:b/>
                <w:sz w:val="18"/>
              </w:rPr>
              <w:t xml:space="preserve"> la</w:t>
            </w:r>
            <w:r w:rsidRPr="000C7504">
              <w:rPr>
                <w:rFonts w:ascii="Arial" w:hAnsi="Arial" w:cs="Arial"/>
                <w:b/>
                <w:sz w:val="18"/>
              </w:rPr>
              <w:t xml:space="preserve"> prevención de</w:t>
            </w:r>
            <w:r>
              <w:rPr>
                <w:rFonts w:ascii="Arial" w:hAnsi="Arial" w:cs="Arial"/>
                <w:b/>
                <w:sz w:val="18"/>
              </w:rPr>
              <w:t>l</w:t>
            </w:r>
            <w:r w:rsidRPr="000C7504">
              <w:rPr>
                <w:rFonts w:ascii="Arial" w:hAnsi="Arial" w:cs="Arial"/>
                <w:b/>
                <w:sz w:val="18"/>
              </w:rPr>
              <w:t xml:space="preserve"> lavado de activos en Guatemala</w:t>
            </w:r>
          </w:p>
        </w:tc>
      </w:tr>
      <w:tr w:rsidR="00F6362B" w:rsidRPr="0006316B" w14:paraId="635A68D5" w14:textId="77777777" w:rsidTr="00060088">
        <w:trPr>
          <w:trHeight w:val="1133"/>
        </w:trPr>
        <w:tc>
          <w:tcPr>
            <w:tcW w:w="2340" w:type="dxa"/>
            <w:tcBorders>
              <w:bottom w:val="single" w:sz="4" w:space="0" w:color="000000"/>
            </w:tcBorders>
            <w:vAlign w:val="center"/>
          </w:tcPr>
          <w:p w14:paraId="1627F88B" w14:textId="77777777" w:rsidR="00F6362B" w:rsidRPr="00117DF2" w:rsidRDefault="00F6362B" w:rsidP="00060088">
            <w:pPr>
              <w:contextualSpacing/>
              <w:jc w:val="both"/>
              <w:rPr>
                <w:rFonts w:ascii="Arial" w:hAnsi="Arial"/>
                <w:sz w:val="18"/>
                <w:lang w:val="es-ES"/>
              </w:rPr>
            </w:pPr>
            <w:r w:rsidRPr="00117DF2">
              <w:rPr>
                <w:rFonts w:ascii="Arial" w:hAnsi="Arial"/>
                <w:sz w:val="18"/>
                <w:lang w:val="es-ES"/>
              </w:rPr>
              <w:t>Evaluación del GAFI de Guatemala para la recomendación 22 (Sucursales y Subsidiarias en el exterior)</w:t>
            </w:r>
          </w:p>
        </w:tc>
        <w:tc>
          <w:tcPr>
            <w:tcW w:w="1890" w:type="dxa"/>
            <w:gridSpan w:val="3"/>
            <w:tcBorders>
              <w:bottom w:val="single" w:sz="4" w:space="0" w:color="000000"/>
            </w:tcBorders>
            <w:vAlign w:val="center"/>
          </w:tcPr>
          <w:p w14:paraId="1676AAC4" w14:textId="77777777" w:rsidR="00F6362B" w:rsidRPr="00117DF2" w:rsidRDefault="00F6362B" w:rsidP="00060088">
            <w:pPr>
              <w:jc w:val="center"/>
              <w:rPr>
                <w:rFonts w:ascii="Arial" w:hAnsi="Arial"/>
                <w:sz w:val="18"/>
                <w:lang w:val="es-ES"/>
              </w:rPr>
            </w:pPr>
            <w:r w:rsidRPr="00117DF2">
              <w:rPr>
                <w:rFonts w:ascii="Arial" w:hAnsi="Arial"/>
                <w:sz w:val="18"/>
                <w:lang w:val="es-ES"/>
              </w:rPr>
              <w:t>Cumplimiento (No Cumplido, Parcialmente, Mayormente y Cumplido)</w:t>
            </w:r>
          </w:p>
        </w:tc>
        <w:tc>
          <w:tcPr>
            <w:tcW w:w="990" w:type="dxa"/>
            <w:tcBorders>
              <w:bottom w:val="single" w:sz="4" w:space="0" w:color="000000"/>
            </w:tcBorders>
            <w:vAlign w:val="center"/>
          </w:tcPr>
          <w:p w14:paraId="6181D281" w14:textId="77777777" w:rsidR="00F6362B" w:rsidRPr="00117DF2" w:rsidRDefault="00F6362B" w:rsidP="00060088">
            <w:pPr>
              <w:jc w:val="center"/>
              <w:rPr>
                <w:rFonts w:ascii="Arial" w:hAnsi="Arial"/>
                <w:sz w:val="18"/>
                <w:lang w:val="es-ES"/>
              </w:rPr>
            </w:pPr>
            <w:r w:rsidRPr="00117DF2">
              <w:rPr>
                <w:rFonts w:ascii="Arial" w:hAnsi="Arial"/>
                <w:sz w:val="18"/>
                <w:lang w:val="es-ES"/>
              </w:rPr>
              <w:t>Parcialmente Cumplido</w:t>
            </w:r>
          </w:p>
        </w:tc>
        <w:tc>
          <w:tcPr>
            <w:tcW w:w="990" w:type="dxa"/>
            <w:tcBorders>
              <w:bottom w:val="single" w:sz="4" w:space="0" w:color="000000"/>
            </w:tcBorders>
            <w:vAlign w:val="center"/>
          </w:tcPr>
          <w:p w14:paraId="4C758CA2" w14:textId="77777777" w:rsidR="00F6362B" w:rsidRPr="00117DF2" w:rsidRDefault="00F6362B" w:rsidP="00060088">
            <w:pPr>
              <w:jc w:val="center"/>
              <w:rPr>
                <w:rFonts w:ascii="Arial" w:hAnsi="Arial"/>
                <w:sz w:val="18"/>
                <w:lang w:val="es-ES"/>
              </w:rPr>
            </w:pPr>
            <w:r w:rsidRPr="00117DF2">
              <w:rPr>
                <w:rFonts w:ascii="Arial" w:hAnsi="Arial"/>
                <w:sz w:val="18"/>
                <w:lang w:val="es-ES"/>
              </w:rPr>
              <w:t>2010</w:t>
            </w:r>
          </w:p>
        </w:tc>
        <w:tc>
          <w:tcPr>
            <w:tcW w:w="810" w:type="dxa"/>
            <w:tcBorders>
              <w:bottom w:val="single" w:sz="4" w:space="0" w:color="000000"/>
            </w:tcBorders>
            <w:vAlign w:val="center"/>
          </w:tcPr>
          <w:p w14:paraId="54A100A9"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Cumplido</w:t>
            </w:r>
          </w:p>
        </w:tc>
        <w:tc>
          <w:tcPr>
            <w:tcW w:w="990" w:type="dxa"/>
            <w:tcBorders>
              <w:bottom w:val="single" w:sz="4" w:space="0" w:color="000000"/>
            </w:tcBorders>
            <w:vAlign w:val="center"/>
          </w:tcPr>
          <w:p w14:paraId="3FA33D1E" w14:textId="77777777" w:rsidR="00F6362B" w:rsidRPr="00117DF2" w:rsidRDefault="00F6362B" w:rsidP="00060088">
            <w:pPr>
              <w:jc w:val="center"/>
              <w:rPr>
                <w:rFonts w:ascii="Arial" w:hAnsi="Arial"/>
                <w:sz w:val="18"/>
                <w:lang w:val="es-ES"/>
              </w:rPr>
            </w:pPr>
            <w:r w:rsidRPr="00117DF2">
              <w:rPr>
                <w:rFonts w:ascii="Arial" w:hAnsi="Arial"/>
                <w:sz w:val="18"/>
                <w:lang w:val="es-ES"/>
              </w:rPr>
              <w:t>2016-17</w:t>
            </w:r>
          </w:p>
        </w:tc>
        <w:tc>
          <w:tcPr>
            <w:tcW w:w="2700" w:type="dxa"/>
            <w:tcBorders>
              <w:bottom w:val="single" w:sz="4" w:space="0" w:color="000000"/>
            </w:tcBorders>
            <w:vAlign w:val="center"/>
          </w:tcPr>
          <w:p w14:paraId="746C8D0C" w14:textId="77777777" w:rsidR="00F6362B" w:rsidRPr="00117DF2" w:rsidRDefault="006E38F8" w:rsidP="00060088">
            <w:pPr>
              <w:jc w:val="center"/>
              <w:rPr>
                <w:rFonts w:ascii="Arial" w:hAnsi="Arial"/>
                <w:sz w:val="18"/>
                <w:lang w:val="es-ES"/>
              </w:rPr>
            </w:pPr>
            <w:hyperlink r:id="rId34" w:history="1">
              <w:r w:rsidR="00F6362B" w:rsidRPr="00117DF2">
                <w:rPr>
                  <w:rStyle w:val="Hyperlink"/>
                  <w:rFonts w:ascii="Arial" w:hAnsi="Arial"/>
                  <w:sz w:val="18"/>
                  <w:lang w:val="es-ES"/>
                </w:rPr>
                <w:t>Informe de evaluación del GAFI para Guatemala</w:t>
              </w:r>
            </w:hyperlink>
            <w:r w:rsidR="00F6362B" w:rsidRPr="00117DF2">
              <w:rPr>
                <w:rFonts w:ascii="Arial" w:hAnsi="Arial"/>
                <w:sz w:val="18"/>
                <w:lang w:val="es-ES"/>
              </w:rPr>
              <w:t>.</w:t>
            </w:r>
          </w:p>
        </w:tc>
        <w:tc>
          <w:tcPr>
            <w:tcW w:w="2790" w:type="dxa"/>
            <w:tcBorders>
              <w:bottom w:val="single" w:sz="4" w:space="0" w:color="000000"/>
            </w:tcBorders>
          </w:tcPr>
          <w:p w14:paraId="036C0DCF"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La Recomendación 22 se ha convertido en la recomendación 18 en la nueva versión de los estándares del GAFI publicada en 2012.</w:t>
            </w:r>
          </w:p>
        </w:tc>
      </w:tr>
      <w:tr w:rsidR="00F6362B" w:rsidRPr="0006316B" w14:paraId="06A54E0E" w14:textId="77777777" w:rsidTr="00060088">
        <w:trPr>
          <w:trHeight w:val="1133"/>
        </w:trPr>
        <w:tc>
          <w:tcPr>
            <w:tcW w:w="2340" w:type="dxa"/>
            <w:tcBorders>
              <w:bottom w:val="single" w:sz="4" w:space="0" w:color="000000"/>
            </w:tcBorders>
            <w:vAlign w:val="center"/>
          </w:tcPr>
          <w:p w14:paraId="1E749AC8" w14:textId="77777777" w:rsidR="00F6362B" w:rsidRPr="000C7504" w:rsidRDefault="00F6362B" w:rsidP="00060088">
            <w:pPr>
              <w:contextualSpacing/>
              <w:jc w:val="both"/>
              <w:rPr>
                <w:rFonts w:ascii="Arial" w:hAnsi="Arial" w:cs="Arial"/>
                <w:sz w:val="18"/>
                <w:lang w:val="es-ES"/>
              </w:rPr>
            </w:pPr>
            <w:r w:rsidRPr="000C7504">
              <w:rPr>
                <w:rFonts w:ascii="Arial" w:hAnsi="Arial" w:cs="Arial"/>
                <w:sz w:val="18"/>
              </w:rPr>
              <w:t>Flujos financieros ilícitos estimados para Guatemala</w:t>
            </w:r>
          </w:p>
        </w:tc>
        <w:tc>
          <w:tcPr>
            <w:tcW w:w="1890" w:type="dxa"/>
            <w:gridSpan w:val="3"/>
            <w:tcBorders>
              <w:bottom w:val="single" w:sz="4" w:space="0" w:color="000000"/>
            </w:tcBorders>
            <w:vAlign w:val="center"/>
          </w:tcPr>
          <w:p w14:paraId="7A62B79B" w14:textId="77777777" w:rsidR="00F6362B" w:rsidRPr="000C7504" w:rsidRDefault="00F6362B" w:rsidP="00060088">
            <w:pPr>
              <w:jc w:val="center"/>
              <w:rPr>
                <w:rFonts w:ascii="Arial" w:hAnsi="Arial"/>
                <w:sz w:val="18"/>
                <w:lang w:val="es-ES"/>
              </w:rPr>
            </w:pPr>
            <w:r w:rsidRPr="000C7504">
              <w:rPr>
                <w:rFonts w:ascii="Arial" w:hAnsi="Arial"/>
                <w:sz w:val="18"/>
                <w:lang w:val="es-ES"/>
              </w:rPr>
              <w:t>US$</w:t>
            </w:r>
            <w:r>
              <w:rPr>
                <w:rFonts w:ascii="Arial" w:hAnsi="Arial"/>
                <w:sz w:val="18"/>
                <w:lang w:val="es-ES"/>
              </w:rPr>
              <w:t> </w:t>
            </w:r>
            <w:r w:rsidRPr="000C7504">
              <w:rPr>
                <w:rFonts w:ascii="Arial" w:hAnsi="Arial"/>
                <w:sz w:val="18"/>
                <w:lang w:val="es-ES"/>
              </w:rPr>
              <w:t>millones</w:t>
            </w:r>
          </w:p>
        </w:tc>
        <w:tc>
          <w:tcPr>
            <w:tcW w:w="990" w:type="dxa"/>
            <w:tcBorders>
              <w:bottom w:val="single" w:sz="4" w:space="0" w:color="000000"/>
            </w:tcBorders>
            <w:vAlign w:val="center"/>
          </w:tcPr>
          <w:p w14:paraId="382AA40E" w14:textId="77777777" w:rsidR="00F6362B" w:rsidRPr="000C7504" w:rsidRDefault="00F6362B" w:rsidP="00060088">
            <w:pPr>
              <w:jc w:val="center"/>
              <w:rPr>
                <w:rFonts w:ascii="Arial" w:hAnsi="Arial"/>
                <w:sz w:val="18"/>
                <w:lang w:val="es-ES"/>
              </w:rPr>
            </w:pPr>
            <w:r w:rsidRPr="000C7504">
              <w:rPr>
                <w:rFonts w:ascii="Arial" w:hAnsi="Arial"/>
                <w:sz w:val="18"/>
                <w:lang w:val="es-ES"/>
              </w:rPr>
              <w:t>2.179</w:t>
            </w:r>
          </w:p>
        </w:tc>
        <w:tc>
          <w:tcPr>
            <w:tcW w:w="990" w:type="dxa"/>
            <w:tcBorders>
              <w:bottom w:val="single" w:sz="4" w:space="0" w:color="000000"/>
            </w:tcBorders>
            <w:vAlign w:val="center"/>
          </w:tcPr>
          <w:p w14:paraId="56E47265"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Promedio 2004-2013</w:t>
            </w:r>
          </w:p>
        </w:tc>
        <w:tc>
          <w:tcPr>
            <w:tcW w:w="810" w:type="dxa"/>
            <w:tcBorders>
              <w:bottom w:val="single" w:sz="4" w:space="0" w:color="000000"/>
            </w:tcBorders>
            <w:vAlign w:val="center"/>
          </w:tcPr>
          <w:p w14:paraId="15056735" w14:textId="77777777" w:rsidR="00F6362B" w:rsidRPr="000C7504" w:rsidRDefault="00F6362B" w:rsidP="00060088">
            <w:pPr>
              <w:jc w:val="center"/>
              <w:rPr>
                <w:rFonts w:ascii="Arial" w:hAnsi="Arial"/>
                <w:sz w:val="18"/>
                <w:lang w:val="es-ES"/>
              </w:rPr>
            </w:pPr>
            <w:r w:rsidRPr="000C7504">
              <w:rPr>
                <w:rFonts w:ascii="Arial" w:hAnsi="Arial"/>
                <w:sz w:val="18"/>
                <w:lang w:val="es-ES"/>
              </w:rPr>
              <w:t>1.961</w:t>
            </w:r>
          </w:p>
        </w:tc>
        <w:tc>
          <w:tcPr>
            <w:tcW w:w="990" w:type="dxa"/>
            <w:tcBorders>
              <w:bottom w:val="single" w:sz="4" w:space="0" w:color="000000"/>
            </w:tcBorders>
            <w:vAlign w:val="center"/>
          </w:tcPr>
          <w:p w14:paraId="0B551FEB"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Promedio 2018-2019</w:t>
            </w:r>
          </w:p>
        </w:tc>
        <w:tc>
          <w:tcPr>
            <w:tcW w:w="2700" w:type="dxa"/>
            <w:tcBorders>
              <w:bottom w:val="single" w:sz="4" w:space="0" w:color="000000"/>
            </w:tcBorders>
            <w:vAlign w:val="center"/>
          </w:tcPr>
          <w:p w14:paraId="5BB62EAB" w14:textId="77777777" w:rsidR="00F6362B" w:rsidRPr="000C7504" w:rsidRDefault="006E38F8" w:rsidP="00060088">
            <w:pPr>
              <w:jc w:val="center"/>
              <w:rPr>
                <w:rFonts w:ascii="Arial" w:hAnsi="Arial" w:cs="Arial"/>
                <w:sz w:val="18"/>
              </w:rPr>
            </w:pPr>
            <w:hyperlink r:id="rId35" w:history="1">
              <w:r w:rsidR="00F6362B" w:rsidRPr="00ED40C7">
                <w:rPr>
                  <w:rStyle w:val="Hyperlink"/>
                  <w:rFonts w:ascii="Arial" w:hAnsi="Arial" w:cs="Arial"/>
                  <w:i/>
                  <w:sz w:val="18"/>
                </w:rPr>
                <w:t>Global Financial Integrity</w:t>
              </w:r>
            </w:hyperlink>
            <w:r w:rsidR="00F6362B" w:rsidRPr="000C7504">
              <w:rPr>
                <w:rFonts w:ascii="Arial" w:hAnsi="Arial" w:cs="Arial"/>
                <w:sz w:val="18"/>
              </w:rPr>
              <w:t xml:space="preserve"> (GFI)</w:t>
            </w:r>
          </w:p>
        </w:tc>
        <w:tc>
          <w:tcPr>
            <w:tcW w:w="2790" w:type="dxa"/>
            <w:tcBorders>
              <w:bottom w:val="single" w:sz="4" w:space="0" w:color="000000"/>
            </w:tcBorders>
          </w:tcPr>
          <w:p w14:paraId="77294E14" w14:textId="77777777" w:rsidR="00F6362B" w:rsidRPr="00117DF2" w:rsidRDefault="00F6362B" w:rsidP="00060088">
            <w:pPr>
              <w:spacing w:before="120" w:after="120"/>
              <w:jc w:val="both"/>
              <w:rPr>
                <w:rFonts w:ascii="Arial" w:hAnsi="Arial"/>
                <w:sz w:val="18"/>
                <w:lang w:val="es-ES"/>
              </w:rPr>
            </w:pPr>
            <w:r w:rsidRPr="000C7504">
              <w:rPr>
                <w:rFonts w:ascii="Arial" w:hAnsi="Arial" w:cs="Arial"/>
                <w:sz w:val="18"/>
                <w:lang w:val="es-ES"/>
              </w:rPr>
              <w:t xml:space="preserve">Se estima una reducción de 10% en estos flujos con las acciones de incremento de la transparencia financiera. </w:t>
            </w:r>
          </w:p>
        </w:tc>
      </w:tr>
    </w:tbl>
    <w:p w14:paraId="0EB01B12" w14:textId="77777777" w:rsidR="00F6362B" w:rsidRDefault="00F6362B" w:rsidP="00F6362B">
      <w:pPr>
        <w:autoSpaceDE w:val="0"/>
        <w:autoSpaceDN w:val="0"/>
        <w:adjustRightInd w:val="0"/>
        <w:spacing w:after="120"/>
        <w:jc w:val="both"/>
        <w:rPr>
          <w:rFonts w:ascii="Arial" w:hAnsi="Arial" w:cs="Arial"/>
          <w:smallCaps/>
          <w:color w:val="000000"/>
        </w:rPr>
      </w:pPr>
    </w:p>
    <w:p w14:paraId="150B4CEB" w14:textId="77777777" w:rsidR="00F6362B" w:rsidRDefault="00F6362B" w:rsidP="00F6362B">
      <w:pPr>
        <w:autoSpaceDE w:val="0"/>
        <w:autoSpaceDN w:val="0"/>
        <w:adjustRightInd w:val="0"/>
        <w:spacing w:after="120"/>
        <w:jc w:val="both"/>
        <w:rPr>
          <w:rFonts w:ascii="Arial" w:hAnsi="Arial" w:cs="Arial"/>
          <w:smallCaps/>
          <w:color w:val="000000"/>
        </w:rPr>
      </w:pPr>
    </w:p>
    <w:p w14:paraId="6D92A2DE" w14:textId="77777777" w:rsidR="00F6362B" w:rsidRDefault="00F6362B" w:rsidP="00F6362B">
      <w:pPr>
        <w:autoSpaceDE w:val="0"/>
        <w:autoSpaceDN w:val="0"/>
        <w:adjustRightInd w:val="0"/>
        <w:spacing w:after="120"/>
        <w:jc w:val="both"/>
        <w:rPr>
          <w:rFonts w:ascii="Arial" w:hAnsi="Arial" w:cs="Arial"/>
          <w:smallCaps/>
          <w:color w:val="000000"/>
        </w:rPr>
      </w:pPr>
    </w:p>
    <w:p w14:paraId="2D7F1423" w14:textId="77777777" w:rsidR="00F6362B" w:rsidRDefault="00F6362B" w:rsidP="00F6362B">
      <w:pPr>
        <w:autoSpaceDE w:val="0"/>
        <w:autoSpaceDN w:val="0"/>
        <w:adjustRightInd w:val="0"/>
        <w:spacing w:after="120"/>
        <w:jc w:val="both"/>
        <w:rPr>
          <w:rFonts w:ascii="Arial" w:hAnsi="Arial" w:cs="Arial"/>
          <w:smallCaps/>
          <w:color w:val="000000"/>
        </w:rPr>
      </w:pPr>
    </w:p>
    <w:p w14:paraId="7F34555B" w14:textId="77777777" w:rsidR="00F6362B" w:rsidRDefault="00F6362B" w:rsidP="00F6362B">
      <w:pPr>
        <w:autoSpaceDE w:val="0"/>
        <w:autoSpaceDN w:val="0"/>
        <w:adjustRightInd w:val="0"/>
        <w:spacing w:after="120"/>
        <w:jc w:val="both"/>
        <w:rPr>
          <w:rFonts w:ascii="Arial" w:hAnsi="Arial" w:cs="Arial"/>
          <w:smallCaps/>
          <w:color w:val="000000"/>
        </w:rPr>
      </w:pPr>
    </w:p>
    <w:p w14:paraId="15BB91AD" w14:textId="77777777" w:rsidR="00F6362B" w:rsidRPr="00C06358" w:rsidRDefault="00F6362B" w:rsidP="00F6362B">
      <w:pPr>
        <w:autoSpaceDE w:val="0"/>
        <w:autoSpaceDN w:val="0"/>
        <w:adjustRightInd w:val="0"/>
        <w:spacing w:after="120"/>
        <w:jc w:val="both"/>
        <w:rPr>
          <w:rFonts w:ascii="Arial" w:hAnsi="Arial" w:cs="Arial"/>
          <w:smallCaps/>
          <w:color w:val="000000"/>
        </w:rPr>
      </w:pPr>
    </w:p>
    <w:p w14:paraId="57D058DC" w14:textId="77777777" w:rsidR="00F6362B" w:rsidRPr="00117DF2" w:rsidRDefault="00F6362B" w:rsidP="00F6362B">
      <w:pPr>
        <w:jc w:val="center"/>
        <w:rPr>
          <w:rFonts w:ascii="Arial" w:hAnsi="Arial"/>
        </w:rPr>
      </w:pPr>
      <w:r w:rsidRPr="00117DF2">
        <w:rPr>
          <w:rFonts w:ascii="Arial" w:hAnsi="Arial"/>
          <w:b/>
          <w:smallCaps/>
          <w:color w:val="000000"/>
        </w:rPr>
        <w:t>Productos</w:t>
      </w:r>
      <w:r>
        <w:rPr>
          <w:rStyle w:val="FootnoteReference"/>
          <w:rFonts w:ascii="Arial" w:hAnsi="Arial"/>
          <w:b/>
          <w:smallCaps/>
          <w:color w:val="000000"/>
        </w:rPr>
        <w:footnoteReference w:id="7"/>
      </w:r>
    </w:p>
    <w:tbl>
      <w:tblPr>
        <w:tblW w:w="135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7"/>
        <w:gridCol w:w="1250"/>
        <w:gridCol w:w="1161"/>
        <w:gridCol w:w="142"/>
        <w:gridCol w:w="997"/>
        <w:gridCol w:w="1140"/>
        <w:gridCol w:w="1139"/>
        <w:gridCol w:w="1140"/>
        <w:gridCol w:w="3054"/>
      </w:tblGrid>
      <w:tr w:rsidR="00F6362B" w:rsidRPr="00A1781E" w14:paraId="15DC1F93" w14:textId="77777777" w:rsidTr="00060088">
        <w:trPr>
          <w:trHeight w:val="703"/>
        </w:trPr>
        <w:tc>
          <w:tcPr>
            <w:tcW w:w="3477" w:type="dxa"/>
            <w:shd w:val="clear" w:color="auto" w:fill="D9D9D9" w:themeFill="background1" w:themeFillShade="D9"/>
            <w:vAlign w:val="center"/>
          </w:tcPr>
          <w:p w14:paraId="6EEDE6E8" w14:textId="77777777" w:rsidR="00F6362B" w:rsidRPr="00117DF2" w:rsidRDefault="00F6362B" w:rsidP="00060088">
            <w:pPr>
              <w:jc w:val="center"/>
              <w:rPr>
                <w:rFonts w:ascii="Arial" w:hAnsi="Arial"/>
                <w:b/>
                <w:sz w:val="20"/>
                <w:lang w:val="es-ES"/>
              </w:rPr>
            </w:pPr>
            <w:r w:rsidRPr="00117DF2">
              <w:rPr>
                <w:rFonts w:ascii="Arial" w:hAnsi="Arial"/>
                <w:b/>
                <w:sz w:val="20"/>
                <w:lang w:val="es-ES"/>
              </w:rPr>
              <w:t xml:space="preserve">Productos </w:t>
            </w:r>
          </w:p>
        </w:tc>
        <w:tc>
          <w:tcPr>
            <w:tcW w:w="1250" w:type="dxa"/>
            <w:shd w:val="clear" w:color="auto" w:fill="D9D9D9" w:themeFill="background1" w:themeFillShade="D9"/>
            <w:vAlign w:val="center"/>
          </w:tcPr>
          <w:p w14:paraId="37C03D34" w14:textId="77777777" w:rsidR="00F6362B" w:rsidRPr="00117DF2" w:rsidRDefault="00F6362B" w:rsidP="00060088">
            <w:pPr>
              <w:jc w:val="center"/>
              <w:rPr>
                <w:rFonts w:ascii="Arial" w:hAnsi="Arial"/>
                <w:b/>
                <w:sz w:val="20"/>
                <w:lang w:val="es-ES"/>
              </w:rPr>
            </w:pPr>
            <w:r w:rsidRPr="00117DF2">
              <w:rPr>
                <w:rFonts w:ascii="Arial" w:hAnsi="Arial"/>
                <w:b/>
                <w:sz w:val="20"/>
                <w:lang w:val="es-ES"/>
              </w:rPr>
              <w:t>Costo estimado (US$)</w:t>
            </w:r>
          </w:p>
        </w:tc>
        <w:tc>
          <w:tcPr>
            <w:tcW w:w="1161" w:type="dxa"/>
            <w:shd w:val="clear" w:color="auto" w:fill="D9D9D9" w:themeFill="background1" w:themeFillShade="D9"/>
            <w:vAlign w:val="center"/>
          </w:tcPr>
          <w:p w14:paraId="64F8D585" w14:textId="77777777" w:rsidR="00F6362B" w:rsidRPr="00117DF2" w:rsidRDefault="00F6362B" w:rsidP="00060088">
            <w:pPr>
              <w:jc w:val="center"/>
              <w:rPr>
                <w:rFonts w:ascii="Arial" w:hAnsi="Arial"/>
                <w:b/>
                <w:sz w:val="20"/>
                <w:lang w:val="es-ES"/>
              </w:rPr>
            </w:pPr>
            <w:r w:rsidRPr="00117DF2">
              <w:rPr>
                <w:rFonts w:ascii="Arial" w:hAnsi="Arial"/>
                <w:b/>
                <w:sz w:val="20"/>
                <w:lang w:val="es-ES"/>
              </w:rPr>
              <w:t>Unidad de medida</w:t>
            </w:r>
          </w:p>
        </w:tc>
        <w:tc>
          <w:tcPr>
            <w:tcW w:w="1139" w:type="dxa"/>
            <w:gridSpan w:val="2"/>
            <w:shd w:val="clear" w:color="auto" w:fill="D9D9D9" w:themeFill="background1" w:themeFillShade="D9"/>
            <w:vAlign w:val="center"/>
          </w:tcPr>
          <w:p w14:paraId="39244328" w14:textId="77777777" w:rsidR="00F6362B" w:rsidRPr="00117DF2" w:rsidRDefault="00F6362B" w:rsidP="00060088">
            <w:pPr>
              <w:jc w:val="center"/>
              <w:rPr>
                <w:rFonts w:ascii="Arial" w:hAnsi="Arial"/>
                <w:b/>
                <w:sz w:val="20"/>
                <w:lang w:val="es-ES"/>
              </w:rPr>
            </w:pPr>
            <w:r w:rsidRPr="00117DF2">
              <w:rPr>
                <w:rFonts w:ascii="Arial" w:hAnsi="Arial"/>
                <w:b/>
                <w:sz w:val="20"/>
                <w:lang w:val="es-ES"/>
              </w:rPr>
              <w:t>Línea de base</w:t>
            </w:r>
          </w:p>
        </w:tc>
        <w:tc>
          <w:tcPr>
            <w:tcW w:w="1140" w:type="dxa"/>
            <w:shd w:val="clear" w:color="auto" w:fill="D9D9D9" w:themeFill="background1" w:themeFillShade="D9"/>
            <w:vAlign w:val="center"/>
          </w:tcPr>
          <w:p w14:paraId="3F312854" w14:textId="77777777" w:rsidR="00F6362B" w:rsidRPr="00117DF2" w:rsidRDefault="00F6362B" w:rsidP="00060088">
            <w:pPr>
              <w:jc w:val="center"/>
              <w:rPr>
                <w:rFonts w:ascii="Arial" w:hAnsi="Arial"/>
                <w:b/>
                <w:sz w:val="20"/>
                <w:lang w:val="es-ES"/>
              </w:rPr>
            </w:pPr>
            <w:r w:rsidRPr="00117DF2">
              <w:rPr>
                <w:rFonts w:ascii="Arial" w:hAnsi="Arial"/>
                <w:b/>
                <w:sz w:val="20"/>
                <w:lang w:val="es-ES"/>
              </w:rPr>
              <w:t>Año 1</w:t>
            </w:r>
          </w:p>
        </w:tc>
        <w:tc>
          <w:tcPr>
            <w:tcW w:w="1139" w:type="dxa"/>
            <w:shd w:val="clear" w:color="auto" w:fill="D9D9D9" w:themeFill="background1" w:themeFillShade="D9"/>
            <w:vAlign w:val="center"/>
          </w:tcPr>
          <w:p w14:paraId="5BE4ED57" w14:textId="77777777" w:rsidR="00F6362B" w:rsidRPr="00117DF2" w:rsidRDefault="00F6362B" w:rsidP="00060088">
            <w:pPr>
              <w:jc w:val="center"/>
              <w:rPr>
                <w:rFonts w:ascii="Arial" w:hAnsi="Arial"/>
                <w:b/>
                <w:sz w:val="20"/>
                <w:lang w:val="es-ES"/>
              </w:rPr>
            </w:pPr>
            <w:r w:rsidRPr="00117DF2">
              <w:rPr>
                <w:rFonts w:ascii="Arial" w:hAnsi="Arial"/>
                <w:b/>
                <w:sz w:val="20"/>
                <w:lang w:val="es-ES"/>
              </w:rPr>
              <w:t>Año 2</w:t>
            </w:r>
          </w:p>
        </w:tc>
        <w:tc>
          <w:tcPr>
            <w:tcW w:w="1140" w:type="dxa"/>
            <w:shd w:val="clear" w:color="auto" w:fill="D9D9D9" w:themeFill="background1" w:themeFillShade="D9"/>
            <w:vAlign w:val="center"/>
          </w:tcPr>
          <w:p w14:paraId="7871FFBD" w14:textId="77777777" w:rsidR="00F6362B" w:rsidRPr="00117DF2" w:rsidRDefault="00F6362B" w:rsidP="00060088">
            <w:pPr>
              <w:jc w:val="center"/>
              <w:rPr>
                <w:rFonts w:ascii="Arial" w:hAnsi="Arial"/>
                <w:b/>
                <w:sz w:val="20"/>
                <w:lang w:val="es-ES"/>
              </w:rPr>
            </w:pPr>
            <w:r w:rsidRPr="00117DF2">
              <w:rPr>
                <w:rFonts w:ascii="Arial" w:hAnsi="Arial"/>
                <w:b/>
                <w:sz w:val="20"/>
                <w:lang w:val="es-ES"/>
              </w:rPr>
              <w:t>Meta final</w:t>
            </w:r>
          </w:p>
        </w:tc>
        <w:tc>
          <w:tcPr>
            <w:tcW w:w="3054" w:type="dxa"/>
            <w:shd w:val="clear" w:color="auto" w:fill="D9D9D9" w:themeFill="background1" w:themeFillShade="D9"/>
            <w:vAlign w:val="center"/>
          </w:tcPr>
          <w:p w14:paraId="486CED65" w14:textId="77777777" w:rsidR="00F6362B" w:rsidRPr="00117DF2" w:rsidRDefault="00F6362B" w:rsidP="00060088">
            <w:pPr>
              <w:jc w:val="center"/>
              <w:rPr>
                <w:rFonts w:ascii="Arial" w:hAnsi="Arial"/>
                <w:b/>
                <w:sz w:val="20"/>
                <w:lang w:val="es-ES"/>
              </w:rPr>
            </w:pPr>
            <w:r w:rsidRPr="00117DF2">
              <w:rPr>
                <w:rFonts w:ascii="Arial" w:hAnsi="Arial"/>
                <w:b/>
                <w:sz w:val="20"/>
                <w:lang w:val="es-ES"/>
              </w:rPr>
              <w:t>Medio de verificación</w:t>
            </w:r>
          </w:p>
        </w:tc>
      </w:tr>
      <w:tr w:rsidR="00F6362B" w:rsidRPr="00A1781E" w14:paraId="6CDA4A00" w14:textId="77777777" w:rsidTr="00060088">
        <w:trPr>
          <w:trHeight w:val="422"/>
        </w:trPr>
        <w:tc>
          <w:tcPr>
            <w:tcW w:w="13500" w:type="dxa"/>
            <w:gridSpan w:val="9"/>
            <w:shd w:val="clear" w:color="auto" w:fill="D6E3BC" w:themeFill="accent3" w:themeFillTint="66"/>
            <w:vAlign w:val="center"/>
          </w:tcPr>
          <w:p w14:paraId="38B402C0" w14:textId="77777777" w:rsidR="00F6362B" w:rsidRPr="00117DF2" w:rsidRDefault="00F6362B" w:rsidP="00060088">
            <w:pPr>
              <w:rPr>
                <w:rFonts w:ascii="Arial" w:hAnsi="Arial"/>
                <w:b/>
                <w:sz w:val="18"/>
                <w:u w:val="single"/>
                <w:lang w:val="es-ES"/>
              </w:rPr>
            </w:pPr>
            <w:r w:rsidRPr="00117DF2">
              <w:rPr>
                <w:rFonts w:ascii="Arial" w:hAnsi="Arial"/>
                <w:b/>
                <w:sz w:val="18"/>
                <w:u w:val="single"/>
                <w:lang w:val="es-ES"/>
              </w:rPr>
              <w:t>Componente I: Estabilidad macroeconómica</w:t>
            </w:r>
          </w:p>
        </w:tc>
      </w:tr>
      <w:tr w:rsidR="00F6362B" w:rsidRPr="0006316B" w14:paraId="01149886" w14:textId="77777777" w:rsidTr="00060088">
        <w:trPr>
          <w:trHeight w:val="1349"/>
        </w:trPr>
        <w:tc>
          <w:tcPr>
            <w:tcW w:w="3477" w:type="dxa"/>
            <w:vAlign w:val="center"/>
          </w:tcPr>
          <w:p w14:paraId="0D55E26E" w14:textId="77777777" w:rsidR="00F6362B" w:rsidRPr="00117DF2" w:rsidRDefault="00F6362B" w:rsidP="00060088">
            <w:pPr>
              <w:contextualSpacing/>
              <w:jc w:val="both"/>
              <w:rPr>
                <w:rFonts w:ascii="Arial" w:hAnsi="Arial"/>
                <w:sz w:val="18"/>
                <w:lang w:val="es-ES"/>
              </w:rPr>
            </w:pPr>
            <w:r w:rsidRPr="00117DF2">
              <w:rPr>
                <w:rFonts w:ascii="Arial" w:hAnsi="Arial"/>
                <w:sz w:val="18"/>
                <w:lang w:val="es-AR"/>
              </w:rPr>
              <w:t>Asegurar un contexto macroeconómico congruente con los objetivos del programa según establecido en la Matriz de Políticas (</w:t>
            </w:r>
            <w:r w:rsidRPr="00117DF2">
              <w:rPr>
                <w:rFonts w:ascii="Arial" w:hAnsi="Arial"/>
                <w:sz w:val="18"/>
                <w:lang w:val="es-ES"/>
              </w:rPr>
              <w:t>Evaluación Independiente de Condiciones Macroeconómicas – IAMC).</w:t>
            </w:r>
          </w:p>
        </w:tc>
        <w:tc>
          <w:tcPr>
            <w:tcW w:w="1250" w:type="dxa"/>
            <w:vAlign w:val="center"/>
          </w:tcPr>
          <w:p w14:paraId="32DC562D" w14:textId="77777777" w:rsidR="00F6362B" w:rsidRPr="00117DF2" w:rsidRDefault="00F6362B" w:rsidP="00060088">
            <w:pPr>
              <w:contextualSpacing/>
              <w:rPr>
                <w:rFonts w:ascii="Arial" w:hAnsi="Arial"/>
                <w:sz w:val="18"/>
                <w:lang w:val="es-ES"/>
              </w:rPr>
            </w:pPr>
          </w:p>
        </w:tc>
        <w:tc>
          <w:tcPr>
            <w:tcW w:w="1161" w:type="dxa"/>
            <w:vAlign w:val="center"/>
          </w:tcPr>
          <w:p w14:paraId="49E2C960" w14:textId="77777777" w:rsidR="00F6362B" w:rsidRPr="00117DF2" w:rsidRDefault="00F6362B" w:rsidP="00060088">
            <w:pPr>
              <w:jc w:val="center"/>
              <w:rPr>
                <w:rFonts w:ascii="Arial" w:hAnsi="Arial"/>
                <w:sz w:val="18"/>
                <w:lang w:val="es-ES"/>
              </w:rPr>
            </w:pPr>
            <w:r w:rsidRPr="00117DF2">
              <w:rPr>
                <w:rFonts w:ascii="Arial" w:hAnsi="Arial"/>
                <w:sz w:val="18"/>
                <w:lang w:val="es-ES"/>
              </w:rPr>
              <w:t>IAMC</w:t>
            </w:r>
          </w:p>
        </w:tc>
        <w:tc>
          <w:tcPr>
            <w:tcW w:w="1139" w:type="dxa"/>
            <w:gridSpan w:val="2"/>
            <w:vAlign w:val="center"/>
          </w:tcPr>
          <w:p w14:paraId="1C54373A"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65D76D42"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148757DE"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40" w:type="dxa"/>
            <w:vAlign w:val="center"/>
          </w:tcPr>
          <w:p w14:paraId="27429FCA" w14:textId="77777777" w:rsidR="00F6362B" w:rsidRPr="00117DF2" w:rsidRDefault="00F6362B" w:rsidP="00060088">
            <w:pPr>
              <w:jc w:val="center"/>
              <w:rPr>
                <w:rFonts w:ascii="Arial" w:hAnsi="Arial"/>
                <w:sz w:val="18"/>
                <w:lang w:val="es-ES"/>
              </w:rPr>
            </w:pPr>
            <w:r w:rsidRPr="00117DF2">
              <w:rPr>
                <w:rFonts w:ascii="Arial" w:hAnsi="Arial"/>
                <w:sz w:val="18"/>
                <w:lang w:val="es-ES"/>
              </w:rPr>
              <w:t>2</w:t>
            </w:r>
          </w:p>
        </w:tc>
        <w:tc>
          <w:tcPr>
            <w:tcW w:w="3054" w:type="dxa"/>
          </w:tcPr>
          <w:p w14:paraId="41F8CE71" w14:textId="77777777" w:rsidR="00F6362B" w:rsidRPr="00117DF2" w:rsidRDefault="00F6362B" w:rsidP="00060088">
            <w:pPr>
              <w:spacing w:before="120" w:after="120"/>
              <w:rPr>
                <w:rFonts w:ascii="Arial" w:hAnsi="Arial"/>
                <w:sz w:val="18"/>
                <w:lang w:val="es-ES"/>
              </w:rPr>
            </w:pPr>
            <w:r w:rsidRPr="00117DF2">
              <w:rPr>
                <w:rFonts w:ascii="Arial" w:hAnsi="Arial"/>
                <w:sz w:val="18"/>
                <w:lang w:val="es-ES"/>
              </w:rPr>
              <w:t>Evaluación Independiente de Condiciones Macroeconómicas -IAMC- elaborada por el Banco y vigente al momento del desembolso.</w:t>
            </w:r>
          </w:p>
        </w:tc>
      </w:tr>
      <w:tr w:rsidR="00F6362B" w:rsidRPr="0006316B" w14:paraId="4B0E792F" w14:textId="77777777" w:rsidTr="00060088">
        <w:trPr>
          <w:trHeight w:val="449"/>
        </w:trPr>
        <w:tc>
          <w:tcPr>
            <w:tcW w:w="13500" w:type="dxa"/>
            <w:gridSpan w:val="9"/>
            <w:shd w:val="clear" w:color="auto" w:fill="D6E3BC" w:themeFill="accent3" w:themeFillTint="66"/>
            <w:vAlign w:val="center"/>
          </w:tcPr>
          <w:p w14:paraId="0E2C0D7F" w14:textId="77777777" w:rsidR="00F6362B" w:rsidRPr="00117DF2" w:rsidRDefault="00F6362B" w:rsidP="00060088">
            <w:pPr>
              <w:rPr>
                <w:rFonts w:ascii="Arial" w:hAnsi="Arial"/>
                <w:b/>
                <w:sz w:val="18"/>
                <w:u w:val="single"/>
                <w:lang w:val="es-ES"/>
              </w:rPr>
            </w:pPr>
            <w:r w:rsidRPr="00117DF2">
              <w:rPr>
                <w:rFonts w:ascii="Arial" w:hAnsi="Arial"/>
                <w:b/>
                <w:sz w:val="18"/>
                <w:u w:val="single"/>
                <w:lang w:val="es-ES"/>
              </w:rPr>
              <w:t>Componente II: Mejorar la eficiencia y la efectividad en la recaudación tributaria</w:t>
            </w:r>
          </w:p>
        </w:tc>
      </w:tr>
      <w:tr w:rsidR="00F6362B" w:rsidRPr="0006316B" w14:paraId="6384D6C3" w14:textId="77777777" w:rsidTr="00060088">
        <w:trPr>
          <w:trHeight w:val="935"/>
        </w:trPr>
        <w:tc>
          <w:tcPr>
            <w:tcW w:w="3477" w:type="dxa"/>
          </w:tcPr>
          <w:p w14:paraId="054BE053" w14:textId="77777777" w:rsidR="00F6362B" w:rsidRPr="00117DF2" w:rsidRDefault="00F6362B" w:rsidP="00060088">
            <w:pPr>
              <w:spacing w:before="120"/>
              <w:ind w:left="270" w:hanging="270"/>
              <w:jc w:val="both"/>
              <w:rPr>
                <w:rFonts w:ascii="Arial" w:hAnsi="Arial"/>
                <w:sz w:val="18"/>
                <w:lang w:val="es-ES"/>
              </w:rPr>
            </w:pPr>
            <w:r w:rsidRPr="000C7504">
              <w:rPr>
                <w:rFonts w:ascii="Arial" w:hAnsi="Arial" w:cs="Arial"/>
                <w:sz w:val="18"/>
                <w:lang w:val="es-ES"/>
              </w:rPr>
              <w:t>1a</w:t>
            </w:r>
            <w:r w:rsidRPr="00117DF2">
              <w:rPr>
                <w:rFonts w:ascii="Arial" w:hAnsi="Arial"/>
                <w:sz w:val="18"/>
                <w:lang w:val="es-ES"/>
              </w:rPr>
              <w:t xml:space="preserve">. Nuevo modelo de gobernanza </w:t>
            </w:r>
            <w:r>
              <w:rPr>
                <w:rFonts w:ascii="Arial" w:hAnsi="Arial"/>
                <w:sz w:val="18"/>
                <w:lang w:val="es-ES"/>
              </w:rPr>
              <w:t>de</w:t>
            </w:r>
            <w:r w:rsidRPr="00117DF2">
              <w:rPr>
                <w:rFonts w:ascii="Arial" w:hAnsi="Arial"/>
                <w:sz w:val="18"/>
                <w:lang w:val="es-ES"/>
              </w:rPr>
              <w:t xml:space="preserve"> la SAT, </w:t>
            </w:r>
            <w:r>
              <w:rPr>
                <w:rFonts w:ascii="Arial" w:hAnsi="Arial"/>
                <w:sz w:val="18"/>
                <w:lang w:val="es-ES"/>
              </w:rPr>
              <w:t>definido</w:t>
            </w:r>
          </w:p>
        </w:tc>
        <w:tc>
          <w:tcPr>
            <w:tcW w:w="1250" w:type="dxa"/>
            <w:vAlign w:val="center"/>
          </w:tcPr>
          <w:p w14:paraId="4AE97CA9" w14:textId="77777777" w:rsidR="00F6362B" w:rsidRPr="00117DF2" w:rsidRDefault="00F6362B" w:rsidP="00060088">
            <w:pPr>
              <w:contextualSpacing/>
              <w:rPr>
                <w:rFonts w:ascii="Arial" w:hAnsi="Arial"/>
                <w:sz w:val="18"/>
                <w:lang w:val="es-ES"/>
              </w:rPr>
            </w:pPr>
          </w:p>
        </w:tc>
        <w:tc>
          <w:tcPr>
            <w:tcW w:w="1303" w:type="dxa"/>
            <w:gridSpan w:val="2"/>
            <w:vAlign w:val="center"/>
          </w:tcPr>
          <w:p w14:paraId="7A60352F"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 xml:space="preserve">Modelo de Gobernanza </w:t>
            </w:r>
            <w:r>
              <w:rPr>
                <w:rFonts w:ascii="Arial" w:hAnsi="Arial" w:cs="Arial"/>
                <w:sz w:val="18"/>
                <w:lang w:val="es-ES"/>
              </w:rPr>
              <w:t xml:space="preserve">de la SAT, </w:t>
            </w:r>
            <w:r w:rsidRPr="000C7504">
              <w:rPr>
                <w:rFonts w:ascii="Arial" w:hAnsi="Arial" w:cs="Arial"/>
                <w:sz w:val="18"/>
                <w:lang w:val="es-ES"/>
              </w:rPr>
              <w:t>definido</w:t>
            </w:r>
          </w:p>
        </w:tc>
        <w:tc>
          <w:tcPr>
            <w:tcW w:w="997" w:type="dxa"/>
            <w:vAlign w:val="center"/>
          </w:tcPr>
          <w:p w14:paraId="57E54B74"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128C72E4"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31204ED3" w14:textId="77777777" w:rsidR="00F6362B" w:rsidRPr="00117DF2" w:rsidRDefault="00F6362B" w:rsidP="00060088">
            <w:pPr>
              <w:jc w:val="center"/>
              <w:rPr>
                <w:rFonts w:ascii="Arial" w:hAnsi="Arial"/>
                <w:sz w:val="18"/>
                <w:lang w:val="es-ES"/>
              </w:rPr>
            </w:pPr>
          </w:p>
        </w:tc>
        <w:tc>
          <w:tcPr>
            <w:tcW w:w="1140" w:type="dxa"/>
            <w:vAlign w:val="center"/>
          </w:tcPr>
          <w:p w14:paraId="3F7CBEC2"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2FAEE49B" w14:textId="77777777" w:rsidR="00F6362B" w:rsidRPr="00117DF2" w:rsidRDefault="00F6362B" w:rsidP="00060088">
            <w:pPr>
              <w:spacing w:before="120" w:after="120"/>
              <w:rPr>
                <w:rFonts w:ascii="Arial" w:hAnsi="Arial"/>
                <w:sz w:val="18"/>
                <w:lang w:val="es-ES"/>
              </w:rPr>
            </w:pPr>
            <w:r w:rsidRPr="00117DF2">
              <w:rPr>
                <w:rFonts w:ascii="Arial" w:hAnsi="Arial"/>
                <w:sz w:val="18"/>
                <w:lang w:val="es-ES"/>
              </w:rPr>
              <w:t xml:space="preserve">Comunicación del MINFIN, con el proyecto de ley </w:t>
            </w:r>
            <w:r>
              <w:rPr>
                <w:rFonts w:ascii="Arial" w:hAnsi="Arial"/>
                <w:sz w:val="18"/>
                <w:lang w:val="es-ES"/>
              </w:rPr>
              <w:t xml:space="preserve">de la SAT </w:t>
            </w:r>
            <w:r w:rsidRPr="000C7504">
              <w:rPr>
                <w:rFonts w:ascii="Arial" w:hAnsi="Arial" w:cs="Arial"/>
                <w:sz w:val="18"/>
                <w:lang w:val="es-ES"/>
              </w:rPr>
              <w:t>enviado al</w:t>
            </w:r>
            <w:r w:rsidRPr="00117DF2">
              <w:rPr>
                <w:rFonts w:ascii="Arial" w:hAnsi="Arial"/>
                <w:sz w:val="18"/>
                <w:lang w:val="es-ES"/>
              </w:rPr>
              <w:t xml:space="preserve"> Congreso</w:t>
            </w:r>
            <w:r w:rsidRPr="00117DF2">
              <w:rPr>
                <w:rFonts w:ascii="Arial" w:hAnsi="Arial"/>
                <w:sz w:val="18"/>
              </w:rPr>
              <w:t>.</w:t>
            </w:r>
          </w:p>
        </w:tc>
      </w:tr>
      <w:tr w:rsidR="00F6362B" w:rsidRPr="0006316B" w14:paraId="3B2C014B" w14:textId="77777777" w:rsidTr="00060088">
        <w:trPr>
          <w:trHeight w:val="1052"/>
        </w:trPr>
        <w:tc>
          <w:tcPr>
            <w:tcW w:w="3477" w:type="dxa"/>
          </w:tcPr>
          <w:p w14:paraId="7A2FE97A" w14:textId="77777777" w:rsidR="00F6362B" w:rsidRPr="000C7504" w:rsidRDefault="00F6362B" w:rsidP="00060088">
            <w:pPr>
              <w:spacing w:before="120"/>
              <w:ind w:left="270" w:hanging="270"/>
              <w:jc w:val="both"/>
              <w:rPr>
                <w:rFonts w:ascii="Arial" w:hAnsi="Arial" w:cs="Arial"/>
                <w:sz w:val="18"/>
                <w:lang w:val="es-ES"/>
              </w:rPr>
            </w:pPr>
            <w:r w:rsidRPr="000C7504">
              <w:rPr>
                <w:rFonts w:ascii="Arial" w:hAnsi="Arial" w:cs="Arial"/>
                <w:sz w:val="18"/>
                <w:lang w:val="es-ES"/>
              </w:rPr>
              <w:t xml:space="preserve">1b. Nuevo modelo de gobernanza </w:t>
            </w:r>
            <w:r>
              <w:rPr>
                <w:rFonts w:ascii="Arial" w:hAnsi="Arial" w:cs="Arial"/>
                <w:sz w:val="18"/>
                <w:lang w:val="es-ES"/>
              </w:rPr>
              <w:t>de</w:t>
            </w:r>
            <w:r w:rsidRPr="000C7504">
              <w:rPr>
                <w:rFonts w:ascii="Arial" w:hAnsi="Arial" w:cs="Arial"/>
                <w:sz w:val="18"/>
                <w:lang w:val="es-ES"/>
              </w:rPr>
              <w:t xml:space="preserve"> la SAT, </w:t>
            </w:r>
            <w:r>
              <w:rPr>
                <w:rFonts w:ascii="Arial" w:hAnsi="Arial" w:cs="Arial"/>
                <w:sz w:val="18"/>
                <w:lang w:val="es-ES"/>
              </w:rPr>
              <w:t>establecido</w:t>
            </w:r>
            <w:r w:rsidRPr="000C7504">
              <w:rPr>
                <w:rFonts w:ascii="Arial" w:hAnsi="Arial" w:cs="Arial"/>
                <w:sz w:val="18"/>
              </w:rPr>
              <w:t>.</w:t>
            </w:r>
          </w:p>
        </w:tc>
        <w:tc>
          <w:tcPr>
            <w:tcW w:w="1250" w:type="dxa"/>
            <w:vAlign w:val="center"/>
          </w:tcPr>
          <w:p w14:paraId="1B1CEA14" w14:textId="77777777" w:rsidR="00F6362B" w:rsidRPr="000C7504" w:rsidRDefault="00F6362B" w:rsidP="00060088">
            <w:pPr>
              <w:contextualSpacing/>
              <w:rPr>
                <w:rFonts w:ascii="Arial" w:hAnsi="Arial" w:cs="Arial"/>
                <w:sz w:val="18"/>
                <w:lang w:val="es-ES"/>
              </w:rPr>
            </w:pPr>
          </w:p>
        </w:tc>
        <w:tc>
          <w:tcPr>
            <w:tcW w:w="1303" w:type="dxa"/>
            <w:gridSpan w:val="2"/>
            <w:vAlign w:val="center"/>
          </w:tcPr>
          <w:p w14:paraId="3F4CC560"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Modelo de Gobernanza</w:t>
            </w:r>
            <w:r>
              <w:rPr>
                <w:rFonts w:ascii="Arial" w:hAnsi="Arial" w:cs="Arial"/>
                <w:sz w:val="18"/>
                <w:lang w:val="es-ES"/>
              </w:rPr>
              <w:t xml:space="preserve"> de la SAT,</w:t>
            </w:r>
            <w:r w:rsidRPr="000C7504">
              <w:rPr>
                <w:rFonts w:ascii="Arial" w:hAnsi="Arial" w:cs="Arial"/>
                <w:sz w:val="18"/>
                <w:lang w:val="es-ES"/>
              </w:rPr>
              <w:t xml:space="preserve"> establecido</w:t>
            </w:r>
          </w:p>
        </w:tc>
        <w:tc>
          <w:tcPr>
            <w:tcW w:w="997" w:type="dxa"/>
            <w:vAlign w:val="center"/>
          </w:tcPr>
          <w:p w14:paraId="7F3CD1FB"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vAlign w:val="center"/>
          </w:tcPr>
          <w:p w14:paraId="5B508FC8" w14:textId="77777777" w:rsidR="00F6362B" w:rsidRPr="000C7504" w:rsidRDefault="00F6362B" w:rsidP="00060088">
            <w:pPr>
              <w:jc w:val="center"/>
              <w:rPr>
                <w:rFonts w:ascii="Arial" w:hAnsi="Arial" w:cs="Arial"/>
                <w:sz w:val="18"/>
                <w:lang w:val="es-ES"/>
              </w:rPr>
            </w:pPr>
          </w:p>
        </w:tc>
        <w:tc>
          <w:tcPr>
            <w:tcW w:w="1139" w:type="dxa"/>
            <w:vAlign w:val="center"/>
          </w:tcPr>
          <w:p w14:paraId="3CA8C067"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1140" w:type="dxa"/>
            <w:vAlign w:val="center"/>
          </w:tcPr>
          <w:p w14:paraId="30E9F39B"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Pr>
          <w:p w14:paraId="1A334007" w14:textId="77777777" w:rsidR="00F6362B" w:rsidRPr="000C7504" w:rsidRDefault="00F6362B" w:rsidP="00060088">
            <w:pPr>
              <w:spacing w:before="120" w:after="120"/>
              <w:rPr>
                <w:rFonts w:ascii="Arial" w:hAnsi="Arial" w:cs="Arial"/>
                <w:sz w:val="18"/>
                <w:lang w:val="es-ES"/>
              </w:rPr>
            </w:pPr>
            <w:r w:rsidRPr="000C7504">
              <w:rPr>
                <w:rFonts w:ascii="Arial" w:hAnsi="Arial" w:cs="Arial"/>
                <w:sz w:val="18"/>
              </w:rPr>
              <w:t>P</w:t>
            </w:r>
            <w:r w:rsidRPr="000C7504">
              <w:rPr>
                <w:rFonts w:ascii="Arial" w:hAnsi="Arial" w:cs="Arial"/>
                <w:sz w:val="18"/>
                <w:lang w:val="es-ES"/>
              </w:rPr>
              <w:t xml:space="preserve">ublicación del Decreto de aprobación de la Ley </w:t>
            </w:r>
            <w:r>
              <w:rPr>
                <w:rFonts w:ascii="Arial" w:hAnsi="Arial" w:cs="Arial"/>
                <w:sz w:val="18"/>
                <w:lang w:val="es-ES"/>
              </w:rPr>
              <w:t xml:space="preserve">de la SAT </w:t>
            </w:r>
            <w:r w:rsidRPr="000C7504">
              <w:rPr>
                <w:rFonts w:ascii="Arial" w:hAnsi="Arial" w:cs="Arial"/>
                <w:sz w:val="18"/>
                <w:lang w:val="es-ES"/>
              </w:rPr>
              <w:t>en el Diario de Centro América</w:t>
            </w:r>
            <w:r>
              <w:rPr>
                <w:rFonts w:ascii="Arial" w:hAnsi="Arial" w:cs="Arial"/>
                <w:sz w:val="18"/>
                <w:lang w:val="es-ES"/>
              </w:rPr>
              <w:t>.</w:t>
            </w:r>
          </w:p>
        </w:tc>
      </w:tr>
      <w:tr w:rsidR="00F6362B" w:rsidRPr="0006316B" w14:paraId="352CE333" w14:textId="77777777" w:rsidTr="00060088">
        <w:trPr>
          <w:trHeight w:val="1475"/>
        </w:trPr>
        <w:tc>
          <w:tcPr>
            <w:tcW w:w="3477" w:type="dxa"/>
            <w:tcBorders>
              <w:bottom w:val="single" w:sz="4" w:space="0" w:color="000000"/>
            </w:tcBorders>
          </w:tcPr>
          <w:p w14:paraId="223A6F4B" w14:textId="77777777" w:rsidR="00F6362B" w:rsidRPr="00117DF2" w:rsidRDefault="00F6362B" w:rsidP="00060088">
            <w:pPr>
              <w:spacing w:before="120"/>
              <w:ind w:left="252" w:hanging="252"/>
              <w:jc w:val="both"/>
              <w:rPr>
                <w:rFonts w:ascii="Arial" w:hAnsi="Arial"/>
                <w:sz w:val="18"/>
              </w:rPr>
            </w:pPr>
            <w:r w:rsidRPr="000C7504">
              <w:rPr>
                <w:rFonts w:ascii="Arial" w:hAnsi="Arial" w:cs="Arial"/>
                <w:sz w:val="18"/>
                <w:lang w:val="es-ES"/>
              </w:rPr>
              <w:t>2a</w:t>
            </w:r>
            <w:r w:rsidRPr="00117DF2">
              <w:rPr>
                <w:rFonts w:ascii="Arial" w:hAnsi="Arial"/>
                <w:sz w:val="18"/>
                <w:lang w:val="es-ES"/>
              </w:rPr>
              <w:t>.</w:t>
            </w:r>
            <w:r>
              <w:rPr>
                <w:rFonts w:ascii="Arial" w:hAnsi="Arial"/>
                <w:sz w:val="18"/>
                <w:lang w:val="es-ES"/>
              </w:rPr>
              <w:t xml:space="preserve"> </w:t>
            </w:r>
            <w:r w:rsidRPr="00117DF2">
              <w:rPr>
                <w:rFonts w:ascii="Arial" w:hAnsi="Arial"/>
                <w:sz w:val="18"/>
                <w:lang w:val="es-ES"/>
              </w:rPr>
              <w:t>Unidad de Asuntos Internos de la SAT</w:t>
            </w:r>
            <w:r>
              <w:rPr>
                <w:rFonts w:ascii="Arial" w:hAnsi="Arial"/>
                <w:sz w:val="18"/>
                <w:lang w:val="es-ES"/>
              </w:rPr>
              <w:t>, creada</w:t>
            </w:r>
            <w:r w:rsidRPr="00117DF2">
              <w:rPr>
                <w:rFonts w:ascii="Arial" w:hAnsi="Arial"/>
                <w:sz w:val="18"/>
              </w:rPr>
              <w:t xml:space="preserve">. </w:t>
            </w:r>
          </w:p>
        </w:tc>
        <w:tc>
          <w:tcPr>
            <w:tcW w:w="1250" w:type="dxa"/>
            <w:tcBorders>
              <w:bottom w:val="single" w:sz="4" w:space="0" w:color="000000"/>
            </w:tcBorders>
            <w:vAlign w:val="center"/>
          </w:tcPr>
          <w:p w14:paraId="36CC49F1" w14:textId="77777777" w:rsidR="00F6362B" w:rsidRPr="00117DF2" w:rsidRDefault="00F6362B" w:rsidP="00060088">
            <w:pPr>
              <w:contextualSpacing/>
              <w:rPr>
                <w:rFonts w:ascii="Arial" w:hAnsi="Arial"/>
                <w:sz w:val="18"/>
                <w:lang w:val="es-ES"/>
              </w:rPr>
            </w:pPr>
          </w:p>
        </w:tc>
        <w:tc>
          <w:tcPr>
            <w:tcW w:w="1303" w:type="dxa"/>
            <w:gridSpan w:val="2"/>
            <w:tcBorders>
              <w:bottom w:val="single" w:sz="4" w:space="0" w:color="000000"/>
            </w:tcBorders>
            <w:vAlign w:val="center"/>
          </w:tcPr>
          <w:p w14:paraId="563D7725"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Unidad de Asuntos Internos</w:t>
            </w:r>
            <w:r w:rsidRPr="00117DF2">
              <w:rPr>
                <w:rFonts w:ascii="Arial" w:hAnsi="Arial"/>
                <w:sz w:val="18"/>
                <w:lang w:val="es-ES"/>
              </w:rPr>
              <w:t xml:space="preserve"> de la SAT</w:t>
            </w:r>
            <w:r>
              <w:rPr>
                <w:rFonts w:ascii="Arial" w:hAnsi="Arial"/>
                <w:sz w:val="18"/>
                <w:lang w:val="es-ES"/>
              </w:rPr>
              <w:t>, creada</w:t>
            </w:r>
          </w:p>
        </w:tc>
        <w:tc>
          <w:tcPr>
            <w:tcW w:w="997" w:type="dxa"/>
            <w:tcBorders>
              <w:bottom w:val="single" w:sz="4" w:space="0" w:color="000000"/>
            </w:tcBorders>
            <w:vAlign w:val="center"/>
          </w:tcPr>
          <w:p w14:paraId="0F10A30E"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tcBorders>
              <w:bottom w:val="single" w:sz="4" w:space="0" w:color="000000"/>
            </w:tcBorders>
            <w:vAlign w:val="center"/>
          </w:tcPr>
          <w:p w14:paraId="0C4C170C"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tcBorders>
              <w:bottom w:val="single" w:sz="4" w:space="0" w:color="000000"/>
            </w:tcBorders>
            <w:vAlign w:val="center"/>
          </w:tcPr>
          <w:p w14:paraId="5E1CDB5C" w14:textId="77777777" w:rsidR="00F6362B" w:rsidRPr="00117DF2" w:rsidRDefault="00F6362B" w:rsidP="00060088">
            <w:pPr>
              <w:jc w:val="center"/>
              <w:rPr>
                <w:rFonts w:ascii="Arial" w:hAnsi="Arial"/>
                <w:sz w:val="18"/>
                <w:lang w:val="es-ES"/>
              </w:rPr>
            </w:pPr>
          </w:p>
        </w:tc>
        <w:tc>
          <w:tcPr>
            <w:tcW w:w="1140" w:type="dxa"/>
            <w:tcBorders>
              <w:bottom w:val="single" w:sz="4" w:space="0" w:color="000000"/>
            </w:tcBorders>
            <w:vAlign w:val="center"/>
          </w:tcPr>
          <w:p w14:paraId="14183483"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Borders>
              <w:bottom w:val="single" w:sz="4" w:space="0" w:color="000000"/>
            </w:tcBorders>
          </w:tcPr>
          <w:p w14:paraId="7FA34221" w14:textId="77777777" w:rsidR="00F6362B" w:rsidRPr="00117DF2" w:rsidRDefault="00F6362B" w:rsidP="00060088">
            <w:pPr>
              <w:spacing w:before="120" w:after="120"/>
              <w:rPr>
                <w:rFonts w:ascii="Arial" w:hAnsi="Arial"/>
                <w:sz w:val="18"/>
                <w:lang w:val="es-ES"/>
              </w:rPr>
            </w:pPr>
            <w:r w:rsidRPr="00117DF2">
              <w:rPr>
                <w:rFonts w:ascii="Arial" w:hAnsi="Arial"/>
                <w:sz w:val="18"/>
                <w:lang w:val="es-ES"/>
              </w:rPr>
              <w:t>Acuerdo del Directorio de la SAT</w:t>
            </w:r>
            <w:r w:rsidRPr="00611DAF">
              <w:rPr>
                <w:rFonts w:ascii="Arial" w:hAnsi="Arial" w:cs="Arial"/>
                <w:sz w:val="18"/>
                <w:szCs w:val="18"/>
                <w:lang w:val="es-ES"/>
              </w:rPr>
              <w:t xml:space="preserve"> </w:t>
            </w:r>
            <w:r w:rsidRPr="00611DAF">
              <w:rPr>
                <w:rFonts w:ascii="Arial" w:hAnsi="Arial"/>
                <w:sz w:val="18"/>
                <w:lang w:val="es-ES"/>
              </w:rPr>
              <w:t>que aprueba la creación de la Unidad de Asuntos Internos</w:t>
            </w:r>
          </w:p>
        </w:tc>
      </w:tr>
      <w:tr w:rsidR="00F6362B" w:rsidRPr="0006316B" w14:paraId="4E7ACD59" w14:textId="77777777" w:rsidTr="00060088">
        <w:trPr>
          <w:trHeight w:val="1421"/>
        </w:trPr>
        <w:tc>
          <w:tcPr>
            <w:tcW w:w="3477" w:type="dxa"/>
          </w:tcPr>
          <w:p w14:paraId="1614F512" w14:textId="77777777" w:rsidR="00F6362B" w:rsidRPr="000C7504" w:rsidRDefault="00F6362B" w:rsidP="00060088">
            <w:pPr>
              <w:widowControl w:val="0"/>
              <w:spacing w:before="120"/>
              <w:ind w:left="252" w:hanging="252"/>
              <w:jc w:val="both"/>
              <w:rPr>
                <w:rFonts w:ascii="Arial" w:hAnsi="Arial" w:cs="Arial"/>
                <w:sz w:val="18"/>
                <w:szCs w:val="18"/>
              </w:rPr>
            </w:pPr>
            <w:r w:rsidRPr="000C7504">
              <w:rPr>
                <w:rFonts w:ascii="Arial" w:hAnsi="Arial" w:cs="Arial"/>
                <w:sz w:val="18"/>
                <w:szCs w:val="18"/>
                <w:lang w:val="es-ES"/>
              </w:rPr>
              <w:t xml:space="preserve">2b. Unidad de Asuntos Internos </w:t>
            </w:r>
            <w:r>
              <w:rPr>
                <w:rFonts w:ascii="Arial" w:hAnsi="Arial" w:cs="Arial"/>
                <w:sz w:val="18"/>
                <w:szCs w:val="18"/>
                <w:lang w:val="es-ES"/>
              </w:rPr>
              <w:t xml:space="preserve">de la SAT, </w:t>
            </w:r>
            <w:r w:rsidRPr="000C7504">
              <w:rPr>
                <w:rFonts w:ascii="Arial" w:hAnsi="Arial" w:cs="Arial"/>
                <w:sz w:val="18"/>
                <w:szCs w:val="18"/>
                <w:lang w:val="es-ES"/>
              </w:rPr>
              <w:t>en operación</w:t>
            </w:r>
          </w:p>
        </w:tc>
        <w:tc>
          <w:tcPr>
            <w:tcW w:w="1250" w:type="dxa"/>
            <w:vAlign w:val="center"/>
          </w:tcPr>
          <w:p w14:paraId="3D0A6957" w14:textId="77777777" w:rsidR="00F6362B" w:rsidRPr="000C7504" w:rsidRDefault="00F6362B" w:rsidP="00060088">
            <w:pPr>
              <w:widowControl w:val="0"/>
              <w:contextualSpacing/>
              <w:rPr>
                <w:rFonts w:ascii="Arial" w:hAnsi="Arial" w:cs="Arial"/>
                <w:sz w:val="18"/>
                <w:szCs w:val="18"/>
                <w:lang w:val="es-ES"/>
              </w:rPr>
            </w:pPr>
          </w:p>
        </w:tc>
        <w:tc>
          <w:tcPr>
            <w:tcW w:w="1303" w:type="dxa"/>
            <w:gridSpan w:val="2"/>
            <w:vAlign w:val="center"/>
          </w:tcPr>
          <w:p w14:paraId="5377F21D" w14:textId="77777777" w:rsidR="00F6362B" w:rsidRPr="000C7504" w:rsidRDefault="00F6362B" w:rsidP="00060088">
            <w:pPr>
              <w:widowControl w:val="0"/>
              <w:jc w:val="center"/>
              <w:rPr>
                <w:rFonts w:ascii="Arial" w:hAnsi="Arial" w:cs="Arial"/>
                <w:sz w:val="18"/>
                <w:szCs w:val="18"/>
                <w:lang w:val="es-ES"/>
              </w:rPr>
            </w:pPr>
            <w:r w:rsidRPr="000C7504">
              <w:rPr>
                <w:rFonts w:ascii="Arial" w:hAnsi="Arial" w:cs="Arial"/>
                <w:sz w:val="18"/>
                <w:szCs w:val="18"/>
                <w:lang w:val="es-ES"/>
              </w:rPr>
              <w:t>Unidad de Asuntos Internos de la SAT</w:t>
            </w:r>
            <w:r>
              <w:rPr>
                <w:rFonts w:ascii="Arial" w:hAnsi="Arial" w:cs="Arial"/>
                <w:sz w:val="18"/>
                <w:szCs w:val="18"/>
                <w:lang w:val="es-ES"/>
              </w:rPr>
              <w:t>,</w:t>
            </w:r>
            <w:r w:rsidRPr="000C7504">
              <w:rPr>
                <w:rFonts w:ascii="Arial" w:hAnsi="Arial" w:cs="Arial"/>
                <w:sz w:val="18"/>
                <w:szCs w:val="18"/>
                <w:lang w:val="es-ES"/>
              </w:rPr>
              <w:t xml:space="preserve"> en operación</w:t>
            </w:r>
          </w:p>
        </w:tc>
        <w:tc>
          <w:tcPr>
            <w:tcW w:w="997" w:type="dxa"/>
            <w:vAlign w:val="center"/>
          </w:tcPr>
          <w:p w14:paraId="3B9035A0" w14:textId="77777777" w:rsidR="00F6362B" w:rsidRPr="000C7504" w:rsidRDefault="00F6362B" w:rsidP="00060088">
            <w:pPr>
              <w:widowControl w:val="0"/>
              <w:jc w:val="center"/>
              <w:rPr>
                <w:rFonts w:ascii="Arial" w:hAnsi="Arial" w:cs="Arial"/>
                <w:sz w:val="18"/>
                <w:szCs w:val="18"/>
                <w:lang w:val="es-ES"/>
              </w:rPr>
            </w:pPr>
            <w:r w:rsidRPr="000C7504">
              <w:rPr>
                <w:rFonts w:ascii="Arial" w:hAnsi="Arial" w:cs="Arial"/>
                <w:sz w:val="18"/>
                <w:szCs w:val="18"/>
                <w:lang w:val="es-ES"/>
              </w:rPr>
              <w:t>0</w:t>
            </w:r>
          </w:p>
        </w:tc>
        <w:tc>
          <w:tcPr>
            <w:tcW w:w="1140" w:type="dxa"/>
            <w:vAlign w:val="center"/>
          </w:tcPr>
          <w:p w14:paraId="266614F7" w14:textId="77777777" w:rsidR="00F6362B" w:rsidRPr="000C7504" w:rsidRDefault="00F6362B" w:rsidP="00060088">
            <w:pPr>
              <w:widowControl w:val="0"/>
              <w:jc w:val="center"/>
              <w:rPr>
                <w:rFonts w:ascii="Arial" w:hAnsi="Arial" w:cs="Arial"/>
                <w:sz w:val="18"/>
                <w:szCs w:val="18"/>
                <w:lang w:val="es-ES"/>
              </w:rPr>
            </w:pPr>
            <w:r>
              <w:rPr>
                <w:rFonts w:ascii="Arial" w:hAnsi="Arial" w:cs="Arial"/>
                <w:sz w:val="18"/>
                <w:szCs w:val="18"/>
                <w:lang w:val="es-ES"/>
              </w:rPr>
              <w:t>0</w:t>
            </w:r>
          </w:p>
        </w:tc>
        <w:tc>
          <w:tcPr>
            <w:tcW w:w="1139" w:type="dxa"/>
            <w:vAlign w:val="center"/>
          </w:tcPr>
          <w:p w14:paraId="353F1967" w14:textId="77777777" w:rsidR="00F6362B" w:rsidRPr="000C7504" w:rsidRDefault="00F6362B" w:rsidP="00060088">
            <w:pPr>
              <w:widowControl w:val="0"/>
              <w:jc w:val="center"/>
              <w:rPr>
                <w:rFonts w:ascii="Arial" w:hAnsi="Arial" w:cs="Arial"/>
                <w:sz w:val="18"/>
                <w:szCs w:val="18"/>
                <w:lang w:val="es-ES"/>
              </w:rPr>
            </w:pPr>
            <w:r w:rsidRPr="000C7504">
              <w:rPr>
                <w:rFonts w:ascii="Arial" w:hAnsi="Arial" w:cs="Arial"/>
                <w:sz w:val="18"/>
                <w:szCs w:val="18"/>
                <w:lang w:val="es-ES"/>
              </w:rPr>
              <w:t>1</w:t>
            </w:r>
          </w:p>
        </w:tc>
        <w:tc>
          <w:tcPr>
            <w:tcW w:w="1140" w:type="dxa"/>
            <w:vAlign w:val="center"/>
          </w:tcPr>
          <w:p w14:paraId="50BE5DCF" w14:textId="77777777" w:rsidR="00F6362B" w:rsidRPr="000C7504" w:rsidRDefault="00F6362B" w:rsidP="00060088">
            <w:pPr>
              <w:widowControl w:val="0"/>
              <w:jc w:val="center"/>
              <w:rPr>
                <w:rFonts w:ascii="Arial" w:hAnsi="Arial" w:cs="Arial"/>
                <w:sz w:val="18"/>
                <w:szCs w:val="18"/>
                <w:lang w:val="es-ES"/>
              </w:rPr>
            </w:pPr>
            <w:r w:rsidRPr="000C7504">
              <w:rPr>
                <w:rFonts w:ascii="Arial" w:hAnsi="Arial" w:cs="Arial"/>
                <w:sz w:val="18"/>
                <w:szCs w:val="18"/>
                <w:lang w:val="es-ES"/>
              </w:rPr>
              <w:t>1</w:t>
            </w:r>
          </w:p>
        </w:tc>
        <w:tc>
          <w:tcPr>
            <w:tcW w:w="3054" w:type="dxa"/>
          </w:tcPr>
          <w:p w14:paraId="32219C6D" w14:textId="77777777" w:rsidR="00F6362B" w:rsidRPr="000C7504" w:rsidRDefault="00F6362B" w:rsidP="00060088">
            <w:pPr>
              <w:widowControl w:val="0"/>
              <w:spacing w:before="120" w:after="120"/>
              <w:rPr>
                <w:rFonts w:ascii="Arial" w:hAnsi="Arial" w:cs="Arial"/>
                <w:sz w:val="18"/>
                <w:szCs w:val="18"/>
                <w:lang w:val="es-ES"/>
              </w:rPr>
            </w:pPr>
            <w:r w:rsidRPr="00611DAF">
              <w:rPr>
                <w:rFonts w:ascii="Arial" w:hAnsi="Arial" w:cs="Arial"/>
                <w:sz w:val="18"/>
                <w:szCs w:val="18"/>
                <w:lang w:val="es-ES"/>
              </w:rPr>
              <w:t>Informe de la SAT, donde conste el procedimiento y la cantidad de verificaciones realizadas y sus resultados</w:t>
            </w:r>
            <w:r w:rsidRPr="00611DAF">
              <w:rPr>
                <w:rFonts w:ascii="Arial" w:hAnsi="Arial" w:cs="Arial"/>
                <w:sz w:val="18"/>
                <w:szCs w:val="18"/>
              </w:rPr>
              <w:t>.</w:t>
            </w:r>
          </w:p>
        </w:tc>
      </w:tr>
      <w:tr w:rsidR="00F6362B" w:rsidRPr="00C63764" w14:paraId="0ECBD0FD" w14:textId="77777777" w:rsidTr="00060088">
        <w:trPr>
          <w:trHeight w:val="737"/>
        </w:trPr>
        <w:tc>
          <w:tcPr>
            <w:tcW w:w="3477" w:type="dxa"/>
            <w:shd w:val="clear" w:color="auto" w:fill="D9D9D9" w:themeFill="background1" w:themeFillShade="D9"/>
            <w:vAlign w:val="center"/>
          </w:tcPr>
          <w:p w14:paraId="5824C1AC" w14:textId="77777777" w:rsidR="00F6362B" w:rsidRPr="000C7504" w:rsidRDefault="00F6362B" w:rsidP="00060088">
            <w:pPr>
              <w:keepNext/>
              <w:spacing w:before="120"/>
              <w:ind w:left="252" w:hanging="252"/>
              <w:jc w:val="center"/>
              <w:rPr>
                <w:rFonts w:ascii="Arial" w:hAnsi="Arial" w:cs="Arial"/>
                <w:sz w:val="20"/>
                <w:szCs w:val="18"/>
                <w:lang w:val="es-ES"/>
              </w:rPr>
            </w:pPr>
            <w:r w:rsidRPr="00032626">
              <w:rPr>
                <w:rFonts w:ascii="Arial" w:hAnsi="Arial" w:cs="Arial"/>
                <w:b/>
                <w:sz w:val="20"/>
                <w:lang w:val="es-ES"/>
              </w:rPr>
              <w:lastRenderedPageBreak/>
              <w:t>Productos</w:t>
            </w:r>
          </w:p>
        </w:tc>
        <w:tc>
          <w:tcPr>
            <w:tcW w:w="1250" w:type="dxa"/>
            <w:shd w:val="clear" w:color="auto" w:fill="D9D9D9" w:themeFill="background1" w:themeFillShade="D9"/>
            <w:vAlign w:val="center"/>
          </w:tcPr>
          <w:p w14:paraId="1526C45F" w14:textId="77777777" w:rsidR="00F6362B" w:rsidRPr="000C7504" w:rsidRDefault="00F6362B" w:rsidP="00060088">
            <w:pPr>
              <w:keepNext/>
              <w:contextualSpacing/>
              <w:jc w:val="center"/>
              <w:rPr>
                <w:rFonts w:ascii="Arial" w:hAnsi="Arial" w:cs="Arial"/>
                <w:sz w:val="20"/>
                <w:szCs w:val="18"/>
                <w:lang w:val="es-ES"/>
              </w:rPr>
            </w:pPr>
            <w:r w:rsidRPr="00032626">
              <w:rPr>
                <w:rFonts w:ascii="Arial" w:hAnsi="Arial" w:cs="Arial"/>
                <w:b/>
                <w:sz w:val="20"/>
                <w:lang w:val="es-ES"/>
              </w:rPr>
              <w:t>Costo estimado (US$)</w:t>
            </w:r>
          </w:p>
        </w:tc>
        <w:tc>
          <w:tcPr>
            <w:tcW w:w="1303" w:type="dxa"/>
            <w:gridSpan w:val="2"/>
            <w:shd w:val="clear" w:color="auto" w:fill="D9D9D9" w:themeFill="background1" w:themeFillShade="D9"/>
            <w:vAlign w:val="center"/>
          </w:tcPr>
          <w:p w14:paraId="0B481EAC" w14:textId="77777777" w:rsidR="00F6362B" w:rsidRPr="000C7504" w:rsidRDefault="00F6362B" w:rsidP="00060088">
            <w:pPr>
              <w:keepNext/>
              <w:jc w:val="center"/>
              <w:rPr>
                <w:rFonts w:ascii="Arial" w:hAnsi="Arial" w:cs="Arial"/>
                <w:sz w:val="20"/>
                <w:szCs w:val="18"/>
                <w:lang w:val="es-ES"/>
              </w:rPr>
            </w:pPr>
            <w:r w:rsidRPr="00032626">
              <w:rPr>
                <w:rFonts w:ascii="Arial" w:hAnsi="Arial" w:cs="Arial"/>
                <w:b/>
                <w:sz w:val="20"/>
                <w:lang w:val="es-ES"/>
              </w:rPr>
              <w:t>Unidad de medida</w:t>
            </w:r>
          </w:p>
        </w:tc>
        <w:tc>
          <w:tcPr>
            <w:tcW w:w="997" w:type="dxa"/>
            <w:shd w:val="clear" w:color="auto" w:fill="D9D9D9" w:themeFill="background1" w:themeFillShade="D9"/>
            <w:vAlign w:val="center"/>
          </w:tcPr>
          <w:p w14:paraId="68CD5BC3" w14:textId="77777777" w:rsidR="00F6362B" w:rsidRPr="000C7504" w:rsidRDefault="00F6362B" w:rsidP="00060088">
            <w:pPr>
              <w:keepNext/>
              <w:jc w:val="center"/>
              <w:rPr>
                <w:rFonts w:ascii="Arial" w:hAnsi="Arial" w:cs="Arial"/>
                <w:sz w:val="20"/>
                <w:szCs w:val="18"/>
                <w:lang w:val="es-ES"/>
              </w:rPr>
            </w:pPr>
            <w:r w:rsidRPr="00032626">
              <w:rPr>
                <w:rFonts w:ascii="Arial" w:hAnsi="Arial" w:cs="Arial"/>
                <w:b/>
                <w:sz w:val="20"/>
                <w:lang w:val="es-ES"/>
              </w:rPr>
              <w:t>Línea de base</w:t>
            </w:r>
          </w:p>
        </w:tc>
        <w:tc>
          <w:tcPr>
            <w:tcW w:w="1140" w:type="dxa"/>
            <w:shd w:val="clear" w:color="auto" w:fill="D9D9D9" w:themeFill="background1" w:themeFillShade="D9"/>
            <w:vAlign w:val="center"/>
          </w:tcPr>
          <w:p w14:paraId="29463948" w14:textId="77777777" w:rsidR="00F6362B" w:rsidRPr="000C7504" w:rsidRDefault="00F6362B" w:rsidP="00060088">
            <w:pPr>
              <w:keepNext/>
              <w:jc w:val="center"/>
              <w:rPr>
                <w:rFonts w:ascii="Arial" w:hAnsi="Arial" w:cs="Arial"/>
                <w:sz w:val="20"/>
                <w:szCs w:val="18"/>
                <w:lang w:val="es-ES"/>
              </w:rPr>
            </w:pPr>
            <w:r w:rsidRPr="00032626">
              <w:rPr>
                <w:rFonts w:ascii="Arial" w:hAnsi="Arial" w:cs="Arial"/>
                <w:b/>
                <w:sz w:val="20"/>
                <w:lang w:val="es-ES"/>
              </w:rPr>
              <w:t>Año 1</w:t>
            </w:r>
          </w:p>
        </w:tc>
        <w:tc>
          <w:tcPr>
            <w:tcW w:w="1139" w:type="dxa"/>
            <w:shd w:val="clear" w:color="auto" w:fill="D9D9D9" w:themeFill="background1" w:themeFillShade="D9"/>
            <w:vAlign w:val="center"/>
          </w:tcPr>
          <w:p w14:paraId="06105926" w14:textId="77777777" w:rsidR="00F6362B" w:rsidRPr="000C7504" w:rsidRDefault="00F6362B" w:rsidP="00060088">
            <w:pPr>
              <w:keepNext/>
              <w:jc w:val="center"/>
              <w:rPr>
                <w:rFonts w:ascii="Arial" w:hAnsi="Arial" w:cs="Arial"/>
                <w:sz w:val="20"/>
                <w:szCs w:val="18"/>
                <w:lang w:val="es-ES"/>
              </w:rPr>
            </w:pPr>
            <w:r w:rsidRPr="00032626">
              <w:rPr>
                <w:rFonts w:ascii="Arial" w:hAnsi="Arial" w:cs="Arial"/>
                <w:b/>
                <w:sz w:val="20"/>
                <w:lang w:val="es-ES"/>
              </w:rPr>
              <w:t>Año 2</w:t>
            </w:r>
          </w:p>
        </w:tc>
        <w:tc>
          <w:tcPr>
            <w:tcW w:w="1140" w:type="dxa"/>
            <w:shd w:val="clear" w:color="auto" w:fill="D9D9D9" w:themeFill="background1" w:themeFillShade="D9"/>
            <w:vAlign w:val="center"/>
          </w:tcPr>
          <w:p w14:paraId="3C38C00D" w14:textId="77777777" w:rsidR="00F6362B" w:rsidRPr="000C7504" w:rsidRDefault="00F6362B" w:rsidP="00060088">
            <w:pPr>
              <w:keepNext/>
              <w:jc w:val="center"/>
              <w:rPr>
                <w:rFonts w:ascii="Arial" w:hAnsi="Arial" w:cs="Arial"/>
                <w:sz w:val="20"/>
                <w:szCs w:val="18"/>
                <w:lang w:val="es-ES"/>
              </w:rPr>
            </w:pPr>
            <w:r w:rsidRPr="00032626">
              <w:rPr>
                <w:rFonts w:ascii="Arial" w:hAnsi="Arial" w:cs="Arial"/>
                <w:b/>
                <w:sz w:val="20"/>
                <w:lang w:val="es-ES"/>
              </w:rPr>
              <w:t>Meta final</w:t>
            </w:r>
          </w:p>
        </w:tc>
        <w:tc>
          <w:tcPr>
            <w:tcW w:w="3054" w:type="dxa"/>
            <w:shd w:val="clear" w:color="auto" w:fill="D9D9D9" w:themeFill="background1" w:themeFillShade="D9"/>
            <w:vAlign w:val="center"/>
          </w:tcPr>
          <w:p w14:paraId="682C83DE" w14:textId="77777777" w:rsidR="00F6362B" w:rsidRPr="000C7504" w:rsidRDefault="00F6362B" w:rsidP="00060088">
            <w:pPr>
              <w:keepNext/>
              <w:spacing w:before="120" w:after="120"/>
              <w:jc w:val="center"/>
              <w:rPr>
                <w:rFonts w:ascii="Arial" w:hAnsi="Arial" w:cs="Arial"/>
                <w:sz w:val="20"/>
                <w:szCs w:val="18"/>
                <w:lang w:val="es-ES"/>
              </w:rPr>
            </w:pPr>
            <w:r w:rsidRPr="00032626">
              <w:rPr>
                <w:rFonts w:ascii="Arial" w:hAnsi="Arial" w:cs="Arial"/>
                <w:b/>
                <w:sz w:val="20"/>
                <w:lang w:val="es-ES"/>
              </w:rPr>
              <w:t>Medio de verificación</w:t>
            </w:r>
          </w:p>
        </w:tc>
      </w:tr>
      <w:tr w:rsidR="00F6362B" w:rsidRPr="0006316B" w14:paraId="02942D10" w14:textId="77777777" w:rsidTr="00060088">
        <w:trPr>
          <w:trHeight w:val="1259"/>
        </w:trPr>
        <w:tc>
          <w:tcPr>
            <w:tcW w:w="3477" w:type="dxa"/>
          </w:tcPr>
          <w:p w14:paraId="3C1D3E9F" w14:textId="77777777" w:rsidR="00F6362B" w:rsidRPr="00117DF2" w:rsidRDefault="00F6362B" w:rsidP="00060088">
            <w:pPr>
              <w:spacing w:before="120"/>
              <w:ind w:left="162" w:hanging="162"/>
              <w:jc w:val="both"/>
              <w:rPr>
                <w:rFonts w:ascii="Arial" w:hAnsi="Arial"/>
                <w:sz w:val="18"/>
              </w:rPr>
            </w:pPr>
            <w:r w:rsidRPr="000C7504">
              <w:rPr>
                <w:rFonts w:ascii="Arial" w:hAnsi="Arial" w:cs="Arial"/>
                <w:sz w:val="18"/>
                <w:szCs w:val="18"/>
                <w:lang w:val="es-ES"/>
              </w:rPr>
              <w:t>3a</w:t>
            </w:r>
            <w:r w:rsidRPr="00117DF2">
              <w:rPr>
                <w:rFonts w:ascii="Arial" w:hAnsi="Arial"/>
                <w:sz w:val="18"/>
                <w:lang w:val="es-ES"/>
              </w:rPr>
              <w:t>. Gerencia de Investigación Fiscal</w:t>
            </w:r>
            <w:r>
              <w:rPr>
                <w:rFonts w:ascii="Arial" w:hAnsi="Arial"/>
                <w:sz w:val="18"/>
                <w:lang w:val="es-ES"/>
              </w:rPr>
              <w:t xml:space="preserve"> de la SAT, creada</w:t>
            </w:r>
            <w:r w:rsidRPr="00117DF2">
              <w:rPr>
                <w:rFonts w:ascii="Arial" w:hAnsi="Arial"/>
                <w:sz w:val="18"/>
              </w:rPr>
              <w:t>.</w:t>
            </w:r>
          </w:p>
        </w:tc>
        <w:tc>
          <w:tcPr>
            <w:tcW w:w="1250" w:type="dxa"/>
            <w:vAlign w:val="center"/>
          </w:tcPr>
          <w:p w14:paraId="48F822E4" w14:textId="77777777" w:rsidR="00F6362B" w:rsidRPr="00117DF2" w:rsidRDefault="00F6362B" w:rsidP="00060088">
            <w:pPr>
              <w:contextualSpacing/>
              <w:rPr>
                <w:rFonts w:ascii="Arial" w:hAnsi="Arial"/>
                <w:sz w:val="18"/>
                <w:lang w:val="es-ES"/>
              </w:rPr>
            </w:pPr>
          </w:p>
        </w:tc>
        <w:tc>
          <w:tcPr>
            <w:tcW w:w="1303" w:type="dxa"/>
            <w:gridSpan w:val="2"/>
            <w:vAlign w:val="center"/>
          </w:tcPr>
          <w:p w14:paraId="725F6974"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 xml:space="preserve"> Gerencia de Investigación Fiscal</w:t>
            </w:r>
            <w:r>
              <w:rPr>
                <w:rFonts w:ascii="Arial" w:hAnsi="Arial" w:cs="Arial"/>
                <w:sz w:val="18"/>
                <w:szCs w:val="18"/>
                <w:lang w:val="es-ES"/>
              </w:rPr>
              <w:t>,</w:t>
            </w:r>
            <w:r w:rsidRPr="000C7504">
              <w:rPr>
                <w:rFonts w:ascii="Arial" w:hAnsi="Arial" w:cs="Arial"/>
                <w:sz w:val="18"/>
                <w:szCs w:val="18"/>
                <w:lang w:val="es-ES"/>
              </w:rPr>
              <w:t xml:space="preserve"> creada</w:t>
            </w:r>
          </w:p>
        </w:tc>
        <w:tc>
          <w:tcPr>
            <w:tcW w:w="997" w:type="dxa"/>
            <w:vAlign w:val="center"/>
          </w:tcPr>
          <w:p w14:paraId="515D852B"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0BCAB065"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79DDCA23" w14:textId="77777777" w:rsidR="00F6362B" w:rsidRPr="00117DF2" w:rsidRDefault="00F6362B" w:rsidP="00060088">
            <w:pPr>
              <w:jc w:val="center"/>
              <w:rPr>
                <w:rFonts w:ascii="Arial" w:hAnsi="Arial"/>
                <w:sz w:val="18"/>
                <w:lang w:val="es-ES"/>
              </w:rPr>
            </w:pPr>
            <w:r>
              <w:rPr>
                <w:rFonts w:ascii="Arial" w:hAnsi="Arial" w:cs="Arial"/>
                <w:sz w:val="18"/>
                <w:szCs w:val="18"/>
                <w:lang w:val="es-ES"/>
              </w:rPr>
              <w:t>0</w:t>
            </w:r>
          </w:p>
        </w:tc>
        <w:tc>
          <w:tcPr>
            <w:tcW w:w="1140" w:type="dxa"/>
            <w:vAlign w:val="center"/>
          </w:tcPr>
          <w:p w14:paraId="4CA08A70"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45EBCFEA"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Acuerdo del Directorio de la SAT</w:t>
            </w:r>
            <w:r w:rsidRPr="00FB639E">
              <w:rPr>
                <w:rFonts w:ascii="Arial" w:hAnsi="Arial" w:cs="Arial"/>
                <w:sz w:val="18"/>
                <w:szCs w:val="18"/>
                <w:lang w:val="es-ES"/>
              </w:rPr>
              <w:t xml:space="preserve"> </w:t>
            </w:r>
            <w:r w:rsidRPr="00FB639E">
              <w:rPr>
                <w:rFonts w:ascii="Arial" w:hAnsi="Arial"/>
                <w:sz w:val="18"/>
                <w:lang w:val="es-ES"/>
              </w:rPr>
              <w:t>que aprueba la creación de la Gerencia de Investigación Fiscal</w:t>
            </w:r>
          </w:p>
        </w:tc>
      </w:tr>
      <w:tr w:rsidR="00F6362B" w:rsidRPr="0006316B" w14:paraId="47D767E3" w14:textId="77777777" w:rsidTr="00060088">
        <w:trPr>
          <w:trHeight w:val="1070"/>
        </w:trPr>
        <w:tc>
          <w:tcPr>
            <w:tcW w:w="3477" w:type="dxa"/>
          </w:tcPr>
          <w:p w14:paraId="09916541" w14:textId="77777777" w:rsidR="00F6362B" w:rsidRPr="00117DF2" w:rsidRDefault="00F6362B" w:rsidP="00060088">
            <w:pPr>
              <w:spacing w:before="120"/>
              <w:ind w:left="252" w:hanging="252"/>
              <w:jc w:val="both"/>
              <w:rPr>
                <w:rFonts w:ascii="Arial" w:hAnsi="Arial"/>
                <w:sz w:val="18"/>
              </w:rPr>
            </w:pPr>
            <w:r w:rsidRPr="000C7504">
              <w:rPr>
                <w:rFonts w:ascii="Arial" w:hAnsi="Arial" w:cs="Arial"/>
                <w:sz w:val="18"/>
                <w:szCs w:val="18"/>
                <w:lang w:val="es-ES"/>
              </w:rPr>
              <w:t>3b. Gerencia de Investigación Fiscal de la SAT</w:t>
            </w:r>
            <w:r>
              <w:rPr>
                <w:rFonts w:ascii="Arial" w:hAnsi="Arial" w:cs="Arial"/>
                <w:sz w:val="18"/>
                <w:szCs w:val="18"/>
                <w:lang w:val="es-ES"/>
              </w:rPr>
              <w:t>,</w:t>
            </w:r>
            <w:r w:rsidRPr="000C7504">
              <w:rPr>
                <w:rFonts w:ascii="Arial" w:hAnsi="Arial" w:cs="Arial"/>
                <w:sz w:val="18"/>
                <w:szCs w:val="18"/>
                <w:lang w:val="es-ES"/>
              </w:rPr>
              <w:t xml:space="preserve"> en operación</w:t>
            </w:r>
          </w:p>
        </w:tc>
        <w:tc>
          <w:tcPr>
            <w:tcW w:w="1250" w:type="dxa"/>
            <w:vAlign w:val="center"/>
          </w:tcPr>
          <w:p w14:paraId="29E62910" w14:textId="77777777" w:rsidR="00F6362B" w:rsidRPr="00117DF2" w:rsidRDefault="00F6362B" w:rsidP="00060088">
            <w:pPr>
              <w:contextualSpacing/>
              <w:rPr>
                <w:rFonts w:ascii="Arial" w:hAnsi="Arial"/>
                <w:sz w:val="18"/>
                <w:lang w:val="es-ES"/>
              </w:rPr>
            </w:pPr>
          </w:p>
        </w:tc>
        <w:tc>
          <w:tcPr>
            <w:tcW w:w="1303" w:type="dxa"/>
            <w:gridSpan w:val="2"/>
            <w:vAlign w:val="center"/>
          </w:tcPr>
          <w:p w14:paraId="7DC208FD"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 xml:space="preserve"> Gerencia de Investigación Fiscal</w:t>
            </w:r>
            <w:r>
              <w:rPr>
                <w:rFonts w:ascii="Arial" w:hAnsi="Arial" w:cs="Arial"/>
                <w:sz w:val="18"/>
                <w:szCs w:val="18"/>
                <w:lang w:val="es-ES"/>
              </w:rPr>
              <w:t>,</w:t>
            </w:r>
            <w:r w:rsidRPr="000C7504">
              <w:rPr>
                <w:rFonts w:ascii="Arial" w:hAnsi="Arial" w:cs="Arial"/>
                <w:sz w:val="18"/>
                <w:szCs w:val="18"/>
                <w:lang w:val="es-ES"/>
              </w:rPr>
              <w:t xml:space="preserve"> en operación</w:t>
            </w:r>
          </w:p>
        </w:tc>
        <w:tc>
          <w:tcPr>
            <w:tcW w:w="997" w:type="dxa"/>
            <w:vAlign w:val="center"/>
          </w:tcPr>
          <w:p w14:paraId="17DFE017"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0</w:t>
            </w:r>
          </w:p>
        </w:tc>
        <w:tc>
          <w:tcPr>
            <w:tcW w:w="1140" w:type="dxa"/>
            <w:vAlign w:val="center"/>
          </w:tcPr>
          <w:p w14:paraId="02A48C21" w14:textId="77777777" w:rsidR="00F6362B" w:rsidRPr="000C7504" w:rsidRDefault="00F6362B" w:rsidP="00060088">
            <w:pPr>
              <w:jc w:val="center"/>
              <w:rPr>
                <w:rFonts w:ascii="Arial" w:hAnsi="Arial" w:cs="Arial"/>
                <w:sz w:val="18"/>
                <w:szCs w:val="18"/>
                <w:lang w:val="es-ES"/>
              </w:rPr>
            </w:pPr>
            <w:r>
              <w:rPr>
                <w:rFonts w:ascii="Arial" w:hAnsi="Arial" w:cs="Arial"/>
                <w:sz w:val="18"/>
                <w:szCs w:val="18"/>
                <w:lang w:val="es-ES"/>
              </w:rPr>
              <w:t>0</w:t>
            </w:r>
          </w:p>
        </w:tc>
        <w:tc>
          <w:tcPr>
            <w:tcW w:w="1139" w:type="dxa"/>
            <w:vAlign w:val="center"/>
          </w:tcPr>
          <w:p w14:paraId="7DA0832F"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40" w:type="dxa"/>
            <w:vAlign w:val="center"/>
          </w:tcPr>
          <w:p w14:paraId="11D5A0EF"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1</w:t>
            </w:r>
          </w:p>
        </w:tc>
        <w:tc>
          <w:tcPr>
            <w:tcW w:w="3054" w:type="dxa"/>
          </w:tcPr>
          <w:p w14:paraId="4B8BA8CC" w14:textId="77777777" w:rsidR="00F6362B" w:rsidRPr="00117DF2" w:rsidRDefault="00F6362B" w:rsidP="00060088">
            <w:pPr>
              <w:spacing w:before="120" w:after="120"/>
              <w:jc w:val="both"/>
              <w:rPr>
                <w:rFonts w:ascii="Arial" w:hAnsi="Arial"/>
                <w:sz w:val="18"/>
                <w:lang w:val="es-ES"/>
              </w:rPr>
            </w:pPr>
            <w:r w:rsidRPr="000C7504">
              <w:rPr>
                <w:rFonts w:ascii="Arial" w:hAnsi="Arial" w:cs="Arial"/>
                <w:sz w:val="18"/>
                <w:szCs w:val="18"/>
                <w:lang w:val="es-ES"/>
              </w:rPr>
              <w:t>Informe de la SAT, donde consten los análisis, cruces de información y otros insumos generados por su investigación</w:t>
            </w:r>
            <w:r>
              <w:rPr>
                <w:rFonts w:ascii="Arial" w:hAnsi="Arial" w:cs="Arial"/>
                <w:sz w:val="18"/>
                <w:szCs w:val="18"/>
                <w:lang w:val="es-ES"/>
              </w:rPr>
              <w:t>.</w:t>
            </w:r>
          </w:p>
        </w:tc>
      </w:tr>
      <w:tr w:rsidR="00F6362B" w:rsidRPr="0006316B" w14:paraId="2E9FA1CA" w14:textId="77777777" w:rsidTr="00060088">
        <w:trPr>
          <w:trHeight w:val="1853"/>
        </w:trPr>
        <w:tc>
          <w:tcPr>
            <w:tcW w:w="3477" w:type="dxa"/>
          </w:tcPr>
          <w:p w14:paraId="2DB937C6" w14:textId="77777777" w:rsidR="00F6362B" w:rsidRPr="00117DF2" w:rsidRDefault="00F6362B" w:rsidP="00060088">
            <w:pPr>
              <w:autoSpaceDE w:val="0"/>
              <w:autoSpaceDN w:val="0"/>
              <w:adjustRightInd w:val="0"/>
              <w:spacing w:before="120" w:after="120"/>
              <w:ind w:left="342" w:hanging="342"/>
              <w:jc w:val="both"/>
              <w:rPr>
                <w:rFonts w:ascii="Arial" w:hAnsi="Arial"/>
                <w:color w:val="000000"/>
                <w:sz w:val="18"/>
                <w:lang w:val="es-AR"/>
              </w:rPr>
            </w:pPr>
            <w:r w:rsidRPr="000C7504">
              <w:rPr>
                <w:rFonts w:ascii="Arial" w:hAnsi="Arial" w:cs="Arial"/>
                <w:sz w:val="18"/>
                <w:szCs w:val="18"/>
                <w:lang w:val="es-ES"/>
              </w:rPr>
              <w:t>4a</w:t>
            </w:r>
            <w:r w:rsidRPr="00117DF2">
              <w:rPr>
                <w:rFonts w:ascii="Arial" w:hAnsi="Arial"/>
                <w:sz w:val="18"/>
                <w:lang w:val="es-ES"/>
              </w:rPr>
              <w:t>. Reingeniería de personal de la SAT</w:t>
            </w:r>
            <w:r>
              <w:rPr>
                <w:rFonts w:ascii="Arial" w:hAnsi="Arial"/>
                <w:sz w:val="18"/>
                <w:lang w:val="es-ES"/>
              </w:rPr>
              <w:t xml:space="preserve"> definida</w:t>
            </w:r>
            <w:r w:rsidRPr="00117DF2">
              <w:rPr>
                <w:rFonts w:ascii="Arial" w:hAnsi="Arial"/>
                <w:sz w:val="18"/>
                <w:lang w:val="es-ES"/>
              </w:rPr>
              <w:t>, incluyendo la revisión de los tipos de perfiles profesionales y técnicos requeridos, el diseño de la carrera de los funcionarios y la disponibilidad de aproximadamente 450 plazas de trabajo (nuevas o vacantes)</w:t>
            </w:r>
            <w:r w:rsidRPr="00117DF2">
              <w:rPr>
                <w:rFonts w:ascii="Arial" w:hAnsi="Arial"/>
                <w:sz w:val="18"/>
              </w:rPr>
              <w:t>.</w:t>
            </w:r>
          </w:p>
        </w:tc>
        <w:tc>
          <w:tcPr>
            <w:tcW w:w="1250" w:type="dxa"/>
            <w:vAlign w:val="center"/>
          </w:tcPr>
          <w:p w14:paraId="359D6545" w14:textId="77777777" w:rsidR="00F6362B" w:rsidRPr="00117DF2" w:rsidRDefault="00F6362B" w:rsidP="00060088">
            <w:pPr>
              <w:contextualSpacing/>
              <w:rPr>
                <w:rFonts w:ascii="Arial" w:hAnsi="Arial"/>
                <w:sz w:val="18"/>
                <w:lang w:val="es-ES"/>
              </w:rPr>
            </w:pPr>
          </w:p>
        </w:tc>
        <w:tc>
          <w:tcPr>
            <w:tcW w:w="1303" w:type="dxa"/>
            <w:gridSpan w:val="2"/>
            <w:vAlign w:val="center"/>
          </w:tcPr>
          <w:p w14:paraId="7242E6B3"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 xml:space="preserve"> Reingeniería de personal</w:t>
            </w:r>
            <w:r w:rsidRPr="00117DF2">
              <w:rPr>
                <w:rFonts w:ascii="Arial" w:hAnsi="Arial"/>
                <w:sz w:val="18"/>
                <w:lang w:val="es-ES"/>
              </w:rPr>
              <w:t xml:space="preserve"> de la SAT</w:t>
            </w:r>
            <w:r>
              <w:rPr>
                <w:rFonts w:ascii="Arial" w:hAnsi="Arial"/>
                <w:sz w:val="18"/>
                <w:lang w:val="es-ES"/>
              </w:rPr>
              <w:t>, definida</w:t>
            </w:r>
          </w:p>
        </w:tc>
        <w:tc>
          <w:tcPr>
            <w:tcW w:w="997" w:type="dxa"/>
            <w:vAlign w:val="center"/>
          </w:tcPr>
          <w:p w14:paraId="0B994AAE"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12D2AD09"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3744F21C" w14:textId="77777777" w:rsidR="00F6362B" w:rsidRPr="00117DF2" w:rsidRDefault="00F6362B" w:rsidP="00060088">
            <w:pPr>
              <w:jc w:val="center"/>
              <w:rPr>
                <w:rFonts w:ascii="Arial" w:hAnsi="Arial"/>
                <w:sz w:val="18"/>
                <w:lang w:val="es-ES"/>
              </w:rPr>
            </w:pPr>
            <w:r>
              <w:rPr>
                <w:rFonts w:ascii="Arial" w:hAnsi="Arial" w:cs="Arial"/>
                <w:sz w:val="18"/>
                <w:szCs w:val="18"/>
                <w:lang w:val="es-ES"/>
              </w:rPr>
              <w:t>0</w:t>
            </w:r>
          </w:p>
        </w:tc>
        <w:tc>
          <w:tcPr>
            <w:tcW w:w="1140" w:type="dxa"/>
            <w:vAlign w:val="center"/>
          </w:tcPr>
          <w:p w14:paraId="6B08ECB8"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506E32CC"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Acuerdo del Directorio de la SAT sobre las plazas y perfiles, e Informe de la SAT con el diseño de la carrera</w:t>
            </w:r>
            <w:r>
              <w:rPr>
                <w:rFonts w:ascii="Arial" w:hAnsi="Arial"/>
                <w:sz w:val="18"/>
                <w:lang w:val="es-ES"/>
              </w:rPr>
              <w:t xml:space="preserve"> de los funcionarios</w:t>
            </w:r>
            <w:r w:rsidRPr="00117DF2">
              <w:rPr>
                <w:rFonts w:ascii="Arial" w:hAnsi="Arial"/>
                <w:sz w:val="18"/>
              </w:rPr>
              <w:t>.</w:t>
            </w:r>
          </w:p>
        </w:tc>
      </w:tr>
      <w:tr w:rsidR="00F6362B" w:rsidRPr="0006316B" w14:paraId="61592F03" w14:textId="77777777" w:rsidTr="00060088">
        <w:trPr>
          <w:trHeight w:val="1025"/>
        </w:trPr>
        <w:tc>
          <w:tcPr>
            <w:tcW w:w="3477" w:type="dxa"/>
          </w:tcPr>
          <w:p w14:paraId="3D0E8884" w14:textId="77777777" w:rsidR="00F6362B" w:rsidRPr="000C7504" w:rsidRDefault="00F6362B" w:rsidP="00060088">
            <w:pPr>
              <w:autoSpaceDE w:val="0"/>
              <w:autoSpaceDN w:val="0"/>
              <w:adjustRightInd w:val="0"/>
              <w:spacing w:before="120" w:after="120"/>
              <w:ind w:left="342" w:hanging="342"/>
              <w:rPr>
                <w:rFonts w:ascii="Arial" w:hAnsi="Arial" w:cs="Arial"/>
                <w:color w:val="000000"/>
                <w:sz w:val="18"/>
                <w:lang w:val="es-AR"/>
              </w:rPr>
            </w:pPr>
            <w:r w:rsidRPr="000C7504">
              <w:rPr>
                <w:rFonts w:ascii="Arial" w:hAnsi="Arial" w:cs="Arial"/>
                <w:sz w:val="18"/>
                <w:lang w:val="es-ES"/>
              </w:rPr>
              <w:t xml:space="preserve">4b. Funcionarios </w:t>
            </w:r>
            <w:r>
              <w:rPr>
                <w:rFonts w:ascii="Arial" w:hAnsi="Arial" w:cs="Arial"/>
                <w:sz w:val="18"/>
                <w:lang w:val="es-ES"/>
              </w:rPr>
              <w:t xml:space="preserve">contratados en la SAT </w:t>
            </w:r>
            <w:r w:rsidRPr="000C7504">
              <w:rPr>
                <w:rFonts w:ascii="Arial" w:hAnsi="Arial" w:cs="Arial"/>
                <w:sz w:val="18"/>
                <w:lang w:val="es-ES"/>
              </w:rPr>
              <w:t>durante el periodo 2016-2017</w:t>
            </w:r>
          </w:p>
        </w:tc>
        <w:tc>
          <w:tcPr>
            <w:tcW w:w="1250" w:type="dxa"/>
            <w:vAlign w:val="center"/>
          </w:tcPr>
          <w:p w14:paraId="71980A64" w14:textId="77777777" w:rsidR="00F6362B" w:rsidRPr="000C7504" w:rsidRDefault="00F6362B" w:rsidP="00060088">
            <w:pPr>
              <w:contextualSpacing/>
              <w:rPr>
                <w:rFonts w:ascii="Arial" w:hAnsi="Arial" w:cs="Arial"/>
                <w:sz w:val="18"/>
                <w:lang w:val="es-ES"/>
              </w:rPr>
            </w:pPr>
          </w:p>
        </w:tc>
        <w:tc>
          <w:tcPr>
            <w:tcW w:w="1303" w:type="dxa"/>
            <w:gridSpan w:val="2"/>
            <w:vAlign w:val="center"/>
          </w:tcPr>
          <w:p w14:paraId="70D38161"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Funcionarios contratados</w:t>
            </w:r>
          </w:p>
        </w:tc>
        <w:tc>
          <w:tcPr>
            <w:tcW w:w="997" w:type="dxa"/>
            <w:vAlign w:val="center"/>
          </w:tcPr>
          <w:p w14:paraId="7D176B62" w14:textId="77777777" w:rsidR="00F6362B" w:rsidRPr="000C7504" w:rsidRDefault="00F6362B" w:rsidP="00060088">
            <w:pPr>
              <w:jc w:val="center"/>
              <w:rPr>
                <w:rFonts w:ascii="Arial" w:hAnsi="Arial" w:cs="Arial"/>
                <w:sz w:val="18"/>
                <w:lang w:val="es-ES"/>
              </w:rPr>
            </w:pPr>
          </w:p>
        </w:tc>
        <w:tc>
          <w:tcPr>
            <w:tcW w:w="1140" w:type="dxa"/>
            <w:vAlign w:val="center"/>
          </w:tcPr>
          <w:p w14:paraId="067F8644" w14:textId="77777777" w:rsidR="00F6362B" w:rsidRPr="000C7504" w:rsidRDefault="00F6362B" w:rsidP="00060088">
            <w:pPr>
              <w:jc w:val="center"/>
              <w:rPr>
                <w:rFonts w:ascii="Arial" w:hAnsi="Arial" w:cs="Arial"/>
                <w:sz w:val="18"/>
                <w:lang w:val="es-ES"/>
              </w:rPr>
            </w:pPr>
            <w:r>
              <w:rPr>
                <w:rFonts w:ascii="Arial" w:hAnsi="Arial" w:cs="Arial"/>
                <w:sz w:val="18"/>
                <w:lang w:val="es-ES"/>
              </w:rPr>
              <w:t>5</w:t>
            </w:r>
            <w:r w:rsidRPr="000C7504">
              <w:rPr>
                <w:rFonts w:ascii="Arial" w:hAnsi="Arial" w:cs="Arial"/>
                <w:sz w:val="18"/>
                <w:lang w:val="es-ES"/>
              </w:rPr>
              <w:t>00</w:t>
            </w:r>
          </w:p>
        </w:tc>
        <w:tc>
          <w:tcPr>
            <w:tcW w:w="1139" w:type="dxa"/>
            <w:vAlign w:val="center"/>
          </w:tcPr>
          <w:p w14:paraId="654E9553"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300</w:t>
            </w:r>
          </w:p>
        </w:tc>
        <w:tc>
          <w:tcPr>
            <w:tcW w:w="1140" w:type="dxa"/>
            <w:vAlign w:val="center"/>
          </w:tcPr>
          <w:p w14:paraId="12C37AF4" w14:textId="77777777" w:rsidR="00F6362B" w:rsidRPr="000C7504" w:rsidRDefault="00F6362B" w:rsidP="00060088">
            <w:pPr>
              <w:jc w:val="center"/>
              <w:rPr>
                <w:rFonts w:ascii="Arial" w:hAnsi="Arial" w:cs="Arial"/>
                <w:sz w:val="18"/>
                <w:lang w:val="es-ES"/>
              </w:rPr>
            </w:pPr>
            <w:r>
              <w:rPr>
                <w:rFonts w:ascii="Arial" w:hAnsi="Arial" w:cs="Arial"/>
                <w:sz w:val="18"/>
                <w:lang w:val="es-ES"/>
              </w:rPr>
              <w:t>8</w:t>
            </w:r>
            <w:r w:rsidRPr="000C7504">
              <w:rPr>
                <w:rFonts w:ascii="Arial" w:hAnsi="Arial" w:cs="Arial"/>
                <w:sz w:val="18"/>
                <w:lang w:val="es-ES"/>
              </w:rPr>
              <w:t>00</w:t>
            </w:r>
          </w:p>
        </w:tc>
        <w:tc>
          <w:tcPr>
            <w:tcW w:w="3054" w:type="dxa"/>
          </w:tcPr>
          <w:p w14:paraId="7050A865" w14:textId="77777777" w:rsidR="00F6362B" w:rsidRPr="000C7504" w:rsidRDefault="00F6362B" w:rsidP="00060088">
            <w:pPr>
              <w:spacing w:before="120" w:after="120"/>
              <w:jc w:val="both"/>
              <w:rPr>
                <w:rFonts w:ascii="Arial" w:hAnsi="Arial" w:cs="Arial"/>
                <w:sz w:val="18"/>
                <w:lang w:val="es-ES"/>
              </w:rPr>
            </w:pPr>
            <w:r w:rsidRPr="00F44E24">
              <w:rPr>
                <w:rFonts w:ascii="Arial" w:hAnsi="Arial" w:cs="Arial"/>
                <w:sz w:val="18"/>
                <w:szCs w:val="18"/>
                <w:lang w:val="es-ES"/>
              </w:rPr>
              <w:t xml:space="preserve"> </w:t>
            </w:r>
            <w:r w:rsidRPr="00F44E24">
              <w:rPr>
                <w:rFonts w:ascii="Arial" w:hAnsi="Arial" w:cs="Arial"/>
                <w:sz w:val="18"/>
                <w:lang w:val="es-ES"/>
              </w:rPr>
              <w:t>Informe de la SAT describiendo los procesos y resultados de</w:t>
            </w:r>
            <w:r>
              <w:rPr>
                <w:rFonts w:ascii="Arial" w:hAnsi="Arial" w:cs="Arial"/>
                <w:sz w:val="18"/>
                <w:lang w:val="es-ES"/>
              </w:rPr>
              <w:t xml:space="preserve"> las contrataciones de personal.</w:t>
            </w:r>
          </w:p>
        </w:tc>
      </w:tr>
      <w:tr w:rsidR="00F6362B" w:rsidRPr="0006316B" w14:paraId="5CF02CA3" w14:textId="77777777" w:rsidTr="00060088">
        <w:trPr>
          <w:trHeight w:val="935"/>
        </w:trPr>
        <w:tc>
          <w:tcPr>
            <w:tcW w:w="3477" w:type="dxa"/>
            <w:tcBorders>
              <w:bottom w:val="single" w:sz="4" w:space="0" w:color="000000"/>
            </w:tcBorders>
          </w:tcPr>
          <w:p w14:paraId="356D7DC0" w14:textId="77777777" w:rsidR="00F6362B" w:rsidRPr="000C7504" w:rsidRDefault="00F6362B" w:rsidP="00060088">
            <w:pPr>
              <w:spacing w:before="120" w:after="120"/>
              <w:ind w:left="342" w:hanging="342"/>
              <w:jc w:val="both"/>
              <w:rPr>
                <w:rFonts w:ascii="Arial" w:hAnsi="Arial" w:cs="Arial"/>
                <w:sz w:val="18"/>
              </w:rPr>
            </w:pPr>
            <w:r w:rsidRPr="000C7504">
              <w:rPr>
                <w:rFonts w:ascii="Arial" w:hAnsi="Arial" w:cs="Arial"/>
                <w:sz w:val="18"/>
                <w:lang w:val="es-ES"/>
              </w:rPr>
              <w:t>5a. Brechas de evasión del IVA para el 2015 y definición de metas de recaudación para el 2016</w:t>
            </w:r>
            <w:r>
              <w:rPr>
                <w:rFonts w:ascii="Arial" w:hAnsi="Arial" w:cs="Arial"/>
                <w:sz w:val="18"/>
                <w:lang w:val="es-ES"/>
              </w:rPr>
              <w:t>, publicadas</w:t>
            </w:r>
            <w:r w:rsidRPr="000C7504">
              <w:rPr>
                <w:rFonts w:ascii="Arial" w:hAnsi="Arial" w:cs="Arial"/>
                <w:sz w:val="18"/>
                <w:lang w:val="es-ES"/>
              </w:rPr>
              <w:t>.</w:t>
            </w:r>
          </w:p>
        </w:tc>
        <w:tc>
          <w:tcPr>
            <w:tcW w:w="1250" w:type="dxa"/>
            <w:tcBorders>
              <w:bottom w:val="single" w:sz="4" w:space="0" w:color="000000"/>
            </w:tcBorders>
            <w:vAlign w:val="center"/>
          </w:tcPr>
          <w:p w14:paraId="447E0BA9" w14:textId="77777777" w:rsidR="00F6362B" w:rsidRPr="000C7504" w:rsidRDefault="00F6362B" w:rsidP="00060088">
            <w:pPr>
              <w:contextualSpacing/>
              <w:rPr>
                <w:rFonts w:ascii="Arial" w:hAnsi="Arial" w:cs="Arial"/>
                <w:sz w:val="18"/>
                <w:lang w:val="es-ES"/>
              </w:rPr>
            </w:pPr>
          </w:p>
        </w:tc>
        <w:tc>
          <w:tcPr>
            <w:tcW w:w="1303" w:type="dxa"/>
            <w:gridSpan w:val="2"/>
            <w:tcBorders>
              <w:bottom w:val="single" w:sz="4" w:space="0" w:color="000000"/>
            </w:tcBorders>
            <w:vAlign w:val="center"/>
          </w:tcPr>
          <w:p w14:paraId="3292353A"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 xml:space="preserve">Brechas de Evasión </w:t>
            </w:r>
            <w:r>
              <w:rPr>
                <w:rFonts w:ascii="Arial" w:hAnsi="Arial" w:cs="Arial"/>
                <w:sz w:val="18"/>
                <w:lang w:val="es-ES"/>
              </w:rPr>
              <w:t xml:space="preserve">y metas, </w:t>
            </w:r>
            <w:r w:rsidRPr="000C7504">
              <w:rPr>
                <w:rFonts w:ascii="Arial" w:hAnsi="Arial" w:cs="Arial"/>
                <w:sz w:val="18"/>
                <w:lang w:val="es-ES"/>
              </w:rPr>
              <w:t>publicadas</w:t>
            </w:r>
          </w:p>
        </w:tc>
        <w:tc>
          <w:tcPr>
            <w:tcW w:w="997" w:type="dxa"/>
            <w:tcBorders>
              <w:bottom w:val="single" w:sz="4" w:space="0" w:color="000000"/>
            </w:tcBorders>
            <w:vAlign w:val="center"/>
          </w:tcPr>
          <w:p w14:paraId="2E10BBF3"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tcBorders>
              <w:bottom w:val="single" w:sz="4" w:space="0" w:color="000000"/>
            </w:tcBorders>
            <w:vAlign w:val="center"/>
          </w:tcPr>
          <w:p w14:paraId="530736DD"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1139" w:type="dxa"/>
            <w:tcBorders>
              <w:bottom w:val="single" w:sz="4" w:space="0" w:color="000000"/>
            </w:tcBorders>
            <w:vAlign w:val="center"/>
          </w:tcPr>
          <w:p w14:paraId="56D0911A" w14:textId="77777777" w:rsidR="00F6362B" w:rsidRPr="000C7504" w:rsidRDefault="00F6362B" w:rsidP="00060088">
            <w:pPr>
              <w:jc w:val="center"/>
              <w:rPr>
                <w:rFonts w:ascii="Arial" w:hAnsi="Arial" w:cs="Arial"/>
                <w:sz w:val="18"/>
                <w:lang w:val="es-ES"/>
              </w:rPr>
            </w:pPr>
            <w:r>
              <w:rPr>
                <w:rFonts w:ascii="Arial" w:hAnsi="Arial" w:cs="Arial"/>
                <w:sz w:val="18"/>
                <w:lang w:val="es-ES"/>
              </w:rPr>
              <w:t>0</w:t>
            </w:r>
          </w:p>
        </w:tc>
        <w:tc>
          <w:tcPr>
            <w:tcW w:w="1140" w:type="dxa"/>
            <w:tcBorders>
              <w:bottom w:val="single" w:sz="4" w:space="0" w:color="000000"/>
            </w:tcBorders>
            <w:vAlign w:val="center"/>
          </w:tcPr>
          <w:p w14:paraId="1A5B83F7"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Borders>
              <w:bottom w:val="single" w:sz="4" w:space="0" w:color="000000"/>
            </w:tcBorders>
          </w:tcPr>
          <w:p w14:paraId="43E25553" w14:textId="77777777" w:rsidR="00F6362B" w:rsidRPr="000C7504" w:rsidRDefault="00F6362B" w:rsidP="00060088">
            <w:pPr>
              <w:spacing w:before="120" w:after="120"/>
              <w:jc w:val="both"/>
              <w:rPr>
                <w:rFonts w:ascii="Arial" w:hAnsi="Arial" w:cs="Arial"/>
                <w:sz w:val="18"/>
                <w:lang w:val="es-ES"/>
              </w:rPr>
            </w:pPr>
            <w:r w:rsidRPr="000C7504">
              <w:rPr>
                <w:rFonts w:ascii="Arial" w:hAnsi="Arial" w:cs="Arial"/>
                <w:sz w:val="18"/>
                <w:lang w:val="es-ES"/>
              </w:rPr>
              <w:t>Publicación de brechas de evasión en la página web de la SAT y copia del convenio MINFIN-SAT sobre metas de recaudación</w:t>
            </w:r>
            <w:r w:rsidRPr="000C7504">
              <w:rPr>
                <w:rFonts w:ascii="Arial" w:hAnsi="Arial" w:cs="Arial"/>
                <w:sz w:val="18"/>
              </w:rPr>
              <w:t>.</w:t>
            </w:r>
          </w:p>
        </w:tc>
      </w:tr>
      <w:tr w:rsidR="00F6362B" w:rsidRPr="0006316B" w14:paraId="6B2DAD26" w14:textId="77777777" w:rsidTr="00060088">
        <w:trPr>
          <w:trHeight w:val="1331"/>
        </w:trPr>
        <w:tc>
          <w:tcPr>
            <w:tcW w:w="3477" w:type="dxa"/>
          </w:tcPr>
          <w:p w14:paraId="04ED611B" w14:textId="77777777" w:rsidR="00F6362B" w:rsidRPr="00117DF2" w:rsidRDefault="00F6362B" w:rsidP="00060088">
            <w:pPr>
              <w:widowControl w:val="0"/>
              <w:spacing w:before="120" w:after="120"/>
              <w:ind w:left="342" w:hanging="342"/>
              <w:jc w:val="both"/>
              <w:rPr>
                <w:rFonts w:ascii="Arial" w:hAnsi="Arial"/>
                <w:sz w:val="18"/>
              </w:rPr>
            </w:pPr>
            <w:r w:rsidRPr="000C7504">
              <w:rPr>
                <w:rFonts w:ascii="Arial" w:hAnsi="Arial" w:cs="Arial"/>
                <w:sz w:val="18"/>
                <w:szCs w:val="18"/>
                <w:lang w:val="es-ES"/>
              </w:rPr>
              <w:t>5b</w:t>
            </w:r>
            <w:r w:rsidRPr="00117DF2">
              <w:rPr>
                <w:rFonts w:ascii="Arial" w:hAnsi="Arial"/>
                <w:sz w:val="18"/>
                <w:lang w:val="es-ES"/>
              </w:rPr>
              <w:t xml:space="preserve">. Brechas de evasión del IVA para el </w:t>
            </w:r>
            <w:r w:rsidRPr="000C7504">
              <w:rPr>
                <w:rFonts w:ascii="Arial" w:hAnsi="Arial" w:cs="Arial"/>
                <w:sz w:val="18"/>
                <w:szCs w:val="18"/>
                <w:lang w:val="es-ES"/>
              </w:rPr>
              <w:t>2016 y metodología para la medición de la brecha de evasión para el impuesto sobre la renta (ISR) y sus primeras estimaciones,</w:t>
            </w:r>
            <w:r w:rsidRPr="00117DF2">
              <w:rPr>
                <w:rFonts w:ascii="Arial" w:hAnsi="Arial"/>
                <w:sz w:val="18"/>
                <w:lang w:val="es-ES"/>
              </w:rPr>
              <w:t xml:space="preserve"> y definición de metas de recaudación para el </w:t>
            </w:r>
            <w:r w:rsidRPr="000C7504">
              <w:rPr>
                <w:rFonts w:ascii="Arial" w:hAnsi="Arial" w:cs="Arial"/>
                <w:sz w:val="18"/>
                <w:szCs w:val="18"/>
                <w:lang w:val="es-ES"/>
              </w:rPr>
              <w:t>2017</w:t>
            </w:r>
            <w:r>
              <w:rPr>
                <w:rFonts w:ascii="Arial" w:hAnsi="Arial" w:cs="Arial"/>
                <w:sz w:val="18"/>
                <w:szCs w:val="18"/>
                <w:lang w:val="es-ES"/>
              </w:rPr>
              <w:t>; publicadas</w:t>
            </w:r>
            <w:r w:rsidRPr="00117DF2">
              <w:rPr>
                <w:rFonts w:ascii="Arial" w:hAnsi="Arial"/>
                <w:sz w:val="18"/>
                <w:lang w:val="es-ES"/>
              </w:rPr>
              <w:t>.</w:t>
            </w:r>
          </w:p>
        </w:tc>
        <w:tc>
          <w:tcPr>
            <w:tcW w:w="1250" w:type="dxa"/>
            <w:vAlign w:val="center"/>
          </w:tcPr>
          <w:p w14:paraId="21B2EDE6" w14:textId="77777777" w:rsidR="00F6362B" w:rsidRPr="00117DF2" w:rsidRDefault="00F6362B" w:rsidP="00060088">
            <w:pPr>
              <w:widowControl w:val="0"/>
              <w:contextualSpacing/>
              <w:rPr>
                <w:rFonts w:ascii="Arial" w:hAnsi="Arial"/>
                <w:sz w:val="18"/>
                <w:lang w:val="es-ES"/>
              </w:rPr>
            </w:pPr>
          </w:p>
        </w:tc>
        <w:tc>
          <w:tcPr>
            <w:tcW w:w="1303" w:type="dxa"/>
            <w:gridSpan w:val="2"/>
            <w:vAlign w:val="center"/>
          </w:tcPr>
          <w:p w14:paraId="685D6705" w14:textId="77777777" w:rsidR="00F6362B" w:rsidRPr="00117DF2" w:rsidRDefault="00F6362B" w:rsidP="00060088">
            <w:pPr>
              <w:widowControl w:val="0"/>
              <w:jc w:val="center"/>
              <w:rPr>
                <w:rFonts w:ascii="Arial" w:hAnsi="Arial"/>
                <w:sz w:val="18"/>
                <w:lang w:val="es-ES"/>
              </w:rPr>
            </w:pPr>
            <w:r w:rsidRPr="000C7504">
              <w:rPr>
                <w:rFonts w:ascii="Arial" w:hAnsi="Arial" w:cs="Arial"/>
                <w:sz w:val="18"/>
                <w:szCs w:val="18"/>
                <w:lang w:val="es-ES"/>
              </w:rPr>
              <w:t xml:space="preserve">Brechas de Evasión </w:t>
            </w:r>
            <w:r>
              <w:rPr>
                <w:rFonts w:ascii="Arial" w:hAnsi="Arial" w:cs="Arial"/>
                <w:sz w:val="18"/>
                <w:szCs w:val="18"/>
                <w:lang w:val="es-ES"/>
              </w:rPr>
              <w:t xml:space="preserve">y metas, </w:t>
            </w:r>
            <w:r w:rsidRPr="000C7504">
              <w:rPr>
                <w:rFonts w:ascii="Arial" w:hAnsi="Arial" w:cs="Arial"/>
                <w:sz w:val="18"/>
                <w:szCs w:val="18"/>
                <w:lang w:val="es-ES"/>
              </w:rPr>
              <w:t>publicadas</w:t>
            </w:r>
          </w:p>
        </w:tc>
        <w:tc>
          <w:tcPr>
            <w:tcW w:w="997" w:type="dxa"/>
            <w:vAlign w:val="center"/>
          </w:tcPr>
          <w:p w14:paraId="62461C2E"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0</w:t>
            </w:r>
          </w:p>
        </w:tc>
        <w:tc>
          <w:tcPr>
            <w:tcW w:w="1140" w:type="dxa"/>
            <w:vAlign w:val="center"/>
          </w:tcPr>
          <w:p w14:paraId="36B40A18"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1</w:t>
            </w:r>
          </w:p>
        </w:tc>
        <w:tc>
          <w:tcPr>
            <w:tcW w:w="1139" w:type="dxa"/>
            <w:vAlign w:val="center"/>
          </w:tcPr>
          <w:p w14:paraId="33F41E73"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1</w:t>
            </w:r>
          </w:p>
        </w:tc>
        <w:tc>
          <w:tcPr>
            <w:tcW w:w="1140" w:type="dxa"/>
            <w:vAlign w:val="center"/>
          </w:tcPr>
          <w:p w14:paraId="3740F28D" w14:textId="77777777" w:rsidR="00F6362B" w:rsidRPr="000C7504" w:rsidRDefault="00F6362B" w:rsidP="00060088">
            <w:pPr>
              <w:widowControl w:val="0"/>
              <w:jc w:val="center"/>
              <w:rPr>
                <w:rFonts w:ascii="Arial" w:hAnsi="Arial" w:cs="Arial"/>
                <w:sz w:val="18"/>
                <w:szCs w:val="18"/>
                <w:lang w:val="es-ES"/>
              </w:rPr>
            </w:pPr>
            <w:r w:rsidRPr="000C7504">
              <w:rPr>
                <w:rFonts w:ascii="Arial" w:hAnsi="Arial" w:cs="Arial"/>
                <w:sz w:val="18"/>
                <w:szCs w:val="18"/>
                <w:lang w:val="es-ES"/>
              </w:rPr>
              <w:t>2</w:t>
            </w:r>
          </w:p>
        </w:tc>
        <w:tc>
          <w:tcPr>
            <w:tcW w:w="3054" w:type="dxa"/>
          </w:tcPr>
          <w:p w14:paraId="51A5DDB8" w14:textId="77777777" w:rsidR="00F6362B" w:rsidRDefault="00F6362B" w:rsidP="00060088">
            <w:pPr>
              <w:widowControl w:val="0"/>
              <w:spacing w:before="120" w:after="120"/>
              <w:jc w:val="both"/>
              <w:rPr>
                <w:rFonts w:ascii="Arial" w:hAnsi="Arial"/>
                <w:sz w:val="18"/>
                <w:lang w:val="es-ES"/>
              </w:rPr>
            </w:pPr>
            <w:r w:rsidRPr="00117DF2">
              <w:rPr>
                <w:rFonts w:ascii="Arial" w:hAnsi="Arial"/>
                <w:sz w:val="18"/>
                <w:lang w:val="es-ES"/>
              </w:rPr>
              <w:t>Publicación de brechas de evasión en la página web de la SAT y copia del convenio MINFIN-SAT sobre metas de recaudación</w:t>
            </w:r>
            <w:r w:rsidRPr="00117DF2">
              <w:rPr>
                <w:rFonts w:ascii="Arial" w:hAnsi="Arial"/>
                <w:sz w:val="18"/>
              </w:rPr>
              <w:t>.</w:t>
            </w:r>
          </w:p>
          <w:p w14:paraId="6337B528" w14:textId="77777777" w:rsidR="00F6362B" w:rsidRPr="00A9194E" w:rsidRDefault="00F6362B" w:rsidP="00060088">
            <w:pPr>
              <w:spacing w:before="120" w:after="120"/>
              <w:jc w:val="both"/>
              <w:rPr>
                <w:rFonts w:ascii="Arial" w:hAnsi="Arial"/>
                <w:sz w:val="18"/>
                <w:lang w:val="es-ES"/>
              </w:rPr>
            </w:pPr>
          </w:p>
        </w:tc>
      </w:tr>
      <w:tr w:rsidR="00F6362B" w:rsidRPr="00C63764" w14:paraId="56727D92" w14:textId="77777777" w:rsidTr="00060088">
        <w:trPr>
          <w:trHeight w:val="737"/>
        </w:trPr>
        <w:tc>
          <w:tcPr>
            <w:tcW w:w="3477" w:type="dxa"/>
            <w:shd w:val="clear" w:color="auto" w:fill="D9D9D9" w:themeFill="background1" w:themeFillShade="D9"/>
            <w:vAlign w:val="center"/>
          </w:tcPr>
          <w:p w14:paraId="5258810A" w14:textId="77777777" w:rsidR="00F6362B" w:rsidRPr="00A9194E" w:rsidRDefault="00F6362B" w:rsidP="00060088">
            <w:pPr>
              <w:keepNext/>
              <w:spacing w:before="120" w:after="120"/>
              <w:ind w:left="342" w:hanging="342"/>
              <w:jc w:val="center"/>
              <w:rPr>
                <w:rFonts w:ascii="Arial" w:hAnsi="Arial"/>
                <w:sz w:val="18"/>
                <w:lang w:val="es-ES"/>
              </w:rPr>
            </w:pPr>
            <w:r w:rsidRPr="00032626">
              <w:rPr>
                <w:rFonts w:ascii="Arial" w:hAnsi="Arial" w:cs="Arial"/>
                <w:b/>
                <w:sz w:val="20"/>
                <w:lang w:val="es-ES"/>
              </w:rPr>
              <w:lastRenderedPageBreak/>
              <w:t>Productos</w:t>
            </w:r>
          </w:p>
        </w:tc>
        <w:tc>
          <w:tcPr>
            <w:tcW w:w="1250" w:type="dxa"/>
            <w:shd w:val="clear" w:color="auto" w:fill="D9D9D9" w:themeFill="background1" w:themeFillShade="D9"/>
            <w:vAlign w:val="center"/>
          </w:tcPr>
          <w:p w14:paraId="285B4E9A" w14:textId="77777777" w:rsidR="00F6362B" w:rsidRPr="00A9194E" w:rsidRDefault="00F6362B" w:rsidP="00060088">
            <w:pPr>
              <w:keepNext/>
              <w:contextualSpacing/>
              <w:jc w:val="center"/>
              <w:rPr>
                <w:rFonts w:ascii="Arial" w:hAnsi="Arial"/>
                <w:sz w:val="18"/>
                <w:lang w:val="es-ES"/>
              </w:rPr>
            </w:pPr>
            <w:r w:rsidRPr="00032626">
              <w:rPr>
                <w:rFonts w:ascii="Arial" w:hAnsi="Arial" w:cs="Arial"/>
                <w:b/>
                <w:sz w:val="20"/>
                <w:lang w:val="es-ES"/>
              </w:rPr>
              <w:t>Costo estimado (US$)</w:t>
            </w:r>
          </w:p>
        </w:tc>
        <w:tc>
          <w:tcPr>
            <w:tcW w:w="1303" w:type="dxa"/>
            <w:gridSpan w:val="2"/>
            <w:shd w:val="clear" w:color="auto" w:fill="D9D9D9" w:themeFill="background1" w:themeFillShade="D9"/>
            <w:vAlign w:val="center"/>
          </w:tcPr>
          <w:p w14:paraId="51E327FC" w14:textId="77777777" w:rsidR="00F6362B" w:rsidRPr="00A9194E" w:rsidRDefault="00F6362B" w:rsidP="00060088">
            <w:pPr>
              <w:keepNext/>
              <w:jc w:val="center"/>
              <w:rPr>
                <w:rFonts w:ascii="Arial" w:hAnsi="Arial"/>
                <w:sz w:val="18"/>
                <w:lang w:val="es-ES"/>
              </w:rPr>
            </w:pPr>
            <w:r w:rsidRPr="00032626">
              <w:rPr>
                <w:rFonts w:ascii="Arial" w:hAnsi="Arial" w:cs="Arial"/>
                <w:b/>
                <w:sz w:val="20"/>
                <w:lang w:val="es-ES"/>
              </w:rPr>
              <w:t>Unidad de medida</w:t>
            </w:r>
          </w:p>
        </w:tc>
        <w:tc>
          <w:tcPr>
            <w:tcW w:w="997" w:type="dxa"/>
            <w:shd w:val="clear" w:color="auto" w:fill="D9D9D9" w:themeFill="background1" w:themeFillShade="D9"/>
            <w:vAlign w:val="center"/>
          </w:tcPr>
          <w:p w14:paraId="1281D7AD" w14:textId="77777777" w:rsidR="00F6362B" w:rsidRPr="00A9194E" w:rsidRDefault="00F6362B" w:rsidP="00060088">
            <w:pPr>
              <w:keepNext/>
              <w:jc w:val="center"/>
              <w:rPr>
                <w:rFonts w:ascii="Arial" w:hAnsi="Arial"/>
                <w:sz w:val="18"/>
                <w:lang w:val="es-ES"/>
              </w:rPr>
            </w:pPr>
            <w:r w:rsidRPr="00032626">
              <w:rPr>
                <w:rFonts w:ascii="Arial" w:hAnsi="Arial" w:cs="Arial"/>
                <w:b/>
                <w:sz w:val="20"/>
                <w:lang w:val="es-ES"/>
              </w:rPr>
              <w:t>Línea de base</w:t>
            </w:r>
          </w:p>
        </w:tc>
        <w:tc>
          <w:tcPr>
            <w:tcW w:w="1140" w:type="dxa"/>
            <w:shd w:val="clear" w:color="auto" w:fill="D9D9D9" w:themeFill="background1" w:themeFillShade="D9"/>
            <w:vAlign w:val="center"/>
          </w:tcPr>
          <w:p w14:paraId="1A3BB542" w14:textId="77777777" w:rsidR="00F6362B" w:rsidRPr="00A9194E" w:rsidRDefault="00F6362B" w:rsidP="00060088">
            <w:pPr>
              <w:keepNext/>
              <w:jc w:val="center"/>
              <w:rPr>
                <w:rFonts w:ascii="Arial" w:hAnsi="Arial"/>
                <w:sz w:val="18"/>
                <w:lang w:val="es-ES"/>
              </w:rPr>
            </w:pPr>
            <w:r w:rsidRPr="00032626">
              <w:rPr>
                <w:rFonts w:ascii="Arial" w:hAnsi="Arial" w:cs="Arial"/>
                <w:b/>
                <w:sz w:val="20"/>
                <w:lang w:val="es-ES"/>
              </w:rPr>
              <w:t>Año 1</w:t>
            </w:r>
          </w:p>
        </w:tc>
        <w:tc>
          <w:tcPr>
            <w:tcW w:w="1139" w:type="dxa"/>
            <w:shd w:val="clear" w:color="auto" w:fill="D9D9D9" w:themeFill="background1" w:themeFillShade="D9"/>
            <w:vAlign w:val="center"/>
          </w:tcPr>
          <w:p w14:paraId="7FA55B4C" w14:textId="77777777" w:rsidR="00F6362B" w:rsidRPr="00A9194E" w:rsidRDefault="00F6362B" w:rsidP="00060088">
            <w:pPr>
              <w:keepNext/>
              <w:jc w:val="center"/>
              <w:rPr>
                <w:rFonts w:ascii="Arial" w:hAnsi="Arial"/>
                <w:sz w:val="18"/>
                <w:lang w:val="es-ES"/>
              </w:rPr>
            </w:pPr>
            <w:r w:rsidRPr="00032626">
              <w:rPr>
                <w:rFonts w:ascii="Arial" w:hAnsi="Arial" w:cs="Arial"/>
                <w:b/>
                <w:sz w:val="20"/>
                <w:lang w:val="es-ES"/>
              </w:rPr>
              <w:t>Año 2</w:t>
            </w:r>
          </w:p>
        </w:tc>
        <w:tc>
          <w:tcPr>
            <w:tcW w:w="1140" w:type="dxa"/>
            <w:shd w:val="clear" w:color="auto" w:fill="D9D9D9" w:themeFill="background1" w:themeFillShade="D9"/>
            <w:vAlign w:val="center"/>
          </w:tcPr>
          <w:p w14:paraId="05AC66E7" w14:textId="77777777" w:rsidR="00F6362B" w:rsidRPr="00A9194E" w:rsidRDefault="00F6362B" w:rsidP="00060088">
            <w:pPr>
              <w:keepNext/>
              <w:jc w:val="center"/>
              <w:rPr>
                <w:rFonts w:ascii="Arial" w:hAnsi="Arial"/>
                <w:b/>
                <w:sz w:val="20"/>
                <w:lang w:val="es-ES"/>
              </w:rPr>
            </w:pPr>
            <w:r w:rsidRPr="00032626">
              <w:rPr>
                <w:rFonts w:ascii="Arial" w:hAnsi="Arial" w:cs="Arial"/>
                <w:b/>
                <w:sz w:val="20"/>
                <w:lang w:val="es-ES"/>
              </w:rPr>
              <w:t>Meta final</w:t>
            </w:r>
          </w:p>
        </w:tc>
        <w:tc>
          <w:tcPr>
            <w:tcW w:w="3054" w:type="dxa"/>
            <w:shd w:val="clear" w:color="auto" w:fill="D9D9D9" w:themeFill="background1" w:themeFillShade="D9"/>
            <w:vAlign w:val="center"/>
          </w:tcPr>
          <w:p w14:paraId="41F45BCC" w14:textId="77777777" w:rsidR="00F6362B" w:rsidRPr="00A9194E" w:rsidRDefault="00F6362B" w:rsidP="00060088">
            <w:pPr>
              <w:keepNext/>
              <w:jc w:val="center"/>
              <w:rPr>
                <w:rFonts w:ascii="Arial" w:hAnsi="Arial"/>
                <w:sz w:val="18"/>
                <w:lang w:val="es-ES"/>
              </w:rPr>
            </w:pPr>
            <w:r w:rsidRPr="00032626">
              <w:rPr>
                <w:rFonts w:ascii="Arial" w:hAnsi="Arial" w:cs="Arial"/>
                <w:b/>
                <w:sz w:val="20"/>
                <w:lang w:val="es-ES"/>
              </w:rPr>
              <w:t>Medio de verificación</w:t>
            </w:r>
          </w:p>
        </w:tc>
      </w:tr>
      <w:tr w:rsidR="00F6362B" w:rsidRPr="0006316B" w14:paraId="22E096A8" w14:textId="77777777" w:rsidTr="00060088">
        <w:trPr>
          <w:trHeight w:val="1952"/>
        </w:trPr>
        <w:tc>
          <w:tcPr>
            <w:tcW w:w="3477" w:type="dxa"/>
          </w:tcPr>
          <w:p w14:paraId="0148296D" w14:textId="77777777" w:rsidR="00F6362B" w:rsidRPr="00A9194E" w:rsidRDefault="00F6362B" w:rsidP="00060088">
            <w:pPr>
              <w:spacing w:before="120" w:after="120"/>
              <w:ind w:left="342" w:hanging="342"/>
              <w:jc w:val="both"/>
              <w:rPr>
                <w:rFonts w:ascii="Arial" w:hAnsi="Arial"/>
                <w:color w:val="000000"/>
                <w:sz w:val="18"/>
                <w:lang w:val="es-DO"/>
              </w:rPr>
            </w:pPr>
            <w:r w:rsidRPr="000C7504">
              <w:rPr>
                <w:rFonts w:ascii="Arial" w:hAnsi="Arial" w:cs="Arial"/>
                <w:sz w:val="18"/>
                <w:szCs w:val="18"/>
                <w:lang w:val="es-ES"/>
              </w:rPr>
              <w:t>6a</w:t>
            </w:r>
            <w:r w:rsidRPr="00117DF2">
              <w:rPr>
                <w:rFonts w:ascii="Arial" w:hAnsi="Arial"/>
                <w:sz w:val="18"/>
                <w:lang w:val="es-ES"/>
              </w:rPr>
              <w:t xml:space="preserve">. Plan de Modernización del catastro de contribuyentes (RTU – Registro Tributario Unificado), </w:t>
            </w:r>
            <w:r>
              <w:rPr>
                <w:rFonts w:ascii="Arial" w:hAnsi="Arial"/>
                <w:sz w:val="18"/>
                <w:lang w:val="es-ES"/>
              </w:rPr>
              <w:t>preparado</w:t>
            </w:r>
          </w:p>
        </w:tc>
        <w:tc>
          <w:tcPr>
            <w:tcW w:w="1250" w:type="dxa"/>
            <w:vAlign w:val="center"/>
          </w:tcPr>
          <w:p w14:paraId="4869F6D7" w14:textId="77777777" w:rsidR="00F6362B" w:rsidRPr="00117DF2" w:rsidRDefault="00F6362B" w:rsidP="00060088">
            <w:pPr>
              <w:contextualSpacing/>
              <w:rPr>
                <w:rFonts w:ascii="Arial" w:hAnsi="Arial"/>
                <w:sz w:val="18"/>
                <w:lang w:val="es-ES"/>
              </w:rPr>
            </w:pPr>
          </w:p>
        </w:tc>
        <w:tc>
          <w:tcPr>
            <w:tcW w:w="1303" w:type="dxa"/>
            <w:gridSpan w:val="2"/>
            <w:vAlign w:val="center"/>
          </w:tcPr>
          <w:p w14:paraId="242F7172" w14:textId="77777777" w:rsidR="00F6362B" w:rsidRPr="00117DF2" w:rsidRDefault="00F6362B" w:rsidP="00060088">
            <w:pPr>
              <w:jc w:val="center"/>
              <w:rPr>
                <w:rFonts w:ascii="Arial" w:hAnsi="Arial"/>
                <w:sz w:val="18"/>
                <w:lang w:val="es-ES"/>
              </w:rPr>
            </w:pPr>
            <w:r w:rsidRPr="00117DF2">
              <w:rPr>
                <w:rFonts w:ascii="Arial" w:hAnsi="Arial"/>
                <w:sz w:val="18"/>
                <w:lang w:val="es-ES"/>
              </w:rPr>
              <w:t>Plan</w:t>
            </w:r>
            <w:r w:rsidRPr="000C7504">
              <w:rPr>
                <w:rFonts w:ascii="Arial" w:hAnsi="Arial" w:cs="Arial"/>
                <w:sz w:val="18"/>
                <w:szCs w:val="18"/>
                <w:lang w:val="es-ES"/>
              </w:rPr>
              <w:t xml:space="preserve"> preparado</w:t>
            </w:r>
          </w:p>
        </w:tc>
        <w:tc>
          <w:tcPr>
            <w:tcW w:w="997" w:type="dxa"/>
            <w:vAlign w:val="center"/>
          </w:tcPr>
          <w:p w14:paraId="4B1FF177"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237F2DE9"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611108A7" w14:textId="77777777" w:rsidR="00F6362B" w:rsidRPr="00117DF2" w:rsidRDefault="00F6362B" w:rsidP="00060088">
            <w:pPr>
              <w:jc w:val="center"/>
              <w:rPr>
                <w:rFonts w:ascii="Arial" w:hAnsi="Arial"/>
                <w:sz w:val="18"/>
                <w:lang w:val="es-ES"/>
              </w:rPr>
            </w:pPr>
            <w:r>
              <w:rPr>
                <w:rFonts w:ascii="Arial" w:hAnsi="Arial" w:cs="Arial"/>
                <w:sz w:val="18"/>
                <w:szCs w:val="18"/>
                <w:lang w:val="es-ES"/>
              </w:rPr>
              <w:t>0</w:t>
            </w:r>
          </w:p>
        </w:tc>
        <w:tc>
          <w:tcPr>
            <w:tcW w:w="1140" w:type="dxa"/>
            <w:vAlign w:val="center"/>
          </w:tcPr>
          <w:p w14:paraId="6585D3AB"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1</w:t>
            </w:r>
          </w:p>
        </w:tc>
        <w:tc>
          <w:tcPr>
            <w:tcW w:w="3054" w:type="dxa"/>
          </w:tcPr>
          <w:p w14:paraId="5A1641A1"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DO"/>
              </w:rPr>
              <w:t>Comunicación</w:t>
            </w:r>
            <w:r w:rsidRPr="00A9194E">
              <w:rPr>
                <w:rFonts w:ascii="Arial" w:hAnsi="Arial"/>
                <w:sz w:val="18"/>
                <w:lang w:val="es-DO"/>
              </w:rPr>
              <w:t xml:space="preserve"> del </w:t>
            </w:r>
            <w:r w:rsidRPr="00117DF2">
              <w:rPr>
                <w:rFonts w:ascii="Arial" w:hAnsi="Arial"/>
                <w:sz w:val="18"/>
                <w:lang w:val="es-DO"/>
              </w:rPr>
              <w:t>Superintendente</w:t>
            </w:r>
            <w:r w:rsidRPr="00A9194E">
              <w:rPr>
                <w:rFonts w:ascii="Arial" w:hAnsi="Arial"/>
                <w:sz w:val="18"/>
                <w:lang w:val="es-DO"/>
              </w:rPr>
              <w:t xml:space="preserve"> de la SAT</w:t>
            </w:r>
            <w:r w:rsidRPr="00117DF2">
              <w:rPr>
                <w:rFonts w:ascii="Arial" w:hAnsi="Arial"/>
                <w:sz w:val="18"/>
                <w:lang w:val="es-DO"/>
              </w:rPr>
              <w:t xml:space="preserve"> remitiendo al Banco copia del Plan de Modernización aprobado</w:t>
            </w:r>
            <w:r w:rsidRPr="00A9194E">
              <w:rPr>
                <w:rFonts w:ascii="Arial" w:hAnsi="Arial"/>
                <w:sz w:val="18"/>
                <w:lang w:val="es-DO"/>
              </w:rPr>
              <w:t>.</w:t>
            </w:r>
          </w:p>
        </w:tc>
      </w:tr>
      <w:tr w:rsidR="00F6362B" w:rsidRPr="0006316B" w14:paraId="0083E86B" w14:textId="77777777" w:rsidTr="00060088">
        <w:trPr>
          <w:trHeight w:val="1277"/>
        </w:trPr>
        <w:tc>
          <w:tcPr>
            <w:tcW w:w="3477" w:type="dxa"/>
          </w:tcPr>
          <w:p w14:paraId="1D00645B" w14:textId="77777777" w:rsidR="00F6362B" w:rsidRPr="00F60B19" w:rsidRDefault="00F6362B" w:rsidP="00060088">
            <w:pPr>
              <w:spacing w:before="120" w:after="120"/>
              <w:ind w:left="342" w:hanging="342"/>
              <w:jc w:val="both"/>
              <w:rPr>
                <w:rFonts w:ascii="Arial" w:hAnsi="Arial"/>
                <w:color w:val="000000"/>
                <w:sz w:val="18"/>
                <w:lang w:val="es-DO"/>
              </w:rPr>
            </w:pPr>
            <w:r w:rsidRPr="00F60B19">
              <w:rPr>
                <w:rFonts w:ascii="Arial" w:hAnsi="Arial" w:cs="Arial"/>
                <w:sz w:val="18"/>
                <w:szCs w:val="18"/>
                <w:lang w:val="es-ES"/>
              </w:rPr>
              <w:t>6b. Plan de Modernización del catastro de contribuyentes (RTU – Registro Tributario Unificado), implantado la primera fase</w:t>
            </w:r>
          </w:p>
        </w:tc>
        <w:tc>
          <w:tcPr>
            <w:tcW w:w="1250" w:type="dxa"/>
            <w:vAlign w:val="center"/>
          </w:tcPr>
          <w:p w14:paraId="3316A8D0" w14:textId="77777777" w:rsidR="00F6362B" w:rsidRPr="00F60B19" w:rsidRDefault="00F6362B" w:rsidP="00060088">
            <w:pPr>
              <w:contextualSpacing/>
              <w:rPr>
                <w:rFonts w:ascii="Arial" w:hAnsi="Arial" w:cs="Arial"/>
                <w:sz w:val="18"/>
                <w:szCs w:val="18"/>
                <w:lang w:val="es-ES"/>
              </w:rPr>
            </w:pPr>
          </w:p>
        </w:tc>
        <w:tc>
          <w:tcPr>
            <w:tcW w:w="1303" w:type="dxa"/>
            <w:gridSpan w:val="2"/>
            <w:vAlign w:val="center"/>
          </w:tcPr>
          <w:p w14:paraId="0756FE6B" w14:textId="77777777" w:rsidR="00F6362B" w:rsidRPr="00F60B19" w:rsidRDefault="00F6362B" w:rsidP="00060088">
            <w:pPr>
              <w:jc w:val="center"/>
              <w:rPr>
                <w:rFonts w:ascii="Arial" w:hAnsi="Arial" w:cs="Arial"/>
                <w:sz w:val="18"/>
                <w:szCs w:val="18"/>
                <w:lang w:val="es-ES"/>
              </w:rPr>
            </w:pPr>
            <w:r w:rsidRPr="00F60B19">
              <w:rPr>
                <w:rFonts w:ascii="Arial" w:hAnsi="Arial" w:cs="Arial"/>
                <w:sz w:val="18"/>
                <w:szCs w:val="18"/>
                <w:lang w:val="es-ES"/>
              </w:rPr>
              <w:t>Plan implantado la primera fase</w:t>
            </w:r>
          </w:p>
        </w:tc>
        <w:tc>
          <w:tcPr>
            <w:tcW w:w="997" w:type="dxa"/>
            <w:vAlign w:val="center"/>
          </w:tcPr>
          <w:p w14:paraId="2F6B13F5" w14:textId="77777777" w:rsidR="00F6362B" w:rsidRPr="00F60B19" w:rsidRDefault="00F6362B" w:rsidP="00060088">
            <w:pPr>
              <w:jc w:val="center"/>
              <w:rPr>
                <w:rFonts w:ascii="Arial" w:hAnsi="Arial" w:cs="Arial"/>
                <w:sz w:val="18"/>
                <w:szCs w:val="18"/>
                <w:lang w:val="es-ES"/>
              </w:rPr>
            </w:pPr>
            <w:r w:rsidRPr="00F60B19">
              <w:rPr>
                <w:rFonts w:ascii="Arial" w:hAnsi="Arial" w:cs="Arial"/>
                <w:sz w:val="18"/>
                <w:szCs w:val="18"/>
                <w:lang w:val="es-ES"/>
              </w:rPr>
              <w:t>0</w:t>
            </w:r>
          </w:p>
        </w:tc>
        <w:tc>
          <w:tcPr>
            <w:tcW w:w="1140" w:type="dxa"/>
            <w:vAlign w:val="center"/>
          </w:tcPr>
          <w:p w14:paraId="39E9639D"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39" w:type="dxa"/>
            <w:vAlign w:val="center"/>
          </w:tcPr>
          <w:p w14:paraId="499F4E0F"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1140" w:type="dxa"/>
            <w:vAlign w:val="center"/>
          </w:tcPr>
          <w:p w14:paraId="7F826EFC"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3054" w:type="dxa"/>
          </w:tcPr>
          <w:p w14:paraId="49E8BC12" w14:textId="77777777" w:rsidR="00F6362B" w:rsidRPr="000C7504" w:rsidRDefault="00F6362B" w:rsidP="00060088">
            <w:pPr>
              <w:spacing w:before="120" w:after="120"/>
              <w:jc w:val="both"/>
              <w:rPr>
                <w:rFonts w:ascii="Arial" w:hAnsi="Arial" w:cs="Arial"/>
                <w:sz w:val="18"/>
                <w:szCs w:val="18"/>
                <w:lang w:val="es-ES"/>
              </w:rPr>
            </w:pPr>
            <w:r w:rsidRPr="000C7504">
              <w:rPr>
                <w:rFonts w:ascii="Arial" w:hAnsi="Arial" w:cs="Arial"/>
                <w:sz w:val="18"/>
                <w:szCs w:val="18"/>
                <w:lang w:val="es-DO"/>
              </w:rPr>
              <w:t>Comunicación</w:t>
            </w:r>
            <w:r w:rsidRPr="00A9194E">
              <w:rPr>
                <w:rFonts w:ascii="Arial" w:hAnsi="Arial"/>
                <w:sz w:val="18"/>
                <w:lang w:val="es-DO"/>
              </w:rPr>
              <w:t xml:space="preserve"> del </w:t>
            </w:r>
            <w:r w:rsidRPr="000C7504">
              <w:rPr>
                <w:rFonts w:ascii="Arial" w:hAnsi="Arial" w:cs="Arial"/>
                <w:sz w:val="18"/>
                <w:szCs w:val="18"/>
                <w:lang w:val="es-DO"/>
              </w:rPr>
              <w:t>Superintendente</w:t>
            </w:r>
            <w:r w:rsidRPr="00A9194E">
              <w:rPr>
                <w:rFonts w:ascii="Arial" w:hAnsi="Arial"/>
                <w:sz w:val="18"/>
                <w:lang w:val="es-DO"/>
              </w:rPr>
              <w:t xml:space="preserve"> de la SAT</w:t>
            </w:r>
            <w:r w:rsidRPr="000C7504">
              <w:rPr>
                <w:rFonts w:ascii="Arial" w:hAnsi="Arial" w:cs="Arial"/>
                <w:sz w:val="18"/>
                <w:szCs w:val="18"/>
                <w:lang w:val="es-DO"/>
              </w:rPr>
              <w:t xml:space="preserve"> remitiendo al Banco copia del Plan de Modernización aprobado</w:t>
            </w:r>
            <w:r w:rsidRPr="00A9194E">
              <w:rPr>
                <w:rFonts w:ascii="Arial" w:hAnsi="Arial"/>
                <w:sz w:val="18"/>
                <w:lang w:val="es-DO"/>
              </w:rPr>
              <w:t>.</w:t>
            </w:r>
          </w:p>
        </w:tc>
      </w:tr>
      <w:tr w:rsidR="00F6362B" w:rsidRPr="0006316B" w14:paraId="7153A99C" w14:textId="77777777" w:rsidTr="00060088">
        <w:trPr>
          <w:trHeight w:val="1493"/>
        </w:trPr>
        <w:tc>
          <w:tcPr>
            <w:tcW w:w="3477" w:type="dxa"/>
          </w:tcPr>
          <w:p w14:paraId="5F77F73C" w14:textId="77777777" w:rsidR="00F6362B" w:rsidRPr="00A9194E" w:rsidRDefault="00F6362B" w:rsidP="00060088">
            <w:pPr>
              <w:spacing w:before="120" w:after="120"/>
              <w:ind w:left="342" w:hanging="342"/>
              <w:jc w:val="both"/>
              <w:rPr>
                <w:rFonts w:ascii="Arial" w:hAnsi="Arial"/>
                <w:sz w:val="18"/>
                <w:lang w:val="es-DO"/>
              </w:rPr>
            </w:pPr>
            <w:r w:rsidRPr="000C7504">
              <w:rPr>
                <w:rFonts w:ascii="Arial" w:hAnsi="Arial" w:cs="Arial"/>
                <w:sz w:val="18"/>
                <w:szCs w:val="18"/>
                <w:lang w:val="es-DO"/>
              </w:rPr>
              <w:t>7a</w:t>
            </w:r>
            <w:r w:rsidRPr="00117DF2">
              <w:rPr>
                <w:rFonts w:ascii="Arial" w:hAnsi="Arial"/>
                <w:sz w:val="18"/>
                <w:lang w:val="es-DO"/>
              </w:rPr>
              <w:t>. Macro procesos de la SAT</w:t>
            </w:r>
            <w:r w:rsidRPr="000C7504">
              <w:rPr>
                <w:rFonts w:ascii="Arial" w:hAnsi="Arial" w:cs="Arial"/>
                <w:sz w:val="18"/>
                <w:szCs w:val="18"/>
                <w:lang w:val="es-DO"/>
              </w:rPr>
              <w:t xml:space="preserve"> (IVA y Aduanas),</w:t>
            </w:r>
            <w:r>
              <w:rPr>
                <w:rFonts w:ascii="Arial" w:hAnsi="Arial" w:cs="Arial"/>
                <w:sz w:val="18"/>
                <w:szCs w:val="18"/>
                <w:lang w:val="es-DO"/>
              </w:rPr>
              <w:t xml:space="preserve"> revisados</w:t>
            </w:r>
            <w:r w:rsidRPr="00117DF2">
              <w:rPr>
                <w:rFonts w:ascii="Arial" w:hAnsi="Arial"/>
                <w:color w:val="000000"/>
                <w:sz w:val="18"/>
                <w:lang w:val="es-DO"/>
              </w:rPr>
              <w:t>.</w:t>
            </w:r>
          </w:p>
        </w:tc>
        <w:tc>
          <w:tcPr>
            <w:tcW w:w="1250" w:type="dxa"/>
            <w:vAlign w:val="center"/>
          </w:tcPr>
          <w:p w14:paraId="185492A4" w14:textId="77777777" w:rsidR="00F6362B" w:rsidRPr="00117DF2" w:rsidRDefault="00F6362B" w:rsidP="00060088">
            <w:pPr>
              <w:contextualSpacing/>
              <w:rPr>
                <w:rFonts w:ascii="Arial" w:hAnsi="Arial"/>
                <w:sz w:val="18"/>
                <w:lang w:val="es-ES"/>
              </w:rPr>
            </w:pPr>
          </w:p>
        </w:tc>
        <w:tc>
          <w:tcPr>
            <w:tcW w:w="1303" w:type="dxa"/>
            <w:gridSpan w:val="2"/>
            <w:vAlign w:val="center"/>
          </w:tcPr>
          <w:p w14:paraId="7F8A5459"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Macro procesos revisados</w:t>
            </w:r>
          </w:p>
        </w:tc>
        <w:tc>
          <w:tcPr>
            <w:tcW w:w="997" w:type="dxa"/>
            <w:vAlign w:val="center"/>
          </w:tcPr>
          <w:p w14:paraId="78D2D210"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4AD1BA0E"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2</w:t>
            </w:r>
          </w:p>
        </w:tc>
        <w:tc>
          <w:tcPr>
            <w:tcW w:w="1139" w:type="dxa"/>
            <w:vAlign w:val="center"/>
          </w:tcPr>
          <w:p w14:paraId="6ADB89DE" w14:textId="77777777" w:rsidR="00F6362B" w:rsidRPr="00117DF2" w:rsidRDefault="00F6362B" w:rsidP="00060088">
            <w:pPr>
              <w:jc w:val="center"/>
              <w:rPr>
                <w:rFonts w:ascii="Arial" w:hAnsi="Arial"/>
                <w:sz w:val="18"/>
                <w:lang w:val="es-ES"/>
              </w:rPr>
            </w:pPr>
            <w:r w:rsidRPr="000C7504">
              <w:rPr>
                <w:rFonts w:ascii="Arial" w:hAnsi="Arial" w:cs="Arial"/>
                <w:sz w:val="18"/>
                <w:szCs w:val="18"/>
                <w:lang w:val="es-ES"/>
              </w:rPr>
              <w:t>0</w:t>
            </w:r>
          </w:p>
        </w:tc>
        <w:tc>
          <w:tcPr>
            <w:tcW w:w="1140" w:type="dxa"/>
            <w:vAlign w:val="center"/>
          </w:tcPr>
          <w:p w14:paraId="0345013D" w14:textId="77777777" w:rsidR="00F6362B" w:rsidRPr="00117DF2" w:rsidRDefault="00F6362B" w:rsidP="00060088">
            <w:pPr>
              <w:jc w:val="center"/>
              <w:rPr>
                <w:rFonts w:ascii="Arial" w:hAnsi="Arial"/>
                <w:sz w:val="18"/>
                <w:lang w:val="es-ES"/>
              </w:rPr>
            </w:pPr>
            <w:r w:rsidRPr="00117DF2">
              <w:rPr>
                <w:rFonts w:ascii="Arial" w:hAnsi="Arial"/>
                <w:sz w:val="18"/>
                <w:lang w:val="es-ES"/>
              </w:rPr>
              <w:t>2</w:t>
            </w:r>
          </w:p>
        </w:tc>
        <w:tc>
          <w:tcPr>
            <w:tcW w:w="3054" w:type="dxa"/>
          </w:tcPr>
          <w:p w14:paraId="094D30BE" w14:textId="77777777" w:rsidR="00F6362B" w:rsidRPr="00117DF2" w:rsidRDefault="00F6362B" w:rsidP="00060088">
            <w:pPr>
              <w:spacing w:before="120" w:after="120"/>
              <w:jc w:val="both"/>
              <w:rPr>
                <w:rFonts w:ascii="Arial" w:hAnsi="Arial"/>
                <w:sz w:val="18"/>
                <w:lang w:val="es-ES"/>
              </w:rPr>
            </w:pPr>
            <w:r w:rsidRPr="00A9194E">
              <w:rPr>
                <w:rFonts w:ascii="Arial" w:hAnsi="Arial"/>
                <w:sz w:val="18"/>
                <w:lang w:val="es-DO"/>
              </w:rPr>
              <w:t>Informe de la SAT</w:t>
            </w:r>
            <w:r w:rsidRPr="00117DF2">
              <w:rPr>
                <w:rFonts w:ascii="Arial" w:hAnsi="Arial"/>
                <w:sz w:val="18"/>
                <w:lang w:val="es-DO"/>
              </w:rPr>
              <w:t xml:space="preserve"> con</w:t>
            </w:r>
            <w:r w:rsidRPr="00A9194E">
              <w:rPr>
                <w:rFonts w:ascii="Arial" w:hAnsi="Arial"/>
                <w:sz w:val="18"/>
                <w:lang w:val="es-DO"/>
              </w:rPr>
              <w:t xml:space="preserve"> los </w:t>
            </w:r>
            <w:r w:rsidRPr="00117DF2">
              <w:rPr>
                <w:rFonts w:ascii="Arial" w:hAnsi="Arial"/>
                <w:sz w:val="18"/>
                <w:lang w:val="es-DO"/>
              </w:rPr>
              <w:t>procesos</w:t>
            </w:r>
            <w:r w:rsidRPr="00A9194E">
              <w:rPr>
                <w:rFonts w:ascii="Arial" w:hAnsi="Arial"/>
                <w:sz w:val="18"/>
                <w:lang w:val="es-DO"/>
              </w:rPr>
              <w:t xml:space="preserve"> de </w:t>
            </w:r>
            <w:r w:rsidRPr="00117DF2">
              <w:rPr>
                <w:rFonts w:ascii="Arial" w:hAnsi="Arial"/>
                <w:sz w:val="18"/>
                <w:lang w:val="es-DO"/>
              </w:rPr>
              <w:t>IVA, Aduanas e ISR revisados</w:t>
            </w:r>
            <w:r w:rsidRPr="00A9194E">
              <w:rPr>
                <w:rFonts w:ascii="Arial" w:hAnsi="Arial"/>
                <w:sz w:val="18"/>
                <w:lang w:val="es-DO"/>
              </w:rPr>
              <w:t>.</w:t>
            </w:r>
          </w:p>
        </w:tc>
      </w:tr>
      <w:tr w:rsidR="00F6362B" w:rsidRPr="0006316B" w14:paraId="6DD49CBC" w14:textId="77777777" w:rsidTr="00060088">
        <w:trPr>
          <w:trHeight w:val="1493"/>
        </w:trPr>
        <w:tc>
          <w:tcPr>
            <w:tcW w:w="3477" w:type="dxa"/>
            <w:tcBorders>
              <w:bottom w:val="single" w:sz="4" w:space="0" w:color="000000"/>
            </w:tcBorders>
          </w:tcPr>
          <w:p w14:paraId="319ECC89" w14:textId="77777777" w:rsidR="00F6362B" w:rsidRPr="00A9194E" w:rsidRDefault="00F6362B" w:rsidP="00060088">
            <w:pPr>
              <w:spacing w:before="120" w:after="120"/>
              <w:ind w:left="342" w:hanging="342"/>
              <w:jc w:val="both"/>
              <w:rPr>
                <w:rFonts w:ascii="Arial" w:hAnsi="Arial"/>
                <w:sz w:val="18"/>
                <w:lang w:val="es-DO"/>
              </w:rPr>
            </w:pPr>
            <w:r w:rsidRPr="000C7504">
              <w:rPr>
                <w:rFonts w:ascii="Arial" w:hAnsi="Arial" w:cs="Arial"/>
                <w:sz w:val="18"/>
                <w:szCs w:val="18"/>
                <w:lang w:val="es-DO"/>
              </w:rPr>
              <w:t>7b. Macro proceso de la SAT de Impuesto sobre la Renta (ISR),</w:t>
            </w:r>
            <w:r>
              <w:rPr>
                <w:rFonts w:ascii="Arial" w:hAnsi="Arial" w:cs="Arial"/>
                <w:sz w:val="18"/>
                <w:szCs w:val="18"/>
                <w:lang w:val="es-DO"/>
              </w:rPr>
              <w:t xml:space="preserve"> revisado</w:t>
            </w:r>
            <w:r w:rsidRPr="000C7504">
              <w:rPr>
                <w:rFonts w:ascii="Arial" w:hAnsi="Arial" w:cs="Arial"/>
                <w:color w:val="000000"/>
                <w:sz w:val="18"/>
                <w:szCs w:val="18"/>
                <w:lang w:val="es-DO" w:eastAsia="es-DO"/>
              </w:rPr>
              <w:t>.</w:t>
            </w:r>
          </w:p>
        </w:tc>
        <w:tc>
          <w:tcPr>
            <w:tcW w:w="1250" w:type="dxa"/>
            <w:tcBorders>
              <w:bottom w:val="single" w:sz="4" w:space="0" w:color="000000"/>
            </w:tcBorders>
            <w:vAlign w:val="center"/>
          </w:tcPr>
          <w:p w14:paraId="34196C87" w14:textId="77777777" w:rsidR="00F6362B" w:rsidRPr="000C7504" w:rsidRDefault="00F6362B" w:rsidP="00060088">
            <w:pPr>
              <w:contextualSpacing/>
              <w:rPr>
                <w:rFonts w:ascii="Arial" w:hAnsi="Arial" w:cs="Arial"/>
                <w:sz w:val="18"/>
                <w:szCs w:val="18"/>
                <w:lang w:val="es-ES"/>
              </w:rPr>
            </w:pPr>
          </w:p>
        </w:tc>
        <w:tc>
          <w:tcPr>
            <w:tcW w:w="1303" w:type="dxa"/>
            <w:gridSpan w:val="2"/>
            <w:tcBorders>
              <w:bottom w:val="single" w:sz="4" w:space="0" w:color="000000"/>
            </w:tcBorders>
            <w:vAlign w:val="center"/>
          </w:tcPr>
          <w:p w14:paraId="4E6538D4"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Macro proceso revisado</w:t>
            </w:r>
          </w:p>
        </w:tc>
        <w:tc>
          <w:tcPr>
            <w:tcW w:w="997" w:type="dxa"/>
            <w:tcBorders>
              <w:bottom w:val="single" w:sz="4" w:space="0" w:color="000000"/>
            </w:tcBorders>
            <w:vAlign w:val="center"/>
          </w:tcPr>
          <w:p w14:paraId="1C42094A"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40" w:type="dxa"/>
            <w:tcBorders>
              <w:bottom w:val="single" w:sz="4" w:space="0" w:color="000000"/>
            </w:tcBorders>
            <w:vAlign w:val="center"/>
          </w:tcPr>
          <w:p w14:paraId="2C6B216B"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39" w:type="dxa"/>
            <w:tcBorders>
              <w:bottom w:val="single" w:sz="4" w:space="0" w:color="000000"/>
            </w:tcBorders>
            <w:vAlign w:val="center"/>
          </w:tcPr>
          <w:p w14:paraId="24EDCEEE"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1140" w:type="dxa"/>
            <w:tcBorders>
              <w:bottom w:val="single" w:sz="4" w:space="0" w:color="000000"/>
            </w:tcBorders>
            <w:vAlign w:val="center"/>
          </w:tcPr>
          <w:p w14:paraId="522837C2"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3054" w:type="dxa"/>
            <w:tcBorders>
              <w:bottom w:val="single" w:sz="4" w:space="0" w:color="000000"/>
            </w:tcBorders>
          </w:tcPr>
          <w:p w14:paraId="6BEFE943" w14:textId="77777777" w:rsidR="00F6362B" w:rsidRPr="000C7504" w:rsidRDefault="00F6362B" w:rsidP="00060088">
            <w:pPr>
              <w:spacing w:before="120" w:after="120"/>
              <w:jc w:val="both"/>
              <w:rPr>
                <w:rFonts w:ascii="Arial" w:hAnsi="Arial" w:cs="Arial"/>
                <w:sz w:val="18"/>
                <w:szCs w:val="18"/>
                <w:lang w:val="es-ES"/>
              </w:rPr>
            </w:pPr>
            <w:r w:rsidRPr="00A9194E">
              <w:rPr>
                <w:rFonts w:ascii="Arial" w:hAnsi="Arial"/>
                <w:sz w:val="18"/>
                <w:lang w:val="es-DO"/>
              </w:rPr>
              <w:t xml:space="preserve">Informe de la SAT con el </w:t>
            </w:r>
            <w:r w:rsidRPr="000C7504">
              <w:rPr>
                <w:rFonts w:ascii="Arial" w:hAnsi="Arial" w:cs="Arial"/>
                <w:sz w:val="18"/>
                <w:szCs w:val="18"/>
                <w:lang w:val="es-DO"/>
              </w:rPr>
              <w:t>proceso</w:t>
            </w:r>
            <w:r w:rsidRPr="00A9194E">
              <w:rPr>
                <w:rFonts w:ascii="Arial" w:hAnsi="Arial"/>
                <w:sz w:val="18"/>
                <w:lang w:val="es-DO"/>
              </w:rPr>
              <w:t xml:space="preserve"> de </w:t>
            </w:r>
            <w:r w:rsidRPr="000C7504">
              <w:rPr>
                <w:rFonts w:ascii="Arial" w:hAnsi="Arial" w:cs="Arial"/>
                <w:sz w:val="18"/>
                <w:szCs w:val="18"/>
                <w:lang w:val="es-DO"/>
              </w:rPr>
              <w:t>ISR revisado</w:t>
            </w:r>
            <w:r w:rsidRPr="00A9194E">
              <w:rPr>
                <w:rFonts w:ascii="Arial" w:hAnsi="Arial"/>
                <w:sz w:val="18"/>
                <w:lang w:val="es-DO"/>
              </w:rPr>
              <w:t>.</w:t>
            </w:r>
          </w:p>
        </w:tc>
      </w:tr>
      <w:tr w:rsidR="00F6362B" w:rsidRPr="0006316B" w14:paraId="5FF9C524" w14:textId="77777777" w:rsidTr="00060088">
        <w:trPr>
          <w:trHeight w:val="1187"/>
        </w:trPr>
        <w:tc>
          <w:tcPr>
            <w:tcW w:w="3477" w:type="dxa"/>
          </w:tcPr>
          <w:p w14:paraId="108DB9A2" w14:textId="77777777" w:rsidR="00F6362B" w:rsidRPr="00A9194E" w:rsidRDefault="00F6362B" w:rsidP="00060088">
            <w:pPr>
              <w:widowControl w:val="0"/>
              <w:spacing w:before="120"/>
              <w:ind w:left="342" w:hanging="342"/>
              <w:jc w:val="both"/>
              <w:rPr>
                <w:rFonts w:ascii="Arial" w:hAnsi="Arial"/>
                <w:sz w:val="18"/>
              </w:rPr>
            </w:pPr>
            <w:r w:rsidRPr="000C7504">
              <w:rPr>
                <w:rFonts w:ascii="Arial" w:hAnsi="Arial" w:cs="Arial"/>
                <w:sz w:val="18"/>
                <w:lang w:val="es-ES"/>
              </w:rPr>
              <w:t>8a</w:t>
            </w:r>
            <w:r w:rsidRPr="00117DF2">
              <w:rPr>
                <w:rFonts w:ascii="Arial" w:hAnsi="Arial"/>
                <w:sz w:val="18"/>
                <w:lang w:val="es-ES"/>
              </w:rPr>
              <w:t>. Plan de control integral de la Carga en los recintos fiscalizados durante el despacho aduanero, con énfasis en Puerto Quetzal</w:t>
            </w:r>
            <w:r>
              <w:rPr>
                <w:rFonts w:ascii="Arial" w:hAnsi="Arial"/>
                <w:sz w:val="18"/>
                <w:lang w:val="es-ES"/>
              </w:rPr>
              <w:t>, preparado</w:t>
            </w:r>
            <w:r w:rsidRPr="00117DF2">
              <w:rPr>
                <w:rFonts w:ascii="Arial" w:hAnsi="Arial"/>
                <w:sz w:val="18"/>
              </w:rPr>
              <w:t>.</w:t>
            </w:r>
          </w:p>
        </w:tc>
        <w:tc>
          <w:tcPr>
            <w:tcW w:w="1250" w:type="dxa"/>
            <w:vAlign w:val="center"/>
          </w:tcPr>
          <w:p w14:paraId="28172D88" w14:textId="77777777" w:rsidR="00F6362B" w:rsidRPr="00117DF2" w:rsidRDefault="00F6362B" w:rsidP="00060088">
            <w:pPr>
              <w:widowControl w:val="0"/>
              <w:contextualSpacing/>
              <w:rPr>
                <w:rFonts w:ascii="Arial" w:hAnsi="Arial"/>
                <w:sz w:val="18"/>
                <w:lang w:val="es-ES"/>
              </w:rPr>
            </w:pPr>
          </w:p>
        </w:tc>
        <w:tc>
          <w:tcPr>
            <w:tcW w:w="1303" w:type="dxa"/>
            <w:gridSpan w:val="2"/>
            <w:vAlign w:val="center"/>
          </w:tcPr>
          <w:p w14:paraId="1C3A7E4B"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Plan</w:t>
            </w:r>
            <w:r w:rsidRPr="000C7504">
              <w:rPr>
                <w:rFonts w:ascii="Arial" w:hAnsi="Arial" w:cs="Arial"/>
                <w:sz w:val="18"/>
                <w:lang w:val="es-ES"/>
              </w:rPr>
              <w:t xml:space="preserve"> preparado</w:t>
            </w:r>
          </w:p>
        </w:tc>
        <w:tc>
          <w:tcPr>
            <w:tcW w:w="997" w:type="dxa"/>
            <w:vAlign w:val="center"/>
          </w:tcPr>
          <w:p w14:paraId="0B0BCC74"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0</w:t>
            </w:r>
          </w:p>
        </w:tc>
        <w:tc>
          <w:tcPr>
            <w:tcW w:w="1140" w:type="dxa"/>
            <w:vAlign w:val="center"/>
          </w:tcPr>
          <w:p w14:paraId="5EAF435F" w14:textId="77777777" w:rsidR="00F6362B" w:rsidRPr="00117DF2" w:rsidRDefault="00F6362B" w:rsidP="00060088">
            <w:pPr>
              <w:widowControl w:val="0"/>
              <w:jc w:val="center"/>
              <w:rPr>
                <w:rFonts w:ascii="Arial" w:hAnsi="Arial"/>
                <w:sz w:val="18"/>
                <w:lang w:val="es-ES"/>
              </w:rPr>
            </w:pPr>
            <w:r w:rsidRPr="00117DF2">
              <w:rPr>
                <w:rFonts w:ascii="Arial" w:hAnsi="Arial"/>
                <w:sz w:val="18"/>
                <w:lang w:val="es-ES"/>
              </w:rPr>
              <w:t>1</w:t>
            </w:r>
          </w:p>
        </w:tc>
        <w:tc>
          <w:tcPr>
            <w:tcW w:w="1139" w:type="dxa"/>
            <w:vAlign w:val="center"/>
          </w:tcPr>
          <w:p w14:paraId="04B88D6D" w14:textId="77777777" w:rsidR="00F6362B" w:rsidRPr="00117DF2" w:rsidRDefault="00F6362B" w:rsidP="00060088">
            <w:pPr>
              <w:widowControl w:val="0"/>
              <w:jc w:val="center"/>
              <w:rPr>
                <w:rFonts w:ascii="Arial" w:hAnsi="Arial"/>
                <w:sz w:val="18"/>
                <w:lang w:val="es-ES"/>
              </w:rPr>
            </w:pPr>
            <w:r w:rsidRPr="000C7504">
              <w:rPr>
                <w:rFonts w:ascii="Arial" w:hAnsi="Arial" w:cs="Arial"/>
                <w:sz w:val="18"/>
                <w:lang w:val="es-ES"/>
              </w:rPr>
              <w:t>0</w:t>
            </w:r>
          </w:p>
        </w:tc>
        <w:tc>
          <w:tcPr>
            <w:tcW w:w="1140" w:type="dxa"/>
            <w:vAlign w:val="center"/>
          </w:tcPr>
          <w:p w14:paraId="37163004" w14:textId="77777777" w:rsidR="00F6362B" w:rsidRPr="00117DF2" w:rsidRDefault="00F6362B" w:rsidP="00060088">
            <w:pPr>
              <w:widowControl w:val="0"/>
              <w:jc w:val="center"/>
              <w:rPr>
                <w:rFonts w:ascii="Arial" w:hAnsi="Arial"/>
                <w:sz w:val="18"/>
                <w:lang w:val="es-ES"/>
              </w:rPr>
            </w:pPr>
            <w:r w:rsidRPr="000C7504">
              <w:rPr>
                <w:rFonts w:ascii="Arial" w:hAnsi="Arial" w:cs="Arial"/>
                <w:sz w:val="18"/>
                <w:lang w:val="es-ES"/>
              </w:rPr>
              <w:t>1</w:t>
            </w:r>
          </w:p>
        </w:tc>
        <w:tc>
          <w:tcPr>
            <w:tcW w:w="3054" w:type="dxa"/>
          </w:tcPr>
          <w:p w14:paraId="693CE3BD" w14:textId="77777777" w:rsidR="00F6362B" w:rsidRPr="00117DF2" w:rsidRDefault="00F6362B" w:rsidP="00060088">
            <w:pPr>
              <w:widowControl w:val="0"/>
              <w:spacing w:before="120" w:after="120"/>
              <w:jc w:val="both"/>
              <w:rPr>
                <w:rFonts w:ascii="Arial" w:hAnsi="Arial"/>
                <w:sz w:val="18"/>
                <w:lang w:val="es-ES"/>
              </w:rPr>
            </w:pPr>
            <w:r w:rsidRPr="00117DF2">
              <w:rPr>
                <w:rFonts w:ascii="Arial" w:hAnsi="Arial"/>
                <w:sz w:val="18"/>
                <w:lang w:val="es-ES"/>
              </w:rPr>
              <w:t>Informe de la SAT</w:t>
            </w:r>
            <w:r w:rsidRPr="00F1354F">
              <w:rPr>
                <w:rFonts w:ascii="Arial" w:hAnsi="Arial" w:cs="Arial"/>
                <w:sz w:val="18"/>
                <w:szCs w:val="18"/>
                <w:lang w:val="es-ES"/>
              </w:rPr>
              <w:t xml:space="preserve"> </w:t>
            </w:r>
            <w:r w:rsidRPr="00F1354F">
              <w:rPr>
                <w:rFonts w:ascii="Arial" w:hAnsi="Arial"/>
                <w:sz w:val="18"/>
                <w:lang w:val="es-ES"/>
              </w:rPr>
              <w:t>con un Plan de control integral de la Carga en los recintos fiscalizados de Puerto Quetzal</w:t>
            </w:r>
            <w:r w:rsidRPr="00117DF2">
              <w:rPr>
                <w:rFonts w:ascii="Arial" w:hAnsi="Arial"/>
                <w:sz w:val="18"/>
              </w:rPr>
              <w:t>.</w:t>
            </w:r>
          </w:p>
        </w:tc>
      </w:tr>
      <w:tr w:rsidR="00F6362B" w:rsidRPr="00A1781E" w14:paraId="4F18CBA2" w14:textId="77777777" w:rsidTr="00060088">
        <w:trPr>
          <w:trHeight w:val="827"/>
        </w:trPr>
        <w:tc>
          <w:tcPr>
            <w:tcW w:w="3477" w:type="dxa"/>
            <w:shd w:val="clear" w:color="auto" w:fill="D9D9D9" w:themeFill="background1" w:themeFillShade="D9"/>
            <w:vAlign w:val="center"/>
          </w:tcPr>
          <w:p w14:paraId="0C0CDD1C" w14:textId="77777777" w:rsidR="00F6362B" w:rsidRPr="00A9194E" w:rsidRDefault="00F6362B" w:rsidP="00060088">
            <w:pPr>
              <w:keepNext/>
              <w:spacing w:before="120"/>
              <w:ind w:left="342" w:hanging="342"/>
              <w:jc w:val="center"/>
              <w:rPr>
                <w:rFonts w:ascii="Arial" w:hAnsi="Arial"/>
                <w:sz w:val="20"/>
                <w:lang w:val="es-ES"/>
              </w:rPr>
            </w:pPr>
            <w:r w:rsidRPr="000C7504">
              <w:rPr>
                <w:rFonts w:ascii="Arial" w:hAnsi="Arial" w:cs="Arial"/>
                <w:b/>
                <w:sz w:val="20"/>
                <w:lang w:val="es-ES"/>
              </w:rPr>
              <w:lastRenderedPageBreak/>
              <w:t>Productos</w:t>
            </w:r>
          </w:p>
        </w:tc>
        <w:tc>
          <w:tcPr>
            <w:tcW w:w="1250" w:type="dxa"/>
            <w:shd w:val="clear" w:color="auto" w:fill="D9D9D9" w:themeFill="background1" w:themeFillShade="D9"/>
            <w:vAlign w:val="center"/>
          </w:tcPr>
          <w:p w14:paraId="648B2548" w14:textId="77777777" w:rsidR="00F6362B" w:rsidRPr="00A9194E" w:rsidRDefault="00F6362B" w:rsidP="00060088">
            <w:pPr>
              <w:keepNext/>
              <w:contextualSpacing/>
              <w:jc w:val="center"/>
              <w:rPr>
                <w:rFonts w:ascii="Arial" w:hAnsi="Arial"/>
                <w:sz w:val="20"/>
                <w:lang w:val="es-ES"/>
              </w:rPr>
            </w:pPr>
            <w:r w:rsidRPr="000C7504">
              <w:rPr>
                <w:rFonts w:ascii="Arial" w:hAnsi="Arial" w:cs="Arial"/>
                <w:b/>
                <w:sz w:val="20"/>
                <w:lang w:val="es-ES"/>
              </w:rPr>
              <w:t>Costo estimado (US$)</w:t>
            </w:r>
          </w:p>
        </w:tc>
        <w:tc>
          <w:tcPr>
            <w:tcW w:w="1303" w:type="dxa"/>
            <w:gridSpan w:val="2"/>
            <w:shd w:val="clear" w:color="auto" w:fill="D9D9D9" w:themeFill="background1" w:themeFillShade="D9"/>
            <w:vAlign w:val="center"/>
          </w:tcPr>
          <w:p w14:paraId="49221824" w14:textId="77777777" w:rsidR="00F6362B" w:rsidRPr="00A9194E" w:rsidRDefault="00F6362B" w:rsidP="00060088">
            <w:pPr>
              <w:keepNext/>
              <w:jc w:val="center"/>
              <w:rPr>
                <w:rFonts w:ascii="Arial" w:hAnsi="Arial"/>
                <w:sz w:val="20"/>
                <w:lang w:val="es-ES"/>
              </w:rPr>
            </w:pPr>
            <w:r w:rsidRPr="000C7504">
              <w:rPr>
                <w:rFonts w:ascii="Arial" w:hAnsi="Arial" w:cs="Arial"/>
                <w:b/>
                <w:sz w:val="20"/>
                <w:lang w:val="es-ES"/>
              </w:rPr>
              <w:t>Unidad de medida</w:t>
            </w:r>
          </w:p>
        </w:tc>
        <w:tc>
          <w:tcPr>
            <w:tcW w:w="997" w:type="dxa"/>
            <w:shd w:val="clear" w:color="auto" w:fill="D9D9D9" w:themeFill="background1" w:themeFillShade="D9"/>
            <w:vAlign w:val="center"/>
          </w:tcPr>
          <w:p w14:paraId="3C0506E1" w14:textId="77777777" w:rsidR="00F6362B" w:rsidRPr="00A9194E" w:rsidRDefault="00F6362B" w:rsidP="00060088">
            <w:pPr>
              <w:keepNext/>
              <w:jc w:val="center"/>
              <w:rPr>
                <w:rFonts w:ascii="Arial" w:hAnsi="Arial"/>
                <w:sz w:val="20"/>
                <w:lang w:val="es-ES"/>
              </w:rPr>
            </w:pPr>
            <w:r w:rsidRPr="000C7504">
              <w:rPr>
                <w:rFonts w:ascii="Arial" w:hAnsi="Arial" w:cs="Arial"/>
                <w:b/>
                <w:sz w:val="20"/>
                <w:lang w:val="es-ES"/>
              </w:rPr>
              <w:t>Línea de base</w:t>
            </w:r>
          </w:p>
        </w:tc>
        <w:tc>
          <w:tcPr>
            <w:tcW w:w="1140" w:type="dxa"/>
            <w:shd w:val="clear" w:color="auto" w:fill="D9D9D9" w:themeFill="background1" w:themeFillShade="D9"/>
            <w:vAlign w:val="center"/>
          </w:tcPr>
          <w:p w14:paraId="27E5AB80" w14:textId="77777777" w:rsidR="00F6362B" w:rsidRPr="00A9194E" w:rsidRDefault="00F6362B" w:rsidP="00060088">
            <w:pPr>
              <w:keepNext/>
              <w:jc w:val="center"/>
              <w:rPr>
                <w:rFonts w:ascii="Arial" w:hAnsi="Arial"/>
                <w:sz w:val="20"/>
                <w:lang w:val="es-ES"/>
              </w:rPr>
            </w:pPr>
            <w:r w:rsidRPr="000C7504">
              <w:rPr>
                <w:rFonts w:ascii="Arial" w:hAnsi="Arial" w:cs="Arial"/>
                <w:b/>
                <w:sz w:val="20"/>
                <w:lang w:val="es-ES"/>
              </w:rPr>
              <w:t>Año 1</w:t>
            </w:r>
          </w:p>
        </w:tc>
        <w:tc>
          <w:tcPr>
            <w:tcW w:w="1139" w:type="dxa"/>
            <w:shd w:val="clear" w:color="auto" w:fill="D9D9D9" w:themeFill="background1" w:themeFillShade="D9"/>
            <w:vAlign w:val="center"/>
          </w:tcPr>
          <w:p w14:paraId="30F10519" w14:textId="77777777" w:rsidR="00F6362B" w:rsidRPr="00A9194E" w:rsidRDefault="00F6362B" w:rsidP="00060088">
            <w:pPr>
              <w:keepNext/>
              <w:jc w:val="center"/>
              <w:rPr>
                <w:rFonts w:ascii="Arial" w:hAnsi="Arial"/>
                <w:sz w:val="20"/>
                <w:lang w:val="es-ES"/>
              </w:rPr>
            </w:pPr>
            <w:r w:rsidRPr="000C7504">
              <w:rPr>
                <w:rFonts w:ascii="Arial" w:hAnsi="Arial" w:cs="Arial"/>
                <w:b/>
                <w:sz w:val="20"/>
                <w:lang w:val="es-ES"/>
              </w:rPr>
              <w:t>Año 2</w:t>
            </w:r>
          </w:p>
        </w:tc>
        <w:tc>
          <w:tcPr>
            <w:tcW w:w="1140" w:type="dxa"/>
            <w:shd w:val="clear" w:color="auto" w:fill="D9D9D9" w:themeFill="background1" w:themeFillShade="D9"/>
            <w:vAlign w:val="center"/>
          </w:tcPr>
          <w:p w14:paraId="295D6162" w14:textId="77777777" w:rsidR="00F6362B" w:rsidRPr="00A9194E" w:rsidRDefault="00F6362B" w:rsidP="00060088">
            <w:pPr>
              <w:keepNext/>
              <w:rPr>
                <w:rFonts w:ascii="Arial" w:hAnsi="Arial"/>
                <w:sz w:val="20"/>
                <w:lang w:val="es-ES"/>
              </w:rPr>
            </w:pPr>
            <w:r w:rsidRPr="000C7504">
              <w:rPr>
                <w:rFonts w:ascii="Arial" w:hAnsi="Arial" w:cs="Arial"/>
                <w:b/>
                <w:sz w:val="20"/>
                <w:lang w:val="es-ES"/>
              </w:rPr>
              <w:t>Meta final</w:t>
            </w:r>
          </w:p>
        </w:tc>
        <w:tc>
          <w:tcPr>
            <w:tcW w:w="3054" w:type="dxa"/>
            <w:shd w:val="clear" w:color="auto" w:fill="D9D9D9" w:themeFill="background1" w:themeFillShade="D9"/>
            <w:vAlign w:val="center"/>
          </w:tcPr>
          <w:p w14:paraId="7E6DA325" w14:textId="77777777" w:rsidR="00F6362B" w:rsidRPr="00A9194E" w:rsidRDefault="00F6362B" w:rsidP="00060088">
            <w:pPr>
              <w:keepNext/>
              <w:spacing w:before="120" w:after="120"/>
              <w:rPr>
                <w:rFonts w:ascii="Arial" w:hAnsi="Arial"/>
                <w:sz w:val="20"/>
                <w:lang w:val="es-ES"/>
              </w:rPr>
            </w:pPr>
            <w:r w:rsidRPr="000C7504">
              <w:rPr>
                <w:rFonts w:ascii="Arial" w:hAnsi="Arial" w:cs="Arial"/>
                <w:b/>
                <w:sz w:val="20"/>
                <w:lang w:val="es-ES"/>
              </w:rPr>
              <w:t>Medio de verificación</w:t>
            </w:r>
          </w:p>
        </w:tc>
      </w:tr>
      <w:tr w:rsidR="00F6362B" w:rsidRPr="0006316B" w14:paraId="7E031616" w14:textId="77777777" w:rsidTr="00060088">
        <w:trPr>
          <w:trHeight w:val="1664"/>
        </w:trPr>
        <w:tc>
          <w:tcPr>
            <w:tcW w:w="3477" w:type="dxa"/>
          </w:tcPr>
          <w:p w14:paraId="0548F62C" w14:textId="77777777" w:rsidR="00F6362B" w:rsidRPr="00F60B19" w:rsidRDefault="00F6362B" w:rsidP="00060088">
            <w:pPr>
              <w:widowControl w:val="0"/>
              <w:spacing w:before="120"/>
              <w:ind w:left="342" w:hanging="342"/>
              <w:jc w:val="both"/>
              <w:rPr>
                <w:rFonts w:ascii="Arial" w:hAnsi="Arial"/>
                <w:sz w:val="18"/>
              </w:rPr>
            </w:pPr>
            <w:r w:rsidRPr="00F60B19">
              <w:rPr>
                <w:rFonts w:ascii="Arial" w:hAnsi="Arial" w:cs="Arial"/>
                <w:sz w:val="18"/>
                <w:lang w:val="es-ES"/>
              </w:rPr>
              <w:t>8b. Plan de control integral de la Carga en los recintos fiscalizados durante el despacho aduanero, implantado la primera fase en Puerto Quetzal y planificación para su extensión a todos los puertos con fiscalización aduanera</w:t>
            </w:r>
            <w:r w:rsidRPr="00F60B19">
              <w:rPr>
                <w:rFonts w:ascii="Arial" w:hAnsi="Arial" w:cs="Arial"/>
                <w:sz w:val="18"/>
              </w:rPr>
              <w:t>.</w:t>
            </w:r>
          </w:p>
        </w:tc>
        <w:tc>
          <w:tcPr>
            <w:tcW w:w="1250" w:type="dxa"/>
            <w:vAlign w:val="center"/>
          </w:tcPr>
          <w:p w14:paraId="5B18B42C" w14:textId="77777777" w:rsidR="00F6362B" w:rsidRPr="00F60B19" w:rsidRDefault="00F6362B" w:rsidP="00060088">
            <w:pPr>
              <w:widowControl w:val="0"/>
              <w:contextualSpacing/>
              <w:rPr>
                <w:rFonts w:ascii="Arial" w:hAnsi="Arial"/>
                <w:sz w:val="18"/>
                <w:lang w:val="es-ES"/>
              </w:rPr>
            </w:pPr>
          </w:p>
        </w:tc>
        <w:tc>
          <w:tcPr>
            <w:tcW w:w="1303" w:type="dxa"/>
            <w:gridSpan w:val="2"/>
            <w:vAlign w:val="center"/>
          </w:tcPr>
          <w:p w14:paraId="5DC4F30B" w14:textId="77777777" w:rsidR="00F6362B" w:rsidRPr="00F60B19" w:rsidRDefault="00F6362B" w:rsidP="00060088">
            <w:pPr>
              <w:widowControl w:val="0"/>
              <w:jc w:val="center"/>
              <w:rPr>
                <w:rFonts w:ascii="Arial" w:hAnsi="Arial"/>
                <w:sz w:val="18"/>
                <w:lang w:val="es-ES"/>
              </w:rPr>
            </w:pPr>
            <w:r w:rsidRPr="00F60B19">
              <w:rPr>
                <w:rFonts w:ascii="Arial" w:hAnsi="Arial" w:cs="Arial"/>
                <w:sz w:val="18"/>
                <w:lang w:val="es-ES"/>
              </w:rPr>
              <w:t>Plan implantado la primera fase</w:t>
            </w:r>
          </w:p>
        </w:tc>
        <w:tc>
          <w:tcPr>
            <w:tcW w:w="997" w:type="dxa"/>
            <w:vAlign w:val="center"/>
          </w:tcPr>
          <w:p w14:paraId="67ACDEE3" w14:textId="77777777" w:rsidR="00F6362B" w:rsidRPr="00F60B19" w:rsidRDefault="00F6362B" w:rsidP="00060088">
            <w:pPr>
              <w:widowControl w:val="0"/>
              <w:jc w:val="center"/>
              <w:rPr>
                <w:rFonts w:ascii="Arial" w:hAnsi="Arial"/>
                <w:sz w:val="18"/>
                <w:lang w:val="es-ES"/>
              </w:rPr>
            </w:pPr>
            <w:r w:rsidRPr="00F60B19">
              <w:rPr>
                <w:rFonts w:ascii="Arial" w:hAnsi="Arial" w:cs="Arial"/>
                <w:sz w:val="18"/>
                <w:lang w:val="es-ES"/>
              </w:rPr>
              <w:t>0</w:t>
            </w:r>
          </w:p>
        </w:tc>
        <w:tc>
          <w:tcPr>
            <w:tcW w:w="1140" w:type="dxa"/>
            <w:vAlign w:val="center"/>
          </w:tcPr>
          <w:p w14:paraId="6DEF87E6" w14:textId="77777777" w:rsidR="00F6362B" w:rsidRPr="00F60B19" w:rsidRDefault="00F6362B" w:rsidP="00060088">
            <w:pPr>
              <w:widowControl w:val="0"/>
              <w:jc w:val="center"/>
              <w:rPr>
                <w:rFonts w:ascii="Arial" w:hAnsi="Arial"/>
                <w:sz w:val="18"/>
                <w:lang w:val="es-ES"/>
              </w:rPr>
            </w:pPr>
            <w:r w:rsidRPr="00F60B19">
              <w:rPr>
                <w:rFonts w:ascii="Arial" w:hAnsi="Arial" w:cs="Arial"/>
                <w:sz w:val="18"/>
                <w:lang w:val="es-ES"/>
              </w:rPr>
              <w:t>0</w:t>
            </w:r>
          </w:p>
        </w:tc>
        <w:tc>
          <w:tcPr>
            <w:tcW w:w="1139" w:type="dxa"/>
            <w:vAlign w:val="center"/>
          </w:tcPr>
          <w:p w14:paraId="193D6FCE" w14:textId="77777777" w:rsidR="00F6362B" w:rsidRPr="00F60B19" w:rsidRDefault="00F6362B" w:rsidP="00060088">
            <w:pPr>
              <w:widowControl w:val="0"/>
              <w:jc w:val="center"/>
              <w:rPr>
                <w:rFonts w:ascii="Arial" w:hAnsi="Arial"/>
                <w:sz w:val="18"/>
                <w:lang w:val="es-ES"/>
              </w:rPr>
            </w:pPr>
            <w:r w:rsidRPr="00F60B19">
              <w:rPr>
                <w:rFonts w:ascii="Arial" w:hAnsi="Arial" w:cs="Arial"/>
                <w:sz w:val="18"/>
                <w:lang w:val="es-ES"/>
              </w:rPr>
              <w:t>1</w:t>
            </w:r>
          </w:p>
        </w:tc>
        <w:tc>
          <w:tcPr>
            <w:tcW w:w="1140" w:type="dxa"/>
            <w:vAlign w:val="center"/>
          </w:tcPr>
          <w:p w14:paraId="64F6DEDE" w14:textId="77777777" w:rsidR="00F6362B" w:rsidRPr="00117DF2" w:rsidRDefault="00F6362B" w:rsidP="00060088">
            <w:pPr>
              <w:widowControl w:val="0"/>
              <w:jc w:val="center"/>
              <w:rPr>
                <w:rFonts w:ascii="Arial" w:hAnsi="Arial"/>
                <w:sz w:val="18"/>
                <w:lang w:val="es-ES"/>
              </w:rPr>
            </w:pPr>
            <w:r w:rsidRPr="000C7504">
              <w:rPr>
                <w:rFonts w:ascii="Arial" w:hAnsi="Arial" w:cs="Arial"/>
                <w:sz w:val="18"/>
                <w:lang w:val="es-ES"/>
              </w:rPr>
              <w:t>1</w:t>
            </w:r>
          </w:p>
        </w:tc>
        <w:tc>
          <w:tcPr>
            <w:tcW w:w="3054" w:type="dxa"/>
          </w:tcPr>
          <w:p w14:paraId="6DD0CADB" w14:textId="77777777" w:rsidR="00F6362B" w:rsidRPr="00117DF2" w:rsidRDefault="00F6362B" w:rsidP="00060088">
            <w:pPr>
              <w:widowControl w:val="0"/>
              <w:spacing w:before="120" w:after="120"/>
              <w:jc w:val="both"/>
              <w:rPr>
                <w:rFonts w:ascii="Arial" w:hAnsi="Arial"/>
                <w:sz w:val="18"/>
                <w:lang w:val="es-ES"/>
              </w:rPr>
            </w:pPr>
            <w:r w:rsidRPr="000C7504">
              <w:rPr>
                <w:rFonts w:ascii="Arial" w:hAnsi="Arial" w:cs="Arial"/>
                <w:sz w:val="18"/>
                <w:lang w:val="es-ES"/>
              </w:rPr>
              <w:t>Informe de la SAT</w:t>
            </w:r>
            <w:r>
              <w:rPr>
                <w:rFonts w:ascii="Arial" w:hAnsi="Arial" w:cs="Arial"/>
                <w:sz w:val="18"/>
                <w:lang w:val="es-ES"/>
              </w:rPr>
              <w:t xml:space="preserve"> </w:t>
            </w:r>
            <w:r w:rsidRPr="00F1354F">
              <w:rPr>
                <w:rFonts w:ascii="Arial" w:hAnsi="Arial" w:cs="Arial"/>
                <w:sz w:val="18"/>
                <w:lang w:val="es-ES"/>
              </w:rPr>
              <w:t>describe el proceso de implantación del Plan de control integral de la Carga en los recintos fiscalizados de Puerto Quetzal y presenta la planificación para su extensión a todos los puertos con fiscalización aduanera</w:t>
            </w:r>
            <w:r w:rsidRPr="000C7504">
              <w:rPr>
                <w:rFonts w:ascii="Arial" w:hAnsi="Arial" w:cs="Arial"/>
                <w:sz w:val="18"/>
              </w:rPr>
              <w:t>.</w:t>
            </w:r>
          </w:p>
        </w:tc>
      </w:tr>
      <w:tr w:rsidR="00F6362B" w:rsidRPr="0006316B" w14:paraId="051880B9" w14:textId="77777777" w:rsidTr="00060088">
        <w:trPr>
          <w:trHeight w:val="1889"/>
        </w:trPr>
        <w:tc>
          <w:tcPr>
            <w:tcW w:w="3477" w:type="dxa"/>
          </w:tcPr>
          <w:p w14:paraId="577344CC" w14:textId="77777777" w:rsidR="00F6362B" w:rsidRPr="00F60B19" w:rsidRDefault="00F6362B" w:rsidP="00060088">
            <w:pPr>
              <w:spacing w:before="120" w:after="120"/>
              <w:ind w:left="342" w:hanging="342"/>
              <w:jc w:val="both"/>
              <w:rPr>
                <w:rFonts w:ascii="Arial" w:hAnsi="Arial"/>
                <w:sz w:val="18"/>
              </w:rPr>
            </w:pPr>
            <w:r w:rsidRPr="00F60B19">
              <w:rPr>
                <w:rFonts w:ascii="Arial" w:hAnsi="Arial" w:cs="Arial"/>
                <w:sz w:val="18"/>
                <w:lang w:val="es-ES"/>
              </w:rPr>
              <w:t>9a</w:t>
            </w:r>
            <w:r w:rsidRPr="00F60B19">
              <w:rPr>
                <w:rFonts w:ascii="Arial" w:hAnsi="Arial"/>
                <w:sz w:val="18"/>
                <w:lang w:val="es-ES"/>
              </w:rPr>
              <w:t>. Marco de colaboración en investigaciones criminales de evasión tributaria y fraude fiscal, institucionalizado mediante  un Convenio Interinstitucional entre la SAT, el Ministerio Público y la CICIG (Comisión Internacional contra la Impunidad en Guatemala)</w:t>
            </w:r>
            <w:r w:rsidRPr="00F60B19">
              <w:rPr>
                <w:rFonts w:ascii="Arial" w:hAnsi="Arial"/>
                <w:sz w:val="18"/>
              </w:rPr>
              <w:t>.</w:t>
            </w:r>
          </w:p>
        </w:tc>
        <w:tc>
          <w:tcPr>
            <w:tcW w:w="1250" w:type="dxa"/>
            <w:vAlign w:val="center"/>
          </w:tcPr>
          <w:p w14:paraId="7C233B38" w14:textId="77777777" w:rsidR="00F6362B" w:rsidRPr="00F60B19" w:rsidRDefault="00F6362B" w:rsidP="00060088">
            <w:pPr>
              <w:contextualSpacing/>
              <w:rPr>
                <w:rFonts w:ascii="Arial" w:hAnsi="Arial"/>
                <w:sz w:val="18"/>
                <w:lang w:val="es-ES"/>
              </w:rPr>
            </w:pPr>
          </w:p>
        </w:tc>
        <w:tc>
          <w:tcPr>
            <w:tcW w:w="1303" w:type="dxa"/>
            <w:gridSpan w:val="2"/>
            <w:vAlign w:val="center"/>
          </w:tcPr>
          <w:p w14:paraId="6EA3CFDF" w14:textId="77777777" w:rsidR="00F6362B" w:rsidRPr="00F60B19" w:rsidRDefault="00F6362B" w:rsidP="00060088">
            <w:pPr>
              <w:jc w:val="center"/>
              <w:rPr>
                <w:rFonts w:ascii="Arial" w:hAnsi="Arial"/>
                <w:sz w:val="18"/>
                <w:lang w:val="es-ES"/>
              </w:rPr>
            </w:pPr>
            <w:r w:rsidRPr="00F60B19">
              <w:rPr>
                <w:rFonts w:ascii="Arial" w:hAnsi="Arial" w:cs="Arial"/>
                <w:sz w:val="18"/>
                <w:lang w:val="es-ES"/>
              </w:rPr>
              <w:t>Convenio firmado</w:t>
            </w:r>
          </w:p>
        </w:tc>
        <w:tc>
          <w:tcPr>
            <w:tcW w:w="997" w:type="dxa"/>
            <w:vAlign w:val="center"/>
          </w:tcPr>
          <w:p w14:paraId="1D6A99DF" w14:textId="77777777" w:rsidR="00F6362B" w:rsidRPr="00F60B19" w:rsidRDefault="00F6362B" w:rsidP="00060088">
            <w:pPr>
              <w:jc w:val="center"/>
              <w:rPr>
                <w:rFonts w:ascii="Arial" w:hAnsi="Arial"/>
                <w:sz w:val="18"/>
                <w:lang w:val="es-ES"/>
              </w:rPr>
            </w:pPr>
            <w:r w:rsidRPr="00F60B19">
              <w:rPr>
                <w:rFonts w:ascii="Arial" w:hAnsi="Arial"/>
                <w:sz w:val="18"/>
                <w:lang w:val="es-ES"/>
              </w:rPr>
              <w:t>0</w:t>
            </w:r>
          </w:p>
        </w:tc>
        <w:tc>
          <w:tcPr>
            <w:tcW w:w="1140" w:type="dxa"/>
            <w:vAlign w:val="center"/>
          </w:tcPr>
          <w:p w14:paraId="1D9DBD3B" w14:textId="77777777" w:rsidR="00F6362B" w:rsidRPr="00F60B19" w:rsidRDefault="00F6362B" w:rsidP="00060088">
            <w:pPr>
              <w:jc w:val="center"/>
              <w:rPr>
                <w:rFonts w:ascii="Arial" w:hAnsi="Arial"/>
                <w:sz w:val="18"/>
                <w:lang w:val="es-ES"/>
              </w:rPr>
            </w:pPr>
            <w:r w:rsidRPr="00F60B19">
              <w:rPr>
                <w:rFonts w:ascii="Arial" w:hAnsi="Arial"/>
                <w:sz w:val="18"/>
                <w:lang w:val="es-ES"/>
              </w:rPr>
              <w:t>1</w:t>
            </w:r>
          </w:p>
        </w:tc>
        <w:tc>
          <w:tcPr>
            <w:tcW w:w="1139" w:type="dxa"/>
            <w:vAlign w:val="center"/>
          </w:tcPr>
          <w:p w14:paraId="47714345" w14:textId="77777777" w:rsidR="00F6362B" w:rsidRPr="00F60B19" w:rsidRDefault="00F6362B" w:rsidP="00060088">
            <w:pPr>
              <w:jc w:val="center"/>
              <w:rPr>
                <w:rFonts w:ascii="Arial" w:hAnsi="Arial"/>
                <w:sz w:val="18"/>
                <w:lang w:val="es-ES"/>
              </w:rPr>
            </w:pPr>
            <w:r w:rsidRPr="00F60B19">
              <w:rPr>
                <w:rFonts w:ascii="Arial" w:hAnsi="Arial" w:cs="Arial"/>
                <w:sz w:val="18"/>
                <w:lang w:val="es-ES"/>
              </w:rPr>
              <w:t>0</w:t>
            </w:r>
          </w:p>
        </w:tc>
        <w:tc>
          <w:tcPr>
            <w:tcW w:w="1140" w:type="dxa"/>
            <w:vAlign w:val="center"/>
          </w:tcPr>
          <w:p w14:paraId="5F2E88CE"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1</w:t>
            </w:r>
          </w:p>
        </w:tc>
        <w:tc>
          <w:tcPr>
            <w:tcW w:w="3054" w:type="dxa"/>
          </w:tcPr>
          <w:p w14:paraId="17431F67"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Copia del Convenio suscrito</w:t>
            </w:r>
            <w:r w:rsidRPr="00F1354F">
              <w:rPr>
                <w:rFonts w:ascii="Arial" w:hAnsi="Arial" w:cs="Arial"/>
                <w:sz w:val="18"/>
                <w:szCs w:val="18"/>
                <w:lang w:val="es-ES"/>
              </w:rPr>
              <w:t xml:space="preserve"> </w:t>
            </w:r>
            <w:r w:rsidRPr="00F1354F">
              <w:rPr>
                <w:rFonts w:ascii="Arial" w:hAnsi="Arial"/>
                <w:sz w:val="18"/>
                <w:lang w:val="es-ES"/>
              </w:rPr>
              <w:t>entre la SAT, el Ministerio Público y la CICIG</w:t>
            </w:r>
            <w:r w:rsidRPr="00117DF2">
              <w:rPr>
                <w:rFonts w:ascii="Arial" w:hAnsi="Arial"/>
                <w:sz w:val="18"/>
              </w:rPr>
              <w:t>.</w:t>
            </w:r>
          </w:p>
        </w:tc>
      </w:tr>
      <w:tr w:rsidR="00F6362B" w:rsidRPr="0006316B" w14:paraId="167EFFB1" w14:textId="77777777" w:rsidTr="00060088">
        <w:trPr>
          <w:trHeight w:val="971"/>
        </w:trPr>
        <w:tc>
          <w:tcPr>
            <w:tcW w:w="3477" w:type="dxa"/>
          </w:tcPr>
          <w:p w14:paraId="180EE591" w14:textId="77777777" w:rsidR="00F6362B" w:rsidRPr="00F60B19" w:rsidRDefault="00F6362B" w:rsidP="00060088">
            <w:pPr>
              <w:spacing w:before="120" w:after="120"/>
              <w:ind w:left="342" w:hanging="342"/>
              <w:jc w:val="both"/>
              <w:rPr>
                <w:rFonts w:ascii="Arial" w:hAnsi="Arial" w:cs="Arial"/>
                <w:sz w:val="18"/>
              </w:rPr>
            </w:pPr>
            <w:r w:rsidRPr="00F60B19">
              <w:rPr>
                <w:rFonts w:ascii="Arial" w:hAnsi="Arial" w:cs="Arial"/>
                <w:sz w:val="18"/>
                <w:lang w:val="es-ES"/>
              </w:rPr>
              <w:t>9b. Investigaciones criminales de evasión tributaria y fraudes fiscales, en operación</w:t>
            </w:r>
          </w:p>
        </w:tc>
        <w:tc>
          <w:tcPr>
            <w:tcW w:w="1250" w:type="dxa"/>
            <w:vAlign w:val="center"/>
          </w:tcPr>
          <w:p w14:paraId="0E89B389" w14:textId="77777777" w:rsidR="00F6362B" w:rsidRPr="00F60B19" w:rsidRDefault="00F6362B" w:rsidP="00060088">
            <w:pPr>
              <w:contextualSpacing/>
              <w:rPr>
                <w:rFonts w:ascii="Arial" w:hAnsi="Arial" w:cs="Arial"/>
                <w:sz w:val="18"/>
                <w:lang w:val="es-ES"/>
              </w:rPr>
            </w:pPr>
          </w:p>
        </w:tc>
        <w:tc>
          <w:tcPr>
            <w:tcW w:w="1303" w:type="dxa"/>
            <w:gridSpan w:val="2"/>
            <w:vAlign w:val="center"/>
          </w:tcPr>
          <w:p w14:paraId="53B949AA"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Investigaciones criminales</w:t>
            </w:r>
          </w:p>
        </w:tc>
        <w:tc>
          <w:tcPr>
            <w:tcW w:w="997" w:type="dxa"/>
            <w:vAlign w:val="center"/>
          </w:tcPr>
          <w:p w14:paraId="064BCFC2"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0</w:t>
            </w:r>
          </w:p>
        </w:tc>
        <w:tc>
          <w:tcPr>
            <w:tcW w:w="1140" w:type="dxa"/>
            <w:vAlign w:val="center"/>
          </w:tcPr>
          <w:p w14:paraId="256E0684"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0</w:t>
            </w:r>
          </w:p>
        </w:tc>
        <w:tc>
          <w:tcPr>
            <w:tcW w:w="1139" w:type="dxa"/>
            <w:vAlign w:val="center"/>
          </w:tcPr>
          <w:p w14:paraId="08FCC2E8"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1</w:t>
            </w:r>
          </w:p>
        </w:tc>
        <w:tc>
          <w:tcPr>
            <w:tcW w:w="1140" w:type="dxa"/>
            <w:vAlign w:val="center"/>
          </w:tcPr>
          <w:p w14:paraId="63CE06A9"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Pr>
          <w:p w14:paraId="71E26D10" w14:textId="77777777" w:rsidR="00F6362B" w:rsidRPr="000C7504" w:rsidRDefault="00F6362B" w:rsidP="00060088">
            <w:pPr>
              <w:spacing w:before="120" w:after="120"/>
              <w:jc w:val="both"/>
              <w:rPr>
                <w:rFonts w:ascii="Arial" w:hAnsi="Arial" w:cs="Arial"/>
                <w:sz w:val="18"/>
                <w:lang w:val="es-ES"/>
              </w:rPr>
            </w:pPr>
            <w:r w:rsidRPr="000C7504">
              <w:rPr>
                <w:rFonts w:ascii="Arial" w:hAnsi="Arial" w:cs="Arial"/>
                <w:sz w:val="18"/>
              </w:rPr>
              <w:t>I</w:t>
            </w:r>
            <w:r w:rsidRPr="000C7504">
              <w:rPr>
                <w:rFonts w:ascii="Arial" w:hAnsi="Arial" w:cs="Arial"/>
                <w:sz w:val="18"/>
                <w:lang w:val="es-ES"/>
              </w:rPr>
              <w:t>nforme de la SAT con las principales investigaciones apoyadas y montos recuperados.</w:t>
            </w:r>
          </w:p>
        </w:tc>
      </w:tr>
      <w:tr w:rsidR="00F6362B" w:rsidRPr="0006316B" w14:paraId="3F7B640E" w14:textId="77777777" w:rsidTr="00060088">
        <w:trPr>
          <w:trHeight w:val="1169"/>
        </w:trPr>
        <w:tc>
          <w:tcPr>
            <w:tcW w:w="3477" w:type="dxa"/>
            <w:tcBorders>
              <w:bottom w:val="single" w:sz="4" w:space="0" w:color="000000"/>
            </w:tcBorders>
          </w:tcPr>
          <w:p w14:paraId="2123ECF7" w14:textId="77777777" w:rsidR="00F6362B" w:rsidRPr="00F60B19" w:rsidRDefault="00F6362B" w:rsidP="00060088">
            <w:pPr>
              <w:spacing w:before="120" w:after="120"/>
              <w:ind w:left="432" w:hanging="432"/>
              <w:jc w:val="both"/>
              <w:rPr>
                <w:rFonts w:ascii="Arial" w:hAnsi="Arial"/>
                <w:sz w:val="18"/>
                <w:lang w:val="es-ES"/>
              </w:rPr>
            </w:pPr>
            <w:r w:rsidRPr="00F60B19">
              <w:rPr>
                <w:rFonts w:ascii="Arial" w:hAnsi="Arial" w:cs="Arial"/>
                <w:sz w:val="18"/>
                <w:lang w:val="es-ES"/>
              </w:rPr>
              <w:t>10a</w:t>
            </w:r>
            <w:r w:rsidRPr="00F60B19">
              <w:rPr>
                <w:rFonts w:ascii="Arial" w:hAnsi="Arial"/>
                <w:sz w:val="18"/>
                <w:lang w:val="es-ES"/>
              </w:rPr>
              <w:t>. Reforma de la Ley Orgánica del Ministerio Público, aprobada.</w:t>
            </w:r>
          </w:p>
        </w:tc>
        <w:tc>
          <w:tcPr>
            <w:tcW w:w="1250" w:type="dxa"/>
            <w:tcBorders>
              <w:bottom w:val="single" w:sz="4" w:space="0" w:color="000000"/>
            </w:tcBorders>
            <w:vAlign w:val="center"/>
          </w:tcPr>
          <w:p w14:paraId="7A467407" w14:textId="77777777" w:rsidR="00F6362B" w:rsidRPr="00F60B19" w:rsidRDefault="00F6362B" w:rsidP="00060088">
            <w:pPr>
              <w:contextualSpacing/>
              <w:rPr>
                <w:rFonts w:ascii="Arial" w:hAnsi="Arial"/>
                <w:sz w:val="18"/>
                <w:lang w:val="es-ES"/>
              </w:rPr>
            </w:pPr>
          </w:p>
        </w:tc>
        <w:tc>
          <w:tcPr>
            <w:tcW w:w="1303" w:type="dxa"/>
            <w:gridSpan w:val="2"/>
            <w:tcBorders>
              <w:bottom w:val="single" w:sz="4" w:space="0" w:color="000000"/>
            </w:tcBorders>
            <w:vAlign w:val="center"/>
          </w:tcPr>
          <w:p w14:paraId="7BDE2880" w14:textId="77777777" w:rsidR="00F6362B" w:rsidRPr="00F60B19" w:rsidRDefault="00F6362B" w:rsidP="00060088">
            <w:pPr>
              <w:jc w:val="center"/>
              <w:rPr>
                <w:rFonts w:ascii="Arial" w:hAnsi="Arial"/>
                <w:sz w:val="18"/>
                <w:lang w:val="es-ES"/>
              </w:rPr>
            </w:pPr>
            <w:r w:rsidRPr="00F60B19">
              <w:rPr>
                <w:rFonts w:ascii="Arial" w:hAnsi="Arial" w:cs="Arial"/>
                <w:sz w:val="18"/>
                <w:lang w:val="es-ES"/>
              </w:rPr>
              <w:t>Ley Orgánica del Ministerio Público, aprobada</w:t>
            </w:r>
          </w:p>
        </w:tc>
        <w:tc>
          <w:tcPr>
            <w:tcW w:w="997" w:type="dxa"/>
            <w:tcBorders>
              <w:bottom w:val="single" w:sz="4" w:space="0" w:color="000000"/>
            </w:tcBorders>
            <w:vAlign w:val="center"/>
          </w:tcPr>
          <w:p w14:paraId="14C4AF5D" w14:textId="77777777" w:rsidR="00F6362B" w:rsidRPr="00F60B19" w:rsidRDefault="00F6362B" w:rsidP="00060088">
            <w:pPr>
              <w:jc w:val="center"/>
              <w:rPr>
                <w:rFonts w:ascii="Arial" w:hAnsi="Arial"/>
                <w:sz w:val="18"/>
                <w:lang w:val="es-ES"/>
              </w:rPr>
            </w:pPr>
            <w:r w:rsidRPr="00F60B19">
              <w:rPr>
                <w:rFonts w:ascii="Arial" w:hAnsi="Arial"/>
                <w:sz w:val="18"/>
                <w:lang w:val="es-ES"/>
              </w:rPr>
              <w:t>0</w:t>
            </w:r>
          </w:p>
        </w:tc>
        <w:tc>
          <w:tcPr>
            <w:tcW w:w="1140" w:type="dxa"/>
            <w:tcBorders>
              <w:bottom w:val="single" w:sz="4" w:space="0" w:color="000000"/>
            </w:tcBorders>
            <w:vAlign w:val="center"/>
          </w:tcPr>
          <w:p w14:paraId="588835CF" w14:textId="77777777" w:rsidR="00F6362B" w:rsidRPr="00F60B19" w:rsidRDefault="00F6362B" w:rsidP="00060088">
            <w:pPr>
              <w:jc w:val="center"/>
              <w:rPr>
                <w:rFonts w:ascii="Arial" w:hAnsi="Arial"/>
                <w:sz w:val="18"/>
                <w:lang w:val="es-ES"/>
              </w:rPr>
            </w:pPr>
            <w:r w:rsidRPr="00F60B19">
              <w:rPr>
                <w:rFonts w:ascii="Arial" w:hAnsi="Arial"/>
                <w:sz w:val="18"/>
                <w:lang w:val="es-ES"/>
              </w:rPr>
              <w:t>1</w:t>
            </w:r>
          </w:p>
        </w:tc>
        <w:tc>
          <w:tcPr>
            <w:tcW w:w="1139" w:type="dxa"/>
            <w:tcBorders>
              <w:bottom w:val="single" w:sz="4" w:space="0" w:color="000000"/>
            </w:tcBorders>
            <w:vAlign w:val="center"/>
          </w:tcPr>
          <w:p w14:paraId="7C853AC9" w14:textId="77777777" w:rsidR="00F6362B" w:rsidRPr="00F60B19" w:rsidRDefault="00F6362B" w:rsidP="00060088">
            <w:pPr>
              <w:jc w:val="center"/>
              <w:rPr>
                <w:rFonts w:ascii="Arial" w:hAnsi="Arial"/>
                <w:sz w:val="18"/>
                <w:lang w:val="es-ES"/>
              </w:rPr>
            </w:pPr>
            <w:r w:rsidRPr="00F60B19">
              <w:rPr>
                <w:rFonts w:ascii="Arial" w:hAnsi="Arial" w:cs="Arial"/>
                <w:sz w:val="18"/>
                <w:lang w:val="es-ES"/>
              </w:rPr>
              <w:t>0</w:t>
            </w:r>
          </w:p>
        </w:tc>
        <w:tc>
          <w:tcPr>
            <w:tcW w:w="1140" w:type="dxa"/>
            <w:tcBorders>
              <w:bottom w:val="single" w:sz="4" w:space="0" w:color="000000"/>
            </w:tcBorders>
            <w:vAlign w:val="center"/>
          </w:tcPr>
          <w:p w14:paraId="1E2D2323"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1</w:t>
            </w:r>
          </w:p>
        </w:tc>
        <w:tc>
          <w:tcPr>
            <w:tcW w:w="3054" w:type="dxa"/>
            <w:tcBorders>
              <w:bottom w:val="single" w:sz="4" w:space="0" w:color="000000"/>
            </w:tcBorders>
          </w:tcPr>
          <w:p w14:paraId="44A9C1C4" w14:textId="77777777" w:rsidR="00F6362B" w:rsidRPr="00117DF2" w:rsidRDefault="00F6362B" w:rsidP="00060088">
            <w:pPr>
              <w:spacing w:before="120" w:after="120"/>
              <w:jc w:val="both"/>
              <w:rPr>
                <w:rFonts w:ascii="Arial" w:hAnsi="Arial"/>
                <w:sz w:val="18"/>
                <w:lang w:val="es-ES"/>
              </w:rPr>
            </w:pPr>
            <w:r w:rsidRPr="00117DF2">
              <w:rPr>
                <w:rFonts w:ascii="Arial" w:hAnsi="Arial"/>
                <w:sz w:val="18"/>
                <w:lang w:val="es-ES"/>
              </w:rPr>
              <w:t>Proyecto de Ley aprobado en el Congreso de la República</w:t>
            </w:r>
            <w:r w:rsidRPr="000C7504">
              <w:rPr>
                <w:rFonts w:ascii="Arial" w:hAnsi="Arial" w:cs="Arial"/>
                <w:sz w:val="18"/>
                <w:lang w:val="es-ES"/>
              </w:rPr>
              <w:t>.</w:t>
            </w:r>
          </w:p>
        </w:tc>
      </w:tr>
      <w:tr w:rsidR="00F6362B" w:rsidRPr="0006316B" w14:paraId="47B81CD2" w14:textId="77777777" w:rsidTr="00060088">
        <w:trPr>
          <w:trHeight w:val="1583"/>
        </w:trPr>
        <w:tc>
          <w:tcPr>
            <w:tcW w:w="3477" w:type="dxa"/>
            <w:tcBorders>
              <w:bottom w:val="single" w:sz="4" w:space="0" w:color="000000"/>
            </w:tcBorders>
          </w:tcPr>
          <w:p w14:paraId="7BBA3D7B" w14:textId="77777777" w:rsidR="00F6362B" w:rsidRPr="00F60B19" w:rsidRDefault="00F6362B" w:rsidP="00060088">
            <w:pPr>
              <w:spacing w:before="120" w:after="120"/>
              <w:ind w:left="432" w:hanging="432"/>
              <w:jc w:val="both"/>
              <w:rPr>
                <w:rFonts w:ascii="Arial" w:hAnsi="Arial" w:cs="Arial"/>
                <w:sz w:val="18"/>
                <w:lang w:val="es-ES"/>
              </w:rPr>
            </w:pPr>
            <w:r w:rsidRPr="00F60B19">
              <w:rPr>
                <w:rFonts w:ascii="Arial" w:hAnsi="Arial" w:cs="Arial"/>
                <w:sz w:val="18"/>
                <w:lang w:val="es-ES"/>
              </w:rPr>
              <w:t xml:space="preserve">10b. Presencia territorial de la Fiscalía, ampliada mediante la </w:t>
            </w:r>
            <w:r w:rsidRPr="00F60B19">
              <w:rPr>
                <w:rFonts w:ascii="Arial" w:hAnsi="Arial" w:cs="Arial"/>
                <w:sz w:val="18"/>
                <w:lang w:val="es-DO"/>
              </w:rPr>
              <w:t>apertura de una fiscalía especializada en delitos de contrabando y fraude aduanero</w:t>
            </w:r>
            <w:r w:rsidRPr="00F60B19">
              <w:rPr>
                <w:rFonts w:ascii="Arial" w:hAnsi="Arial" w:cs="Arial"/>
                <w:sz w:val="18"/>
                <w:lang w:val="es-ES"/>
              </w:rPr>
              <w:t>.</w:t>
            </w:r>
          </w:p>
        </w:tc>
        <w:tc>
          <w:tcPr>
            <w:tcW w:w="1250" w:type="dxa"/>
            <w:tcBorders>
              <w:bottom w:val="single" w:sz="4" w:space="0" w:color="000000"/>
            </w:tcBorders>
            <w:vAlign w:val="center"/>
          </w:tcPr>
          <w:p w14:paraId="32D59411" w14:textId="77777777" w:rsidR="00F6362B" w:rsidRPr="00F60B19" w:rsidRDefault="00F6362B" w:rsidP="00060088">
            <w:pPr>
              <w:contextualSpacing/>
              <w:rPr>
                <w:rFonts w:ascii="Arial" w:hAnsi="Arial" w:cs="Arial"/>
                <w:sz w:val="18"/>
                <w:lang w:val="es-ES"/>
              </w:rPr>
            </w:pPr>
          </w:p>
        </w:tc>
        <w:tc>
          <w:tcPr>
            <w:tcW w:w="1303" w:type="dxa"/>
            <w:gridSpan w:val="2"/>
            <w:tcBorders>
              <w:bottom w:val="single" w:sz="4" w:space="0" w:color="000000"/>
            </w:tcBorders>
            <w:vAlign w:val="center"/>
          </w:tcPr>
          <w:p w14:paraId="469E17BB" w14:textId="77777777" w:rsidR="00F6362B" w:rsidRPr="00F60B19" w:rsidRDefault="00F6362B" w:rsidP="00060088">
            <w:pPr>
              <w:jc w:val="center"/>
              <w:rPr>
                <w:rFonts w:ascii="Arial" w:hAnsi="Arial" w:cs="Arial"/>
                <w:sz w:val="18"/>
                <w:lang w:val="es-ES"/>
              </w:rPr>
            </w:pPr>
            <w:r w:rsidRPr="00F60B19">
              <w:rPr>
                <w:rFonts w:ascii="Arial" w:hAnsi="Arial" w:cs="Arial"/>
                <w:sz w:val="18"/>
                <w:lang w:val="es-DO"/>
              </w:rPr>
              <w:t>Fiscalía especializada en delitos de contrabando y fraude aduanero, en operación</w:t>
            </w:r>
          </w:p>
        </w:tc>
        <w:tc>
          <w:tcPr>
            <w:tcW w:w="997" w:type="dxa"/>
            <w:tcBorders>
              <w:bottom w:val="single" w:sz="4" w:space="0" w:color="000000"/>
            </w:tcBorders>
            <w:vAlign w:val="center"/>
          </w:tcPr>
          <w:p w14:paraId="3A014CAE"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0</w:t>
            </w:r>
          </w:p>
        </w:tc>
        <w:tc>
          <w:tcPr>
            <w:tcW w:w="1140" w:type="dxa"/>
            <w:tcBorders>
              <w:bottom w:val="single" w:sz="4" w:space="0" w:color="000000"/>
            </w:tcBorders>
            <w:vAlign w:val="center"/>
          </w:tcPr>
          <w:p w14:paraId="5EE790B1"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0</w:t>
            </w:r>
          </w:p>
        </w:tc>
        <w:tc>
          <w:tcPr>
            <w:tcW w:w="1139" w:type="dxa"/>
            <w:tcBorders>
              <w:bottom w:val="single" w:sz="4" w:space="0" w:color="000000"/>
            </w:tcBorders>
            <w:vAlign w:val="center"/>
          </w:tcPr>
          <w:p w14:paraId="74A6BC33" w14:textId="77777777" w:rsidR="00F6362B" w:rsidRPr="00F60B19" w:rsidRDefault="00F6362B" w:rsidP="00060088">
            <w:pPr>
              <w:jc w:val="center"/>
              <w:rPr>
                <w:rFonts w:ascii="Arial" w:hAnsi="Arial" w:cs="Arial"/>
                <w:sz w:val="18"/>
                <w:lang w:val="es-ES"/>
              </w:rPr>
            </w:pPr>
            <w:r w:rsidRPr="00F60B19">
              <w:rPr>
                <w:rFonts w:ascii="Arial" w:hAnsi="Arial" w:cs="Arial"/>
                <w:sz w:val="18"/>
                <w:lang w:val="es-ES"/>
              </w:rPr>
              <w:t>1</w:t>
            </w:r>
          </w:p>
        </w:tc>
        <w:tc>
          <w:tcPr>
            <w:tcW w:w="1140" w:type="dxa"/>
            <w:tcBorders>
              <w:bottom w:val="single" w:sz="4" w:space="0" w:color="000000"/>
            </w:tcBorders>
            <w:vAlign w:val="center"/>
          </w:tcPr>
          <w:p w14:paraId="3B8EF1EE"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Borders>
              <w:bottom w:val="single" w:sz="4" w:space="0" w:color="000000"/>
            </w:tcBorders>
          </w:tcPr>
          <w:p w14:paraId="75E4059C" w14:textId="77777777" w:rsidR="00F6362B" w:rsidRPr="000C7504" w:rsidRDefault="00F6362B" w:rsidP="00060088">
            <w:pPr>
              <w:spacing w:before="120" w:after="120"/>
              <w:jc w:val="both"/>
              <w:rPr>
                <w:rFonts w:ascii="Arial" w:hAnsi="Arial" w:cs="Arial"/>
                <w:sz w:val="18"/>
                <w:lang w:val="es-ES"/>
              </w:rPr>
            </w:pPr>
            <w:r w:rsidRPr="000C7504">
              <w:rPr>
                <w:rFonts w:ascii="Arial" w:hAnsi="Arial" w:cs="Arial"/>
                <w:sz w:val="18"/>
                <w:lang w:val="es-DO"/>
              </w:rPr>
              <w:t>Fiscalía de Puerto Quetzal en operación, verificada con Informe de la SAT o visita del Banco.</w:t>
            </w:r>
          </w:p>
        </w:tc>
      </w:tr>
    </w:tbl>
    <w:p w14:paraId="7D367462" w14:textId="77777777" w:rsidR="00F6362B" w:rsidRPr="00915A8F" w:rsidRDefault="00F6362B" w:rsidP="00F6362B">
      <w:r w:rsidRPr="00915A8F">
        <w:br w:type="page"/>
      </w:r>
    </w:p>
    <w:tbl>
      <w:tblPr>
        <w:tblW w:w="135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7"/>
        <w:gridCol w:w="1250"/>
        <w:gridCol w:w="1161"/>
        <w:gridCol w:w="1139"/>
        <w:gridCol w:w="1140"/>
        <w:gridCol w:w="1139"/>
        <w:gridCol w:w="1140"/>
        <w:gridCol w:w="3054"/>
      </w:tblGrid>
      <w:tr w:rsidR="00F6362B" w:rsidRPr="0006316B" w14:paraId="20992C00" w14:textId="77777777" w:rsidTr="00060088">
        <w:trPr>
          <w:trHeight w:val="512"/>
        </w:trPr>
        <w:tc>
          <w:tcPr>
            <w:tcW w:w="13500" w:type="dxa"/>
            <w:gridSpan w:val="8"/>
            <w:tcBorders>
              <w:bottom w:val="single" w:sz="4" w:space="0" w:color="000000"/>
            </w:tcBorders>
            <w:shd w:val="clear" w:color="auto" w:fill="D6E3BC" w:themeFill="accent3" w:themeFillTint="66"/>
            <w:vAlign w:val="center"/>
          </w:tcPr>
          <w:p w14:paraId="2D1BDA79" w14:textId="77777777" w:rsidR="00F6362B" w:rsidRPr="00A1781E" w:rsidRDefault="00F6362B" w:rsidP="00060088">
            <w:pPr>
              <w:rPr>
                <w:rFonts w:ascii="Arial" w:hAnsi="Arial" w:cs="Arial"/>
                <w:b/>
                <w:sz w:val="20"/>
                <w:u w:val="single"/>
                <w:lang w:val="es-ES"/>
              </w:rPr>
            </w:pPr>
            <w:r w:rsidRPr="00117DF2">
              <w:rPr>
                <w:rFonts w:ascii="Arial" w:hAnsi="Arial"/>
                <w:b/>
                <w:sz w:val="20"/>
                <w:u w:val="single"/>
                <w:lang w:val="es-ES"/>
              </w:rPr>
              <w:lastRenderedPageBreak/>
              <w:t xml:space="preserve">Componente III: Mejorar la transparencia del sector financiero y de las actividades </w:t>
            </w:r>
            <w:r w:rsidRPr="00117DF2">
              <w:rPr>
                <w:rFonts w:ascii="Arial" w:hAnsi="Arial"/>
                <w:b/>
                <w:i/>
                <w:sz w:val="20"/>
                <w:u w:val="single"/>
                <w:lang w:val="es-ES"/>
              </w:rPr>
              <w:t>off-shore</w:t>
            </w:r>
          </w:p>
        </w:tc>
      </w:tr>
      <w:tr w:rsidR="00F6362B" w:rsidRPr="00AC7CAA" w14:paraId="6C43A5DF" w14:textId="77777777" w:rsidTr="00060088">
        <w:trPr>
          <w:trHeight w:val="656"/>
        </w:trPr>
        <w:tc>
          <w:tcPr>
            <w:tcW w:w="3477" w:type="dxa"/>
            <w:shd w:val="clear" w:color="auto" w:fill="D9D9D9" w:themeFill="background1" w:themeFillShade="D9"/>
            <w:vAlign w:val="center"/>
          </w:tcPr>
          <w:p w14:paraId="2F39BFE3" w14:textId="77777777" w:rsidR="00F6362B" w:rsidRPr="00AC7CAA" w:rsidRDefault="00F6362B" w:rsidP="00060088">
            <w:pPr>
              <w:spacing w:before="120" w:after="120"/>
              <w:ind w:left="342" w:hanging="342"/>
              <w:contextualSpacing/>
              <w:jc w:val="center"/>
              <w:rPr>
                <w:rFonts w:ascii="Arial" w:hAnsi="Arial" w:cs="Arial"/>
                <w:color w:val="000000"/>
                <w:sz w:val="18"/>
                <w:szCs w:val="18"/>
                <w:lang w:val="es-ES" w:eastAsia="es-DO"/>
              </w:rPr>
            </w:pPr>
            <w:r w:rsidRPr="004D42C8">
              <w:rPr>
                <w:rFonts w:ascii="Arial" w:hAnsi="Arial" w:cs="Arial"/>
                <w:b/>
                <w:sz w:val="20"/>
                <w:lang w:val="es-ES"/>
              </w:rPr>
              <w:t>Productos</w:t>
            </w:r>
          </w:p>
        </w:tc>
        <w:tc>
          <w:tcPr>
            <w:tcW w:w="1250" w:type="dxa"/>
            <w:shd w:val="clear" w:color="auto" w:fill="D9D9D9" w:themeFill="background1" w:themeFillShade="D9"/>
            <w:vAlign w:val="center"/>
          </w:tcPr>
          <w:p w14:paraId="558330AB" w14:textId="77777777" w:rsidR="00F6362B" w:rsidRPr="00AC7CAA" w:rsidRDefault="00F6362B" w:rsidP="00060088">
            <w:pPr>
              <w:contextualSpacing/>
              <w:jc w:val="center"/>
              <w:rPr>
                <w:rFonts w:ascii="Arial" w:hAnsi="Arial" w:cs="Arial"/>
                <w:sz w:val="18"/>
                <w:szCs w:val="18"/>
                <w:lang w:val="es-ES"/>
              </w:rPr>
            </w:pPr>
            <w:r w:rsidRPr="004D42C8">
              <w:rPr>
                <w:rFonts w:ascii="Arial" w:hAnsi="Arial" w:cs="Arial"/>
                <w:b/>
                <w:sz w:val="20"/>
                <w:lang w:val="es-ES"/>
              </w:rPr>
              <w:t>Costo estimado (US$)</w:t>
            </w:r>
          </w:p>
        </w:tc>
        <w:tc>
          <w:tcPr>
            <w:tcW w:w="1161" w:type="dxa"/>
            <w:shd w:val="clear" w:color="auto" w:fill="D9D9D9" w:themeFill="background1" w:themeFillShade="D9"/>
            <w:vAlign w:val="center"/>
          </w:tcPr>
          <w:p w14:paraId="24EEFBB8" w14:textId="77777777" w:rsidR="00F6362B" w:rsidRPr="00AC7CAA" w:rsidDel="004F07AA" w:rsidRDefault="00F6362B" w:rsidP="00060088">
            <w:pPr>
              <w:jc w:val="center"/>
              <w:rPr>
                <w:rFonts w:ascii="Arial" w:hAnsi="Arial"/>
                <w:sz w:val="18"/>
                <w:szCs w:val="18"/>
                <w:lang w:val="es-ES"/>
              </w:rPr>
            </w:pPr>
            <w:r w:rsidRPr="004D42C8">
              <w:rPr>
                <w:rFonts w:ascii="Arial" w:hAnsi="Arial" w:cs="Arial"/>
                <w:b/>
                <w:sz w:val="20"/>
                <w:lang w:val="es-ES"/>
              </w:rPr>
              <w:t>Unidad de medida</w:t>
            </w:r>
          </w:p>
        </w:tc>
        <w:tc>
          <w:tcPr>
            <w:tcW w:w="1139" w:type="dxa"/>
            <w:shd w:val="clear" w:color="auto" w:fill="D9D9D9" w:themeFill="background1" w:themeFillShade="D9"/>
            <w:vAlign w:val="center"/>
          </w:tcPr>
          <w:p w14:paraId="7F3B9563" w14:textId="77777777" w:rsidR="00F6362B" w:rsidRPr="00AC7CAA" w:rsidRDefault="00F6362B" w:rsidP="00060088">
            <w:pPr>
              <w:jc w:val="center"/>
              <w:rPr>
                <w:rFonts w:ascii="Arial" w:hAnsi="Arial" w:cs="Arial"/>
                <w:sz w:val="18"/>
                <w:szCs w:val="18"/>
                <w:lang w:val="es-ES"/>
              </w:rPr>
            </w:pPr>
            <w:r w:rsidRPr="004D42C8">
              <w:rPr>
                <w:rFonts w:ascii="Arial" w:hAnsi="Arial" w:cs="Arial"/>
                <w:b/>
                <w:sz w:val="20"/>
                <w:lang w:val="es-ES"/>
              </w:rPr>
              <w:t>Línea de base</w:t>
            </w:r>
          </w:p>
        </w:tc>
        <w:tc>
          <w:tcPr>
            <w:tcW w:w="1140" w:type="dxa"/>
            <w:shd w:val="clear" w:color="auto" w:fill="D9D9D9" w:themeFill="background1" w:themeFillShade="D9"/>
            <w:vAlign w:val="center"/>
          </w:tcPr>
          <w:p w14:paraId="2BDEE51C" w14:textId="77777777" w:rsidR="00F6362B" w:rsidRPr="00AC7CAA" w:rsidRDefault="00F6362B" w:rsidP="00060088">
            <w:pPr>
              <w:jc w:val="center"/>
              <w:rPr>
                <w:rFonts w:ascii="Arial" w:hAnsi="Arial" w:cs="Arial"/>
                <w:sz w:val="18"/>
                <w:szCs w:val="18"/>
                <w:lang w:val="es-ES"/>
              </w:rPr>
            </w:pPr>
            <w:r w:rsidRPr="004D42C8">
              <w:rPr>
                <w:rFonts w:ascii="Arial" w:hAnsi="Arial" w:cs="Arial"/>
                <w:b/>
                <w:sz w:val="20"/>
                <w:lang w:val="es-ES"/>
              </w:rPr>
              <w:t>Año 1</w:t>
            </w:r>
          </w:p>
        </w:tc>
        <w:tc>
          <w:tcPr>
            <w:tcW w:w="1139" w:type="dxa"/>
            <w:shd w:val="clear" w:color="auto" w:fill="D9D9D9" w:themeFill="background1" w:themeFillShade="D9"/>
            <w:vAlign w:val="center"/>
          </w:tcPr>
          <w:p w14:paraId="21083D76" w14:textId="77777777" w:rsidR="00F6362B" w:rsidRPr="00AC7CAA" w:rsidRDefault="00F6362B" w:rsidP="00060088">
            <w:pPr>
              <w:jc w:val="center"/>
              <w:rPr>
                <w:rFonts w:ascii="Arial" w:hAnsi="Arial" w:cs="Arial"/>
                <w:sz w:val="18"/>
                <w:szCs w:val="18"/>
                <w:lang w:val="es-ES"/>
              </w:rPr>
            </w:pPr>
            <w:r w:rsidRPr="004D42C8">
              <w:rPr>
                <w:rFonts w:ascii="Arial" w:hAnsi="Arial" w:cs="Arial"/>
                <w:b/>
                <w:sz w:val="20"/>
                <w:lang w:val="es-ES"/>
              </w:rPr>
              <w:t>Año 2</w:t>
            </w:r>
          </w:p>
        </w:tc>
        <w:tc>
          <w:tcPr>
            <w:tcW w:w="1140" w:type="dxa"/>
            <w:shd w:val="clear" w:color="auto" w:fill="D9D9D9" w:themeFill="background1" w:themeFillShade="D9"/>
            <w:vAlign w:val="center"/>
          </w:tcPr>
          <w:p w14:paraId="542AACFC" w14:textId="77777777" w:rsidR="00F6362B" w:rsidRPr="00AC7CAA" w:rsidRDefault="00F6362B" w:rsidP="00060088">
            <w:pPr>
              <w:jc w:val="center"/>
              <w:rPr>
                <w:rFonts w:ascii="Arial" w:hAnsi="Arial" w:cs="Arial"/>
                <w:sz w:val="18"/>
                <w:szCs w:val="18"/>
                <w:lang w:val="es-ES"/>
              </w:rPr>
            </w:pPr>
            <w:r w:rsidRPr="004D42C8">
              <w:rPr>
                <w:rFonts w:ascii="Arial" w:hAnsi="Arial" w:cs="Arial"/>
                <w:b/>
                <w:sz w:val="20"/>
                <w:lang w:val="es-ES"/>
              </w:rPr>
              <w:t>Meta final</w:t>
            </w:r>
          </w:p>
        </w:tc>
        <w:tc>
          <w:tcPr>
            <w:tcW w:w="3054" w:type="dxa"/>
            <w:shd w:val="clear" w:color="auto" w:fill="D9D9D9" w:themeFill="background1" w:themeFillShade="D9"/>
            <w:vAlign w:val="center"/>
          </w:tcPr>
          <w:p w14:paraId="043B2694" w14:textId="77777777" w:rsidR="00F6362B" w:rsidRPr="00AC7CAA" w:rsidRDefault="00F6362B" w:rsidP="00060088">
            <w:pPr>
              <w:spacing w:before="120" w:after="120"/>
              <w:jc w:val="center"/>
              <w:rPr>
                <w:rFonts w:ascii="Arial" w:hAnsi="Arial" w:cs="Arial"/>
                <w:sz w:val="18"/>
                <w:szCs w:val="18"/>
              </w:rPr>
            </w:pPr>
            <w:r w:rsidRPr="004D42C8">
              <w:rPr>
                <w:rFonts w:ascii="Arial" w:hAnsi="Arial" w:cs="Arial"/>
                <w:b/>
                <w:sz w:val="20"/>
                <w:lang w:val="es-ES"/>
              </w:rPr>
              <w:t>Medio de verificación</w:t>
            </w:r>
          </w:p>
        </w:tc>
      </w:tr>
      <w:tr w:rsidR="00F6362B" w:rsidRPr="0006316B" w14:paraId="0B998E83" w14:textId="77777777" w:rsidTr="00060088">
        <w:trPr>
          <w:trHeight w:val="1376"/>
        </w:trPr>
        <w:tc>
          <w:tcPr>
            <w:tcW w:w="3477" w:type="dxa"/>
            <w:vAlign w:val="center"/>
          </w:tcPr>
          <w:p w14:paraId="7A3F5F5C" w14:textId="77777777" w:rsidR="00F6362B" w:rsidRPr="000C7504" w:rsidRDefault="00F6362B" w:rsidP="00060088">
            <w:pPr>
              <w:spacing w:before="120" w:after="120"/>
              <w:ind w:left="342" w:hanging="342"/>
              <w:contextualSpacing/>
              <w:jc w:val="both"/>
              <w:rPr>
                <w:rFonts w:ascii="Arial" w:hAnsi="Arial" w:cs="Arial"/>
                <w:sz w:val="18"/>
                <w:szCs w:val="18"/>
                <w:lang w:val="es-ES"/>
              </w:rPr>
            </w:pPr>
            <w:r w:rsidRPr="000C7504">
              <w:rPr>
                <w:rFonts w:ascii="Arial" w:hAnsi="Arial" w:cs="Arial"/>
                <w:color w:val="000000"/>
                <w:sz w:val="18"/>
                <w:szCs w:val="18"/>
                <w:lang w:val="es-ES" w:eastAsia="es-DO"/>
              </w:rPr>
              <w:t>1a. Resolución emitida por la Junta Monetaria</w:t>
            </w:r>
            <w:r>
              <w:rPr>
                <w:rFonts w:ascii="Arial" w:hAnsi="Arial" w:cs="Arial"/>
                <w:color w:val="000000"/>
                <w:sz w:val="18"/>
                <w:szCs w:val="18"/>
                <w:lang w:val="es-ES" w:eastAsia="es-DO"/>
              </w:rPr>
              <w:t xml:space="preserve"> (JM)</w:t>
            </w:r>
            <w:r w:rsidRPr="000C7504">
              <w:rPr>
                <w:rFonts w:ascii="Arial" w:hAnsi="Arial" w:cs="Arial"/>
                <w:color w:val="000000"/>
                <w:sz w:val="18"/>
                <w:szCs w:val="18"/>
                <w:lang w:val="es-ES" w:eastAsia="es-DO"/>
              </w:rPr>
              <w:t xml:space="preserve"> re</w:t>
            </w:r>
            <w:r w:rsidRPr="000C7504">
              <w:rPr>
                <w:rFonts w:ascii="Arial" w:hAnsi="Arial" w:cs="Arial"/>
                <w:sz w:val="18"/>
                <w:szCs w:val="18"/>
                <w:lang w:val="es-ES"/>
              </w:rPr>
              <w:t>quiriendo capital adicional a entidades que otorguen financiamiento en moneda extranjera a deudores no generadores de divisas.</w:t>
            </w:r>
          </w:p>
        </w:tc>
        <w:tc>
          <w:tcPr>
            <w:tcW w:w="1250" w:type="dxa"/>
            <w:vAlign w:val="center"/>
          </w:tcPr>
          <w:p w14:paraId="6C3A364B" w14:textId="77777777" w:rsidR="00F6362B" w:rsidRPr="000C7504" w:rsidRDefault="00F6362B" w:rsidP="00060088">
            <w:pPr>
              <w:contextualSpacing/>
              <w:rPr>
                <w:rFonts w:ascii="Arial" w:hAnsi="Arial" w:cs="Arial"/>
                <w:sz w:val="18"/>
                <w:szCs w:val="18"/>
                <w:lang w:val="es-ES"/>
              </w:rPr>
            </w:pPr>
          </w:p>
        </w:tc>
        <w:tc>
          <w:tcPr>
            <w:tcW w:w="1161" w:type="dxa"/>
            <w:vAlign w:val="center"/>
          </w:tcPr>
          <w:p w14:paraId="1041CE6A" w14:textId="77777777" w:rsidR="00F6362B" w:rsidRPr="000C7504" w:rsidRDefault="00F6362B" w:rsidP="00060088">
            <w:pPr>
              <w:jc w:val="center"/>
              <w:rPr>
                <w:rFonts w:ascii="Arial" w:hAnsi="Arial"/>
                <w:sz w:val="18"/>
                <w:szCs w:val="18"/>
                <w:lang w:val="es-ES"/>
              </w:rPr>
            </w:pPr>
            <w:r>
              <w:rPr>
                <w:rFonts w:ascii="Arial" w:hAnsi="Arial"/>
                <w:sz w:val="18"/>
                <w:szCs w:val="18"/>
                <w:lang w:val="es-ES"/>
              </w:rPr>
              <w:t xml:space="preserve"> Resolución JM emitida</w:t>
            </w:r>
          </w:p>
        </w:tc>
        <w:tc>
          <w:tcPr>
            <w:tcW w:w="1139" w:type="dxa"/>
            <w:vAlign w:val="center"/>
          </w:tcPr>
          <w:p w14:paraId="47987307"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40" w:type="dxa"/>
            <w:vAlign w:val="center"/>
          </w:tcPr>
          <w:p w14:paraId="3E81A810"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1139" w:type="dxa"/>
            <w:vAlign w:val="center"/>
          </w:tcPr>
          <w:p w14:paraId="0F194375" w14:textId="77777777" w:rsidR="00F6362B" w:rsidRPr="000C7504" w:rsidRDefault="00F6362B" w:rsidP="00060088">
            <w:pPr>
              <w:jc w:val="center"/>
              <w:rPr>
                <w:rFonts w:ascii="Arial" w:hAnsi="Arial" w:cs="Arial"/>
                <w:sz w:val="18"/>
                <w:szCs w:val="18"/>
                <w:lang w:val="es-ES"/>
              </w:rPr>
            </w:pPr>
          </w:p>
        </w:tc>
        <w:tc>
          <w:tcPr>
            <w:tcW w:w="1140" w:type="dxa"/>
            <w:vAlign w:val="center"/>
          </w:tcPr>
          <w:p w14:paraId="573DAA95"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3054" w:type="dxa"/>
          </w:tcPr>
          <w:p w14:paraId="73C5F01D" w14:textId="77777777" w:rsidR="00F6362B" w:rsidRPr="000C7504" w:rsidRDefault="00F6362B" w:rsidP="00060088">
            <w:pPr>
              <w:spacing w:before="120" w:after="120"/>
              <w:jc w:val="both"/>
              <w:rPr>
                <w:rFonts w:ascii="Arial" w:hAnsi="Arial" w:cs="Arial"/>
                <w:sz w:val="18"/>
                <w:szCs w:val="18"/>
                <w:lang w:val="es-ES"/>
              </w:rPr>
            </w:pPr>
            <w:r w:rsidRPr="000C7504">
              <w:rPr>
                <w:rFonts w:ascii="Arial" w:hAnsi="Arial" w:cs="Arial"/>
                <w:sz w:val="18"/>
                <w:szCs w:val="18"/>
              </w:rPr>
              <w:t>Publicación en el Diario de Centro América de una Resolución de la Junta Monetaria</w:t>
            </w:r>
          </w:p>
        </w:tc>
      </w:tr>
      <w:tr w:rsidR="00F6362B" w:rsidRPr="0006316B" w14:paraId="4D41D191" w14:textId="77777777" w:rsidTr="00060088">
        <w:trPr>
          <w:trHeight w:val="1988"/>
        </w:trPr>
        <w:tc>
          <w:tcPr>
            <w:tcW w:w="3477" w:type="dxa"/>
            <w:vAlign w:val="center"/>
          </w:tcPr>
          <w:p w14:paraId="1CFCE260" w14:textId="77777777" w:rsidR="00F6362B" w:rsidRPr="00117DF2" w:rsidRDefault="00F6362B" w:rsidP="00060088">
            <w:pPr>
              <w:spacing w:before="120" w:after="120"/>
              <w:ind w:left="342" w:hanging="342"/>
              <w:contextualSpacing/>
              <w:jc w:val="both"/>
              <w:rPr>
                <w:rFonts w:ascii="Arial" w:hAnsi="Arial"/>
                <w:sz w:val="18"/>
                <w:lang w:val="es-ES"/>
              </w:rPr>
            </w:pPr>
            <w:r w:rsidRPr="000C7504">
              <w:rPr>
                <w:rFonts w:ascii="Arial" w:hAnsi="Arial" w:cs="Arial"/>
                <w:color w:val="000000"/>
                <w:sz w:val="18"/>
                <w:szCs w:val="18"/>
                <w:lang w:val="es-ES" w:eastAsia="es-DO"/>
              </w:rPr>
              <w:t xml:space="preserve">1b. </w:t>
            </w:r>
            <w:r w:rsidRPr="000C7504">
              <w:rPr>
                <w:rFonts w:ascii="Arial" w:hAnsi="Arial" w:cs="Arial"/>
                <w:color w:val="000000"/>
                <w:sz w:val="18"/>
                <w:szCs w:val="18"/>
                <w:lang w:eastAsia="es-DO"/>
              </w:rPr>
              <w:t>Cumplimiento de la</w:t>
            </w:r>
            <w:r w:rsidRPr="00117DF2">
              <w:rPr>
                <w:rFonts w:ascii="Arial" w:hAnsi="Arial"/>
                <w:color w:val="000000"/>
                <w:sz w:val="18"/>
              </w:rPr>
              <w:t xml:space="preserve"> Resolución emitida por la Junta Monetaria</w:t>
            </w:r>
            <w:r w:rsidRPr="000C7504">
              <w:rPr>
                <w:rFonts w:ascii="Arial" w:hAnsi="Arial" w:cs="Arial"/>
                <w:color w:val="000000"/>
                <w:sz w:val="18"/>
                <w:szCs w:val="18"/>
                <w:lang w:eastAsia="es-DO"/>
              </w:rPr>
              <w:t>, en cuanto a requerir</w:t>
            </w:r>
            <w:r w:rsidRPr="00117DF2">
              <w:rPr>
                <w:rFonts w:ascii="Arial" w:hAnsi="Arial"/>
                <w:color w:val="000000"/>
                <w:sz w:val="18"/>
              </w:rPr>
              <w:t xml:space="preserve"> capital adicional a entidades que otorguen financiamiento en moneda extranjera a deudores no generadores de divisas</w:t>
            </w:r>
            <w:r>
              <w:rPr>
                <w:rFonts w:ascii="Arial" w:hAnsi="Arial"/>
                <w:color w:val="000000"/>
                <w:sz w:val="18"/>
              </w:rPr>
              <w:t>, verificada por la Superintendencia de Bancos</w:t>
            </w:r>
            <w:r w:rsidRPr="00117DF2">
              <w:rPr>
                <w:rFonts w:ascii="Arial" w:hAnsi="Arial"/>
                <w:sz w:val="18"/>
                <w:lang w:val="es-ES"/>
              </w:rPr>
              <w:t>.</w:t>
            </w:r>
          </w:p>
        </w:tc>
        <w:tc>
          <w:tcPr>
            <w:tcW w:w="1250" w:type="dxa"/>
            <w:vAlign w:val="center"/>
          </w:tcPr>
          <w:p w14:paraId="2C854BDA" w14:textId="77777777" w:rsidR="00F6362B" w:rsidRPr="00117DF2" w:rsidRDefault="00F6362B" w:rsidP="00060088">
            <w:pPr>
              <w:contextualSpacing/>
              <w:rPr>
                <w:rFonts w:ascii="Arial" w:hAnsi="Arial"/>
                <w:sz w:val="18"/>
                <w:lang w:val="es-ES"/>
              </w:rPr>
            </w:pPr>
          </w:p>
        </w:tc>
        <w:tc>
          <w:tcPr>
            <w:tcW w:w="1161" w:type="dxa"/>
            <w:vAlign w:val="center"/>
          </w:tcPr>
          <w:p w14:paraId="10BBAEE8" w14:textId="77777777" w:rsidR="00F6362B" w:rsidRPr="00117DF2" w:rsidRDefault="00F6362B" w:rsidP="00060088">
            <w:pPr>
              <w:jc w:val="center"/>
              <w:rPr>
                <w:rFonts w:ascii="Arial" w:hAnsi="Arial"/>
                <w:sz w:val="18"/>
                <w:lang w:val="es-ES"/>
              </w:rPr>
            </w:pPr>
            <w:r>
              <w:rPr>
                <w:rFonts w:ascii="Arial" w:hAnsi="Arial"/>
                <w:sz w:val="18"/>
                <w:szCs w:val="18"/>
                <w:lang w:val="es-ES"/>
              </w:rPr>
              <w:t xml:space="preserve">Resolución JM </w:t>
            </w:r>
            <w:r w:rsidRPr="000C7504">
              <w:rPr>
                <w:rFonts w:ascii="Arial" w:hAnsi="Arial"/>
                <w:sz w:val="18"/>
                <w:szCs w:val="18"/>
                <w:lang w:val="es-ES"/>
              </w:rPr>
              <w:t>verifica</w:t>
            </w:r>
            <w:r>
              <w:rPr>
                <w:rFonts w:ascii="Arial" w:hAnsi="Arial"/>
                <w:sz w:val="18"/>
                <w:szCs w:val="18"/>
                <w:lang w:val="es-ES"/>
              </w:rPr>
              <w:t>da</w:t>
            </w:r>
          </w:p>
        </w:tc>
        <w:tc>
          <w:tcPr>
            <w:tcW w:w="1139" w:type="dxa"/>
            <w:vAlign w:val="center"/>
          </w:tcPr>
          <w:p w14:paraId="0B31C36A"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0F2277C7"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39" w:type="dxa"/>
            <w:vAlign w:val="center"/>
          </w:tcPr>
          <w:p w14:paraId="3859BE99"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40" w:type="dxa"/>
            <w:vAlign w:val="center"/>
          </w:tcPr>
          <w:p w14:paraId="65F1BAFD"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059F59B9" w14:textId="77777777" w:rsidR="00F6362B" w:rsidRPr="00117DF2" w:rsidRDefault="00F6362B" w:rsidP="00060088">
            <w:pPr>
              <w:spacing w:before="120" w:after="120"/>
              <w:jc w:val="both"/>
              <w:rPr>
                <w:rFonts w:ascii="Arial" w:hAnsi="Arial"/>
                <w:sz w:val="18"/>
                <w:lang w:val="es-ES"/>
              </w:rPr>
            </w:pPr>
            <w:r w:rsidRPr="000C7504">
              <w:rPr>
                <w:rFonts w:ascii="Arial" w:hAnsi="Arial" w:cs="Arial"/>
                <w:sz w:val="18"/>
                <w:szCs w:val="18"/>
              </w:rPr>
              <w:t xml:space="preserve">Informe con el Resultado de la Verificación, de al menos el 50% de las </w:t>
            </w:r>
            <w:r w:rsidRPr="000C7504">
              <w:rPr>
                <w:rFonts w:ascii="Arial" w:hAnsi="Arial" w:cs="Arial"/>
                <w:sz w:val="18"/>
                <w:szCs w:val="18"/>
                <w:lang w:val="es-GT"/>
              </w:rPr>
              <w:t>entidades que otorguen financiamiento en moneda extranjera a deudores no generadores de divisas</w:t>
            </w:r>
            <w:r w:rsidRPr="000C7504">
              <w:rPr>
                <w:rFonts w:ascii="Arial" w:hAnsi="Arial" w:cs="Arial"/>
                <w:sz w:val="18"/>
                <w:szCs w:val="18"/>
              </w:rPr>
              <w:t>, emitido por la Intendencia de Supervisión y presentado al Superintendente de Bancos</w:t>
            </w:r>
          </w:p>
        </w:tc>
      </w:tr>
      <w:tr w:rsidR="00F6362B" w:rsidRPr="0006316B" w14:paraId="2C18E411" w14:textId="77777777" w:rsidTr="00060088">
        <w:trPr>
          <w:trHeight w:val="1484"/>
        </w:trPr>
        <w:tc>
          <w:tcPr>
            <w:tcW w:w="3477" w:type="dxa"/>
            <w:vAlign w:val="center"/>
          </w:tcPr>
          <w:p w14:paraId="71118CD4" w14:textId="77777777" w:rsidR="00F6362B" w:rsidRPr="00117DF2" w:rsidRDefault="00F6362B" w:rsidP="00060088">
            <w:pPr>
              <w:spacing w:before="120" w:after="120"/>
              <w:ind w:left="252" w:hanging="252"/>
              <w:contextualSpacing/>
              <w:jc w:val="both"/>
              <w:rPr>
                <w:rFonts w:ascii="Arial" w:hAnsi="Arial"/>
                <w:sz w:val="18"/>
                <w:lang w:val="es-ES"/>
              </w:rPr>
            </w:pPr>
            <w:r w:rsidRPr="000C7504">
              <w:rPr>
                <w:rFonts w:ascii="Arial" w:hAnsi="Arial" w:cs="Arial"/>
                <w:sz w:val="18"/>
                <w:szCs w:val="18"/>
                <w:lang w:val="es-ES"/>
              </w:rPr>
              <w:t>2a</w:t>
            </w:r>
            <w:r w:rsidRPr="00117DF2">
              <w:rPr>
                <w:rFonts w:ascii="Arial" w:hAnsi="Arial"/>
                <w:sz w:val="18"/>
                <w:lang w:val="es-ES"/>
              </w:rPr>
              <w:t>. Resolución emitida por la Junta Monetaria sobre divulgación de la información de los indicadores financieros, en especial de las entidades off shore.</w:t>
            </w:r>
          </w:p>
        </w:tc>
        <w:tc>
          <w:tcPr>
            <w:tcW w:w="1250" w:type="dxa"/>
            <w:vAlign w:val="center"/>
          </w:tcPr>
          <w:p w14:paraId="49548319" w14:textId="77777777" w:rsidR="00F6362B" w:rsidRPr="00117DF2" w:rsidRDefault="00F6362B" w:rsidP="00060088">
            <w:pPr>
              <w:contextualSpacing/>
              <w:rPr>
                <w:rFonts w:ascii="Arial" w:hAnsi="Arial"/>
                <w:sz w:val="18"/>
                <w:lang w:val="es-ES"/>
              </w:rPr>
            </w:pPr>
          </w:p>
        </w:tc>
        <w:tc>
          <w:tcPr>
            <w:tcW w:w="1161" w:type="dxa"/>
            <w:vAlign w:val="center"/>
          </w:tcPr>
          <w:p w14:paraId="4A362714" w14:textId="77777777" w:rsidR="00F6362B" w:rsidRPr="00117DF2" w:rsidRDefault="00F6362B" w:rsidP="00060088">
            <w:pPr>
              <w:jc w:val="center"/>
              <w:rPr>
                <w:rFonts w:ascii="Arial" w:hAnsi="Arial"/>
                <w:sz w:val="18"/>
                <w:lang w:val="es-ES"/>
              </w:rPr>
            </w:pPr>
            <w:r>
              <w:rPr>
                <w:rFonts w:ascii="Arial" w:hAnsi="Arial"/>
                <w:sz w:val="18"/>
                <w:szCs w:val="18"/>
                <w:lang w:val="es-ES"/>
              </w:rPr>
              <w:t>Resolución JM emitida</w:t>
            </w:r>
          </w:p>
        </w:tc>
        <w:tc>
          <w:tcPr>
            <w:tcW w:w="1139" w:type="dxa"/>
            <w:vAlign w:val="center"/>
          </w:tcPr>
          <w:p w14:paraId="1A8611AB"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24609A13"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39" w:type="dxa"/>
            <w:vAlign w:val="center"/>
          </w:tcPr>
          <w:p w14:paraId="29039349" w14:textId="77777777" w:rsidR="00F6362B" w:rsidRPr="00117DF2" w:rsidRDefault="00F6362B" w:rsidP="00060088">
            <w:pPr>
              <w:jc w:val="center"/>
              <w:rPr>
                <w:rFonts w:ascii="Arial" w:hAnsi="Arial"/>
                <w:sz w:val="18"/>
                <w:lang w:val="es-ES"/>
              </w:rPr>
            </w:pPr>
          </w:p>
        </w:tc>
        <w:tc>
          <w:tcPr>
            <w:tcW w:w="1140" w:type="dxa"/>
            <w:vAlign w:val="center"/>
          </w:tcPr>
          <w:p w14:paraId="09361CD5"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7BFCCB87" w14:textId="77777777" w:rsidR="00F6362B" w:rsidRPr="00117DF2" w:rsidRDefault="00F6362B" w:rsidP="00060088">
            <w:pPr>
              <w:spacing w:before="120" w:after="120"/>
              <w:jc w:val="both"/>
              <w:rPr>
                <w:rFonts w:ascii="Arial" w:hAnsi="Arial"/>
                <w:sz w:val="18"/>
                <w:lang w:val="es-ES"/>
              </w:rPr>
            </w:pPr>
            <w:r w:rsidRPr="00117DF2">
              <w:rPr>
                <w:rFonts w:ascii="Arial" w:hAnsi="Arial"/>
                <w:sz w:val="18"/>
              </w:rPr>
              <w:t>Publicación en el Diario de Centro América de una Resolución de la Junta Monetaria</w:t>
            </w:r>
          </w:p>
        </w:tc>
      </w:tr>
      <w:tr w:rsidR="00F6362B" w:rsidRPr="0006316B" w14:paraId="24164663" w14:textId="77777777" w:rsidTr="00060088">
        <w:trPr>
          <w:trHeight w:val="1871"/>
        </w:trPr>
        <w:tc>
          <w:tcPr>
            <w:tcW w:w="3477" w:type="dxa"/>
            <w:vAlign w:val="center"/>
          </w:tcPr>
          <w:p w14:paraId="51F23AEA" w14:textId="77777777" w:rsidR="00F6362B" w:rsidRPr="000C7504" w:rsidRDefault="00F6362B" w:rsidP="00060088">
            <w:pPr>
              <w:spacing w:before="120" w:after="120"/>
              <w:ind w:left="252" w:hanging="252"/>
              <w:contextualSpacing/>
              <w:jc w:val="both"/>
              <w:rPr>
                <w:rFonts w:ascii="Arial" w:hAnsi="Arial" w:cs="Arial"/>
                <w:sz w:val="18"/>
                <w:szCs w:val="18"/>
                <w:lang w:val="es-ES"/>
              </w:rPr>
            </w:pPr>
            <w:r w:rsidRPr="000C7504">
              <w:rPr>
                <w:rFonts w:ascii="Arial" w:hAnsi="Arial" w:cs="Arial"/>
                <w:sz w:val="18"/>
                <w:szCs w:val="18"/>
                <w:lang w:val="es-ES"/>
              </w:rPr>
              <w:t xml:space="preserve">2b. </w:t>
            </w:r>
            <w:r w:rsidRPr="000C7504">
              <w:rPr>
                <w:rFonts w:ascii="Arial" w:hAnsi="Arial" w:cs="Arial"/>
                <w:sz w:val="18"/>
                <w:szCs w:val="18"/>
              </w:rPr>
              <w:t xml:space="preserve">Cumplimiento de la Resolución emitida por la Junta Monetaria para mejorar la divulgación de la información de los indicadores financieros, </w:t>
            </w:r>
            <w:r>
              <w:rPr>
                <w:rFonts w:ascii="Arial" w:hAnsi="Arial" w:cs="Arial"/>
                <w:sz w:val="18"/>
                <w:szCs w:val="18"/>
              </w:rPr>
              <w:t>v</w:t>
            </w:r>
            <w:r w:rsidRPr="000079D5">
              <w:rPr>
                <w:rFonts w:ascii="Arial" w:hAnsi="Arial" w:cs="Arial"/>
                <w:sz w:val="18"/>
                <w:szCs w:val="18"/>
              </w:rPr>
              <w:t>erifica</w:t>
            </w:r>
            <w:r>
              <w:rPr>
                <w:rFonts w:ascii="Arial" w:hAnsi="Arial" w:cs="Arial"/>
                <w:sz w:val="18"/>
                <w:szCs w:val="18"/>
              </w:rPr>
              <w:t>da</w:t>
            </w:r>
            <w:r w:rsidRPr="000079D5">
              <w:rPr>
                <w:rFonts w:ascii="Arial" w:hAnsi="Arial" w:cs="Arial"/>
                <w:sz w:val="18"/>
                <w:szCs w:val="18"/>
              </w:rPr>
              <w:t xml:space="preserve"> por </w:t>
            </w:r>
            <w:r>
              <w:rPr>
                <w:rFonts w:ascii="Arial" w:hAnsi="Arial" w:cs="Arial"/>
                <w:sz w:val="18"/>
                <w:szCs w:val="18"/>
              </w:rPr>
              <w:t>l</w:t>
            </w:r>
            <w:r w:rsidRPr="000079D5">
              <w:rPr>
                <w:rFonts w:ascii="Arial" w:hAnsi="Arial" w:cs="Arial"/>
                <w:sz w:val="18"/>
                <w:szCs w:val="18"/>
              </w:rPr>
              <w:t>a Superintendencia de Bancos</w:t>
            </w:r>
            <w:r w:rsidRPr="000C7504">
              <w:rPr>
                <w:rFonts w:ascii="Arial" w:hAnsi="Arial" w:cs="Arial"/>
                <w:sz w:val="18"/>
                <w:szCs w:val="18"/>
              </w:rPr>
              <w:t>.</w:t>
            </w:r>
            <w:r w:rsidRPr="000C7504">
              <w:rPr>
                <w:rFonts w:ascii="Arial" w:hAnsi="Arial" w:cs="Arial"/>
                <w:sz w:val="18"/>
                <w:szCs w:val="18"/>
                <w:lang w:val="es-ES"/>
              </w:rPr>
              <w:t>.</w:t>
            </w:r>
          </w:p>
        </w:tc>
        <w:tc>
          <w:tcPr>
            <w:tcW w:w="1250" w:type="dxa"/>
            <w:vAlign w:val="center"/>
          </w:tcPr>
          <w:p w14:paraId="54CAFB92" w14:textId="77777777" w:rsidR="00F6362B" w:rsidRPr="000C7504" w:rsidRDefault="00F6362B" w:rsidP="00060088">
            <w:pPr>
              <w:contextualSpacing/>
              <w:rPr>
                <w:rFonts w:ascii="Arial" w:hAnsi="Arial" w:cs="Arial"/>
                <w:sz w:val="18"/>
                <w:szCs w:val="18"/>
                <w:lang w:val="es-ES"/>
              </w:rPr>
            </w:pPr>
          </w:p>
        </w:tc>
        <w:tc>
          <w:tcPr>
            <w:tcW w:w="1161" w:type="dxa"/>
            <w:vAlign w:val="center"/>
          </w:tcPr>
          <w:p w14:paraId="0A2204B5" w14:textId="77777777" w:rsidR="00F6362B" w:rsidRPr="000C7504" w:rsidRDefault="00F6362B" w:rsidP="00060088">
            <w:pPr>
              <w:jc w:val="center"/>
              <w:rPr>
                <w:rFonts w:ascii="Arial" w:hAnsi="Arial" w:cs="Arial"/>
                <w:sz w:val="18"/>
                <w:szCs w:val="18"/>
                <w:lang w:val="es-ES"/>
              </w:rPr>
            </w:pPr>
            <w:r>
              <w:rPr>
                <w:rFonts w:ascii="Arial" w:hAnsi="Arial"/>
                <w:sz w:val="18"/>
                <w:szCs w:val="18"/>
                <w:lang w:val="es-ES"/>
              </w:rPr>
              <w:t xml:space="preserve">Resolución JM </w:t>
            </w:r>
            <w:r w:rsidRPr="000C7504">
              <w:rPr>
                <w:rFonts w:ascii="Arial" w:hAnsi="Arial"/>
                <w:sz w:val="18"/>
                <w:szCs w:val="18"/>
                <w:lang w:val="es-ES"/>
              </w:rPr>
              <w:t>verifica</w:t>
            </w:r>
            <w:r>
              <w:rPr>
                <w:rFonts w:ascii="Arial" w:hAnsi="Arial"/>
                <w:sz w:val="18"/>
                <w:szCs w:val="18"/>
                <w:lang w:val="es-ES"/>
              </w:rPr>
              <w:t>da</w:t>
            </w:r>
          </w:p>
        </w:tc>
        <w:tc>
          <w:tcPr>
            <w:tcW w:w="1139" w:type="dxa"/>
            <w:vAlign w:val="center"/>
          </w:tcPr>
          <w:p w14:paraId="561B401C"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40" w:type="dxa"/>
            <w:vAlign w:val="center"/>
          </w:tcPr>
          <w:p w14:paraId="6E776064"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0</w:t>
            </w:r>
          </w:p>
        </w:tc>
        <w:tc>
          <w:tcPr>
            <w:tcW w:w="1139" w:type="dxa"/>
            <w:vAlign w:val="center"/>
          </w:tcPr>
          <w:p w14:paraId="74B9BD95"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1140" w:type="dxa"/>
            <w:vAlign w:val="center"/>
          </w:tcPr>
          <w:p w14:paraId="14AAF47E" w14:textId="77777777" w:rsidR="00F6362B" w:rsidRPr="000C7504" w:rsidRDefault="00F6362B" w:rsidP="00060088">
            <w:pPr>
              <w:jc w:val="center"/>
              <w:rPr>
                <w:rFonts w:ascii="Arial" w:hAnsi="Arial" w:cs="Arial"/>
                <w:sz w:val="18"/>
                <w:szCs w:val="18"/>
                <w:lang w:val="es-ES"/>
              </w:rPr>
            </w:pPr>
            <w:r w:rsidRPr="000C7504">
              <w:rPr>
                <w:rFonts w:ascii="Arial" w:hAnsi="Arial" w:cs="Arial"/>
                <w:sz w:val="18"/>
                <w:szCs w:val="18"/>
                <w:lang w:val="es-ES"/>
              </w:rPr>
              <w:t>1</w:t>
            </w:r>
          </w:p>
        </w:tc>
        <w:tc>
          <w:tcPr>
            <w:tcW w:w="3054" w:type="dxa"/>
          </w:tcPr>
          <w:p w14:paraId="7D7246E2" w14:textId="77777777" w:rsidR="00F6362B" w:rsidRPr="000C7504" w:rsidRDefault="00F6362B" w:rsidP="00060088">
            <w:pPr>
              <w:spacing w:before="120" w:after="120"/>
              <w:jc w:val="both"/>
              <w:rPr>
                <w:rFonts w:ascii="Arial" w:hAnsi="Arial" w:cs="Arial"/>
                <w:sz w:val="18"/>
                <w:szCs w:val="18"/>
                <w:lang w:val="es-ES"/>
              </w:rPr>
            </w:pPr>
            <w:r w:rsidRPr="00C4322B">
              <w:rPr>
                <w:rFonts w:ascii="Arial" w:hAnsi="Arial" w:cs="Arial"/>
                <w:sz w:val="18"/>
                <w:szCs w:val="18"/>
              </w:rPr>
              <w:t>Informe con el Resultado de la Verificación, de al menos el 50% de las entidades,</w:t>
            </w:r>
            <w:r w:rsidRPr="00C4322B">
              <w:rPr>
                <w:rFonts w:ascii="Arial" w:hAnsi="Arial" w:cs="Arial"/>
                <w:sz w:val="18"/>
                <w:szCs w:val="18"/>
                <w:lang w:val="es-GT"/>
              </w:rPr>
              <w:t xml:space="preserve"> en especial las off shore</w:t>
            </w:r>
            <w:r w:rsidRPr="00C4322B">
              <w:rPr>
                <w:rFonts w:ascii="Arial" w:hAnsi="Arial" w:cs="Arial"/>
                <w:sz w:val="18"/>
                <w:szCs w:val="18"/>
                <w:u w:val="single"/>
                <w:lang w:val="es-GT"/>
              </w:rPr>
              <w:t>,</w:t>
            </w:r>
            <w:r w:rsidRPr="00C4322B">
              <w:rPr>
                <w:rFonts w:ascii="Arial" w:hAnsi="Arial" w:cs="Arial"/>
                <w:sz w:val="18"/>
                <w:szCs w:val="18"/>
              </w:rPr>
              <w:t xml:space="preserve"> emitido por la Intendencia de Supervisión y presentado al Superintendente de Bancos.</w:t>
            </w:r>
          </w:p>
        </w:tc>
      </w:tr>
      <w:tr w:rsidR="00F6362B" w:rsidRPr="002926E3" w14:paraId="5955CD34" w14:textId="77777777" w:rsidTr="00060088">
        <w:trPr>
          <w:trHeight w:val="60"/>
        </w:trPr>
        <w:tc>
          <w:tcPr>
            <w:tcW w:w="3477" w:type="dxa"/>
            <w:shd w:val="clear" w:color="auto" w:fill="D9D9D9" w:themeFill="background1" w:themeFillShade="D9"/>
            <w:vAlign w:val="center"/>
          </w:tcPr>
          <w:p w14:paraId="0597083A"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lastRenderedPageBreak/>
              <w:t xml:space="preserve">Productos </w:t>
            </w:r>
          </w:p>
        </w:tc>
        <w:tc>
          <w:tcPr>
            <w:tcW w:w="1250" w:type="dxa"/>
            <w:shd w:val="clear" w:color="auto" w:fill="D9D9D9" w:themeFill="background1" w:themeFillShade="D9"/>
            <w:vAlign w:val="center"/>
          </w:tcPr>
          <w:p w14:paraId="0E235EC2"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Costo estimado (US$)</w:t>
            </w:r>
          </w:p>
        </w:tc>
        <w:tc>
          <w:tcPr>
            <w:tcW w:w="1161" w:type="dxa"/>
            <w:shd w:val="clear" w:color="auto" w:fill="D9D9D9" w:themeFill="background1" w:themeFillShade="D9"/>
            <w:vAlign w:val="center"/>
          </w:tcPr>
          <w:p w14:paraId="7DF6E91A"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Unidad de medida</w:t>
            </w:r>
          </w:p>
        </w:tc>
        <w:tc>
          <w:tcPr>
            <w:tcW w:w="1139" w:type="dxa"/>
            <w:shd w:val="clear" w:color="auto" w:fill="D9D9D9" w:themeFill="background1" w:themeFillShade="D9"/>
            <w:vAlign w:val="center"/>
          </w:tcPr>
          <w:p w14:paraId="0459863B"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Línea de base</w:t>
            </w:r>
          </w:p>
        </w:tc>
        <w:tc>
          <w:tcPr>
            <w:tcW w:w="1140" w:type="dxa"/>
            <w:shd w:val="clear" w:color="auto" w:fill="D9D9D9" w:themeFill="background1" w:themeFillShade="D9"/>
            <w:vAlign w:val="center"/>
          </w:tcPr>
          <w:p w14:paraId="797F3B9B"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Año 1</w:t>
            </w:r>
          </w:p>
        </w:tc>
        <w:tc>
          <w:tcPr>
            <w:tcW w:w="1139" w:type="dxa"/>
            <w:shd w:val="clear" w:color="auto" w:fill="D9D9D9" w:themeFill="background1" w:themeFillShade="D9"/>
            <w:vAlign w:val="center"/>
          </w:tcPr>
          <w:p w14:paraId="211E8FAA"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Año 2</w:t>
            </w:r>
          </w:p>
        </w:tc>
        <w:tc>
          <w:tcPr>
            <w:tcW w:w="1140" w:type="dxa"/>
            <w:shd w:val="clear" w:color="auto" w:fill="D9D9D9" w:themeFill="background1" w:themeFillShade="D9"/>
            <w:vAlign w:val="center"/>
          </w:tcPr>
          <w:p w14:paraId="2C7A24E1"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Meta final</w:t>
            </w:r>
          </w:p>
        </w:tc>
        <w:tc>
          <w:tcPr>
            <w:tcW w:w="3054" w:type="dxa"/>
            <w:shd w:val="clear" w:color="auto" w:fill="D9D9D9" w:themeFill="background1" w:themeFillShade="D9"/>
            <w:vAlign w:val="center"/>
          </w:tcPr>
          <w:p w14:paraId="64E5A773" w14:textId="77777777" w:rsidR="00F6362B" w:rsidRPr="00117DF2" w:rsidRDefault="00F6362B" w:rsidP="00060088">
            <w:pPr>
              <w:keepNext/>
              <w:jc w:val="center"/>
              <w:rPr>
                <w:rFonts w:ascii="Arial" w:hAnsi="Arial"/>
                <w:b/>
                <w:sz w:val="20"/>
                <w:lang w:val="es-ES"/>
              </w:rPr>
            </w:pPr>
            <w:r w:rsidRPr="00117DF2">
              <w:rPr>
                <w:rFonts w:ascii="Arial" w:hAnsi="Arial"/>
                <w:b/>
                <w:sz w:val="20"/>
                <w:lang w:val="es-ES"/>
              </w:rPr>
              <w:t>Medio de verificación</w:t>
            </w:r>
          </w:p>
        </w:tc>
      </w:tr>
      <w:tr w:rsidR="00F6362B" w:rsidRPr="0006316B" w14:paraId="2AE361B2" w14:textId="77777777" w:rsidTr="00060088">
        <w:trPr>
          <w:trHeight w:val="2303"/>
        </w:trPr>
        <w:tc>
          <w:tcPr>
            <w:tcW w:w="3477" w:type="dxa"/>
            <w:vAlign w:val="center"/>
          </w:tcPr>
          <w:p w14:paraId="4BAE2958" w14:textId="77777777" w:rsidR="00F6362B" w:rsidRPr="00117DF2" w:rsidRDefault="00F6362B" w:rsidP="00060088">
            <w:pPr>
              <w:keepNext/>
              <w:ind w:left="252" w:hanging="252"/>
              <w:contextualSpacing/>
              <w:jc w:val="both"/>
              <w:rPr>
                <w:rFonts w:ascii="Arial" w:hAnsi="Arial"/>
                <w:sz w:val="18"/>
                <w:lang w:val="es-ES"/>
              </w:rPr>
            </w:pPr>
            <w:r w:rsidRPr="000C7504">
              <w:rPr>
                <w:rFonts w:ascii="Arial" w:hAnsi="Arial" w:cs="Arial"/>
                <w:sz w:val="18"/>
                <w:lang w:val="es-ES"/>
              </w:rPr>
              <w:t>3a</w:t>
            </w:r>
            <w:r w:rsidRPr="00117DF2">
              <w:rPr>
                <w:rFonts w:ascii="Arial" w:hAnsi="Arial"/>
                <w:sz w:val="18"/>
                <w:lang w:val="es-ES"/>
              </w:rPr>
              <w:t xml:space="preserve">. Plan Estratégico Nacional actualizado de la </w:t>
            </w:r>
            <w:r w:rsidRPr="00117DF2">
              <w:rPr>
                <w:rFonts w:ascii="Arial" w:hAnsi="Arial"/>
                <w:sz w:val="18"/>
              </w:rPr>
              <w:t>COPRECLAFT (Comisión Presidencial de Coordinación de los Esfuerzos Contra el Lavado de Dinero u Otros Activos, el Financiamiento del Terrorismo y el Financiamiento de la Proliferación de Armas de Destrucción Masiva en Guatemala)</w:t>
            </w:r>
          </w:p>
        </w:tc>
        <w:tc>
          <w:tcPr>
            <w:tcW w:w="1250" w:type="dxa"/>
            <w:vAlign w:val="center"/>
          </w:tcPr>
          <w:p w14:paraId="7374EC8F" w14:textId="77777777" w:rsidR="00F6362B" w:rsidRPr="00117DF2" w:rsidRDefault="00F6362B" w:rsidP="00060088">
            <w:pPr>
              <w:keepNext/>
              <w:contextualSpacing/>
              <w:rPr>
                <w:rFonts w:ascii="Arial" w:hAnsi="Arial"/>
                <w:sz w:val="18"/>
                <w:lang w:val="es-ES"/>
              </w:rPr>
            </w:pPr>
          </w:p>
        </w:tc>
        <w:tc>
          <w:tcPr>
            <w:tcW w:w="1161" w:type="dxa"/>
            <w:vAlign w:val="center"/>
          </w:tcPr>
          <w:p w14:paraId="67A410C0" w14:textId="77777777" w:rsidR="00F6362B" w:rsidRPr="00117DF2" w:rsidRDefault="00F6362B" w:rsidP="00060088">
            <w:pPr>
              <w:keepNext/>
              <w:jc w:val="center"/>
              <w:rPr>
                <w:rFonts w:ascii="Arial" w:hAnsi="Arial"/>
                <w:sz w:val="18"/>
                <w:lang w:val="es-ES"/>
              </w:rPr>
            </w:pPr>
            <w:r w:rsidRPr="00117DF2">
              <w:rPr>
                <w:rFonts w:ascii="Arial" w:hAnsi="Arial"/>
                <w:sz w:val="18"/>
                <w:lang w:val="es-ES"/>
              </w:rPr>
              <w:t>Plan</w:t>
            </w:r>
            <w:r w:rsidRPr="000C7504">
              <w:rPr>
                <w:rFonts w:ascii="Arial" w:hAnsi="Arial" w:cs="Arial"/>
                <w:sz w:val="18"/>
                <w:lang w:val="es-ES"/>
              </w:rPr>
              <w:t xml:space="preserve"> adecuado</w:t>
            </w:r>
          </w:p>
        </w:tc>
        <w:tc>
          <w:tcPr>
            <w:tcW w:w="1139" w:type="dxa"/>
            <w:vAlign w:val="center"/>
          </w:tcPr>
          <w:p w14:paraId="1C2377AF" w14:textId="77777777" w:rsidR="00F6362B" w:rsidRPr="00117DF2" w:rsidRDefault="00F6362B" w:rsidP="00060088">
            <w:pPr>
              <w:keepNext/>
              <w:jc w:val="center"/>
              <w:rPr>
                <w:rFonts w:ascii="Arial" w:hAnsi="Arial"/>
                <w:sz w:val="18"/>
                <w:lang w:val="es-ES"/>
              </w:rPr>
            </w:pPr>
            <w:r w:rsidRPr="00117DF2">
              <w:rPr>
                <w:rFonts w:ascii="Arial" w:hAnsi="Arial"/>
                <w:sz w:val="18"/>
                <w:lang w:val="es-ES"/>
              </w:rPr>
              <w:t>0</w:t>
            </w:r>
          </w:p>
        </w:tc>
        <w:tc>
          <w:tcPr>
            <w:tcW w:w="1140" w:type="dxa"/>
            <w:vAlign w:val="center"/>
          </w:tcPr>
          <w:p w14:paraId="17B33790" w14:textId="77777777" w:rsidR="00F6362B" w:rsidRPr="00117DF2" w:rsidRDefault="00F6362B" w:rsidP="00060088">
            <w:pPr>
              <w:keepNext/>
              <w:jc w:val="center"/>
              <w:rPr>
                <w:rFonts w:ascii="Arial" w:hAnsi="Arial"/>
                <w:sz w:val="18"/>
                <w:lang w:val="es-ES"/>
              </w:rPr>
            </w:pPr>
            <w:r w:rsidRPr="00117DF2">
              <w:rPr>
                <w:rFonts w:ascii="Arial" w:hAnsi="Arial"/>
                <w:sz w:val="18"/>
                <w:lang w:val="es-ES"/>
              </w:rPr>
              <w:t>1</w:t>
            </w:r>
          </w:p>
        </w:tc>
        <w:tc>
          <w:tcPr>
            <w:tcW w:w="1139" w:type="dxa"/>
            <w:vAlign w:val="center"/>
          </w:tcPr>
          <w:p w14:paraId="516751A0" w14:textId="77777777" w:rsidR="00F6362B" w:rsidRPr="00117DF2" w:rsidRDefault="00F6362B" w:rsidP="00060088">
            <w:pPr>
              <w:keepNext/>
              <w:jc w:val="center"/>
              <w:rPr>
                <w:rFonts w:ascii="Arial" w:hAnsi="Arial"/>
                <w:sz w:val="18"/>
                <w:lang w:val="es-ES"/>
              </w:rPr>
            </w:pPr>
            <w:r w:rsidRPr="000C7504">
              <w:rPr>
                <w:rFonts w:ascii="Arial" w:hAnsi="Arial" w:cs="Arial"/>
                <w:sz w:val="18"/>
                <w:lang w:val="es-ES"/>
              </w:rPr>
              <w:t>0</w:t>
            </w:r>
          </w:p>
        </w:tc>
        <w:tc>
          <w:tcPr>
            <w:tcW w:w="1140" w:type="dxa"/>
            <w:vAlign w:val="center"/>
          </w:tcPr>
          <w:p w14:paraId="03B33774" w14:textId="77777777" w:rsidR="00F6362B" w:rsidRPr="00117DF2" w:rsidRDefault="00F6362B" w:rsidP="00060088">
            <w:pPr>
              <w:keepNext/>
              <w:jc w:val="center"/>
              <w:rPr>
                <w:rFonts w:ascii="Arial" w:hAnsi="Arial"/>
                <w:sz w:val="18"/>
                <w:lang w:val="es-ES"/>
              </w:rPr>
            </w:pPr>
            <w:r w:rsidRPr="00117DF2">
              <w:rPr>
                <w:rFonts w:ascii="Arial" w:hAnsi="Arial"/>
                <w:sz w:val="18"/>
                <w:lang w:val="es-ES"/>
              </w:rPr>
              <w:t>1</w:t>
            </w:r>
          </w:p>
        </w:tc>
        <w:tc>
          <w:tcPr>
            <w:tcW w:w="3054" w:type="dxa"/>
          </w:tcPr>
          <w:p w14:paraId="0D6305D5" w14:textId="77777777" w:rsidR="00F6362B" w:rsidRPr="00117DF2" w:rsidRDefault="00F6362B" w:rsidP="00060088">
            <w:pPr>
              <w:keepNext/>
              <w:spacing w:before="120" w:after="120"/>
              <w:jc w:val="both"/>
              <w:rPr>
                <w:rFonts w:ascii="Arial" w:hAnsi="Arial"/>
                <w:sz w:val="18"/>
                <w:lang w:val="es-ES"/>
              </w:rPr>
            </w:pPr>
            <w:r w:rsidRPr="00117DF2">
              <w:rPr>
                <w:rFonts w:ascii="Arial" w:hAnsi="Arial"/>
                <w:sz w:val="18"/>
              </w:rPr>
              <w:t>Acta Notarial de la COPRECLAFT</w:t>
            </w:r>
            <w:r w:rsidRPr="00C4322B">
              <w:rPr>
                <w:rFonts w:ascii="Arial" w:hAnsi="Arial" w:cs="Arial"/>
                <w:sz w:val="18"/>
                <w:szCs w:val="18"/>
              </w:rPr>
              <w:t xml:space="preserve"> </w:t>
            </w:r>
            <w:r w:rsidRPr="00C4322B">
              <w:rPr>
                <w:rFonts w:ascii="Arial" w:hAnsi="Arial"/>
                <w:sz w:val="18"/>
              </w:rPr>
              <w:t>adopta un Plan Estratégico Nacional observando las recomendaciones. del GAFI del 2010.</w:t>
            </w:r>
          </w:p>
        </w:tc>
      </w:tr>
      <w:tr w:rsidR="00F6362B" w:rsidRPr="0006316B" w14:paraId="25F904C2" w14:textId="77777777" w:rsidTr="00060088">
        <w:trPr>
          <w:trHeight w:val="2303"/>
        </w:trPr>
        <w:tc>
          <w:tcPr>
            <w:tcW w:w="3477" w:type="dxa"/>
            <w:vAlign w:val="center"/>
          </w:tcPr>
          <w:p w14:paraId="7027AEAC" w14:textId="77777777" w:rsidR="00F6362B" w:rsidRPr="000C7504" w:rsidRDefault="00F6362B" w:rsidP="00060088">
            <w:pPr>
              <w:ind w:left="252" w:hanging="252"/>
              <w:contextualSpacing/>
              <w:jc w:val="both"/>
              <w:rPr>
                <w:rFonts w:ascii="Arial" w:hAnsi="Arial" w:cs="Arial"/>
                <w:sz w:val="18"/>
                <w:lang w:val="es-ES"/>
              </w:rPr>
            </w:pPr>
            <w:r w:rsidRPr="000C7504">
              <w:rPr>
                <w:rFonts w:ascii="Arial" w:hAnsi="Arial" w:cs="Arial"/>
                <w:sz w:val="18"/>
                <w:lang w:val="es-ES"/>
              </w:rPr>
              <w:t xml:space="preserve">3b. </w:t>
            </w:r>
            <w:r w:rsidRPr="000C7504">
              <w:rPr>
                <w:rFonts w:ascii="Arial" w:hAnsi="Arial" w:cs="Arial"/>
                <w:sz w:val="18"/>
              </w:rPr>
              <w:t xml:space="preserve">Plan Estratégico Nacional </w:t>
            </w:r>
            <w:r>
              <w:rPr>
                <w:rFonts w:ascii="Arial" w:hAnsi="Arial" w:cs="Arial"/>
                <w:sz w:val="18"/>
              </w:rPr>
              <w:t xml:space="preserve">adecuado, </w:t>
            </w:r>
            <w:r w:rsidRPr="000C7504">
              <w:rPr>
                <w:rFonts w:ascii="Arial" w:hAnsi="Arial" w:cs="Arial"/>
                <w:sz w:val="18"/>
              </w:rPr>
              <w:t>Contra el Lavado de Activos, y el Financiamiento del Terrorismo y el Financiamiento de la Proliferación de Armas de Destrucción Masiva a los Resultados de la Evaluación Nacional de Riesgos y el Informe de Evaluación Mutua de los grupos regionales del GAFI (GAFILAT-Latinoamérica y GAFIC-Caribe).</w:t>
            </w:r>
          </w:p>
        </w:tc>
        <w:tc>
          <w:tcPr>
            <w:tcW w:w="1250" w:type="dxa"/>
            <w:vAlign w:val="center"/>
          </w:tcPr>
          <w:p w14:paraId="3D64E17D" w14:textId="77777777" w:rsidR="00F6362B" w:rsidRPr="000C7504" w:rsidRDefault="00F6362B" w:rsidP="00060088">
            <w:pPr>
              <w:contextualSpacing/>
              <w:rPr>
                <w:rFonts w:ascii="Arial" w:hAnsi="Arial" w:cs="Arial"/>
                <w:sz w:val="18"/>
                <w:lang w:val="es-ES"/>
              </w:rPr>
            </w:pPr>
          </w:p>
        </w:tc>
        <w:tc>
          <w:tcPr>
            <w:tcW w:w="1161" w:type="dxa"/>
            <w:vAlign w:val="center"/>
          </w:tcPr>
          <w:p w14:paraId="622B4C8E"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Plan adecuado</w:t>
            </w:r>
          </w:p>
        </w:tc>
        <w:tc>
          <w:tcPr>
            <w:tcW w:w="1139" w:type="dxa"/>
            <w:vAlign w:val="center"/>
          </w:tcPr>
          <w:p w14:paraId="3224BCC0"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vAlign w:val="center"/>
          </w:tcPr>
          <w:p w14:paraId="4669F16F"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39" w:type="dxa"/>
            <w:vAlign w:val="center"/>
          </w:tcPr>
          <w:p w14:paraId="69600770"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1140" w:type="dxa"/>
            <w:vAlign w:val="center"/>
          </w:tcPr>
          <w:p w14:paraId="240A44E8"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Pr>
          <w:p w14:paraId="39023D5E" w14:textId="77777777" w:rsidR="00F6362B" w:rsidRPr="000C7504" w:rsidRDefault="00F6362B" w:rsidP="00060088">
            <w:pPr>
              <w:spacing w:before="120" w:after="120"/>
              <w:jc w:val="both"/>
              <w:rPr>
                <w:rFonts w:ascii="Arial" w:hAnsi="Arial" w:cs="Arial"/>
                <w:sz w:val="18"/>
                <w:lang w:val="es-ES"/>
              </w:rPr>
            </w:pPr>
            <w:r w:rsidRPr="000C7504">
              <w:rPr>
                <w:rFonts w:ascii="Arial" w:hAnsi="Arial" w:cs="Arial"/>
                <w:sz w:val="18"/>
              </w:rPr>
              <w:t>Acta Notarial de la COPRECLAFT</w:t>
            </w:r>
            <w:r w:rsidRPr="00C4322B">
              <w:rPr>
                <w:rFonts w:ascii="Arial" w:hAnsi="Arial" w:cs="Arial"/>
                <w:color w:val="000000"/>
                <w:sz w:val="18"/>
                <w:szCs w:val="16"/>
                <w:lang w:eastAsia="es-DO"/>
              </w:rPr>
              <w:t xml:space="preserve"> </w:t>
            </w:r>
            <w:r w:rsidRPr="00C4322B">
              <w:rPr>
                <w:rFonts w:ascii="Arial" w:hAnsi="Arial" w:cs="Arial"/>
                <w:sz w:val="18"/>
              </w:rPr>
              <w:t>donde se apruebe la adecuación del Plan Estratégico Nacional, a los Resultados de la Evaluación Nacional de Riesgos y el Informe de Evaluación Mutua de los grupos regionales del GAFI (GAFILAT-Latinoamérica y GAFIC-Caribe) del 2016-2017.</w:t>
            </w:r>
          </w:p>
        </w:tc>
      </w:tr>
      <w:tr w:rsidR="00F6362B" w:rsidRPr="0006316B" w14:paraId="736317D9" w14:textId="77777777" w:rsidTr="00060088">
        <w:trPr>
          <w:trHeight w:val="1250"/>
        </w:trPr>
        <w:tc>
          <w:tcPr>
            <w:tcW w:w="3477" w:type="dxa"/>
            <w:vAlign w:val="center"/>
          </w:tcPr>
          <w:p w14:paraId="5D385680" w14:textId="77777777" w:rsidR="00F6362B" w:rsidRPr="000C7504" w:rsidRDefault="00F6362B" w:rsidP="00060088">
            <w:pPr>
              <w:ind w:left="252" w:hanging="252"/>
              <w:contextualSpacing/>
              <w:jc w:val="both"/>
              <w:rPr>
                <w:rFonts w:ascii="Arial" w:hAnsi="Arial" w:cs="Arial"/>
                <w:sz w:val="18"/>
                <w:lang w:val="es-ES"/>
              </w:rPr>
            </w:pPr>
            <w:r w:rsidRPr="000C7504">
              <w:rPr>
                <w:rFonts w:ascii="Arial" w:hAnsi="Arial" w:cs="Arial"/>
                <w:sz w:val="18"/>
                <w:lang w:val="es-ES"/>
              </w:rPr>
              <w:t xml:space="preserve">4a. </w:t>
            </w:r>
            <w:r w:rsidRPr="000C7504">
              <w:rPr>
                <w:rFonts w:ascii="Arial" w:hAnsi="Arial" w:cs="Arial"/>
                <w:sz w:val="18"/>
              </w:rPr>
              <w:t xml:space="preserve">Acuerdo marco de coordinación interinstitucional </w:t>
            </w:r>
            <w:r w:rsidRPr="000C7504">
              <w:rPr>
                <w:rFonts w:ascii="Arial" w:hAnsi="Arial" w:cs="Arial"/>
                <w:sz w:val="18"/>
                <w:lang w:val="es-ES"/>
              </w:rPr>
              <w:t>de intercambio de información estadística entre las entidades miembros e invitadas de la COPRECLAFT.</w:t>
            </w:r>
          </w:p>
        </w:tc>
        <w:tc>
          <w:tcPr>
            <w:tcW w:w="1250" w:type="dxa"/>
            <w:vAlign w:val="center"/>
          </w:tcPr>
          <w:p w14:paraId="555B460A" w14:textId="77777777" w:rsidR="00F6362B" w:rsidRPr="000C7504" w:rsidRDefault="00F6362B" w:rsidP="00060088">
            <w:pPr>
              <w:contextualSpacing/>
              <w:rPr>
                <w:rFonts w:ascii="Arial" w:hAnsi="Arial" w:cs="Arial"/>
                <w:sz w:val="18"/>
                <w:lang w:val="es-ES"/>
              </w:rPr>
            </w:pPr>
          </w:p>
        </w:tc>
        <w:tc>
          <w:tcPr>
            <w:tcW w:w="1161" w:type="dxa"/>
            <w:vAlign w:val="center"/>
          </w:tcPr>
          <w:p w14:paraId="299AC9CC" w14:textId="77777777" w:rsidR="00F6362B" w:rsidRPr="000C7504" w:rsidRDefault="00F6362B" w:rsidP="00060088">
            <w:pPr>
              <w:jc w:val="center"/>
              <w:rPr>
                <w:rFonts w:ascii="Arial" w:hAnsi="Arial" w:cs="Arial"/>
                <w:sz w:val="18"/>
                <w:lang w:val="es-ES"/>
              </w:rPr>
            </w:pPr>
            <w:r w:rsidRPr="000C7504">
              <w:rPr>
                <w:rFonts w:ascii="Arial" w:hAnsi="Arial" w:cs="Arial"/>
                <w:sz w:val="18"/>
              </w:rPr>
              <w:t>Acuerdo marco de coordinación interinstitucional</w:t>
            </w:r>
          </w:p>
        </w:tc>
        <w:tc>
          <w:tcPr>
            <w:tcW w:w="1139" w:type="dxa"/>
            <w:vAlign w:val="center"/>
          </w:tcPr>
          <w:p w14:paraId="323C5A9F"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vAlign w:val="center"/>
          </w:tcPr>
          <w:p w14:paraId="506D527D"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1139" w:type="dxa"/>
            <w:vAlign w:val="center"/>
          </w:tcPr>
          <w:p w14:paraId="0D025F41"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vAlign w:val="center"/>
          </w:tcPr>
          <w:p w14:paraId="2F0CEBEC"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Pr>
          <w:p w14:paraId="1DC39620" w14:textId="77777777" w:rsidR="00F6362B" w:rsidRPr="000C7504" w:rsidRDefault="00F6362B" w:rsidP="00060088">
            <w:pPr>
              <w:spacing w:before="120" w:after="120"/>
              <w:jc w:val="both"/>
              <w:rPr>
                <w:rFonts w:ascii="Arial" w:hAnsi="Arial" w:cs="Arial"/>
                <w:sz w:val="18"/>
                <w:lang w:val="es-ES"/>
              </w:rPr>
            </w:pPr>
            <w:r w:rsidRPr="000C7504">
              <w:rPr>
                <w:rFonts w:ascii="Arial" w:hAnsi="Arial" w:cs="Arial"/>
                <w:sz w:val="18"/>
              </w:rPr>
              <w:t>Acta Notarial de la COPRECLAFT</w:t>
            </w:r>
            <w:r w:rsidRPr="003D6BF3">
              <w:rPr>
                <w:rFonts w:ascii="Arial" w:hAnsi="Arial" w:cs="Arial"/>
                <w:sz w:val="18"/>
                <w:szCs w:val="18"/>
              </w:rPr>
              <w:t xml:space="preserve"> </w:t>
            </w:r>
            <w:r w:rsidRPr="003D6BF3">
              <w:rPr>
                <w:rFonts w:ascii="Arial" w:hAnsi="Arial" w:cs="Arial"/>
                <w:sz w:val="18"/>
              </w:rPr>
              <w:t>con la adopción de un acuerdo marco de coordinación interinstitucional e intercambio de información entre los mismos, incluyendo la SAT</w:t>
            </w:r>
          </w:p>
        </w:tc>
      </w:tr>
      <w:tr w:rsidR="00F6362B" w:rsidRPr="0006316B" w14:paraId="043396E9" w14:textId="77777777" w:rsidTr="00060088">
        <w:trPr>
          <w:trHeight w:val="1250"/>
        </w:trPr>
        <w:tc>
          <w:tcPr>
            <w:tcW w:w="3477" w:type="dxa"/>
            <w:vAlign w:val="center"/>
          </w:tcPr>
          <w:p w14:paraId="3B96D1F3" w14:textId="4B7304CC" w:rsidR="00F6362B" w:rsidRPr="00117DF2" w:rsidRDefault="00F6362B" w:rsidP="00060088">
            <w:pPr>
              <w:ind w:left="252" w:hanging="252"/>
              <w:contextualSpacing/>
              <w:jc w:val="both"/>
              <w:rPr>
                <w:rFonts w:ascii="Arial" w:hAnsi="Arial"/>
                <w:sz w:val="18"/>
                <w:lang w:val="es-ES"/>
              </w:rPr>
            </w:pPr>
            <w:r w:rsidRPr="000C7504">
              <w:rPr>
                <w:rFonts w:ascii="Arial" w:hAnsi="Arial" w:cs="Arial"/>
                <w:sz w:val="18"/>
                <w:lang w:val="es-ES"/>
              </w:rPr>
              <w:t xml:space="preserve">4b. </w:t>
            </w:r>
            <w:r w:rsidRPr="000C7504">
              <w:rPr>
                <w:rFonts w:ascii="Arial" w:hAnsi="Arial" w:cs="Arial"/>
                <w:sz w:val="18"/>
              </w:rPr>
              <w:t>Sistema</w:t>
            </w:r>
            <w:r w:rsidRPr="00117DF2">
              <w:rPr>
                <w:rFonts w:ascii="Arial" w:hAnsi="Arial"/>
                <w:sz w:val="18"/>
              </w:rPr>
              <w:t xml:space="preserve"> de intercambio de información estadística entre las entidades miembros e invitadas de la COPRECLAFT</w:t>
            </w:r>
            <w:r>
              <w:rPr>
                <w:rFonts w:ascii="Arial" w:hAnsi="Arial"/>
                <w:sz w:val="18"/>
              </w:rPr>
              <w:t>, implementado,</w:t>
            </w:r>
            <w:r w:rsidRPr="000C7504">
              <w:rPr>
                <w:rFonts w:ascii="Arial" w:hAnsi="Arial" w:cs="Arial"/>
                <w:sz w:val="18"/>
              </w:rPr>
              <w:t xml:space="preserve"> mediante una plataforma tecnológica diseñada con tal propósito.</w:t>
            </w:r>
          </w:p>
        </w:tc>
        <w:tc>
          <w:tcPr>
            <w:tcW w:w="1250" w:type="dxa"/>
            <w:vAlign w:val="center"/>
          </w:tcPr>
          <w:p w14:paraId="24012355" w14:textId="77777777" w:rsidR="00F6362B" w:rsidRPr="00117DF2" w:rsidRDefault="00F6362B" w:rsidP="00060088">
            <w:pPr>
              <w:contextualSpacing/>
              <w:rPr>
                <w:rFonts w:ascii="Arial" w:hAnsi="Arial"/>
                <w:sz w:val="18"/>
                <w:lang w:val="es-ES"/>
              </w:rPr>
            </w:pPr>
          </w:p>
        </w:tc>
        <w:tc>
          <w:tcPr>
            <w:tcW w:w="1161" w:type="dxa"/>
            <w:vAlign w:val="center"/>
          </w:tcPr>
          <w:p w14:paraId="5AB5355D" w14:textId="77777777" w:rsidR="00F6362B" w:rsidRPr="00117DF2" w:rsidRDefault="00F6362B" w:rsidP="00060088">
            <w:pPr>
              <w:jc w:val="center"/>
              <w:rPr>
                <w:rFonts w:ascii="Arial" w:hAnsi="Arial"/>
                <w:sz w:val="18"/>
                <w:lang w:val="es-ES"/>
              </w:rPr>
            </w:pPr>
            <w:r w:rsidRPr="00117DF2">
              <w:rPr>
                <w:rFonts w:ascii="Arial" w:hAnsi="Arial"/>
                <w:sz w:val="18"/>
                <w:lang w:val="es-ES"/>
              </w:rPr>
              <w:t>Sistema</w:t>
            </w:r>
          </w:p>
        </w:tc>
        <w:tc>
          <w:tcPr>
            <w:tcW w:w="1139" w:type="dxa"/>
            <w:vAlign w:val="center"/>
          </w:tcPr>
          <w:p w14:paraId="74CD278B"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vAlign w:val="center"/>
          </w:tcPr>
          <w:p w14:paraId="7D72FBE0"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39" w:type="dxa"/>
            <w:vAlign w:val="center"/>
          </w:tcPr>
          <w:p w14:paraId="3F35AE4C"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40" w:type="dxa"/>
            <w:vAlign w:val="center"/>
          </w:tcPr>
          <w:p w14:paraId="096C5F12"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3054" w:type="dxa"/>
          </w:tcPr>
          <w:p w14:paraId="1D87F7A1" w14:textId="168BF023" w:rsidR="00F6362B" w:rsidRPr="00117DF2" w:rsidRDefault="00F6362B" w:rsidP="00060088">
            <w:pPr>
              <w:spacing w:before="120" w:after="120"/>
              <w:jc w:val="both"/>
              <w:rPr>
                <w:rFonts w:ascii="Arial" w:hAnsi="Arial"/>
                <w:sz w:val="18"/>
                <w:lang w:val="es-ES"/>
              </w:rPr>
            </w:pPr>
            <w:r w:rsidRPr="003D6BF3">
              <w:rPr>
                <w:rFonts w:ascii="Arial" w:hAnsi="Arial"/>
                <w:sz w:val="18"/>
              </w:rPr>
              <w:t xml:space="preserve">Resolución de la Intendencia de Verificación Especial de la </w:t>
            </w:r>
            <w:r w:rsidR="002B692F">
              <w:rPr>
                <w:rFonts w:ascii="Arial" w:hAnsi="Arial"/>
                <w:sz w:val="18"/>
              </w:rPr>
              <w:t>SIB</w:t>
            </w:r>
            <w:r w:rsidRPr="003D6BF3">
              <w:rPr>
                <w:rFonts w:ascii="Arial" w:hAnsi="Arial"/>
                <w:sz w:val="18"/>
              </w:rPr>
              <w:t xml:space="preserve"> (IVE) que adopta el Manual operativo</w:t>
            </w:r>
          </w:p>
        </w:tc>
      </w:tr>
      <w:tr w:rsidR="00F6362B" w:rsidRPr="0006316B" w14:paraId="14AE4D0C" w14:textId="77777777" w:rsidTr="00060088">
        <w:trPr>
          <w:trHeight w:val="1700"/>
        </w:trPr>
        <w:tc>
          <w:tcPr>
            <w:tcW w:w="3477" w:type="dxa"/>
            <w:tcBorders>
              <w:bottom w:val="single" w:sz="4" w:space="0" w:color="000000"/>
            </w:tcBorders>
            <w:vAlign w:val="center"/>
          </w:tcPr>
          <w:p w14:paraId="4A311DB2" w14:textId="77777777" w:rsidR="00F6362B" w:rsidRPr="000C7504" w:rsidRDefault="00F6362B" w:rsidP="00060088">
            <w:pPr>
              <w:ind w:left="252" w:hanging="252"/>
              <w:contextualSpacing/>
              <w:jc w:val="both"/>
              <w:rPr>
                <w:rFonts w:ascii="Arial" w:hAnsi="Arial" w:cs="Arial"/>
                <w:sz w:val="18"/>
                <w:lang w:val="es-ES"/>
              </w:rPr>
            </w:pPr>
            <w:r w:rsidRPr="000C7504">
              <w:rPr>
                <w:rFonts w:ascii="Arial" w:hAnsi="Arial" w:cs="Arial"/>
                <w:sz w:val="18"/>
                <w:lang w:val="es-ES"/>
              </w:rPr>
              <w:t>5a. Normativa de prevención del lavado de activos</w:t>
            </w:r>
            <w:r>
              <w:rPr>
                <w:rFonts w:ascii="Arial" w:hAnsi="Arial" w:cs="Arial"/>
                <w:sz w:val="18"/>
                <w:lang w:val="es-ES"/>
              </w:rPr>
              <w:t>, fortalecido mediante preparación de un Prpyecto de Ley</w:t>
            </w:r>
            <w:r w:rsidRPr="000C7504">
              <w:rPr>
                <w:rFonts w:ascii="Arial" w:hAnsi="Arial" w:cs="Arial"/>
                <w:sz w:val="18"/>
                <w:lang w:val="es-ES"/>
              </w:rPr>
              <w:t>.</w:t>
            </w:r>
          </w:p>
        </w:tc>
        <w:tc>
          <w:tcPr>
            <w:tcW w:w="1250" w:type="dxa"/>
            <w:tcBorders>
              <w:bottom w:val="single" w:sz="4" w:space="0" w:color="000000"/>
            </w:tcBorders>
            <w:vAlign w:val="center"/>
          </w:tcPr>
          <w:p w14:paraId="594D0037" w14:textId="77777777" w:rsidR="00F6362B" w:rsidRPr="000C7504" w:rsidRDefault="00F6362B" w:rsidP="00060088">
            <w:pPr>
              <w:contextualSpacing/>
              <w:rPr>
                <w:rFonts w:ascii="Arial" w:hAnsi="Arial" w:cs="Arial"/>
                <w:sz w:val="18"/>
                <w:lang w:val="es-ES"/>
              </w:rPr>
            </w:pPr>
          </w:p>
        </w:tc>
        <w:tc>
          <w:tcPr>
            <w:tcW w:w="1161" w:type="dxa"/>
            <w:tcBorders>
              <w:bottom w:val="single" w:sz="4" w:space="0" w:color="000000"/>
            </w:tcBorders>
            <w:vAlign w:val="center"/>
          </w:tcPr>
          <w:p w14:paraId="7A0E33EA"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Proyecto de ley preparado</w:t>
            </w:r>
          </w:p>
        </w:tc>
        <w:tc>
          <w:tcPr>
            <w:tcW w:w="1139" w:type="dxa"/>
            <w:tcBorders>
              <w:bottom w:val="single" w:sz="4" w:space="0" w:color="000000"/>
            </w:tcBorders>
            <w:vAlign w:val="center"/>
          </w:tcPr>
          <w:p w14:paraId="0DEA9478"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tcBorders>
              <w:bottom w:val="single" w:sz="4" w:space="0" w:color="000000"/>
            </w:tcBorders>
            <w:vAlign w:val="center"/>
          </w:tcPr>
          <w:p w14:paraId="7B4E67D4"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1139" w:type="dxa"/>
            <w:tcBorders>
              <w:bottom w:val="single" w:sz="4" w:space="0" w:color="000000"/>
            </w:tcBorders>
            <w:vAlign w:val="center"/>
          </w:tcPr>
          <w:p w14:paraId="09F21E9D"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0</w:t>
            </w:r>
          </w:p>
        </w:tc>
        <w:tc>
          <w:tcPr>
            <w:tcW w:w="1140" w:type="dxa"/>
            <w:tcBorders>
              <w:bottom w:val="single" w:sz="4" w:space="0" w:color="000000"/>
            </w:tcBorders>
            <w:vAlign w:val="center"/>
          </w:tcPr>
          <w:p w14:paraId="288D2469"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Borders>
              <w:bottom w:val="single" w:sz="4" w:space="0" w:color="000000"/>
            </w:tcBorders>
          </w:tcPr>
          <w:p w14:paraId="49BA8C89" w14:textId="77777777" w:rsidR="00F6362B" w:rsidRPr="000C7504" w:rsidRDefault="00F6362B" w:rsidP="00060088">
            <w:pPr>
              <w:spacing w:before="120" w:after="120"/>
              <w:jc w:val="both"/>
              <w:rPr>
                <w:rFonts w:ascii="Arial" w:hAnsi="Arial" w:cs="Arial"/>
                <w:sz w:val="18"/>
                <w:lang w:val="es-ES"/>
              </w:rPr>
            </w:pPr>
            <w:r w:rsidRPr="003D6BF3">
              <w:rPr>
                <w:rFonts w:ascii="Arial" w:hAnsi="Arial" w:cs="Arial"/>
                <w:sz w:val="18"/>
              </w:rPr>
              <w:t>Envío de un Oficio de la IVE al Superintendente de Bancos, con el Proyecto de Ley de Actualización y Fortalecimiento del Marco Legal para la Prevención, Control y Represión de la Delincuencia Financiera</w:t>
            </w:r>
          </w:p>
        </w:tc>
      </w:tr>
      <w:tr w:rsidR="00F6362B" w:rsidRPr="0006316B" w14:paraId="70D496D7" w14:textId="77777777" w:rsidTr="00060088">
        <w:trPr>
          <w:trHeight w:val="638"/>
        </w:trPr>
        <w:tc>
          <w:tcPr>
            <w:tcW w:w="34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CE80B3" w14:textId="77777777" w:rsidR="00F6362B" w:rsidRPr="000C7504" w:rsidRDefault="00F6362B" w:rsidP="00060088">
            <w:pPr>
              <w:ind w:left="252" w:hanging="252"/>
              <w:contextualSpacing/>
              <w:jc w:val="center"/>
              <w:rPr>
                <w:rFonts w:ascii="Arial" w:hAnsi="Arial" w:cs="Arial"/>
                <w:sz w:val="18"/>
                <w:lang w:val="es-ES"/>
              </w:rPr>
            </w:pPr>
            <w:r w:rsidRPr="00117DF2">
              <w:rPr>
                <w:rFonts w:ascii="Arial" w:hAnsi="Arial"/>
                <w:b/>
                <w:sz w:val="20"/>
                <w:lang w:val="es-ES"/>
              </w:rPr>
              <w:lastRenderedPageBreak/>
              <w:t>Productos</w:t>
            </w:r>
          </w:p>
        </w:tc>
        <w:tc>
          <w:tcPr>
            <w:tcW w:w="1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2C4DD5" w14:textId="77777777" w:rsidR="00F6362B" w:rsidRPr="00117DF2" w:rsidRDefault="00F6362B" w:rsidP="00060088">
            <w:pPr>
              <w:contextualSpacing/>
              <w:jc w:val="center"/>
              <w:rPr>
                <w:rFonts w:ascii="Arial" w:hAnsi="Arial"/>
                <w:sz w:val="18"/>
                <w:lang w:val="es-ES"/>
              </w:rPr>
            </w:pPr>
            <w:r w:rsidRPr="00117DF2">
              <w:rPr>
                <w:rFonts w:ascii="Arial" w:hAnsi="Arial"/>
                <w:b/>
                <w:sz w:val="20"/>
                <w:lang w:val="es-ES"/>
              </w:rPr>
              <w:t>Costo estimado (US$)</w:t>
            </w:r>
          </w:p>
        </w:tc>
        <w:tc>
          <w:tcPr>
            <w:tcW w:w="11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B2D97F" w14:textId="77777777" w:rsidR="00F6362B" w:rsidRPr="00117DF2" w:rsidRDefault="00F6362B" w:rsidP="00060088">
            <w:pPr>
              <w:jc w:val="center"/>
              <w:rPr>
                <w:rFonts w:ascii="Arial" w:hAnsi="Arial"/>
                <w:sz w:val="18"/>
                <w:lang w:val="es-ES"/>
              </w:rPr>
            </w:pPr>
            <w:r w:rsidRPr="00117DF2">
              <w:rPr>
                <w:rFonts w:ascii="Arial" w:hAnsi="Arial"/>
                <w:b/>
                <w:sz w:val="20"/>
                <w:lang w:val="es-ES"/>
              </w:rPr>
              <w:t>Unidad de medida</w:t>
            </w:r>
          </w:p>
        </w:tc>
        <w:tc>
          <w:tcPr>
            <w:tcW w:w="11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4E8D05" w14:textId="77777777" w:rsidR="00F6362B" w:rsidRPr="00117DF2" w:rsidRDefault="00F6362B" w:rsidP="00060088">
            <w:pPr>
              <w:jc w:val="center"/>
              <w:rPr>
                <w:rFonts w:ascii="Arial" w:hAnsi="Arial"/>
                <w:sz w:val="18"/>
                <w:lang w:val="es-ES"/>
              </w:rPr>
            </w:pPr>
            <w:r w:rsidRPr="00117DF2">
              <w:rPr>
                <w:rFonts w:ascii="Arial" w:hAnsi="Arial"/>
                <w:b/>
                <w:sz w:val="20"/>
                <w:lang w:val="es-ES"/>
              </w:rPr>
              <w:t>Línea de base</w:t>
            </w:r>
          </w:p>
        </w:tc>
        <w:tc>
          <w:tcPr>
            <w:tcW w:w="1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84AEEB" w14:textId="77777777" w:rsidR="00F6362B" w:rsidRPr="000C7504" w:rsidRDefault="00F6362B" w:rsidP="00060088">
            <w:pPr>
              <w:jc w:val="center"/>
              <w:rPr>
                <w:rFonts w:ascii="Arial" w:hAnsi="Arial" w:cs="Arial"/>
                <w:sz w:val="18"/>
                <w:lang w:val="es-ES"/>
              </w:rPr>
            </w:pPr>
            <w:r w:rsidRPr="00117DF2">
              <w:rPr>
                <w:rFonts w:ascii="Arial" w:hAnsi="Arial"/>
                <w:b/>
                <w:sz w:val="20"/>
                <w:lang w:val="es-ES"/>
              </w:rPr>
              <w:t>Año 1</w:t>
            </w:r>
          </w:p>
        </w:tc>
        <w:tc>
          <w:tcPr>
            <w:tcW w:w="11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372665" w14:textId="77777777" w:rsidR="00F6362B" w:rsidRPr="00117DF2" w:rsidRDefault="00F6362B" w:rsidP="00060088">
            <w:pPr>
              <w:jc w:val="center"/>
              <w:rPr>
                <w:rFonts w:ascii="Arial" w:hAnsi="Arial"/>
                <w:sz w:val="18"/>
                <w:lang w:val="es-ES"/>
              </w:rPr>
            </w:pPr>
            <w:r w:rsidRPr="00117DF2">
              <w:rPr>
                <w:rFonts w:ascii="Arial" w:hAnsi="Arial"/>
                <w:b/>
                <w:sz w:val="20"/>
                <w:lang w:val="es-ES"/>
              </w:rPr>
              <w:t>Año 2</w:t>
            </w:r>
          </w:p>
        </w:tc>
        <w:tc>
          <w:tcPr>
            <w:tcW w:w="1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C8ACF0" w14:textId="77777777" w:rsidR="00F6362B" w:rsidRPr="000C7504" w:rsidRDefault="00F6362B" w:rsidP="00060088">
            <w:pPr>
              <w:jc w:val="center"/>
              <w:rPr>
                <w:rFonts w:ascii="Arial" w:hAnsi="Arial" w:cs="Arial"/>
                <w:sz w:val="18"/>
                <w:lang w:val="es-ES"/>
              </w:rPr>
            </w:pPr>
            <w:r w:rsidRPr="00117DF2">
              <w:rPr>
                <w:rFonts w:ascii="Arial" w:hAnsi="Arial"/>
                <w:b/>
                <w:sz w:val="20"/>
                <w:lang w:val="es-ES"/>
              </w:rPr>
              <w:t>Meta final</w:t>
            </w:r>
          </w:p>
        </w:tc>
        <w:tc>
          <w:tcPr>
            <w:tcW w:w="30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9F282A" w14:textId="77777777" w:rsidR="00F6362B" w:rsidRPr="000C7504" w:rsidRDefault="00F6362B" w:rsidP="00060088">
            <w:pPr>
              <w:spacing w:before="120" w:after="120"/>
              <w:jc w:val="center"/>
              <w:rPr>
                <w:rFonts w:ascii="Arial" w:hAnsi="Arial" w:cs="Arial"/>
                <w:sz w:val="18"/>
              </w:rPr>
            </w:pPr>
            <w:r w:rsidRPr="00117DF2">
              <w:rPr>
                <w:rFonts w:ascii="Arial" w:hAnsi="Arial"/>
                <w:b/>
                <w:sz w:val="20"/>
                <w:lang w:val="es-ES"/>
              </w:rPr>
              <w:t>Medio de verificación</w:t>
            </w:r>
          </w:p>
        </w:tc>
      </w:tr>
      <w:tr w:rsidR="00F6362B" w:rsidRPr="0006316B" w14:paraId="11A025B0" w14:textId="77777777" w:rsidTr="00060088">
        <w:trPr>
          <w:trHeight w:val="1700"/>
        </w:trPr>
        <w:tc>
          <w:tcPr>
            <w:tcW w:w="3477" w:type="dxa"/>
            <w:tcBorders>
              <w:top w:val="single" w:sz="4" w:space="0" w:color="000000"/>
              <w:left w:val="single" w:sz="4" w:space="0" w:color="000000"/>
              <w:bottom w:val="single" w:sz="4" w:space="0" w:color="000000"/>
              <w:right w:val="single" w:sz="4" w:space="0" w:color="000000"/>
            </w:tcBorders>
            <w:vAlign w:val="center"/>
          </w:tcPr>
          <w:p w14:paraId="26ABB02A" w14:textId="77777777" w:rsidR="00F6362B" w:rsidRPr="00117DF2" w:rsidRDefault="00F6362B" w:rsidP="00060088">
            <w:pPr>
              <w:ind w:left="252" w:hanging="252"/>
              <w:contextualSpacing/>
              <w:jc w:val="both"/>
              <w:rPr>
                <w:rFonts w:ascii="Arial" w:hAnsi="Arial"/>
                <w:sz w:val="18"/>
                <w:lang w:val="es-ES"/>
              </w:rPr>
            </w:pPr>
            <w:r w:rsidRPr="000C7504">
              <w:rPr>
                <w:rFonts w:ascii="Arial" w:hAnsi="Arial" w:cs="Arial"/>
                <w:sz w:val="18"/>
                <w:lang w:val="es-ES"/>
              </w:rPr>
              <w:t xml:space="preserve">5b. </w:t>
            </w:r>
            <w:r w:rsidRPr="000C7504">
              <w:rPr>
                <w:rFonts w:ascii="Arial" w:hAnsi="Arial" w:cs="Arial"/>
                <w:sz w:val="18"/>
              </w:rPr>
              <w:t>Proyecto</w:t>
            </w:r>
            <w:r w:rsidRPr="00117DF2">
              <w:rPr>
                <w:rFonts w:ascii="Arial" w:hAnsi="Arial"/>
                <w:sz w:val="18"/>
              </w:rPr>
              <w:t xml:space="preserve"> de ley </w:t>
            </w:r>
            <w:r>
              <w:rPr>
                <w:rFonts w:ascii="Arial" w:hAnsi="Arial"/>
                <w:sz w:val="18"/>
              </w:rPr>
              <w:t xml:space="preserve">remitido al Congreso de la República </w:t>
            </w:r>
            <w:r w:rsidRPr="00117DF2">
              <w:rPr>
                <w:rFonts w:ascii="Arial" w:hAnsi="Arial"/>
                <w:sz w:val="18"/>
              </w:rPr>
              <w:t>para fortalecer la normativa de prevención y represión del lavado de activos y financiamiento del terrorismo y la proliferación de armas de destrucción masiva</w:t>
            </w:r>
            <w:r w:rsidRPr="00117DF2">
              <w:rPr>
                <w:rFonts w:ascii="Arial" w:hAnsi="Arial"/>
                <w:sz w:val="18"/>
                <w:lang w:val="es-ES"/>
              </w:rPr>
              <w:t>.</w:t>
            </w:r>
          </w:p>
        </w:tc>
        <w:tc>
          <w:tcPr>
            <w:tcW w:w="1250" w:type="dxa"/>
            <w:tcBorders>
              <w:top w:val="single" w:sz="4" w:space="0" w:color="000000"/>
              <w:left w:val="single" w:sz="4" w:space="0" w:color="000000"/>
              <w:bottom w:val="single" w:sz="4" w:space="0" w:color="000000"/>
              <w:right w:val="single" w:sz="4" w:space="0" w:color="000000"/>
            </w:tcBorders>
            <w:vAlign w:val="center"/>
          </w:tcPr>
          <w:p w14:paraId="2392110E" w14:textId="77777777" w:rsidR="00F6362B" w:rsidRPr="00117DF2" w:rsidRDefault="00F6362B" w:rsidP="00060088">
            <w:pPr>
              <w:contextualSpacing/>
              <w:rPr>
                <w:rFonts w:ascii="Arial" w:hAnsi="Arial"/>
                <w:sz w:val="18"/>
                <w:lang w:val="es-ES"/>
              </w:rPr>
            </w:pPr>
          </w:p>
        </w:tc>
        <w:tc>
          <w:tcPr>
            <w:tcW w:w="1161" w:type="dxa"/>
            <w:tcBorders>
              <w:top w:val="single" w:sz="4" w:space="0" w:color="000000"/>
              <w:left w:val="single" w:sz="4" w:space="0" w:color="000000"/>
              <w:bottom w:val="single" w:sz="4" w:space="0" w:color="000000"/>
              <w:right w:val="single" w:sz="4" w:space="0" w:color="000000"/>
            </w:tcBorders>
            <w:vAlign w:val="center"/>
          </w:tcPr>
          <w:p w14:paraId="35A4F8BD" w14:textId="77777777" w:rsidR="00F6362B" w:rsidRPr="00117DF2" w:rsidRDefault="00F6362B" w:rsidP="00060088">
            <w:pPr>
              <w:jc w:val="center"/>
              <w:rPr>
                <w:rFonts w:ascii="Arial" w:hAnsi="Arial"/>
                <w:sz w:val="18"/>
                <w:lang w:val="es-ES"/>
              </w:rPr>
            </w:pPr>
            <w:r w:rsidRPr="00117DF2">
              <w:rPr>
                <w:rFonts w:ascii="Arial" w:hAnsi="Arial"/>
                <w:sz w:val="18"/>
                <w:lang w:val="es-ES"/>
              </w:rPr>
              <w:t>Proyecto de ley</w:t>
            </w:r>
            <w:r w:rsidRPr="000C7504">
              <w:rPr>
                <w:rFonts w:ascii="Arial" w:hAnsi="Arial" w:cs="Arial"/>
                <w:sz w:val="18"/>
                <w:lang w:val="es-ES"/>
              </w:rPr>
              <w:t xml:space="preserve"> enviado al Congreso</w:t>
            </w:r>
          </w:p>
        </w:tc>
        <w:tc>
          <w:tcPr>
            <w:tcW w:w="1139" w:type="dxa"/>
            <w:tcBorders>
              <w:top w:val="single" w:sz="4" w:space="0" w:color="000000"/>
              <w:left w:val="single" w:sz="4" w:space="0" w:color="000000"/>
              <w:bottom w:val="single" w:sz="4" w:space="0" w:color="000000"/>
              <w:right w:val="single" w:sz="4" w:space="0" w:color="000000"/>
            </w:tcBorders>
            <w:vAlign w:val="center"/>
          </w:tcPr>
          <w:p w14:paraId="14E73C69" w14:textId="77777777" w:rsidR="00F6362B" w:rsidRPr="00117DF2" w:rsidRDefault="00F6362B" w:rsidP="00060088">
            <w:pPr>
              <w:jc w:val="center"/>
              <w:rPr>
                <w:rFonts w:ascii="Arial" w:hAnsi="Arial"/>
                <w:sz w:val="18"/>
                <w:lang w:val="es-ES"/>
              </w:rPr>
            </w:pPr>
            <w:r w:rsidRPr="00117DF2">
              <w:rPr>
                <w:rFonts w:ascii="Arial" w:hAnsi="Arial"/>
                <w:sz w:val="18"/>
                <w:lang w:val="es-ES"/>
              </w:rPr>
              <w:t>0</w:t>
            </w:r>
          </w:p>
        </w:tc>
        <w:tc>
          <w:tcPr>
            <w:tcW w:w="1140" w:type="dxa"/>
            <w:tcBorders>
              <w:top w:val="single" w:sz="4" w:space="0" w:color="000000"/>
              <w:left w:val="single" w:sz="4" w:space="0" w:color="000000"/>
              <w:bottom w:val="single" w:sz="4" w:space="0" w:color="000000"/>
              <w:right w:val="single" w:sz="4" w:space="0" w:color="000000"/>
            </w:tcBorders>
            <w:vAlign w:val="center"/>
          </w:tcPr>
          <w:p w14:paraId="06054225" w14:textId="77777777" w:rsidR="00F6362B" w:rsidRPr="00117DF2" w:rsidRDefault="00F6362B" w:rsidP="00060088">
            <w:pPr>
              <w:jc w:val="center"/>
              <w:rPr>
                <w:rFonts w:ascii="Arial" w:hAnsi="Arial"/>
                <w:sz w:val="18"/>
                <w:lang w:val="es-ES"/>
              </w:rPr>
            </w:pPr>
            <w:r w:rsidRPr="000C7504">
              <w:rPr>
                <w:rFonts w:ascii="Arial" w:hAnsi="Arial" w:cs="Arial"/>
                <w:sz w:val="18"/>
                <w:lang w:val="es-ES"/>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12C7292F" w14:textId="77777777" w:rsidR="00F6362B" w:rsidRPr="00117DF2" w:rsidRDefault="00F6362B" w:rsidP="00060088">
            <w:pPr>
              <w:jc w:val="center"/>
              <w:rPr>
                <w:rFonts w:ascii="Arial" w:hAnsi="Arial"/>
                <w:sz w:val="18"/>
                <w:lang w:val="es-ES"/>
              </w:rPr>
            </w:pPr>
            <w:r w:rsidRPr="00117DF2">
              <w:rPr>
                <w:rFonts w:ascii="Arial" w:hAnsi="Arial"/>
                <w:sz w:val="18"/>
                <w:lang w:val="es-ES"/>
              </w:rPr>
              <w:t>1</w:t>
            </w:r>
          </w:p>
        </w:tc>
        <w:tc>
          <w:tcPr>
            <w:tcW w:w="1140" w:type="dxa"/>
            <w:tcBorders>
              <w:top w:val="single" w:sz="4" w:space="0" w:color="000000"/>
              <w:left w:val="single" w:sz="4" w:space="0" w:color="000000"/>
              <w:bottom w:val="single" w:sz="4" w:space="0" w:color="000000"/>
              <w:right w:val="single" w:sz="4" w:space="0" w:color="000000"/>
            </w:tcBorders>
            <w:vAlign w:val="center"/>
          </w:tcPr>
          <w:p w14:paraId="7D83BC33" w14:textId="77777777" w:rsidR="00F6362B" w:rsidRPr="000C7504" w:rsidRDefault="00F6362B" w:rsidP="00060088">
            <w:pPr>
              <w:jc w:val="center"/>
              <w:rPr>
                <w:rFonts w:ascii="Arial" w:hAnsi="Arial" w:cs="Arial"/>
                <w:sz w:val="18"/>
                <w:lang w:val="es-ES"/>
              </w:rPr>
            </w:pPr>
            <w:r w:rsidRPr="000C7504">
              <w:rPr>
                <w:rFonts w:ascii="Arial" w:hAnsi="Arial" w:cs="Arial"/>
                <w:sz w:val="18"/>
                <w:lang w:val="es-ES"/>
              </w:rPr>
              <w:t>1</w:t>
            </w:r>
          </w:p>
        </w:tc>
        <w:tc>
          <w:tcPr>
            <w:tcW w:w="3054" w:type="dxa"/>
            <w:tcBorders>
              <w:top w:val="single" w:sz="4" w:space="0" w:color="000000"/>
              <w:left w:val="single" w:sz="4" w:space="0" w:color="000000"/>
              <w:bottom w:val="single" w:sz="4" w:space="0" w:color="000000"/>
              <w:right w:val="single" w:sz="4" w:space="0" w:color="000000"/>
            </w:tcBorders>
          </w:tcPr>
          <w:p w14:paraId="41D7DF59" w14:textId="77777777" w:rsidR="00F6362B" w:rsidRPr="00117DF2" w:rsidRDefault="00F6362B" w:rsidP="00060088">
            <w:pPr>
              <w:spacing w:before="120" w:after="120"/>
              <w:rPr>
                <w:rFonts w:ascii="Arial" w:hAnsi="Arial"/>
                <w:sz w:val="18"/>
                <w:lang w:val="es-ES"/>
              </w:rPr>
            </w:pPr>
            <w:r w:rsidRPr="000C7504">
              <w:rPr>
                <w:rFonts w:ascii="Arial" w:hAnsi="Arial" w:cs="Arial"/>
                <w:sz w:val="18"/>
              </w:rPr>
              <w:t>Constancia de Recepción por parte del Congreso de la República de un proyecto de Ley de Actualización y Fortalecimiento del Marco Legal para la Prevención, Control y Represión de la Delincuencia Financiera).</w:t>
            </w:r>
          </w:p>
        </w:tc>
      </w:tr>
    </w:tbl>
    <w:p w14:paraId="47D287EF" w14:textId="77777777" w:rsidR="00F6362B" w:rsidRPr="00A60BBA" w:rsidRDefault="00F6362B" w:rsidP="00F6362B">
      <w:pPr>
        <w:rPr>
          <w:rFonts w:ascii="Arial" w:hAnsi="Arial" w:cs="Arial"/>
        </w:rPr>
      </w:pPr>
    </w:p>
    <w:p w14:paraId="72B5C219" w14:textId="77777777" w:rsidR="00F6362B" w:rsidRPr="009F7905" w:rsidRDefault="00F6362B" w:rsidP="00F6362B">
      <w:pPr>
        <w:rPr>
          <w:rFonts w:ascii="Arial" w:hAnsi="Arial" w:cs="Arial"/>
        </w:rPr>
      </w:pPr>
    </w:p>
    <w:p w14:paraId="25D2A581" w14:textId="77777777" w:rsidR="006C185D" w:rsidRPr="00F9736C" w:rsidRDefault="006C185D" w:rsidP="00113AD5">
      <w:pPr>
        <w:autoSpaceDE w:val="0"/>
        <w:autoSpaceDN w:val="0"/>
        <w:adjustRightInd w:val="0"/>
        <w:spacing w:before="120" w:after="120"/>
        <w:jc w:val="center"/>
        <w:rPr>
          <w:rFonts w:ascii="Arial" w:eastAsia="Calibri" w:hAnsi="Arial"/>
          <w:b/>
          <w:smallCaps/>
          <w:szCs w:val="22"/>
        </w:rPr>
      </w:pPr>
    </w:p>
    <w:sectPr w:rsidR="006C185D" w:rsidRPr="00F9736C" w:rsidSect="00C209E0">
      <w:headerReference w:type="even" r:id="rId36"/>
      <w:headerReference w:type="default" r:id="rId37"/>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FC77C" w14:textId="77777777" w:rsidR="0091516F" w:rsidRDefault="0091516F" w:rsidP="00ED751C">
      <w:r>
        <w:separator/>
      </w:r>
    </w:p>
  </w:endnote>
  <w:endnote w:type="continuationSeparator" w:id="0">
    <w:p w14:paraId="1A5ECBCD" w14:textId="77777777" w:rsidR="0091516F" w:rsidRDefault="0091516F" w:rsidP="00ED751C">
      <w:r>
        <w:continuationSeparator/>
      </w:r>
    </w:p>
  </w:endnote>
  <w:endnote w:type="continuationNotice" w:id="1">
    <w:p w14:paraId="152A8FA7" w14:textId="77777777" w:rsidR="0091516F" w:rsidRDefault="00915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tham Book">
    <w:panose1 w:val="02000604040000020004"/>
    <w:charset w:val="00"/>
    <w:family w:val="modern"/>
    <w:notTrueType/>
    <w:pitch w:val="variable"/>
    <w:sig w:usb0="00000087" w:usb1="00000000" w:usb2="00000000" w:usb3="00000000" w:csb0="0000000B"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7E54D" w14:textId="77777777" w:rsidR="0091516F" w:rsidRDefault="0091516F">
    <w:pPr>
      <w:pStyle w:val="Footer"/>
      <w:framePr w:wrap="around" w:vAnchor="text" w:hAnchor="margin" w:xAlign="right" w:y="1"/>
      <w:rPr>
        <w:rStyle w:val="PageNumber"/>
      </w:rPr>
    </w:pPr>
  </w:p>
  <w:p w14:paraId="2BB4A719" w14:textId="77777777" w:rsidR="0091516F" w:rsidRDefault="0091516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A0E65" w14:textId="77777777" w:rsidR="0091516F" w:rsidRDefault="009151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63D54" w14:textId="77777777" w:rsidR="0091516F" w:rsidRDefault="0091516F" w:rsidP="00ED751C">
      <w:r>
        <w:separator/>
      </w:r>
    </w:p>
  </w:footnote>
  <w:footnote w:type="continuationSeparator" w:id="0">
    <w:p w14:paraId="68152D05" w14:textId="77777777" w:rsidR="0091516F" w:rsidRDefault="0091516F" w:rsidP="00ED751C">
      <w:r>
        <w:continuationSeparator/>
      </w:r>
    </w:p>
  </w:footnote>
  <w:footnote w:type="continuationNotice" w:id="1">
    <w:p w14:paraId="6274DF64" w14:textId="77777777" w:rsidR="0091516F" w:rsidRDefault="0091516F"/>
  </w:footnote>
  <w:footnote w:id="2">
    <w:p w14:paraId="19A65D31" w14:textId="0F0DF759" w:rsidR="0091516F" w:rsidRPr="00051A7E" w:rsidRDefault="0091516F" w:rsidP="00747EE4">
      <w:pPr>
        <w:pStyle w:val="FootnoteText"/>
        <w:spacing w:after="0"/>
        <w:rPr>
          <w:rFonts w:ascii="Arial" w:hAnsi="Arial" w:cs="Arial"/>
          <w:sz w:val="18"/>
        </w:rPr>
      </w:pPr>
      <w:r w:rsidRPr="00051A7E">
        <w:rPr>
          <w:rStyle w:val="FootnoteReference"/>
          <w:rFonts w:ascii="Arial" w:hAnsi="Arial" w:cs="Arial"/>
          <w:sz w:val="18"/>
        </w:rPr>
        <w:footnoteRef/>
      </w:r>
      <w:r>
        <w:rPr>
          <w:rFonts w:ascii="Arial" w:hAnsi="Arial" w:cs="Arial"/>
          <w:sz w:val="18"/>
        </w:rPr>
        <w:tab/>
      </w:r>
      <w:r w:rsidRPr="000C3959">
        <w:rPr>
          <w:rFonts w:ascii="Arial" w:hAnsi="Arial" w:cs="Arial"/>
          <w:sz w:val="18"/>
          <w:lang w:val="es-ES"/>
        </w:rPr>
        <w:t xml:space="preserve">La Recomendación </w:t>
      </w:r>
      <w:r>
        <w:rPr>
          <w:rFonts w:ascii="Arial" w:hAnsi="Arial" w:cs="Arial"/>
          <w:sz w:val="18"/>
          <w:lang w:val="es-ES"/>
        </w:rPr>
        <w:t xml:space="preserve">número </w:t>
      </w:r>
      <w:r w:rsidRPr="000C3959">
        <w:rPr>
          <w:rFonts w:ascii="Arial" w:hAnsi="Arial" w:cs="Arial"/>
          <w:sz w:val="18"/>
          <w:lang w:val="es-ES"/>
        </w:rPr>
        <w:t xml:space="preserve">22 </w:t>
      </w:r>
      <w:r>
        <w:rPr>
          <w:rFonts w:ascii="Arial" w:hAnsi="Arial" w:cs="Arial"/>
          <w:sz w:val="18"/>
          <w:lang w:val="es-ES"/>
        </w:rPr>
        <w:t xml:space="preserve">del 2010, </w:t>
      </w:r>
      <w:r w:rsidRPr="000C3959">
        <w:rPr>
          <w:rFonts w:ascii="Arial" w:hAnsi="Arial" w:cs="Arial"/>
          <w:sz w:val="18"/>
          <w:lang w:val="es-ES"/>
        </w:rPr>
        <w:t>se</w:t>
      </w:r>
      <w:r>
        <w:rPr>
          <w:rFonts w:ascii="Arial" w:hAnsi="Arial" w:cs="Arial"/>
          <w:sz w:val="18"/>
          <w:lang w:val="es-ES"/>
        </w:rPr>
        <w:t xml:space="preserve">rá </w:t>
      </w:r>
      <w:r w:rsidRPr="000C3959">
        <w:rPr>
          <w:rFonts w:ascii="Arial" w:hAnsi="Arial" w:cs="Arial"/>
          <w:sz w:val="18"/>
          <w:lang w:val="es-ES"/>
        </w:rPr>
        <w:t>convertid</w:t>
      </w:r>
      <w:r>
        <w:rPr>
          <w:rFonts w:ascii="Arial" w:hAnsi="Arial" w:cs="Arial"/>
          <w:sz w:val="18"/>
          <w:lang w:val="es-ES"/>
        </w:rPr>
        <w:t>a</w:t>
      </w:r>
      <w:r w:rsidRPr="000C3959">
        <w:rPr>
          <w:rFonts w:ascii="Arial" w:hAnsi="Arial" w:cs="Arial"/>
          <w:sz w:val="18"/>
          <w:lang w:val="es-ES"/>
        </w:rPr>
        <w:t xml:space="preserve"> en la recomendación </w:t>
      </w:r>
      <w:r>
        <w:rPr>
          <w:rFonts w:ascii="Arial" w:hAnsi="Arial" w:cs="Arial"/>
          <w:sz w:val="18"/>
          <w:lang w:val="es-ES"/>
        </w:rPr>
        <w:t xml:space="preserve">número </w:t>
      </w:r>
      <w:r w:rsidRPr="000C3959">
        <w:rPr>
          <w:rFonts w:ascii="Arial" w:hAnsi="Arial" w:cs="Arial"/>
          <w:sz w:val="18"/>
          <w:lang w:val="es-ES"/>
        </w:rPr>
        <w:t xml:space="preserve">18 en </w:t>
      </w:r>
      <w:r>
        <w:rPr>
          <w:rFonts w:ascii="Arial" w:hAnsi="Arial" w:cs="Arial"/>
          <w:sz w:val="18"/>
          <w:lang w:val="es-ES"/>
        </w:rPr>
        <w:t xml:space="preserve">el 2016, conforme a </w:t>
      </w:r>
      <w:r w:rsidRPr="000C3959">
        <w:rPr>
          <w:rFonts w:ascii="Arial" w:hAnsi="Arial" w:cs="Arial"/>
          <w:sz w:val="18"/>
          <w:lang w:val="es-ES"/>
        </w:rPr>
        <w:t>la nueva versión de los estándares del GAFI publicada en 2012</w:t>
      </w:r>
      <w:r>
        <w:rPr>
          <w:rFonts w:ascii="Arial" w:hAnsi="Arial" w:cs="Arial"/>
          <w:sz w:val="18"/>
        </w:rPr>
        <w:t>.</w:t>
      </w:r>
    </w:p>
  </w:footnote>
  <w:footnote w:id="3">
    <w:p w14:paraId="1E51E4B0" w14:textId="77777777" w:rsidR="0091516F" w:rsidRPr="003822C8" w:rsidRDefault="0091516F" w:rsidP="00D12E8D">
      <w:pPr>
        <w:pStyle w:val="FootnoteText"/>
        <w:spacing w:after="0"/>
        <w:ind w:left="270" w:hanging="270"/>
        <w:rPr>
          <w:rFonts w:ascii="Arial" w:hAnsi="Arial" w:cs="Arial"/>
          <w:sz w:val="18"/>
          <w:szCs w:val="18"/>
        </w:rPr>
      </w:pPr>
      <w:r w:rsidRPr="003822C8">
        <w:rPr>
          <w:rStyle w:val="FootnoteReference"/>
          <w:rFonts w:ascii="Arial" w:hAnsi="Arial" w:cs="Arial"/>
          <w:sz w:val="18"/>
          <w:szCs w:val="18"/>
        </w:rPr>
        <w:footnoteRef/>
      </w:r>
      <w:r w:rsidRPr="003822C8">
        <w:rPr>
          <w:rFonts w:ascii="Arial" w:hAnsi="Arial" w:cs="Arial"/>
          <w:sz w:val="18"/>
          <w:szCs w:val="18"/>
        </w:rPr>
        <w:t xml:space="preserve"> </w:t>
      </w:r>
      <w:r>
        <w:rPr>
          <w:rFonts w:ascii="Arial" w:hAnsi="Arial" w:cs="Arial"/>
          <w:sz w:val="18"/>
          <w:szCs w:val="18"/>
        </w:rPr>
        <w:tab/>
      </w:r>
      <w:r w:rsidRPr="003822C8">
        <w:rPr>
          <w:rFonts w:ascii="Arial" w:hAnsi="Arial" w:cs="Arial"/>
          <w:sz w:val="18"/>
          <w:szCs w:val="18"/>
        </w:rPr>
        <w:t xml:space="preserve">Proyectos financiados por el Fondo de Transparencia del Banco. </w:t>
      </w:r>
    </w:p>
  </w:footnote>
  <w:footnote w:id="4">
    <w:p w14:paraId="46BEFD24" w14:textId="77777777" w:rsidR="0091516F" w:rsidRPr="003822C8" w:rsidRDefault="0091516F" w:rsidP="00D12E8D">
      <w:pPr>
        <w:pStyle w:val="FootnoteText"/>
        <w:spacing w:after="0"/>
        <w:ind w:left="270" w:hanging="270"/>
        <w:rPr>
          <w:rFonts w:ascii="Arial" w:hAnsi="Arial" w:cs="Arial"/>
          <w:sz w:val="18"/>
          <w:szCs w:val="18"/>
        </w:rPr>
      </w:pPr>
      <w:r w:rsidRPr="003822C8">
        <w:rPr>
          <w:rStyle w:val="FootnoteReference"/>
          <w:rFonts w:ascii="Arial" w:hAnsi="Arial" w:cs="Arial"/>
          <w:sz w:val="18"/>
          <w:szCs w:val="18"/>
        </w:rPr>
        <w:footnoteRef/>
      </w:r>
      <w:r w:rsidRPr="003822C8">
        <w:rPr>
          <w:rFonts w:ascii="Arial" w:hAnsi="Arial" w:cs="Arial"/>
          <w:sz w:val="18"/>
          <w:szCs w:val="18"/>
        </w:rPr>
        <w:t xml:space="preserve"> </w:t>
      </w:r>
      <w:r>
        <w:rPr>
          <w:rFonts w:ascii="Arial" w:hAnsi="Arial" w:cs="Arial"/>
          <w:sz w:val="18"/>
          <w:szCs w:val="18"/>
        </w:rPr>
        <w:tab/>
      </w:r>
      <w:r w:rsidRPr="003822C8">
        <w:rPr>
          <w:rFonts w:ascii="Arial" w:hAnsi="Arial" w:cs="Arial"/>
          <w:sz w:val="18"/>
          <w:szCs w:val="18"/>
        </w:rPr>
        <w:t>Formalmente: lista de países</w:t>
      </w:r>
      <w:r>
        <w:rPr>
          <w:rFonts w:ascii="Arial" w:hAnsi="Arial" w:cs="Arial"/>
          <w:sz w:val="18"/>
          <w:szCs w:val="18"/>
        </w:rPr>
        <w:t xml:space="preserve"> “</w:t>
      </w:r>
      <w:r w:rsidRPr="003822C8">
        <w:rPr>
          <w:rFonts w:ascii="Arial" w:hAnsi="Arial" w:cs="Arial"/>
          <w:sz w:val="18"/>
          <w:szCs w:val="18"/>
        </w:rPr>
        <w:t>con deficiencias estratégicas para las que han desarrollad</w:t>
      </w:r>
      <w:r>
        <w:rPr>
          <w:rFonts w:ascii="Arial" w:hAnsi="Arial" w:cs="Arial"/>
          <w:sz w:val="18"/>
          <w:szCs w:val="18"/>
        </w:rPr>
        <w:t>o un plan de acción con el GAFI”</w:t>
      </w:r>
      <w:r w:rsidRPr="003822C8">
        <w:rPr>
          <w:rFonts w:ascii="Arial" w:hAnsi="Arial" w:cs="Arial"/>
          <w:sz w:val="18"/>
          <w:szCs w:val="18"/>
        </w:rPr>
        <w:t>.</w:t>
      </w:r>
    </w:p>
  </w:footnote>
  <w:footnote w:id="5">
    <w:p w14:paraId="0A2FB17D" w14:textId="5217ECF3" w:rsidR="0091516F" w:rsidRPr="00CD39D0" w:rsidRDefault="0091516F">
      <w:pPr>
        <w:pStyle w:val="FootnoteText"/>
        <w:rPr>
          <w:rFonts w:ascii="Arial" w:hAnsi="Arial" w:cs="Arial"/>
          <w:sz w:val="18"/>
          <w:szCs w:val="18"/>
        </w:rPr>
      </w:pPr>
      <w:r w:rsidRPr="00CD39D0">
        <w:rPr>
          <w:rStyle w:val="FootnoteReference"/>
          <w:rFonts w:ascii="Arial" w:hAnsi="Arial" w:cs="Arial"/>
          <w:sz w:val="18"/>
          <w:szCs w:val="18"/>
        </w:rPr>
        <w:footnoteRef/>
      </w:r>
      <w:r w:rsidRPr="00CD39D0">
        <w:rPr>
          <w:rFonts w:ascii="Arial" w:hAnsi="Arial" w:cs="Arial"/>
          <w:sz w:val="18"/>
          <w:szCs w:val="18"/>
        </w:rPr>
        <w:t xml:space="preserve"> La tetra “a” se refiere a condiciones de desembolso del primer tramo, y la “b” condiciones de desembolso del segundo tramo.</w:t>
      </w:r>
    </w:p>
  </w:footnote>
  <w:footnote w:id="6">
    <w:p w14:paraId="68AF7807" w14:textId="11882305" w:rsidR="00C72A25" w:rsidRPr="00C72A25" w:rsidRDefault="00C72A25" w:rsidP="0045601B">
      <w:pPr>
        <w:pStyle w:val="FootnoteText"/>
        <w:spacing w:after="0"/>
        <w:ind w:left="270" w:hanging="270"/>
        <w:rPr>
          <w:rFonts w:ascii="Arial" w:hAnsi="Arial" w:cs="Arial"/>
          <w:sz w:val="18"/>
        </w:rPr>
      </w:pPr>
      <w:r w:rsidRPr="00C72A25">
        <w:rPr>
          <w:rStyle w:val="FootnoteReference"/>
          <w:rFonts w:ascii="Arial" w:hAnsi="Arial" w:cs="Arial"/>
          <w:sz w:val="18"/>
        </w:rPr>
        <w:footnoteRef/>
      </w:r>
      <w:r w:rsidRPr="00C72A25">
        <w:rPr>
          <w:rFonts w:ascii="Arial" w:hAnsi="Arial" w:cs="Arial"/>
          <w:sz w:val="18"/>
        </w:rPr>
        <w:t xml:space="preserve"> </w:t>
      </w:r>
      <w:r w:rsidR="0045601B">
        <w:rPr>
          <w:rFonts w:ascii="Arial" w:hAnsi="Arial" w:cs="Arial"/>
          <w:sz w:val="18"/>
        </w:rPr>
        <w:tab/>
      </w:r>
      <w:r w:rsidRPr="00C72A25">
        <w:rPr>
          <w:rFonts w:ascii="Arial" w:hAnsi="Arial" w:cs="Arial"/>
          <w:sz w:val="18"/>
        </w:rPr>
        <w:t xml:space="preserve">Fueron considerados solamente los costos que asume el Banco. Los costos de las acciones de política de la SAT, MP y </w:t>
      </w:r>
      <w:r w:rsidR="002B692F">
        <w:rPr>
          <w:rFonts w:ascii="Arial" w:hAnsi="Arial" w:cs="Arial"/>
          <w:sz w:val="18"/>
        </w:rPr>
        <w:t>SIB</w:t>
      </w:r>
      <w:r w:rsidRPr="00C72A25">
        <w:rPr>
          <w:rFonts w:ascii="Arial" w:hAnsi="Arial" w:cs="Arial"/>
          <w:sz w:val="18"/>
        </w:rPr>
        <w:t xml:space="preserve"> vienen del </w:t>
      </w:r>
      <w:r>
        <w:rPr>
          <w:rFonts w:ascii="Arial" w:hAnsi="Arial" w:cs="Arial"/>
          <w:sz w:val="18"/>
        </w:rPr>
        <w:t>P</w:t>
      </w:r>
      <w:r w:rsidRPr="00C72A25">
        <w:rPr>
          <w:rFonts w:ascii="Arial" w:hAnsi="Arial" w:cs="Arial"/>
          <w:sz w:val="18"/>
        </w:rPr>
        <w:t>resu</w:t>
      </w:r>
      <w:r>
        <w:rPr>
          <w:rFonts w:ascii="Arial" w:hAnsi="Arial" w:cs="Arial"/>
          <w:sz w:val="18"/>
        </w:rPr>
        <w:t>pu</w:t>
      </w:r>
      <w:r w:rsidRPr="00C72A25">
        <w:rPr>
          <w:rFonts w:ascii="Arial" w:hAnsi="Arial" w:cs="Arial"/>
          <w:sz w:val="18"/>
        </w:rPr>
        <w:t>esto de Guatemala. El Gobierno expresó que podrá solicitar al Banco un préstamo de inversión para el 2017 para apoyar estos costos correspondientes en la SAT.</w:t>
      </w:r>
    </w:p>
  </w:footnote>
  <w:footnote w:id="7">
    <w:p w14:paraId="41E436F6" w14:textId="77777777" w:rsidR="00F6362B" w:rsidRPr="00F62574" w:rsidRDefault="00F6362B" w:rsidP="00F6362B">
      <w:pPr>
        <w:pStyle w:val="FootnoteText"/>
        <w:rPr>
          <w:rFonts w:ascii="Arial" w:hAnsi="Arial" w:cs="Arial"/>
          <w:sz w:val="18"/>
        </w:rPr>
      </w:pPr>
      <w:r w:rsidRPr="00F60B19">
        <w:rPr>
          <w:rStyle w:val="FootnoteReference"/>
          <w:rFonts w:ascii="Arial" w:hAnsi="Arial" w:cs="Arial"/>
          <w:sz w:val="18"/>
        </w:rPr>
        <w:footnoteRef/>
      </w:r>
      <w:r w:rsidRPr="00F60B19">
        <w:rPr>
          <w:rFonts w:ascii="Arial" w:hAnsi="Arial" w:cs="Arial"/>
          <w:sz w:val="18"/>
        </w:rPr>
        <w:t xml:space="preserve"> Los indicadores de productos fueron divididos en (a) para el primer tramo, y (b) para el segundo tramo.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239AD" w14:textId="77777777" w:rsidR="0091516F" w:rsidRDefault="0091516F">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786B7564" w14:textId="77777777" w:rsidR="0091516F" w:rsidRDefault="0091516F">
    <w:pPr>
      <w:pStyle w:val="Header"/>
      <w:ind w:right="360"/>
      <w:jc w:val="both"/>
      <w:rPr>
        <w:rStyle w:val="PageNumber"/>
        <w:snapToGrid w:val="0"/>
      </w:rPr>
    </w:pPr>
    <w:r>
      <w:rPr>
        <w:rStyle w:val="PageNumber"/>
        <w:snapToGrid w:val="0"/>
      </w:rPr>
      <w:tab/>
    </w:r>
  </w:p>
  <w:p w14:paraId="4D836B79" w14:textId="77777777" w:rsidR="0091516F" w:rsidRDefault="0091516F">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DD501" w14:textId="77777777" w:rsidR="0091516F" w:rsidRPr="00706FA8" w:rsidRDefault="0091516F">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6E38F8">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50116E64" w14:textId="77777777" w:rsidR="0091516F" w:rsidRDefault="0091516F">
    <w:pPr>
      <w:pStyle w:val="Header"/>
      <w:jc w:val="center"/>
    </w:pPr>
  </w:p>
  <w:p w14:paraId="47C4C2CD" w14:textId="77777777" w:rsidR="0091516F" w:rsidRDefault="0091516F">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7E182" w14:textId="77777777" w:rsidR="0091516F" w:rsidRPr="008175A8" w:rsidRDefault="0091516F" w:rsidP="008175A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EC28C" w14:textId="77777777" w:rsidR="0091516F" w:rsidRDefault="0091516F">
    <w:pPr>
      <w:pStyle w:val="Header"/>
      <w:ind w:right="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5B640" w14:textId="77777777" w:rsidR="0091516F" w:rsidRPr="00EB0154" w:rsidRDefault="0091516F"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6E38F8">
      <w:rPr>
        <w:rFonts w:ascii="Arial" w:hAnsi="Arial" w:cs="Arial"/>
        <w:noProof/>
        <w:snapToGrid w:val="0"/>
        <w:sz w:val="18"/>
      </w:rPr>
      <w:t>5</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6E1E8" w14:textId="77777777" w:rsidR="0091516F" w:rsidRDefault="0091516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97999" w14:textId="77777777" w:rsidR="0091516F" w:rsidRPr="00A072A0" w:rsidRDefault="0091516F" w:rsidP="00C209E0">
    <w:pPr>
      <w:pStyle w:val="Header"/>
      <w:rPr>
        <w:rFonts w:ascii="Arial" w:hAnsi="Arial" w:cs="Arial"/>
        <w:sz w:val="18"/>
        <w:lang w:val="pt-BR"/>
      </w:rPr>
    </w:pPr>
    <w:r>
      <w:rPr>
        <w:rFonts w:ascii="Arial" w:hAnsi="Arial" w:cs="Arial"/>
        <w:sz w:val="18"/>
        <w:lang w:val="pt-BR"/>
      </w:rPr>
      <w:t xml:space="preserve">EER#4 </w:t>
    </w:r>
    <w:r w:rsidRPr="00A072A0">
      <w:rPr>
        <w:rFonts w:ascii="Arial" w:hAnsi="Arial" w:cs="Arial"/>
        <w:sz w:val="18"/>
        <w:lang w:val="pt-BR"/>
      </w:rPr>
      <w:t xml:space="preserve"> – </w:t>
    </w:r>
    <w:r>
      <w:rPr>
        <w:rFonts w:ascii="Arial" w:hAnsi="Arial" w:cs="Arial"/>
        <w:sz w:val="18"/>
        <w:lang w:val="pt-BR"/>
      </w:rPr>
      <w:t>GU-L1096</w:t>
    </w:r>
  </w:p>
  <w:p w14:paraId="386A9097" w14:textId="73E86E17" w:rsidR="0091516F" w:rsidRPr="0094442E" w:rsidRDefault="0091516F" w:rsidP="00C209E0">
    <w:pPr>
      <w:pStyle w:val="Header"/>
      <w:spacing w:after="120"/>
      <w:rPr>
        <w:rFonts w:ascii="Arial" w:hAnsi="Arial" w:cs="Arial"/>
        <w:sz w:val="18"/>
        <w:lang w:val="pt-BR"/>
      </w:rPr>
    </w:pPr>
    <w:r w:rsidRPr="00A072A0">
      <w:rPr>
        <w:rFonts w:ascii="Arial" w:hAnsi="Arial" w:cs="Arial"/>
        <w:sz w:val="18"/>
        <w:lang w:val="pt-BR"/>
      </w:rPr>
      <w:t xml:space="preserve">Página </w:t>
    </w:r>
    <w:r w:rsidRPr="00A072A0">
      <w:rPr>
        <w:rFonts w:ascii="Arial" w:hAnsi="Arial" w:cs="Arial"/>
        <w:sz w:val="18"/>
      </w:rPr>
      <w:fldChar w:fldCharType="begin"/>
    </w:r>
    <w:r w:rsidRPr="00A072A0">
      <w:rPr>
        <w:rFonts w:ascii="Arial" w:hAnsi="Arial" w:cs="Arial"/>
        <w:sz w:val="18"/>
        <w:lang w:val="pt-BR"/>
      </w:rPr>
      <w:instrText xml:space="preserve"> PAGE </w:instrText>
    </w:r>
    <w:r w:rsidRPr="00A072A0">
      <w:rPr>
        <w:rFonts w:ascii="Arial" w:hAnsi="Arial" w:cs="Arial"/>
        <w:sz w:val="18"/>
      </w:rPr>
      <w:fldChar w:fldCharType="separate"/>
    </w:r>
    <w:r>
      <w:rPr>
        <w:rFonts w:ascii="Arial" w:hAnsi="Arial" w:cs="Arial"/>
        <w:noProof/>
        <w:sz w:val="18"/>
        <w:lang w:val="pt-BR"/>
      </w:rPr>
      <w:t>10</w:t>
    </w:r>
    <w:r w:rsidRPr="00A072A0">
      <w:rPr>
        <w:rFonts w:ascii="Arial" w:hAnsi="Arial" w:cs="Arial"/>
        <w:sz w:val="18"/>
      </w:rPr>
      <w:fldChar w:fldCharType="end"/>
    </w:r>
    <w:r w:rsidRPr="00A072A0">
      <w:rPr>
        <w:rFonts w:ascii="Arial" w:hAnsi="Arial" w:cs="Arial"/>
        <w:sz w:val="18"/>
        <w:lang w:val="pt-BR"/>
      </w:rPr>
      <w:t xml:space="preserve"> de </w:t>
    </w:r>
    <w:r w:rsidRPr="00A072A0">
      <w:rPr>
        <w:rFonts w:ascii="Arial" w:hAnsi="Arial" w:cs="Arial"/>
        <w:sz w:val="18"/>
      </w:rPr>
      <w:fldChar w:fldCharType="begin"/>
    </w:r>
    <w:r w:rsidRPr="00A072A0">
      <w:rPr>
        <w:rFonts w:ascii="Arial" w:hAnsi="Arial" w:cs="Arial"/>
        <w:sz w:val="18"/>
        <w:lang w:val="pt-BR"/>
      </w:rPr>
      <w:instrText xml:space="preserve"> NUMPAGES  </w:instrText>
    </w:r>
    <w:r w:rsidRPr="00A072A0">
      <w:rPr>
        <w:rFonts w:ascii="Arial" w:hAnsi="Arial" w:cs="Arial"/>
        <w:sz w:val="18"/>
      </w:rPr>
      <w:fldChar w:fldCharType="separate"/>
    </w:r>
    <w:r>
      <w:rPr>
        <w:rFonts w:ascii="Arial" w:hAnsi="Arial" w:cs="Arial"/>
        <w:noProof/>
        <w:sz w:val="18"/>
        <w:lang w:val="pt-BR"/>
      </w:rPr>
      <w:t>1</w:t>
    </w:r>
    <w:r w:rsidRPr="00A072A0">
      <w:rPr>
        <w:rFonts w:ascii="Arial" w:hAnsi="Arial" w:cs="Arial"/>
        <w:sz w:val="1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A3FA3" w14:textId="52FADB5B" w:rsidR="0091516F" w:rsidRPr="003519B1" w:rsidRDefault="0091516F" w:rsidP="003519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3A28"/>
    <w:multiLevelType w:val="hybridMultilevel"/>
    <w:tmpl w:val="AF7E038C"/>
    <w:lvl w:ilvl="0" w:tplc="206C30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9E4AAF"/>
    <w:multiLevelType w:val="multilevel"/>
    <w:tmpl w:val="653C4848"/>
    <w:lvl w:ilvl="0">
      <w:start w:val="1"/>
      <w:numFmt w:val="upperRoman"/>
      <w:lvlText w:val="%1."/>
      <w:lvlJc w:val="righ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21A5F57"/>
    <w:multiLevelType w:val="hybridMultilevel"/>
    <w:tmpl w:val="92D0CC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5">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6">
    <w:nsid w:val="0F277159"/>
    <w:multiLevelType w:val="multilevel"/>
    <w:tmpl w:val="25E6766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8227B4C"/>
    <w:multiLevelType w:val="hybridMultilevel"/>
    <w:tmpl w:val="AF80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B4450"/>
    <w:multiLevelType w:val="hybridMultilevel"/>
    <w:tmpl w:val="C1569A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2">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3">
    <w:nsid w:val="2E621C9D"/>
    <w:multiLevelType w:val="hybridMultilevel"/>
    <w:tmpl w:val="B308D3A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5">
    <w:nsid w:val="30FB5567"/>
    <w:multiLevelType w:val="hybridMultilevel"/>
    <w:tmpl w:val="2E5AB2A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nsid w:val="348B795E"/>
    <w:multiLevelType w:val="hybridMultilevel"/>
    <w:tmpl w:val="C574A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nsid w:val="3CBA6F88"/>
    <w:multiLevelType w:val="hybridMultilevel"/>
    <w:tmpl w:val="2E5AB2A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483073"/>
    <w:multiLevelType w:val="hybridMultilevel"/>
    <w:tmpl w:val="FE28133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45DD6A45"/>
    <w:multiLevelType w:val="multilevel"/>
    <w:tmpl w:val="52DAD7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9563537"/>
    <w:multiLevelType w:val="multilevel"/>
    <w:tmpl w:val="24AAED12"/>
    <w:lvl w:ilvl="0">
      <w:start w:val="1"/>
      <w:numFmt w:val="decimal"/>
      <w:lvlText w:val="%1."/>
      <w:lvlJc w:val="left"/>
      <w:pPr>
        <w:ind w:left="360" w:hanging="360"/>
      </w:pPr>
      <w:rPr>
        <w:rFonts w:ascii="Times New Roman" w:hAnsi="Times New Roman" w:cs="Times New Roman" w:hint="default"/>
        <w:b/>
        <w:i w:val="0"/>
        <w:color w:val="auto"/>
      </w:rPr>
    </w:lvl>
    <w:lvl w:ilvl="1">
      <w:start w:val="1"/>
      <w:numFmt w:val="decimal"/>
      <w:isLgl/>
      <w:lvlText w:val="%2."/>
      <w:lvlJc w:val="left"/>
      <w:pPr>
        <w:ind w:left="720" w:hanging="360"/>
      </w:pPr>
      <w:rPr>
        <w:rFonts w:ascii="Gotham Book" w:eastAsia="Calibri" w:hAnsi="Gotham Book" w:cs="Times New Roman" w:hint="default"/>
        <w:b/>
        <w:i w:val="0"/>
        <w:color w:val="auto"/>
      </w:rPr>
    </w:lvl>
    <w:lvl w:ilvl="2">
      <w:start w:val="1"/>
      <w:numFmt w:val="decimal"/>
      <w:isLgl/>
      <w:lvlText w:val="%1.%2.%3"/>
      <w:lvlJc w:val="left"/>
      <w:pPr>
        <w:ind w:left="1440" w:hanging="720"/>
      </w:pPr>
      <w:rPr>
        <w:rFonts w:hint="default"/>
        <w:color w:val="1F497D"/>
      </w:rPr>
    </w:lvl>
    <w:lvl w:ilvl="3">
      <w:start w:val="1"/>
      <w:numFmt w:val="decimal"/>
      <w:isLgl/>
      <w:lvlText w:val="%1.%2.%3.%4"/>
      <w:lvlJc w:val="left"/>
      <w:pPr>
        <w:ind w:left="1800" w:hanging="720"/>
      </w:pPr>
      <w:rPr>
        <w:rFonts w:hint="default"/>
        <w:color w:val="1F497D"/>
      </w:rPr>
    </w:lvl>
    <w:lvl w:ilvl="4">
      <w:start w:val="1"/>
      <w:numFmt w:val="decimal"/>
      <w:isLgl/>
      <w:lvlText w:val="%1.%2.%3.%4.%5"/>
      <w:lvlJc w:val="left"/>
      <w:pPr>
        <w:ind w:left="2520" w:hanging="1080"/>
      </w:pPr>
      <w:rPr>
        <w:rFonts w:hint="default"/>
        <w:color w:val="1F497D"/>
      </w:rPr>
    </w:lvl>
    <w:lvl w:ilvl="5">
      <w:start w:val="1"/>
      <w:numFmt w:val="decimal"/>
      <w:isLgl/>
      <w:lvlText w:val="%1.%2.%3.%4.%5.%6"/>
      <w:lvlJc w:val="left"/>
      <w:pPr>
        <w:ind w:left="2880" w:hanging="1080"/>
      </w:pPr>
      <w:rPr>
        <w:rFonts w:hint="default"/>
        <w:color w:val="1F497D"/>
      </w:rPr>
    </w:lvl>
    <w:lvl w:ilvl="6">
      <w:start w:val="1"/>
      <w:numFmt w:val="decimal"/>
      <w:isLgl/>
      <w:lvlText w:val="%1.%2.%3.%4.%5.%6.%7"/>
      <w:lvlJc w:val="left"/>
      <w:pPr>
        <w:ind w:left="3600" w:hanging="1440"/>
      </w:pPr>
      <w:rPr>
        <w:rFonts w:hint="default"/>
        <w:color w:val="1F497D"/>
      </w:rPr>
    </w:lvl>
    <w:lvl w:ilvl="7">
      <w:start w:val="1"/>
      <w:numFmt w:val="decimal"/>
      <w:isLgl/>
      <w:lvlText w:val="%1.%2.%3.%4.%5.%6.%7.%8"/>
      <w:lvlJc w:val="left"/>
      <w:pPr>
        <w:ind w:left="3960" w:hanging="1440"/>
      </w:pPr>
      <w:rPr>
        <w:rFonts w:hint="default"/>
        <w:color w:val="1F497D"/>
      </w:rPr>
    </w:lvl>
    <w:lvl w:ilvl="8">
      <w:start w:val="1"/>
      <w:numFmt w:val="decimal"/>
      <w:isLgl/>
      <w:lvlText w:val="%1.%2.%3.%4.%5.%6.%7.%8.%9"/>
      <w:lvlJc w:val="left"/>
      <w:pPr>
        <w:ind w:left="4680" w:hanging="1800"/>
      </w:pPr>
      <w:rPr>
        <w:rFonts w:hint="default"/>
        <w:color w:val="1F497D"/>
      </w:rPr>
    </w:lvl>
  </w:abstractNum>
  <w:abstractNum w:abstractNumId="24">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011754"/>
    <w:multiLevelType w:val="multilevel"/>
    <w:tmpl w:val="B5564552"/>
    <w:lvl w:ilvl="0">
      <w:start w:val="1"/>
      <w:numFmt w:val="upperRoman"/>
      <w:lvlText w:val="%1."/>
      <w:lvlJc w:val="right"/>
      <w:pPr>
        <w:ind w:left="720" w:hanging="360"/>
      </w:pPr>
    </w:lvl>
    <w:lvl w:ilvl="1">
      <w:start w:val="1"/>
      <w:numFmt w:val="decimal"/>
      <w:isLgl/>
      <w:lvlText w:val="%1.%2"/>
      <w:lvlJc w:val="left"/>
      <w:pPr>
        <w:ind w:left="990" w:hanging="63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D7C5A7D"/>
    <w:multiLevelType w:val="hybridMultilevel"/>
    <w:tmpl w:val="88500038"/>
    <w:lvl w:ilvl="0" w:tplc="414421E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8">
    <w:nsid w:val="569905A8"/>
    <w:multiLevelType w:val="multilevel"/>
    <w:tmpl w:val="FDA085B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9">
    <w:nsid w:val="5CD479CA"/>
    <w:multiLevelType w:val="multilevel"/>
    <w:tmpl w:val="E480A3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31">
    <w:nsid w:val="609923C8"/>
    <w:multiLevelType w:val="multilevel"/>
    <w:tmpl w:val="825C8046"/>
    <w:lvl w:ilvl="0">
      <w:start w:val="1"/>
      <w:numFmt w:val="upperRoman"/>
      <w:lvlText w:val="%1."/>
      <w:lvlJc w:val="center"/>
      <w:pPr>
        <w:tabs>
          <w:tab w:val="num" w:pos="450"/>
        </w:tabs>
        <w:ind w:left="378" w:hanging="288"/>
      </w:pPr>
      <w:rPr>
        <w:rFonts w:ascii="Times New Roman Bold" w:hAnsi="Times New Roman Bold" w:hint="default"/>
        <w:b/>
        <w:i w:val="0"/>
        <w:sz w:val="24"/>
      </w:rPr>
    </w:lvl>
    <w:lvl w:ilvl="1">
      <w:start w:val="1"/>
      <w:numFmt w:val="decimal"/>
      <w:isLgl/>
      <w:lvlText w:val="%1.%2"/>
      <w:lvlJc w:val="left"/>
      <w:pPr>
        <w:tabs>
          <w:tab w:val="num" w:pos="810"/>
        </w:tabs>
        <w:ind w:left="810" w:hanging="720"/>
      </w:pPr>
      <w:rPr>
        <w:rFonts w:hint="default"/>
      </w:rPr>
    </w:lvl>
    <w:lvl w:ilvl="2">
      <w:start w:val="1"/>
      <w:numFmt w:val="lowerLetter"/>
      <w:lvlRestart w:val="0"/>
      <w:lvlText w:val="%3."/>
      <w:lvlJc w:val="left"/>
      <w:pPr>
        <w:tabs>
          <w:tab w:val="num" w:pos="1890"/>
        </w:tabs>
        <w:ind w:left="1890" w:hanging="360"/>
      </w:pPr>
      <w:rPr>
        <w:rFonts w:ascii="Arial" w:hAnsi="Arial" w:cs="Arial" w:hint="default"/>
        <w:b/>
        <w:i w:val="0"/>
        <w:sz w:val="22"/>
        <w:szCs w:val="22"/>
      </w:rPr>
    </w:lvl>
    <w:lvl w:ilvl="3">
      <w:start w:val="1"/>
      <w:numFmt w:val="lowerRoman"/>
      <w:lvlRestart w:val="0"/>
      <w:lvlText w:val="(%4)"/>
      <w:lvlJc w:val="right"/>
      <w:pPr>
        <w:tabs>
          <w:tab w:val="num" w:pos="2178"/>
        </w:tabs>
        <w:ind w:left="2178" w:hanging="288"/>
      </w:pPr>
      <w:rPr>
        <w:rFonts w:ascii="Times New Roman Bold" w:hAnsi="Times New Roman Bold" w:hint="default"/>
        <w:b/>
        <w:i w:val="0"/>
        <w:sz w:val="24"/>
      </w:rPr>
    </w:lvl>
    <w:lvl w:ilvl="4">
      <w:start w:val="1"/>
      <w:numFmt w:val="none"/>
      <w:lvlText w:val=""/>
      <w:lvlJc w:val="left"/>
      <w:pPr>
        <w:tabs>
          <w:tab w:val="num" w:pos="3330"/>
        </w:tabs>
        <w:ind w:left="2970" w:firstLine="0"/>
      </w:pPr>
      <w:rPr>
        <w:rFonts w:hint="default"/>
      </w:rPr>
    </w:lvl>
    <w:lvl w:ilvl="5">
      <w:start w:val="1"/>
      <w:numFmt w:val="none"/>
      <w:lvlText w:val=""/>
      <w:lvlJc w:val="left"/>
      <w:pPr>
        <w:tabs>
          <w:tab w:val="num" w:pos="4050"/>
        </w:tabs>
        <w:ind w:left="3690" w:firstLine="0"/>
      </w:pPr>
      <w:rPr>
        <w:rFonts w:hint="default"/>
      </w:rPr>
    </w:lvl>
    <w:lvl w:ilvl="6">
      <w:start w:val="1"/>
      <w:numFmt w:val="none"/>
      <w:lvlText w:val=""/>
      <w:lvlJc w:val="left"/>
      <w:pPr>
        <w:tabs>
          <w:tab w:val="num" w:pos="4770"/>
        </w:tabs>
        <w:ind w:left="4410" w:firstLine="0"/>
      </w:pPr>
      <w:rPr>
        <w:rFonts w:hint="default"/>
      </w:rPr>
    </w:lvl>
    <w:lvl w:ilvl="7">
      <w:start w:val="1"/>
      <w:numFmt w:val="none"/>
      <w:lvlText w:val=""/>
      <w:lvlJc w:val="left"/>
      <w:pPr>
        <w:tabs>
          <w:tab w:val="num" w:pos="5490"/>
        </w:tabs>
        <w:ind w:left="5130" w:firstLine="0"/>
      </w:pPr>
      <w:rPr>
        <w:rFonts w:hint="default"/>
      </w:rPr>
    </w:lvl>
    <w:lvl w:ilvl="8">
      <w:start w:val="1"/>
      <w:numFmt w:val="none"/>
      <w:lvlText w:val=""/>
      <w:lvlJc w:val="left"/>
      <w:pPr>
        <w:tabs>
          <w:tab w:val="num" w:pos="6210"/>
        </w:tabs>
        <w:ind w:left="5850" w:firstLine="0"/>
      </w:pPr>
      <w:rPr>
        <w:rFonts w:hint="default"/>
      </w:rPr>
    </w:lvl>
  </w:abstractNum>
  <w:abstractNum w:abstractNumId="32">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33">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4">
    <w:nsid w:val="680D0E07"/>
    <w:multiLevelType w:val="multilevel"/>
    <w:tmpl w:val="827C7448"/>
    <w:lvl w:ilvl="0">
      <w:start w:val="1"/>
      <w:numFmt w:val="lowerLetter"/>
      <w:lvlText w:val="%1."/>
      <w:lvlJc w:val="left"/>
      <w:pPr>
        <w:ind w:left="3600" w:hanging="72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7">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5"/>
  </w:num>
  <w:num w:numId="2">
    <w:abstractNumId w:val="9"/>
  </w:num>
  <w:num w:numId="3">
    <w:abstractNumId w:val="14"/>
  </w:num>
  <w:num w:numId="4">
    <w:abstractNumId w:val="20"/>
  </w:num>
  <w:num w:numId="5">
    <w:abstractNumId w:val="37"/>
  </w:num>
  <w:num w:numId="6">
    <w:abstractNumId w:val="10"/>
  </w:num>
  <w:num w:numId="7">
    <w:abstractNumId w:val="3"/>
  </w:num>
  <w:num w:numId="8">
    <w:abstractNumId w:val="33"/>
  </w:num>
  <w:num w:numId="9">
    <w:abstractNumId w:val="24"/>
  </w:num>
  <w:num w:numId="10">
    <w:abstractNumId w:val="4"/>
  </w:num>
  <w:num w:numId="11">
    <w:abstractNumId w:val="11"/>
  </w:num>
  <w:num w:numId="12">
    <w:abstractNumId w:val="12"/>
  </w:num>
  <w:num w:numId="13">
    <w:abstractNumId w:val="38"/>
  </w:num>
  <w:num w:numId="14">
    <w:abstractNumId w:val="35"/>
  </w:num>
  <w:num w:numId="15">
    <w:abstractNumId w:val="39"/>
  </w:num>
  <w:num w:numId="16">
    <w:abstractNumId w:val="16"/>
  </w:num>
  <w:num w:numId="17">
    <w:abstractNumId w:val="30"/>
  </w:num>
  <w:num w:numId="18">
    <w:abstractNumId w:val="32"/>
  </w:num>
  <w:num w:numId="19">
    <w:abstractNumId w:val="18"/>
  </w:num>
  <w:num w:numId="20">
    <w:abstractNumId w:val="29"/>
  </w:num>
  <w:num w:numId="21">
    <w:abstractNumId w:val="31"/>
  </w:num>
  <w:num w:numId="22">
    <w:abstractNumId w:val="25"/>
  </w:num>
  <w:num w:numId="23">
    <w:abstractNumId w:val="1"/>
  </w:num>
  <w:num w:numId="24">
    <w:abstractNumId w:val="13"/>
  </w:num>
  <w:num w:numId="2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6"/>
  </w:num>
  <w:num w:numId="28">
    <w:abstractNumId w:val="34"/>
  </w:num>
  <w:num w:numId="29">
    <w:abstractNumId w:val="26"/>
  </w:num>
  <w:num w:numId="30">
    <w:abstractNumId w:val="18"/>
  </w:num>
  <w:num w:numId="31">
    <w:abstractNumId w:val="18"/>
  </w:num>
  <w:num w:numId="32">
    <w:abstractNumId w:val="18"/>
  </w:num>
  <w:num w:numId="33">
    <w:abstractNumId w:val="18"/>
  </w:num>
  <w:num w:numId="34">
    <w:abstractNumId w:val="18"/>
  </w:num>
  <w:num w:numId="35">
    <w:abstractNumId w:val="6"/>
  </w:num>
  <w:num w:numId="36">
    <w:abstractNumId w:val="28"/>
  </w:num>
  <w:num w:numId="37">
    <w:abstractNumId w:val="15"/>
  </w:num>
  <w:num w:numId="38">
    <w:abstractNumId w:val="17"/>
  </w:num>
  <w:num w:numId="39">
    <w:abstractNumId w:val="27"/>
  </w:num>
  <w:num w:numId="40">
    <w:abstractNumId w:val="19"/>
  </w:num>
  <w:num w:numId="41">
    <w:abstractNumId w:val="2"/>
  </w:num>
  <w:num w:numId="42">
    <w:abstractNumId w:val="8"/>
  </w:num>
  <w:num w:numId="43">
    <w:abstractNumId w:val="22"/>
  </w:num>
  <w:num w:numId="44">
    <w:abstractNumId w:val="21"/>
  </w:num>
  <w:num w:numId="45">
    <w:abstractNumId w:val="7"/>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20"/>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1C"/>
    <w:rsid w:val="00003613"/>
    <w:rsid w:val="00003B36"/>
    <w:rsid w:val="00005BE6"/>
    <w:rsid w:val="00005EE4"/>
    <w:rsid w:val="0000669E"/>
    <w:rsid w:val="000101FB"/>
    <w:rsid w:val="00010E11"/>
    <w:rsid w:val="00011722"/>
    <w:rsid w:val="00012ED3"/>
    <w:rsid w:val="000143F7"/>
    <w:rsid w:val="00014DFE"/>
    <w:rsid w:val="000163CA"/>
    <w:rsid w:val="0002020D"/>
    <w:rsid w:val="000203B5"/>
    <w:rsid w:val="00022BE3"/>
    <w:rsid w:val="000234EA"/>
    <w:rsid w:val="000235C1"/>
    <w:rsid w:val="0002499E"/>
    <w:rsid w:val="00025DD9"/>
    <w:rsid w:val="00025F9F"/>
    <w:rsid w:val="00026B83"/>
    <w:rsid w:val="00030390"/>
    <w:rsid w:val="00030B7A"/>
    <w:rsid w:val="00030F02"/>
    <w:rsid w:val="00031679"/>
    <w:rsid w:val="00034A37"/>
    <w:rsid w:val="00034B0A"/>
    <w:rsid w:val="00035104"/>
    <w:rsid w:val="00036128"/>
    <w:rsid w:val="000366D5"/>
    <w:rsid w:val="00036843"/>
    <w:rsid w:val="00040043"/>
    <w:rsid w:val="000415F0"/>
    <w:rsid w:val="00041B48"/>
    <w:rsid w:val="000420CC"/>
    <w:rsid w:val="000437AC"/>
    <w:rsid w:val="00046E14"/>
    <w:rsid w:val="000473B7"/>
    <w:rsid w:val="0005067D"/>
    <w:rsid w:val="00052D8D"/>
    <w:rsid w:val="00055E21"/>
    <w:rsid w:val="00057A4A"/>
    <w:rsid w:val="00057C11"/>
    <w:rsid w:val="00060314"/>
    <w:rsid w:val="000605AD"/>
    <w:rsid w:val="00060BE1"/>
    <w:rsid w:val="0006112F"/>
    <w:rsid w:val="00062966"/>
    <w:rsid w:val="000636B9"/>
    <w:rsid w:val="00065094"/>
    <w:rsid w:val="00067023"/>
    <w:rsid w:val="000705F5"/>
    <w:rsid w:val="00070B8F"/>
    <w:rsid w:val="00071473"/>
    <w:rsid w:val="000740C8"/>
    <w:rsid w:val="00076221"/>
    <w:rsid w:val="000765F1"/>
    <w:rsid w:val="000839F7"/>
    <w:rsid w:val="00084081"/>
    <w:rsid w:val="000841EE"/>
    <w:rsid w:val="000843D5"/>
    <w:rsid w:val="00084EC7"/>
    <w:rsid w:val="00085319"/>
    <w:rsid w:val="00086B78"/>
    <w:rsid w:val="000879E4"/>
    <w:rsid w:val="00087D5D"/>
    <w:rsid w:val="00090448"/>
    <w:rsid w:val="00090951"/>
    <w:rsid w:val="0009150E"/>
    <w:rsid w:val="0009312F"/>
    <w:rsid w:val="000936C2"/>
    <w:rsid w:val="000A3533"/>
    <w:rsid w:val="000A3685"/>
    <w:rsid w:val="000A3ABD"/>
    <w:rsid w:val="000A5425"/>
    <w:rsid w:val="000A57EB"/>
    <w:rsid w:val="000A772E"/>
    <w:rsid w:val="000B0ED3"/>
    <w:rsid w:val="000B12AD"/>
    <w:rsid w:val="000B266A"/>
    <w:rsid w:val="000B28E1"/>
    <w:rsid w:val="000B4434"/>
    <w:rsid w:val="000B7AF4"/>
    <w:rsid w:val="000C02A5"/>
    <w:rsid w:val="000C0DC0"/>
    <w:rsid w:val="000C219C"/>
    <w:rsid w:val="000C3B29"/>
    <w:rsid w:val="000C42F4"/>
    <w:rsid w:val="000C4396"/>
    <w:rsid w:val="000C58FD"/>
    <w:rsid w:val="000C6BE2"/>
    <w:rsid w:val="000C6FE1"/>
    <w:rsid w:val="000D0C96"/>
    <w:rsid w:val="000D2ABA"/>
    <w:rsid w:val="000D2C1F"/>
    <w:rsid w:val="000D4844"/>
    <w:rsid w:val="000D6A93"/>
    <w:rsid w:val="000D7E2A"/>
    <w:rsid w:val="000E05AC"/>
    <w:rsid w:val="000E1137"/>
    <w:rsid w:val="000E193B"/>
    <w:rsid w:val="000E26B6"/>
    <w:rsid w:val="000E2AEA"/>
    <w:rsid w:val="000E2F15"/>
    <w:rsid w:val="000E4A38"/>
    <w:rsid w:val="000E578D"/>
    <w:rsid w:val="000F1C95"/>
    <w:rsid w:val="000F3059"/>
    <w:rsid w:val="000F5050"/>
    <w:rsid w:val="000F5472"/>
    <w:rsid w:val="000F5C6C"/>
    <w:rsid w:val="000F6325"/>
    <w:rsid w:val="000F6332"/>
    <w:rsid w:val="000F6493"/>
    <w:rsid w:val="000F699A"/>
    <w:rsid w:val="00100D07"/>
    <w:rsid w:val="00100E79"/>
    <w:rsid w:val="00102EDC"/>
    <w:rsid w:val="001101FD"/>
    <w:rsid w:val="00112314"/>
    <w:rsid w:val="00113103"/>
    <w:rsid w:val="00113AD5"/>
    <w:rsid w:val="00114BEC"/>
    <w:rsid w:val="001162B9"/>
    <w:rsid w:val="00120128"/>
    <w:rsid w:val="00120A7E"/>
    <w:rsid w:val="00121505"/>
    <w:rsid w:val="00121D05"/>
    <w:rsid w:val="001237DA"/>
    <w:rsid w:val="00123F9F"/>
    <w:rsid w:val="00132F17"/>
    <w:rsid w:val="001362B3"/>
    <w:rsid w:val="00137BC5"/>
    <w:rsid w:val="00142ADA"/>
    <w:rsid w:val="00144C4D"/>
    <w:rsid w:val="001452D2"/>
    <w:rsid w:val="00146513"/>
    <w:rsid w:val="001469BA"/>
    <w:rsid w:val="00152E57"/>
    <w:rsid w:val="00153752"/>
    <w:rsid w:val="00157C6C"/>
    <w:rsid w:val="0016167E"/>
    <w:rsid w:val="00163041"/>
    <w:rsid w:val="001647BA"/>
    <w:rsid w:val="00165C47"/>
    <w:rsid w:val="001716E9"/>
    <w:rsid w:val="00175A08"/>
    <w:rsid w:val="00175C6F"/>
    <w:rsid w:val="00177ABA"/>
    <w:rsid w:val="001818F1"/>
    <w:rsid w:val="00182D05"/>
    <w:rsid w:val="00183139"/>
    <w:rsid w:val="00185291"/>
    <w:rsid w:val="00185D04"/>
    <w:rsid w:val="001870DE"/>
    <w:rsid w:val="00187543"/>
    <w:rsid w:val="00187BA5"/>
    <w:rsid w:val="00190EE3"/>
    <w:rsid w:val="001911F2"/>
    <w:rsid w:val="00191820"/>
    <w:rsid w:val="001952E4"/>
    <w:rsid w:val="00196802"/>
    <w:rsid w:val="00196AA0"/>
    <w:rsid w:val="001976CA"/>
    <w:rsid w:val="001979EE"/>
    <w:rsid w:val="001A1738"/>
    <w:rsid w:val="001A46A4"/>
    <w:rsid w:val="001A47BB"/>
    <w:rsid w:val="001A4D8E"/>
    <w:rsid w:val="001A52B6"/>
    <w:rsid w:val="001A768D"/>
    <w:rsid w:val="001A7ADF"/>
    <w:rsid w:val="001B156D"/>
    <w:rsid w:val="001B30FF"/>
    <w:rsid w:val="001B6CB4"/>
    <w:rsid w:val="001B6F1A"/>
    <w:rsid w:val="001B7554"/>
    <w:rsid w:val="001B7BAD"/>
    <w:rsid w:val="001B7CCB"/>
    <w:rsid w:val="001C0275"/>
    <w:rsid w:val="001C2CB4"/>
    <w:rsid w:val="001C3038"/>
    <w:rsid w:val="001C3DE7"/>
    <w:rsid w:val="001C5CED"/>
    <w:rsid w:val="001C639C"/>
    <w:rsid w:val="001D26F3"/>
    <w:rsid w:val="001D3475"/>
    <w:rsid w:val="001D55C0"/>
    <w:rsid w:val="001E024E"/>
    <w:rsid w:val="001E056C"/>
    <w:rsid w:val="001E0C96"/>
    <w:rsid w:val="001E14A3"/>
    <w:rsid w:val="001E23B7"/>
    <w:rsid w:val="001E3089"/>
    <w:rsid w:val="001E3C2F"/>
    <w:rsid w:val="001E3D18"/>
    <w:rsid w:val="001E4782"/>
    <w:rsid w:val="001E737C"/>
    <w:rsid w:val="001F02C4"/>
    <w:rsid w:val="001F1F72"/>
    <w:rsid w:val="001F3CC4"/>
    <w:rsid w:val="001F3D46"/>
    <w:rsid w:val="0020028F"/>
    <w:rsid w:val="00200462"/>
    <w:rsid w:val="00201038"/>
    <w:rsid w:val="00201BE9"/>
    <w:rsid w:val="00202FD9"/>
    <w:rsid w:val="002053DC"/>
    <w:rsid w:val="00207AEA"/>
    <w:rsid w:val="002117EF"/>
    <w:rsid w:val="00211EBD"/>
    <w:rsid w:val="002129FA"/>
    <w:rsid w:val="00214F10"/>
    <w:rsid w:val="00214F9A"/>
    <w:rsid w:val="002166A1"/>
    <w:rsid w:val="00216DC8"/>
    <w:rsid w:val="002222B4"/>
    <w:rsid w:val="0022281D"/>
    <w:rsid w:val="00223F58"/>
    <w:rsid w:val="0022458D"/>
    <w:rsid w:val="00224F5B"/>
    <w:rsid w:val="00226C12"/>
    <w:rsid w:val="00227D25"/>
    <w:rsid w:val="002304CF"/>
    <w:rsid w:val="00230A54"/>
    <w:rsid w:val="00231A1F"/>
    <w:rsid w:val="00231AB1"/>
    <w:rsid w:val="0023376A"/>
    <w:rsid w:val="002346DA"/>
    <w:rsid w:val="00235356"/>
    <w:rsid w:val="00240095"/>
    <w:rsid w:val="002421A6"/>
    <w:rsid w:val="002440C3"/>
    <w:rsid w:val="00244312"/>
    <w:rsid w:val="002455C0"/>
    <w:rsid w:val="00246B1F"/>
    <w:rsid w:val="00247C06"/>
    <w:rsid w:val="00251978"/>
    <w:rsid w:val="0025209F"/>
    <w:rsid w:val="00257B3A"/>
    <w:rsid w:val="00257EBA"/>
    <w:rsid w:val="002610FC"/>
    <w:rsid w:val="00262B5D"/>
    <w:rsid w:val="00266876"/>
    <w:rsid w:val="00270ABF"/>
    <w:rsid w:val="00271E38"/>
    <w:rsid w:val="0027257F"/>
    <w:rsid w:val="00274067"/>
    <w:rsid w:val="0027501E"/>
    <w:rsid w:val="002753C5"/>
    <w:rsid w:val="00276154"/>
    <w:rsid w:val="00276346"/>
    <w:rsid w:val="00276673"/>
    <w:rsid w:val="00277AC8"/>
    <w:rsid w:val="00277C59"/>
    <w:rsid w:val="00284F37"/>
    <w:rsid w:val="00285E70"/>
    <w:rsid w:val="0028660C"/>
    <w:rsid w:val="00287710"/>
    <w:rsid w:val="00290D32"/>
    <w:rsid w:val="002916B4"/>
    <w:rsid w:val="002937F5"/>
    <w:rsid w:val="00296191"/>
    <w:rsid w:val="00297501"/>
    <w:rsid w:val="002976A7"/>
    <w:rsid w:val="002A06D0"/>
    <w:rsid w:val="002A1D4F"/>
    <w:rsid w:val="002A2785"/>
    <w:rsid w:val="002A3788"/>
    <w:rsid w:val="002A6F44"/>
    <w:rsid w:val="002B4CF0"/>
    <w:rsid w:val="002B4D63"/>
    <w:rsid w:val="002B50F6"/>
    <w:rsid w:val="002B5AFC"/>
    <w:rsid w:val="002B5BE2"/>
    <w:rsid w:val="002B692F"/>
    <w:rsid w:val="002B76CB"/>
    <w:rsid w:val="002C01D2"/>
    <w:rsid w:val="002C05D3"/>
    <w:rsid w:val="002C119D"/>
    <w:rsid w:val="002C2BB5"/>
    <w:rsid w:val="002C3A47"/>
    <w:rsid w:val="002C4FF8"/>
    <w:rsid w:val="002C6CE8"/>
    <w:rsid w:val="002D1B2E"/>
    <w:rsid w:val="002D5913"/>
    <w:rsid w:val="002D5CB6"/>
    <w:rsid w:val="002D75F2"/>
    <w:rsid w:val="002D7858"/>
    <w:rsid w:val="002D7DCB"/>
    <w:rsid w:val="002E234F"/>
    <w:rsid w:val="002E3603"/>
    <w:rsid w:val="002E66B7"/>
    <w:rsid w:val="002E6FDE"/>
    <w:rsid w:val="002F03E5"/>
    <w:rsid w:val="002F078F"/>
    <w:rsid w:val="002F0D3B"/>
    <w:rsid w:val="002F2E55"/>
    <w:rsid w:val="002F4D6E"/>
    <w:rsid w:val="002F4EC4"/>
    <w:rsid w:val="002F677E"/>
    <w:rsid w:val="002F69AD"/>
    <w:rsid w:val="00300D9B"/>
    <w:rsid w:val="00301372"/>
    <w:rsid w:val="00303FB9"/>
    <w:rsid w:val="00310C65"/>
    <w:rsid w:val="00311735"/>
    <w:rsid w:val="003146AC"/>
    <w:rsid w:val="003168D8"/>
    <w:rsid w:val="00316DB4"/>
    <w:rsid w:val="00320C3F"/>
    <w:rsid w:val="00321456"/>
    <w:rsid w:val="003224B7"/>
    <w:rsid w:val="00322C2D"/>
    <w:rsid w:val="003234E8"/>
    <w:rsid w:val="00323A70"/>
    <w:rsid w:val="00327478"/>
    <w:rsid w:val="0033345C"/>
    <w:rsid w:val="00334467"/>
    <w:rsid w:val="00334B91"/>
    <w:rsid w:val="003352B2"/>
    <w:rsid w:val="003371FA"/>
    <w:rsid w:val="00340747"/>
    <w:rsid w:val="003414E3"/>
    <w:rsid w:val="00342094"/>
    <w:rsid w:val="0034312B"/>
    <w:rsid w:val="00343219"/>
    <w:rsid w:val="00344301"/>
    <w:rsid w:val="00344457"/>
    <w:rsid w:val="003474DA"/>
    <w:rsid w:val="00347D71"/>
    <w:rsid w:val="0035180A"/>
    <w:rsid w:val="003519AC"/>
    <w:rsid w:val="003519B1"/>
    <w:rsid w:val="00352369"/>
    <w:rsid w:val="0035620F"/>
    <w:rsid w:val="00356743"/>
    <w:rsid w:val="00357DD5"/>
    <w:rsid w:val="0036172D"/>
    <w:rsid w:val="00362220"/>
    <w:rsid w:val="00363C51"/>
    <w:rsid w:val="00365D27"/>
    <w:rsid w:val="0037197A"/>
    <w:rsid w:val="0037226C"/>
    <w:rsid w:val="003749D5"/>
    <w:rsid w:val="0037579B"/>
    <w:rsid w:val="003761F7"/>
    <w:rsid w:val="00377ECF"/>
    <w:rsid w:val="0038109A"/>
    <w:rsid w:val="00381B93"/>
    <w:rsid w:val="003820B0"/>
    <w:rsid w:val="00382BA1"/>
    <w:rsid w:val="00382FEA"/>
    <w:rsid w:val="0038351C"/>
    <w:rsid w:val="003848BA"/>
    <w:rsid w:val="00385807"/>
    <w:rsid w:val="00385EFA"/>
    <w:rsid w:val="00387AF7"/>
    <w:rsid w:val="00391302"/>
    <w:rsid w:val="00394D00"/>
    <w:rsid w:val="00394EAC"/>
    <w:rsid w:val="003955F6"/>
    <w:rsid w:val="003970C0"/>
    <w:rsid w:val="003A1196"/>
    <w:rsid w:val="003A2397"/>
    <w:rsid w:val="003A2FA5"/>
    <w:rsid w:val="003A455C"/>
    <w:rsid w:val="003A5863"/>
    <w:rsid w:val="003B0022"/>
    <w:rsid w:val="003B1B94"/>
    <w:rsid w:val="003B245F"/>
    <w:rsid w:val="003B2507"/>
    <w:rsid w:val="003B46AC"/>
    <w:rsid w:val="003B7CEE"/>
    <w:rsid w:val="003C19F4"/>
    <w:rsid w:val="003C6D00"/>
    <w:rsid w:val="003C71FE"/>
    <w:rsid w:val="003D1356"/>
    <w:rsid w:val="003D2300"/>
    <w:rsid w:val="003D5631"/>
    <w:rsid w:val="003D66FF"/>
    <w:rsid w:val="003D6B55"/>
    <w:rsid w:val="003E1617"/>
    <w:rsid w:val="003E468E"/>
    <w:rsid w:val="003E510B"/>
    <w:rsid w:val="003E5C50"/>
    <w:rsid w:val="003E7B27"/>
    <w:rsid w:val="003F0014"/>
    <w:rsid w:val="003F506B"/>
    <w:rsid w:val="003F69C9"/>
    <w:rsid w:val="00402384"/>
    <w:rsid w:val="00403FF0"/>
    <w:rsid w:val="004041C7"/>
    <w:rsid w:val="00404425"/>
    <w:rsid w:val="004045EC"/>
    <w:rsid w:val="00404E56"/>
    <w:rsid w:val="004067BB"/>
    <w:rsid w:val="00407024"/>
    <w:rsid w:val="004111E4"/>
    <w:rsid w:val="00411AFB"/>
    <w:rsid w:val="004123F6"/>
    <w:rsid w:val="00415BC6"/>
    <w:rsid w:val="00417620"/>
    <w:rsid w:val="00417A06"/>
    <w:rsid w:val="00424ED7"/>
    <w:rsid w:val="004250A6"/>
    <w:rsid w:val="00425ED8"/>
    <w:rsid w:val="004264C7"/>
    <w:rsid w:val="00426E0D"/>
    <w:rsid w:val="00427B5E"/>
    <w:rsid w:val="004303CC"/>
    <w:rsid w:val="00430F4E"/>
    <w:rsid w:val="0043233A"/>
    <w:rsid w:val="004327ED"/>
    <w:rsid w:val="004348BE"/>
    <w:rsid w:val="00434AB4"/>
    <w:rsid w:val="00435015"/>
    <w:rsid w:val="0043571F"/>
    <w:rsid w:val="0043742E"/>
    <w:rsid w:val="00442AEE"/>
    <w:rsid w:val="00444583"/>
    <w:rsid w:val="004450FA"/>
    <w:rsid w:val="00445A2A"/>
    <w:rsid w:val="00445CCF"/>
    <w:rsid w:val="00446354"/>
    <w:rsid w:val="00447AEA"/>
    <w:rsid w:val="0045438B"/>
    <w:rsid w:val="00454C52"/>
    <w:rsid w:val="00455BD6"/>
    <w:rsid w:val="00455D6F"/>
    <w:rsid w:val="0045601B"/>
    <w:rsid w:val="0046144F"/>
    <w:rsid w:val="004619B0"/>
    <w:rsid w:val="00463E09"/>
    <w:rsid w:val="00465A6A"/>
    <w:rsid w:val="00467365"/>
    <w:rsid w:val="004676E9"/>
    <w:rsid w:val="0047119A"/>
    <w:rsid w:val="004717E4"/>
    <w:rsid w:val="00472276"/>
    <w:rsid w:val="00472E37"/>
    <w:rsid w:val="00473621"/>
    <w:rsid w:val="004756C5"/>
    <w:rsid w:val="004757E5"/>
    <w:rsid w:val="00477422"/>
    <w:rsid w:val="004800F2"/>
    <w:rsid w:val="00481C69"/>
    <w:rsid w:val="00482825"/>
    <w:rsid w:val="00482859"/>
    <w:rsid w:val="00482A59"/>
    <w:rsid w:val="00482D05"/>
    <w:rsid w:val="00483AC5"/>
    <w:rsid w:val="00483B19"/>
    <w:rsid w:val="00483D73"/>
    <w:rsid w:val="00483FDC"/>
    <w:rsid w:val="00487E8B"/>
    <w:rsid w:val="00490524"/>
    <w:rsid w:val="0049240B"/>
    <w:rsid w:val="0049310A"/>
    <w:rsid w:val="0049376B"/>
    <w:rsid w:val="0049596A"/>
    <w:rsid w:val="0049747B"/>
    <w:rsid w:val="004974CE"/>
    <w:rsid w:val="004A0A53"/>
    <w:rsid w:val="004A0BF9"/>
    <w:rsid w:val="004A0D49"/>
    <w:rsid w:val="004A1274"/>
    <w:rsid w:val="004A22E0"/>
    <w:rsid w:val="004A2D28"/>
    <w:rsid w:val="004A4C0D"/>
    <w:rsid w:val="004A5AAD"/>
    <w:rsid w:val="004A7714"/>
    <w:rsid w:val="004A7CCD"/>
    <w:rsid w:val="004B3F65"/>
    <w:rsid w:val="004B4BA2"/>
    <w:rsid w:val="004B4E44"/>
    <w:rsid w:val="004B6177"/>
    <w:rsid w:val="004B710A"/>
    <w:rsid w:val="004C7EE0"/>
    <w:rsid w:val="004D078E"/>
    <w:rsid w:val="004D21CF"/>
    <w:rsid w:val="004D3615"/>
    <w:rsid w:val="004D3933"/>
    <w:rsid w:val="004D3E12"/>
    <w:rsid w:val="004D4EC5"/>
    <w:rsid w:val="004E05BC"/>
    <w:rsid w:val="004E11FF"/>
    <w:rsid w:val="004E35AD"/>
    <w:rsid w:val="004E36E4"/>
    <w:rsid w:val="004E3EE8"/>
    <w:rsid w:val="004E469C"/>
    <w:rsid w:val="004E5268"/>
    <w:rsid w:val="004E59E1"/>
    <w:rsid w:val="004E6E3B"/>
    <w:rsid w:val="004E7CB5"/>
    <w:rsid w:val="004F0BD1"/>
    <w:rsid w:val="004F3B01"/>
    <w:rsid w:val="00501B7A"/>
    <w:rsid w:val="00501CF4"/>
    <w:rsid w:val="00501D94"/>
    <w:rsid w:val="00502354"/>
    <w:rsid w:val="00503EC7"/>
    <w:rsid w:val="0050529E"/>
    <w:rsid w:val="00506574"/>
    <w:rsid w:val="005065FF"/>
    <w:rsid w:val="0050795C"/>
    <w:rsid w:val="00510E3A"/>
    <w:rsid w:val="00511605"/>
    <w:rsid w:val="00516187"/>
    <w:rsid w:val="00520AAC"/>
    <w:rsid w:val="0052133D"/>
    <w:rsid w:val="00521BCD"/>
    <w:rsid w:val="005220B8"/>
    <w:rsid w:val="00524DCC"/>
    <w:rsid w:val="005257EA"/>
    <w:rsid w:val="00525921"/>
    <w:rsid w:val="00526E4E"/>
    <w:rsid w:val="005324A3"/>
    <w:rsid w:val="00533BA8"/>
    <w:rsid w:val="00535970"/>
    <w:rsid w:val="0053638D"/>
    <w:rsid w:val="00540432"/>
    <w:rsid w:val="00540ED9"/>
    <w:rsid w:val="00541F82"/>
    <w:rsid w:val="00542615"/>
    <w:rsid w:val="005437CD"/>
    <w:rsid w:val="00544C7D"/>
    <w:rsid w:val="00545A16"/>
    <w:rsid w:val="00545CAA"/>
    <w:rsid w:val="00547157"/>
    <w:rsid w:val="00547CB8"/>
    <w:rsid w:val="005500BC"/>
    <w:rsid w:val="00551224"/>
    <w:rsid w:val="005525E9"/>
    <w:rsid w:val="005529E8"/>
    <w:rsid w:val="0055657A"/>
    <w:rsid w:val="0055718B"/>
    <w:rsid w:val="005635F5"/>
    <w:rsid w:val="0056711E"/>
    <w:rsid w:val="0056718E"/>
    <w:rsid w:val="0056775B"/>
    <w:rsid w:val="005722FA"/>
    <w:rsid w:val="00572496"/>
    <w:rsid w:val="0057314E"/>
    <w:rsid w:val="005738B4"/>
    <w:rsid w:val="00574109"/>
    <w:rsid w:val="00576079"/>
    <w:rsid w:val="005771F5"/>
    <w:rsid w:val="00577709"/>
    <w:rsid w:val="00580A29"/>
    <w:rsid w:val="005811DA"/>
    <w:rsid w:val="0058209F"/>
    <w:rsid w:val="00582F49"/>
    <w:rsid w:val="00585EE1"/>
    <w:rsid w:val="0058760E"/>
    <w:rsid w:val="00591F79"/>
    <w:rsid w:val="00592A81"/>
    <w:rsid w:val="00597E8C"/>
    <w:rsid w:val="005A10C6"/>
    <w:rsid w:val="005A1D35"/>
    <w:rsid w:val="005A1DEB"/>
    <w:rsid w:val="005A40C1"/>
    <w:rsid w:val="005A4682"/>
    <w:rsid w:val="005A4C9A"/>
    <w:rsid w:val="005A6758"/>
    <w:rsid w:val="005A6847"/>
    <w:rsid w:val="005A7033"/>
    <w:rsid w:val="005A799F"/>
    <w:rsid w:val="005B0265"/>
    <w:rsid w:val="005B1809"/>
    <w:rsid w:val="005B304E"/>
    <w:rsid w:val="005B669F"/>
    <w:rsid w:val="005B71AC"/>
    <w:rsid w:val="005C01EA"/>
    <w:rsid w:val="005C0468"/>
    <w:rsid w:val="005C0B51"/>
    <w:rsid w:val="005C0CBD"/>
    <w:rsid w:val="005C2D07"/>
    <w:rsid w:val="005C53E6"/>
    <w:rsid w:val="005C5FF2"/>
    <w:rsid w:val="005C688E"/>
    <w:rsid w:val="005C720B"/>
    <w:rsid w:val="005C763C"/>
    <w:rsid w:val="005C7725"/>
    <w:rsid w:val="005D0FC3"/>
    <w:rsid w:val="005D6E69"/>
    <w:rsid w:val="005D7533"/>
    <w:rsid w:val="005D78A4"/>
    <w:rsid w:val="005E010F"/>
    <w:rsid w:val="005E0B4E"/>
    <w:rsid w:val="005E4D3E"/>
    <w:rsid w:val="005E5E9E"/>
    <w:rsid w:val="005F303D"/>
    <w:rsid w:val="005F3F4C"/>
    <w:rsid w:val="005F71FD"/>
    <w:rsid w:val="00602C85"/>
    <w:rsid w:val="0060383A"/>
    <w:rsid w:val="00603F52"/>
    <w:rsid w:val="00604A6C"/>
    <w:rsid w:val="006059BF"/>
    <w:rsid w:val="00606827"/>
    <w:rsid w:val="00610E7F"/>
    <w:rsid w:val="00611233"/>
    <w:rsid w:val="00613741"/>
    <w:rsid w:val="006162AF"/>
    <w:rsid w:val="00617B2F"/>
    <w:rsid w:val="00623467"/>
    <w:rsid w:val="0062448F"/>
    <w:rsid w:val="006261EE"/>
    <w:rsid w:val="0062667F"/>
    <w:rsid w:val="006302B7"/>
    <w:rsid w:val="00632492"/>
    <w:rsid w:val="006325CC"/>
    <w:rsid w:val="006331CF"/>
    <w:rsid w:val="00636D8A"/>
    <w:rsid w:val="006372EB"/>
    <w:rsid w:val="0064158B"/>
    <w:rsid w:val="006419D3"/>
    <w:rsid w:val="00641DE2"/>
    <w:rsid w:val="00643D25"/>
    <w:rsid w:val="00644EBD"/>
    <w:rsid w:val="00646F07"/>
    <w:rsid w:val="00647CC8"/>
    <w:rsid w:val="0065362C"/>
    <w:rsid w:val="006551DF"/>
    <w:rsid w:val="00660135"/>
    <w:rsid w:val="006604CA"/>
    <w:rsid w:val="006629E2"/>
    <w:rsid w:val="00664BF9"/>
    <w:rsid w:val="00665A66"/>
    <w:rsid w:val="00667E0D"/>
    <w:rsid w:val="00670017"/>
    <w:rsid w:val="00670986"/>
    <w:rsid w:val="00671F1C"/>
    <w:rsid w:val="00673242"/>
    <w:rsid w:val="0068145F"/>
    <w:rsid w:val="00681E79"/>
    <w:rsid w:val="00683DA9"/>
    <w:rsid w:val="00684972"/>
    <w:rsid w:val="00690536"/>
    <w:rsid w:val="006906AF"/>
    <w:rsid w:val="00691E3E"/>
    <w:rsid w:val="00695498"/>
    <w:rsid w:val="00695E68"/>
    <w:rsid w:val="0069663A"/>
    <w:rsid w:val="006969C2"/>
    <w:rsid w:val="006A0F64"/>
    <w:rsid w:val="006B24A2"/>
    <w:rsid w:val="006B2979"/>
    <w:rsid w:val="006B5733"/>
    <w:rsid w:val="006B6B00"/>
    <w:rsid w:val="006B7284"/>
    <w:rsid w:val="006B7406"/>
    <w:rsid w:val="006B7D07"/>
    <w:rsid w:val="006C1531"/>
    <w:rsid w:val="006C185D"/>
    <w:rsid w:val="006C2A1D"/>
    <w:rsid w:val="006C6AB6"/>
    <w:rsid w:val="006D0671"/>
    <w:rsid w:val="006D168A"/>
    <w:rsid w:val="006D2995"/>
    <w:rsid w:val="006D30D8"/>
    <w:rsid w:val="006D3F58"/>
    <w:rsid w:val="006D5475"/>
    <w:rsid w:val="006D5AAC"/>
    <w:rsid w:val="006D7E90"/>
    <w:rsid w:val="006E0C0D"/>
    <w:rsid w:val="006E12B4"/>
    <w:rsid w:val="006E1CDD"/>
    <w:rsid w:val="006E2B5C"/>
    <w:rsid w:val="006E38F8"/>
    <w:rsid w:val="006E5A32"/>
    <w:rsid w:val="006E62F2"/>
    <w:rsid w:val="006E7410"/>
    <w:rsid w:val="006F45B4"/>
    <w:rsid w:val="006F48E2"/>
    <w:rsid w:val="006F4949"/>
    <w:rsid w:val="006F51F8"/>
    <w:rsid w:val="006F5DE4"/>
    <w:rsid w:val="006F71C3"/>
    <w:rsid w:val="006F7E62"/>
    <w:rsid w:val="006F7E6A"/>
    <w:rsid w:val="007004F6"/>
    <w:rsid w:val="007005A5"/>
    <w:rsid w:val="00701E88"/>
    <w:rsid w:val="00705B04"/>
    <w:rsid w:val="00706C47"/>
    <w:rsid w:val="00706FA8"/>
    <w:rsid w:val="0070777A"/>
    <w:rsid w:val="00711E37"/>
    <w:rsid w:val="00711E53"/>
    <w:rsid w:val="0071296D"/>
    <w:rsid w:val="00713A5F"/>
    <w:rsid w:val="00713F96"/>
    <w:rsid w:val="00714281"/>
    <w:rsid w:val="007151D8"/>
    <w:rsid w:val="0071522F"/>
    <w:rsid w:val="00715643"/>
    <w:rsid w:val="00715E0B"/>
    <w:rsid w:val="00717342"/>
    <w:rsid w:val="007177EE"/>
    <w:rsid w:val="0072090B"/>
    <w:rsid w:val="0072111A"/>
    <w:rsid w:val="00722C54"/>
    <w:rsid w:val="00724AE6"/>
    <w:rsid w:val="007279A4"/>
    <w:rsid w:val="00727FAC"/>
    <w:rsid w:val="00731F66"/>
    <w:rsid w:val="007324E3"/>
    <w:rsid w:val="0073322B"/>
    <w:rsid w:val="00734C86"/>
    <w:rsid w:val="00735E29"/>
    <w:rsid w:val="00742F5C"/>
    <w:rsid w:val="00744344"/>
    <w:rsid w:val="0074591E"/>
    <w:rsid w:val="00747EE4"/>
    <w:rsid w:val="00750971"/>
    <w:rsid w:val="00751944"/>
    <w:rsid w:val="00753F8B"/>
    <w:rsid w:val="0075479F"/>
    <w:rsid w:val="00754C59"/>
    <w:rsid w:val="007561DB"/>
    <w:rsid w:val="00757BB4"/>
    <w:rsid w:val="00762B48"/>
    <w:rsid w:val="0076351F"/>
    <w:rsid w:val="007638CA"/>
    <w:rsid w:val="00764E65"/>
    <w:rsid w:val="00765EC7"/>
    <w:rsid w:val="00765FCC"/>
    <w:rsid w:val="00766788"/>
    <w:rsid w:val="00770056"/>
    <w:rsid w:val="00770D36"/>
    <w:rsid w:val="00771190"/>
    <w:rsid w:val="00773B8E"/>
    <w:rsid w:val="0077486A"/>
    <w:rsid w:val="007766A5"/>
    <w:rsid w:val="007770F2"/>
    <w:rsid w:val="0078396F"/>
    <w:rsid w:val="00790231"/>
    <w:rsid w:val="00790C2E"/>
    <w:rsid w:val="00790CF0"/>
    <w:rsid w:val="00791614"/>
    <w:rsid w:val="00792F64"/>
    <w:rsid w:val="007942EF"/>
    <w:rsid w:val="00794C1F"/>
    <w:rsid w:val="00797BCF"/>
    <w:rsid w:val="007A00EA"/>
    <w:rsid w:val="007A5473"/>
    <w:rsid w:val="007A56D3"/>
    <w:rsid w:val="007A62FA"/>
    <w:rsid w:val="007A7B27"/>
    <w:rsid w:val="007A7CC6"/>
    <w:rsid w:val="007B28FB"/>
    <w:rsid w:val="007B40E6"/>
    <w:rsid w:val="007B561B"/>
    <w:rsid w:val="007B740F"/>
    <w:rsid w:val="007B768A"/>
    <w:rsid w:val="007C1307"/>
    <w:rsid w:val="007C25A8"/>
    <w:rsid w:val="007C2A18"/>
    <w:rsid w:val="007C60BE"/>
    <w:rsid w:val="007D090E"/>
    <w:rsid w:val="007D0E1B"/>
    <w:rsid w:val="007D319E"/>
    <w:rsid w:val="007D51D8"/>
    <w:rsid w:val="007E14FB"/>
    <w:rsid w:val="007E158F"/>
    <w:rsid w:val="007E1E09"/>
    <w:rsid w:val="007E3C7D"/>
    <w:rsid w:val="007E583D"/>
    <w:rsid w:val="007E70F8"/>
    <w:rsid w:val="007E7576"/>
    <w:rsid w:val="007F0C63"/>
    <w:rsid w:val="007F1140"/>
    <w:rsid w:val="007F149F"/>
    <w:rsid w:val="007F2096"/>
    <w:rsid w:val="007F30A2"/>
    <w:rsid w:val="007F44C2"/>
    <w:rsid w:val="007F577F"/>
    <w:rsid w:val="007F73AD"/>
    <w:rsid w:val="007F79D0"/>
    <w:rsid w:val="0080003E"/>
    <w:rsid w:val="00801177"/>
    <w:rsid w:val="00801982"/>
    <w:rsid w:val="00803850"/>
    <w:rsid w:val="00803A1B"/>
    <w:rsid w:val="00805182"/>
    <w:rsid w:val="00805842"/>
    <w:rsid w:val="008058B3"/>
    <w:rsid w:val="00814B55"/>
    <w:rsid w:val="00814BC8"/>
    <w:rsid w:val="008175A8"/>
    <w:rsid w:val="00817A41"/>
    <w:rsid w:val="00817B08"/>
    <w:rsid w:val="00820317"/>
    <w:rsid w:val="00820565"/>
    <w:rsid w:val="00821F8F"/>
    <w:rsid w:val="0082203B"/>
    <w:rsid w:val="00824F93"/>
    <w:rsid w:val="00825262"/>
    <w:rsid w:val="00827CB5"/>
    <w:rsid w:val="00832240"/>
    <w:rsid w:val="0083344E"/>
    <w:rsid w:val="0083371A"/>
    <w:rsid w:val="00833E98"/>
    <w:rsid w:val="00834772"/>
    <w:rsid w:val="0083701D"/>
    <w:rsid w:val="00837808"/>
    <w:rsid w:val="008409F2"/>
    <w:rsid w:val="0084174B"/>
    <w:rsid w:val="00841E12"/>
    <w:rsid w:val="0084288A"/>
    <w:rsid w:val="008447DF"/>
    <w:rsid w:val="00845417"/>
    <w:rsid w:val="0084627E"/>
    <w:rsid w:val="00846B1F"/>
    <w:rsid w:val="00846C61"/>
    <w:rsid w:val="0085205A"/>
    <w:rsid w:val="00853381"/>
    <w:rsid w:val="008543F8"/>
    <w:rsid w:val="008558B8"/>
    <w:rsid w:val="008566D6"/>
    <w:rsid w:val="0086051E"/>
    <w:rsid w:val="008608F7"/>
    <w:rsid w:val="00860AB9"/>
    <w:rsid w:val="00861042"/>
    <w:rsid w:val="0086362F"/>
    <w:rsid w:val="008637DA"/>
    <w:rsid w:val="00866CC6"/>
    <w:rsid w:val="008674B9"/>
    <w:rsid w:val="00867D55"/>
    <w:rsid w:val="008715C0"/>
    <w:rsid w:val="00873C2E"/>
    <w:rsid w:val="00873F19"/>
    <w:rsid w:val="008750C5"/>
    <w:rsid w:val="0087551D"/>
    <w:rsid w:val="0087577D"/>
    <w:rsid w:val="00875E38"/>
    <w:rsid w:val="0087680D"/>
    <w:rsid w:val="0088117D"/>
    <w:rsid w:val="00882B36"/>
    <w:rsid w:val="00882D00"/>
    <w:rsid w:val="00882F9D"/>
    <w:rsid w:val="008846A7"/>
    <w:rsid w:val="00884953"/>
    <w:rsid w:val="00885229"/>
    <w:rsid w:val="00885294"/>
    <w:rsid w:val="0088560A"/>
    <w:rsid w:val="00886061"/>
    <w:rsid w:val="00886A6B"/>
    <w:rsid w:val="008914BD"/>
    <w:rsid w:val="00894D6D"/>
    <w:rsid w:val="00895008"/>
    <w:rsid w:val="008965EA"/>
    <w:rsid w:val="00897803"/>
    <w:rsid w:val="008A0059"/>
    <w:rsid w:val="008A00EB"/>
    <w:rsid w:val="008A15CB"/>
    <w:rsid w:val="008A1D05"/>
    <w:rsid w:val="008A231A"/>
    <w:rsid w:val="008A4FF6"/>
    <w:rsid w:val="008A5AFA"/>
    <w:rsid w:val="008A5CFC"/>
    <w:rsid w:val="008A5E39"/>
    <w:rsid w:val="008A71B1"/>
    <w:rsid w:val="008A7958"/>
    <w:rsid w:val="008A7F1D"/>
    <w:rsid w:val="008B0F2A"/>
    <w:rsid w:val="008B20FD"/>
    <w:rsid w:val="008B37A4"/>
    <w:rsid w:val="008B6629"/>
    <w:rsid w:val="008B70CD"/>
    <w:rsid w:val="008C17E1"/>
    <w:rsid w:val="008C2C1B"/>
    <w:rsid w:val="008C7CDE"/>
    <w:rsid w:val="008D35D0"/>
    <w:rsid w:val="008D3C1A"/>
    <w:rsid w:val="008D3DE5"/>
    <w:rsid w:val="008D3F6A"/>
    <w:rsid w:val="008D551D"/>
    <w:rsid w:val="008D665A"/>
    <w:rsid w:val="008D70BE"/>
    <w:rsid w:val="008D7C6A"/>
    <w:rsid w:val="008E022F"/>
    <w:rsid w:val="008E090D"/>
    <w:rsid w:val="008E2081"/>
    <w:rsid w:val="008E2A0C"/>
    <w:rsid w:val="008F01AA"/>
    <w:rsid w:val="008F1BAF"/>
    <w:rsid w:val="008F28AD"/>
    <w:rsid w:val="008F4672"/>
    <w:rsid w:val="008F5268"/>
    <w:rsid w:val="008F6DB8"/>
    <w:rsid w:val="009004F8"/>
    <w:rsid w:val="009013CA"/>
    <w:rsid w:val="00903616"/>
    <w:rsid w:val="00904426"/>
    <w:rsid w:val="009064B5"/>
    <w:rsid w:val="009071A7"/>
    <w:rsid w:val="00911034"/>
    <w:rsid w:val="00912449"/>
    <w:rsid w:val="009128D2"/>
    <w:rsid w:val="009135AE"/>
    <w:rsid w:val="00913EBE"/>
    <w:rsid w:val="00914273"/>
    <w:rsid w:val="0091516F"/>
    <w:rsid w:val="009214F1"/>
    <w:rsid w:val="0092211B"/>
    <w:rsid w:val="00922AAE"/>
    <w:rsid w:val="00922E34"/>
    <w:rsid w:val="00926010"/>
    <w:rsid w:val="00926EC8"/>
    <w:rsid w:val="009270CB"/>
    <w:rsid w:val="00932237"/>
    <w:rsid w:val="00932893"/>
    <w:rsid w:val="009330ED"/>
    <w:rsid w:val="009357C3"/>
    <w:rsid w:val="00936A77"/>
    <w:rsid w:val="00940746"/>
    <w:rsid w:val="00940C40"/>
    <w:rsid w:val="00941D89"/>
    <w:rsid w:val="00945111"/>
    <w:rsid w:val="0094556D"/>
    <w:rsid w:val="00945C31"/>
    <w:rsid w:val="009464F6"/>
    <w:rsid w:val="00952E0B"/>
    <w:rsid w:val="0095322F"/>
    <w:rsid w:val="00953661"/>
    <w:rsid w:val="00954768"/>
    <w:rsid w:val="00957F58"/>
    <w:rsid w:val="00960179"/>
    <w:rsid w:val="00961273"/>
    <w:rsid w:val="00961808"/>
    <w:rsid w:val="00961822"/>
    <w:rsid w:val="00962FF5"/>
    <w:rsid w:val="009648B3"/>
    <w:rsid w:val="00971B64"/>
    <w:rsid w:val="00972402"/>
    <w:rsid w:val="00972CEF"/>
    <w:rsid w:val="00972FAD"/>
    <w:rsid w:val="009745CB"/>
    <w:rsid w:val="009764DA"/>
    <w:rsid w:val="0097747E"/>
    <w:rsid w:val="00985BB1"/>
    <w:rsid w:val="00985DFD"/>
    <w:rsid w:val="00987102"/>
    <w:rsid w:val="00987E7E"/>
    <w:rsid w:val="009906DB"/>
    <w:rsid w:val="00991232"/>
    <w:rsid w:val="0099221E"/>
    <w:rsid w:val="009959A9"/>
    <w:rsid w:val="00997BAD"/>
    <w:rsid w:val="009A1212"/>
    <w:rsid w:val="009A5411"/>
    <w:rsid w:val="009A7236"/>
    <w:rsid w:val="009A7984"/>
    <w:rsid w:val="009B13E5"/>
    <w:rsid w:val="009B2777"/>
    <w:rsid w:val="009B3E59"/>
    <w:rsid w:val="009B5D6F"/>
    <w:rsid w:val="009C063B"/>
    <w:rsid w:val="009C18EA"/>
    <w:rsid w:val="009C2D84"/>
    <w:rsid w:val="009C3EAE"/>
    <w:rsid w:val="009C7648"/>
    <w:rsid w:val="009C779C"/>
    <w:rsid w:val="009D543F"/>
    <w:rsid w:val="009D578D"/>
    <w:rsid w:val="009D6EE7"/>
    <w:rsid w:val="009D7280"/>
    <w:rsid w:val="009E2B7E"/>
    <w:rsid w:val="009E4DD5"/>
    <w:rsid w:val="009E5EE7"/>
    <w:rsid w:val="009E6D4F"/>
    <w:rsid w:val="009F0335"/>
    <w:rsid w:val="009F3AF0"/>
    <w:rsid w:val="009F57BC"/>
    <w:rsid w:val="009F5F60"/>
    <w:rsid w:val="00A00BF7"/>
    <w:rsid w:val="00A01F8A"/>
    <w:rsid w:val="00A03275"/>
    <w:rsid w:val="00A03A9E"/>
    <w:rsid w:val="00A0412D"/>
    <w:rsid w:val="00A069E9"/>
    <w:rsid w:val="00A06E68"/>
    <w:rsid w:val="00A113A3"/>
    <w:rsid w:val="00A11E7F"/>
    <w:rsid w:val="00A12228"/>
    <w:rsid w:val="00A1459F"/>
    <w:rsid w:val="00A1704E"/>
    <w:rsid w:val="00A201C3"/>
    <w:rsid w:val="00A204A9"/>
    <w:rsid w:val="00A25974"/>
    <w:rsid w:val="00A26635"/>
    <w:rsid w:val="00A267B8"/>
    <w:rsid w:val="00A26F9F"/>
    <w:rsid w:val="00A31859"/>
    <w:rsid w:val="00A31FBE"/>
    <w:rsid w:val="00A34044"/>
    <w:rsid w:val="00A348AD"/>
    <w:rsid w:val="00A3688E"/>
    <w:rsid w:val="00A40297"/>
    <w:rsid w:val="00A402B4"/>
    <w:rsid w:val="00A40A0B"/>
    <w:rsid w:val="00A416A0"/>
    <w:rsid w:val="00A42943"/>
    <w:rsid w:val="00A441BE"/>
    <w:rsid w:val="00A442D2"/>
    <w:rsid w:val="00A445B0"/>
    <w:rsid w:val="00A464BA"/>
    <w:rsid w:val="00A502D9"/>
    <w:rsid w:val="00A5509A"/>
    <w:rsid w:val="00A554B2"/>
    <w:rsid w:val="00A55D15"/>
    <w:rsid w:val="00A56E1C"/>
    <w:rsid w:val="00A57109"/>
    <w:rsid w:val="00A578D0"/>
    <w:rsid w:val="00A61AB6"/>
    <w:rsid w:val="00A61F56"/>
    <w:rsid w:val="00A6254C"/>
    <w:rsid w:val="00A6599C"/>
    <w:rsid w:val="00A65C4A"/>
    <w:rsid w:val="00A67233"/>
    <w:rsid w:val="00A7147D"/>
    <w:rsid w:val="00A7454D"/>
    <w:rsid w:val="00A74DA1"/>
    <w:rsid w:val="00A76C5A"/>
    <w:rsid w:val="00A8303C"/>
    <w:rsid w:val="00A84849"/>
    <w:rsid w:val="00A8696F"/>
    <w:rsid w:val="00A924E9"/>
    <w:rsid w:val="00A92510"/>
    <w:rsid w:val="00A9312A"/>
    <w:rsid w:val="00A94E59"/>
    <w:rsid w:val="00A9561C"/>
    <w:rsid w:val="00A97B06"/>
    <w:rsid w:val="00AA1A82"/>
    <w:rsid w:val="00AA2F64"/>
    <w:rsid w:val="00AA4340"/>
    <w:rsid w:val="00AA434E"/>
    <w:rsid w:val="00AA659B"/>
    <w:rsid w:val="00AA7501"/>
    <w:rsid w:val="00AA7E14"/>
    <w:rsid w:val="00AB0D6B"/>
    <w:rsid w:val="00AB1836"/>
    <w:rsid w:val="00AB1C99"/>
    <w:rsid w:val="00AB229E"/>
    <w:rsid w:val="00AB6801"/>
    <w:rsid w:val="00AB6FBA"/>
    <w:rsid w:val="00AB714F"/>
    <w:rsid w:val="00AB7582"/>
    <w:rsid w:val="00AC0AA2"/>
    <w:rsid w:val="00AC47C3"/>
    <w:rsid w:val="00AC4FB5"/>
    <w:rsid w:val="00AC69D9"/>
    <w:rsid w:val="00AC6D11"/>
    <w:rsid w:val="00AC6F57"/>
    <w:rsid w:val="00AC7E01"/>
    <w:rsid w:val="00AD04DB"/>
    <w:rsid w:val="00AD0EFE"/>
    <w:rsid w:val="00AD23F8"/>
    <w:rsid w:val="00AD3E55"/>
    <w:rsid w:val="00AD5CF3"/>
    <w:rsid w:val="00AD5F81"/>
    <w:rsid w:val="00AD6A96"/>
    <w:rsid w:val="00AE0C44"/>
    <w:rsid w:val="00AE1FFA"/>
    <w:rsid w:val="00AE27CD"/>
    <w:rsid w:val="00AE3A81"/>
    <w:rsid w:val="00AE3AA3"/>
    <w:rsid w:val="00AE3CCF"/>
    <w:rsid w:val="00AE5270"/>
    <w:rsid w:val="00AE5706"/>
    <w:rsid w:val="00AE780E"/>
    <w:rsid w:val="00AF0228"/>
    <w:rsid w:val="00AF0820"/>
    <w:rsid w:val="00AF0A40"/>
    <w:rsid w:val="00AF0F13"/>
    <w:rsid w:val="00AF166F"/>
    <w:rsid w:val="00AF24CD"/>
    <w:rsid w:val="00AF4457"/>
    <w:rsid w:val="00AF4DEB"/>
    <w:rsid w:val="00B01704"/>
    <w:rsid w:val="00B05228"/>
    <w:rsid w:val="00B11243"/>
    <w:rsid w:val="00B122AF"/>
    <w:rsid w:val="00B12AE4"/>
    <w:rsid w:val="00B1558B"/>
    <w:rsid w:val="00B17331"/>
    <w:rsid w:val="00B17B2B"/>
    <w:rsid w:val="00B211A0"/>
    <w:rsid w:val="00B238B3"/>
    <w:rsid w:val="00B26B20"/>
    <w:rsid w:val="00B27267"/>
    <w:rsid w:val="00B276ED"/>
    <w:rsid w:val="00B27F31"/>
    <w:rsid w:val="00B30189"/>
    <w:rsid w:val="00B31B79"/>
    <w:rsid w:val="00B3684F"/>
    <w:rsid w:val="00B406C2"/>
    <w:rsid w:val="00B421D6"/>
    <w:rsid w:val="00B463F7"/>
    <w:rsid w:val="00B46CC5"/>
    <w:rsid w:val="00B46F34"/>
    <w:rsid w:val="00B51622"/>
    <w:rsid w:val="00B51EB7"/>
    <w:rsid w:val="00B55A40"/>
    <w:rsid w:val="00B57044"/>
    <w:rsid w:val="00B5771E"/>
    <w:rsid w:val="00B57C65"/>
    <w:rsid w:val="00B57C67"/>
    <w:rsid w:val="00B63471"/>
    <w:rsid w:val="00B6386D"/>
    <w:rsid w:val="00B646D5"/>
    <w:rsid w:val="00B6512D"/>
    <w:rsid w:val="00B671D7"/>
    <w:rsid w:val="00B6767C"/>
    <w:rsid w:val="00B67F61"/>
    <w:rsid w:val="00B700C1"/>
    <w:rsid w:val="00B7212B"/>
    <w:rsid w:val="00B72996"/>
    <w:rsid w:val="00B73655"/>
    <w:rsid w:val="00B73AE3"/>
    <w:rsid w:val="00B757E6"/>
    <w:rsid w:val="00B83868"/>
    <w:rsid w:val="00B861A4"/>
    <w:rsid w:val="00B86F82"/>
    <w:rsid w:val="00B904BD"/>
    <w:rsid w:val="00B90CBA"/>
    <w:rsid w:val="00B91384"/>
    <w:rsid w:val="00B92E60"/>
    <w:rsid w:val="00B94705"/>
    <w:rsid w:val="00B96AAB"/>
    <w:rsid w:val="00B97E27"/>
    <w:rsid w:val="00BA3C97"/>
    <w:rsid w:val="00BA53B3"/>
    <w:rsid w:val="00BA6F13"/>
    <w:rsid w:val="00BB3799"/>
    <w:rsid w:val="00BB53E5"/>
    <w:rsid w:val="00BB7CCD"/>
    <w:rsid w:val="00BC0F9C"/>
    <w:rsid w:val="00BC1545"/>
    <w:rsid w:val="00BC1743"/>
    <w:rsid w:val="00BC1DD1"/>
    <w:rsid w:val="00BC301F"/>
    <w:rsid w:val="00BC48B1"/>
    <w:rsid w:val="00BC4EA7"/>
    <w:rsid w:val="00BC4F31"/>
    <w:rsid w:val="00BC6088"/>
    <w:rsid w:val="00BC7A63"/>
    <w:rsid w:val="00BC7F02"/>
    <w:rsid w:val="00BD11CC"/>
    <w:rsid w:val="00BD1F63"/>
    <w:rsid w:val="00BD2674"/>
    <w:rsid w:val="00BD3530"/>
    <w:rsid w:val="00BD50FD"/>
    <w:rsid w:val="00BD54A2"/>
    <w:rsid w:val="00BD57CA"/>
    <w:rsid w:val="00BD7813"/>
    <w:rsid w:val="00BD7C51"/>
    <w:rsid w:val="00BE3AE8"/>
    <w:rsid w:val="00BE4098"/>
    <w:rsid w:val="00BE5F07"/>
    <w:rsid w:val="00BF1275"/>
    <w:rsid w:val="00BF21E7"/>
    <w:rsid w:val="00BF4E02"/>
    <w:rsid w:val="00BF54DC"/>
    <w:rsid w:val="00BF5E46"/>
    <w:rsid w:val="00BF5ED8"/>
    <w:rsid w:val="00BF60F5"/>
    <w:rsid w:val="00BF69A1"/>
    <w:rsid w:val="00C02011"/>
    <w:rsid w:val="00C0208A"/>
    <w:rsid w:val="00C0259C"/>
    <w:rsid w:val="00C0447D"/>
    <w:rsid w:val="00C04ACF"/>
    <w:rsid w:val="00C04C66"/>
    <w:rsid w:val="00C1154C"/>
    <w:rsid w:val="00C12D5D"/>
    <w:rsid w:val="00C17309"/>
    <w:rsid w:val="00C209E0"/>
    <w:rsid w:val="00C21594"/>
    <w:rsid w:val="00C23872"/>
    <w:rsid w:val="00C2387B"/>
    <w:rsid w:val="00C252C2"/>
    <w:rsid w:val="00C304B9"/>
    <w:rsid w:val="00C31189"/>
    <w:rsid w:val="00C32FAA"/>
    <w:rsid w:val="00C359B1"/>
    <w:rsid w:val="00C36453"/>
    <w:rsid w:val="00C37C27"/>
    <w:rsid w:val="00C414D9"/>
    <w:rsid w:val="00C4273E"/>
    <w:rsid w:val="00C4494B"/>
    <w:rsid w:val="00C4686B"/>
    <w:rsid w:val="00C46D3E"/>
    <w:rsid w:val="00C521EE"/>
    <w:rsid w:val="00C562E1"/>
    <w:rsid w:val="00C57712"/>
    <w:rsid w:val="00C578FF"/>
    <w:rsid w:val="00C57BC6"/>
    <w:rsid w:val="00C605C6"/>
    <w:rsid w:val="00C618F6"/>
    <w:rsid w:val="00C62367"/>
    <w:rsid w:val="00C63714"/>
    <w:rsid w:val="00C65E0B"/>
    <w:rsid w:val="00C70E80"/>
    <w:rsid w:val="00C71559"/>
    <w:rsid w:val="00C71FD6"/>
    <w:rsid w:val="00C72A25"/>
    <w:rsid w:val="00C73D8F"/>
    <w:rsid w:val="00C74618"/>
    <w:rsid w:val="00C749BB"/>
    <w:rsid w:val="00C75804"/>
    <w:rsid w:val="00C824A4"/>
    <w:rsid w:val="00C85F04"/>
    <w:rsid w:val="00C863EC"/>
    <w:rsid w:val="00C864C4"/>
    <w:rsid w:val="00C86E76"/>
    <w:rsid w:val="00C871D0"/>
    <w:rsid w:val="00C9183E"/>
    <w:rsid w:val="00C92327"/>
    <w:rsid w:val="00C9258C"/>
    <w:rsid w:val="00C94DE7"/>
    <w:rsid w:val="00C94EA0"/>
    <w:rsid w:val="00C9553E"/>
    <w:rsid w:val="00C95573"/>
    <w:rsid w:val="00C95AF1"/>
    <w:rsid w:val="00C95CCC"/>
    <w:rsid w:val="00C9754F"/>
    <w:rsid w:val="00C97757"/>
    <w:rsid w:val="00C97B5F"/>
    <w:rsid w:val="00CA2E68"/>
    <w:rsid w:val="00CA42F9"/>
    <w:rsid w:val="00CA6476"/>
    <w:rsid w:val="00CA6D7B"/>
    <w:rsid w:val="00CA7E2F"/>
    <w:rsid w:val="00CB0E3B"/>
    <w:rsid w:val="00CB1C6F"/>
    <w:rsid w:val="00CB3E6E"/>
    <w:rsid w:val="00CB45E5"/>
    <w:rsid w:val="00CB4924"/>
    <w:rsid w:val="00CB6210"/>
    <w:rsid w:val="00CB629F"/>
    <w:rsid w:val="00CB7C70"/>
    <w:rsid w:val="00CC0220"/>
    <w:rsid w:val="00CC5D1D"/>
    <w:rsid w:val="00CC63A2"/>
    <w:rsid w:val="00CD2AA3"/>
    <w:rsid w:val="00CD39D0"/>
    <w:rsid w:val="00CD3BBA"/>
    <w:rsid w:val="00CD74C2"/>
    <w:rsid w:val="00CD77B5"/>
    <w:rsid w:val="00CD7B96"/>
    <w:rsid w:val="00CE233B"/>
    <w:rsid w:val="00CE3992"/>
    <w:rsid w:val="00CE4B32"/>
    <w:rsid w:val="00CE63C1"/>
    <w:rsid w:val="00CE74E8"/>
    <w:rsid w:val="00CF103D"/>
    <w:rsid w:val="00CF2045"/>
    <w:rsid w:val="00CF2A94"/>
    <w:rsid w:val="00CF5AA3"/>
    <w:rsid w:val="00CF6854"/>
    <w:rsid w:val="00CF744C"/>
    <w:rsid w:val="00CF7CA3"/>
    <w:rsid w:val="00D0383A"/>
    <w:rsid w:val="00D06B78"/>
    <w:rsid w:val="00D079F1"/>
    <w:rsid w:val="00D10138"/>
    <w:rsid w:val="00D103FC"/>
    <w:rsid w:val="00D1041B"/>
    <w:rsid w:val="00D10AB6"/>
    <w:rsid w:val="00D11011"/>
    <w:rsid w:val="00D12793"/>
    <w:rsid w:val="00D12E8D"/>
    <w:rsid w:val="00D13287"/>
    <w:rsid w:val="00D1342A"/>
    <w:rsid w:val="00D13D9B"/>
    <w:rsid w:val="00D168C5"/>
    <w:rsid w:val="00D20D73"/>
    <w:rsid w:val="00D231DD"/>
    <w:rsid w:val="00D23336"/>
    <w:rsid w:val="00D23576"/>
    <w:rsid w:val="00D239E9"/>
    <w:rsid w:val="00D2411E"/>
    <w:rsid w:val="00D24C3E"/>
    <w:rsid w:val="00D24D72"/>
    <w:rsid w:val="00D25579"/>
    <w:rsid w:val="00D31CF9"/>
    <w:rsid w:val="00D33616"/>
    <w:rsid w:val="00D35D87"/>
    <w:rsid w:val="00D36B56"/>
    <w:rsid w:val="00D3710A"/>
    <w:rsid w:val="00D37A40"/>
    <w:rsid w:val="00D40210"/>
    <w:rsid w:val="00D41336"/>
    <w:rsid w:val="00D418EE"/>
    <w:rsid w:val="00D43F4B"/>
    <w:rsid w:val="00D440CD"/>
    <w:rsid w:val="00D44BC6"/>
    <w:rsid w:val="00D450D6"/>
    <w:rsid w:val="00D45D8B"/>
    <w:rsid w:val="00D47519"/>
    <w:rsid w:val="00D50161"/>
    <w:rsid w:val="00D50648"/>
    <w:rsid w:val="00D50942"/>
    <w:rsid w:val="00D50DC1"/>
    <w:rsid w:val="00D51DB2"/>
    <w:rsid w:val="00D606A5"/>
    <w:rsid w:val="00D606B9"/>
    <w:rsid w:val="00D61C06"/>
    <w:rsid w:val="00D62362"/>
    <w:rsid w:val="00D632E0"/>
    <w:rsid w:val="00D661C4"/>
    <w:rsid w:val="00D661F7"/>
    <w:rsid w:val="00D70351"/>
    <w:rsid w:val="00D710B8"/>
    <w:rsid w:val="00D71CF1"/>
    <w:rsid w:val="00D73283"/>
    <w:rsid w:val="00D733B3"/>
    <w:rsid w:val="00D74F8D"/>
    <w:rsid w:val="00D75A7A"/>
    <w:rsid w:val="00D76020"/>
    <w:rsid w:val="00D7683B"/>
    <w:rsid w:val="00D76854"/>
    <w:rsid w:val="00D772A3"/>
    <w:rsid w:val="00D80EF1"/>
    <w:rsid w:val="00D834E2"/>
    <w:rsid w:val="00D866B9"/>
    <w:rsid w:val="00D867BC"/>
    <w:rsid w:val="00D90D93"/>
    <w:rsid w:val="00D9109C"/>
    <w:rsid w:val="00D917E4"/>
    <w:rsid w:val="00D918DC"/>
    <w:rsid w:val="00D93913"/>
    <w:rsid w:val="00D963BE"/>
    <w:rsid w:val="00D968D6"/>
    <w:rsid w:val="00D97376"/>
    <w:rsid w:val="00D97448"/>
    <w:rsid w:val="00DA0BA9"/>
    <w:rsid w:val="00DA237C"/>
    <w:rsid w:val="00DA2E77"/>
    <w:rsid w:val="00DA3C95"/>
    <w:rsid w:val="00DA4E91"/>
    <w:rsid w:val="00DA626D"/>
    <w:rsid w:val="00DA67CD"/>
    <w:rsid w:val="00DB181C"/>
    <w:rsid w:val="00DB2FD2"/>
    <w:rsid w:val="00DB67E3"/>
    <w:rsid w:val="00DB784C"/>
    <w:rsid w:val="00DC1DDD"/>
    <w:rsid w:val="00DC49EF"/>
    <w:rsid w:val="00DC6D34"/>
    <w:rsid w:val="00DD17C3"/>
    <w:rsid w:val="00DD4701"/>
    <w:rsid w:val="00DD52E3"/>
    <w:rsid w:val="00DE1B12"/>
    <w:rsid w:val="00DE2E88"/>
    <w:rsid w:val="00DE4DD3"/>
    <w:rsid w:val="00DE7456"/>
    <w:rsid w:val="00DF0439"/>
    <w:rsid w:val="00DF102F"/>
    <w:rsid w:val="00DF262C"/>
    <w:rsid w:val="00DF2E6C"/>
    <w:rsid w:val="00DF3E94"/>
    <w:rsid w:val="00DF5555"/>
    <w:rsid w:val="00DF5753"/>
    <w:rsid w:val="00DF5E82"/>
    <w:rsid w:val="00DF66CC"/>
    <w:rsid w:val="00DF7433"/>
    <w:rsid w:val="00DF7EF1"/>
    <w:rsid w:val="00E007EA"/>
    <w:rsid w:val="00E02C82"/>
    <w:rsid w:val="00E04D9C"/>
    <w:rsid w:val="00E060BB"/>
    <w:rsid w:val="00E063F9"/>
    <w:rsid w:val="00E06EC6"/>
    <w:rsid w:val="00E105EF"/>
    <w:rsid w:val="00E119B4"/>
    <w:rsid w:val="00E12C29"/>
    <w:rsid w:val="00E13C71"/>
    <w:rsid w:val="00E140BD"/>
    <w:rsid w:val="00E21BD7"/>
    <w:rsid w:val="00E22CEA"/>
    <w:rsid w:val="00E23C36"/>
    <w:rsid w:val="00E26EDA"/>
    <w:rsid w:val="00E3132A"/>
    <w:rsid w:val="00E32639"/>
    <w:rsid w:val="00E328B3"/>
    <w:rsid w:val="00E3347F"/>
    <w:rsid w:val="00E33F93"/>
    <w:rsid w:val="00E35D80"/>
    <w:rsid w:val="00E379B1"/>
    <w:rsid w:val="00E403F9"/>
    <w:rsid w:val="00E41145"/>
    <w:rsid w:val="00E4478E"/>
    <w:rsid w:val="00E44BF5"/>
    <w:rsid w:val="00E45BDA"/>
    <w:rsid w:val="00E4799F"/>
    <w:rsid w:val="00E50BE1"/>
    <w:rsid w:val="00E5148B"/>
    <w:rsid w:val="00E53AD7"/>
    <w:rsid w:val="00E54611"/>
    <w:rsid w:val="00E54B19"/>
    <w:rsid w:val="00E6115E"/>
    <w:rsid w:val="00E61648"/>
    <w:rsid w:val="00E62755"/>
    <w:rsid w:val="00E63203"/>
    <w:rsid w:val="00E654E1"/>
    <w:rsid w:val="00E665B8"/>
    <w:rsid w:val="00E70552"/>
    <w:rsid w:val="00E705EE"/>
    <w:rsid w:val="00E710BA"/>
    <w:rsid w:val="00E73FD4"/>
    <w:rsid w:val="00E75958"/>
    <w:rsid w:val="00E76071"/>
    <w:rsid w:val="00E7734D"/>
    <w:rsid w:val="00E835AA"/>
    <w:rsid w:val="00E8403A"/>
    <w:rsid w:val="00E847D6"/>
    <w:rsid w:val="00E84D0C"/>
    <w:rsid w:val="00E86E19"/>
    <w:rsid w:val="00E90E4C"/>
    <w:rsid w:val="00E90F09"/>
    <w:rsid w:val="00E9251E"/>
    <w:rsid w:val="00E92B28"/>
    <w:rsid w:val="00E94844"/>
    <w:rsid w:val="00E94EA2"/>
    <w:rsid w:val="00E94FCC"/>
    <w:rsid w:val="00E95554"/>
    <w:rsid w:val="00E96162"/>
    <w:rsid w:val="00E9637C"/>
    <w:rsid w:val="00E9638A"/>
    <w:rsid w:val="00E97056"/>
    <w:rsid w:val="00EA0BC9"/>
    <w:rsid w:val="00EA172C"/>
    <w:rsid w:val="00EA3AFE"/>
    <w:rsid w:val="00EA3CA0"/>
    <w:rsid w:val="00EA581C"/>
    <w:rsid w:val="00EA5A3A"/>
    <w:rsid w:val="00EA5E36"/>
    <w:rsid w:val="00EA7864"/>
    <w:rsid w:val="00EA7B4D"/>
    <w:rsid w:val="00EB007F"/>
    <w:rsid w:val="00EB0154"/>
    <w:rsid w:val="00EB1346"/>
    <w:rsid w:val="00EB17C6"/>
    <w:rsid w:val="00EB1868"/>
    <w:rsid w:val="00EB4543"/>
    <w:rsid w:val="00EB4681"/>
    <w:rsid w:val="00EB47B1"/>
    <w:rsid w:val="00EB48BC"/>
    <w:rsid w:val="00EC285D"/>
    <w:rsid w:val="00EC32AA"/>
    <w:rsid w:val="00EC4CA9"/>
    <w:rsid w:val="00EC5ED4"/>
    <w:rsid w:val="00EC7EED"/>
    <w:rsid w:val="00ED2994"/>
    <w:rsid w:val="00ED3BB9"/>
    <w:rsid w:val="00ED46CD"/>
    <w:rsid w:val="00ED738C"/>
    <w:rsid w:val="00ED751C"/>
    <w:rsid w:val="00EE1528"/>
    <w:rsid w:val="00EE6154"/>
    <w:rsid w:val="00EE66F0"/>
    <w:rsid w:val="00EE6D63"/>
    <w:rsid w:val="00EE7012"/>
    <w:rsid w:val="00EE78D6"/>
    <w:rsid w:val="00EF452E"/>
    <w:rsid w:val="00EF67CA"/>
    <w:rsid w:val="00EF6CBB"/>
    <w:rsid w:val="00F04440"/>
    <w:rsid w:val="00F04740"/>
    <w:rsid w:val="00F062E7"/>
    <w:rsid w:val="00F06809"/>
    <w:rsid w:val="00F07574"/>
    <w:rsid w:val="00F07714"/>
    <w:rsid w:val="00F07A83"/>
    <w:rsid w:val="00F12F26"/>
    <w:rsid w:val="00F138F1"/>
    <w:rsid w:val="00F16FFC"/>
    <w:rsid w:val="00F24B4A"/>
    <w:rsid w:val="00F27EC8"/>
    <w:rsid w:val="00F30D0E"/>
    <w:rsid w:val="00F30E18"/>
    <w:rsid w:val="00F3108E"/>
    <w:rsid w:val="00F31BD1"/>
    <w:rsid w:val="00F34562"/>
    <w:rsid w:val="00F3582B"/>
    <w:rsid w:val="00F41C96"/>
    <w:rsid w:val="00F423EA"/>
    <w:rsid w:val="00F4460E"/>
    <w:rsid w:val="00F470FB"/>
    <w:rsid w:val="00F47B8A"/>
    <w:rsid w:val="00F52951"/>
    <w:rsid w:val="00F5335F"/>
    <w:rsid w:val="00F54182"/>
    <w:rsid w:val="00F54AAD"/>
    <w:rsid w:val="00F56D7C"/>
    <w:rsid w:val="00F618F8"/>
    <w:rsid w:val="00F62A5A"/>
    <w:rsid w:val="00F6340B"/>
    <w:rsid w:val="00F6362B"/>
    <w:rsid w:val="00F63D31"/>
    <w:rsid w:val="00F643D8"/>
    <w:rsid w:val="00F65447"/>
    <w:rsid w:val="00F66EF3"/>
    <w:rsid w:val="00F70430"/>
    <w:rsid w:val="00F70781"/>
    <w:rsid w:val="00F70B7C"/>
    <w:rsid w:val="00F7171D"/>
    <w:rsid w:val="00F736EF"/>
    <w:rsid w:val="00F740DC"/>
    <w:rsid w:val="00F74B68"/>
    <w:rsid w:val="00F75023"/>
    <w:rsid w:val="00F7659F"/>
    <w:rsid w:val="00F7700A"/>
    <w:rsid w:val="00F777ED"/>
    <w:rsid w:val="00F819B1"/>
    <w:rsid w:val="00F90272"/>
    <w:rsid w:val="00F91408"/>
    <w:rsid w:val="00F93945"/>
    <w:rsid w:val="00F94668"/>
    <w:rsid w:val="00F95245"/>
    <w:rsid w:val="00F96132"/>
    <w:rsid w:val="00F97225"/>
    <w:rsid w:val="00F9736C"/>
    <w:rsid w:val="00FA1E45"/>
    <w:rsid w:val="00FA1F4A"/>
    <w:rsid w:val="00FA2F58"/>
    <w:rsid w:val="00FA4999"/>
    <w:rsid w:val="00FA4B07"/>
    <w:rsid w:val="00FA4D9F"/>
    <w:rsid w:val="00FA6565"/>
    <w:rsid w:val="00FA6C3F"/>
    <w:rsid w:val="00FB0509"/>
    <w:rsid w:val="00FB1BEE"/>
    <w:rsid w:val="00FB20E5"/>
    <w:rsid w:val="00FB28F2"/>
    <w:rsid w:val="00FB2BDB"/>
    <w:rsid w:val="00FB3EC5"/>
    <w:rsid w:val="00FB6BD3"/>
    <w:rsid w:val="00FC0DF7"/>
    <w:rsid w:val="00FC1A3E"/>
    <w:rsid w:val="00FD27E3"/>
    <w:rsid w:val="00FD2B0C"/>
    <w:rsid w:val="00FD4096"/>
    <w:rsid w:val="00FD6D3D"/>
    <w:rsid w:val="00FD71F5"/>
    <w:rsid w:val="00FE0256"/>
    <w:rsid w:val="00FE0334"/>
    <w:rsid w:val="00FE03B4"/>
    <w:rsid w:val="00FE2028"/>
    <w:rsid w:val="00FE29AB"/>
    <w:rsid w:val="00FE4182"/>
    <w:rsid w:val="00FE42C2"/>
    <w:rsid w:val="00FF0D4B"/>
    <w:rsid w:val="00FF1ECA"/>
    <w:rsid w:val="00FF3C97"/>
    <w:rsid w:val="00FF3EA1"/>
    <w:rsid w:val="00FF5F13"/>
    <w:rsid w:val="00FF6EA4"/>
    <w:rsid w:val="00FF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AA2"/>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6"/>
      </w:numPr>
      <w:tabs>
        <w:tab w:val="left" w:pos="0"/>
        <w:tab w:val="left" w:pos="86"/>
      </w:tabs>
      <w:spacing w:before="120" w:after="120"/>
      <w:ind w:left="7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9"/>
    <w:basedOn w:val="Normal"/>
    <w:link w:val="FootnoteTextChar"/>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rsid w:val="00ED751C"/>
    <w:pPr>
      <w:tabs>
        <w:tab w:val="center" w:pos="4320"/>
        <w:tab w:val="right" w:pos="8640"/>
      </w:tabs>
    </w:pPr>
  </w:style>
  <w:style w:type="character" w:customStyle="1" w:styleId="HeaderChar">
    <w:name w:val="Header Char"/>
    <w:basedOn w:val="DefaultParagraphFont"/>
    <w:link w:val="Header"/>
    <w:uiPriority w:val="99"/>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19"/>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rsid w:val="00EB0154"/>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rsid w:val="00EB0154"/>
    <w:pPr>
      <w:numPr>
        <w:ilvl w:val="3"/>
      </w:numPr>
      <w:tabs>
        <w:tab w:val="clear" w:pos="2736"/>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fr"/>
    <w:basedOn w:val="DefaultParagraphFont"/>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sid w:val="00960179"/>
    <w:rPr>
      <w:rFonts w:ascii="Times New Roman" w:eastAsia="Times New Roman" w:hAnsi="Times New Roman"/>
      <w:spacing w:val="-3"/>
    </w:rPr>
  </w:style>
  <w:style w:type="character" w:customStyle="1" w:styleId="ParagraphChar">
    <w:name w:val="Paragraph Char"/>
    <w:basedOn w:val="BodyTextIndentChar"/>
    <w:link w:val="Paragraph"/>
    <w:rsid w:val="0096017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sid w:val="00960179"/>
    <w:rPr>
      <w:rFonts w:ascii="Tahoma" w:eastAsia="Times New Roman" w:hAnsi="Tahoma" w:cs="Tahoma"/>
      <w:sz w:val="16"/>
      <w:szCs w:val="16"/>
    </w:rPr>
  </w:style>
  <w:style w:type="character" w:styleId="CommentReference">
    <w:name w:val="annotation reference"/>
    <w:basedOn w:val="DefaultParagraphFont"/>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semiHidden/>
    <w:unhideWhenUsed/>
    <w:rsid w:val="009E4DD5"/>
    <w:rPr>
      <w:sz w:val="20"/>
    </w:rPr>
  </w:style>
  <w:style w:type="character" w:customStyle="1" w:styleId="CommentTextChar">
    <w:name w:val="Comment Text Char"/>
    <w:basedOn w:val="DefaultParagraphFont"/>
    <w:link w:val="CommentText"/>
    <w:uiPriority w:val="99"/>
    <w:semiHidden/>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basedOn w:val="CommentText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styleId="NoSpacing">
    <w:name w:val="No Spacing"/>
    <w:uiPriority w:val="1"/>
    <w:qFormat/>
    <w:rsid w:val="004327ED"/>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483D73"/>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D75A7A"/>
    <w:rPr>
      <w:color w:val="800080" w:themeColor="followedHyperlink"/>
      <w:u w:val="single"/>
    </w:rPr>
  </w:style>
  <w:style w:type="table" w:customStyle="1" w:styleId="TableGrid1">
    <w:name w:val="Table Grid1"/>
    <w:basedOn w:val="TableNormal"/>
    <w:next w:val="TableGrid"/>
    <w:uiPriority w:val="59"/>
    <w:rsid w:val="00C4494B"/>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F9736C"/>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B561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AA2"/>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6"/>
      </w:numPr>
      <w:tabs>
        <w:tab w:val="left" w:pos="0"/>
        <w:tab w:val="left" w:pos="86"/>
      </w:tabs>
      <w:spacing w:before="120" w:after="120"/>
      <w:ind w:left="7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9"/>
    <w:basedOn w:val="Normal"/>
    <w:link w:val="FootnoteTextChar"/>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rsid w:val="00ED751C"/>
    <w:pPr>
      <w:tabs>
        <w:tab w:val="center" w:pos="4320"/>
        <w:tab w:val="right" w:pos="8640"/>
      </w:tabs>
    </w:pPr>
  </w:style>
  <w:style w:type="character" w:customStyle="1" w:styleId="HeaderChar">
    <w:name w:val="Header Char"/>
    <w:basedOn w:val="DefaultParagraphFont"/>
    <w:link w:val="Header"/>
    <w:uiPriority w:val="99"/>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19"/>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rsid w:val="00EB0154"/>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rsid w:val="00EB0154"/>
    <w:pPr>
      <w:numPr>
        <w:ilvl w:val="3"/>
      </w:numPr>
      <w:tabs>
        <w:tab w:val="clear" w:pos="2736"/>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fr"/>
    <w:basedOn w:val="DefaultParagraphFont"/>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sid w:val="00960179"/>
    <w:rPr>
      <w:rFonts w:ascii="Times New Roman" w:eastAsia="Times New Roman" w:hAnsi="Times New Roman"/>
      <w:spacing w:val="-3"/>
    </w:rPr>
  </w:style>
  <w:style w:type="character" w:customStyle="1" w:styleId="ParagraphChar">
    <w:name w:val="Paragraph Char"/>
    <w:basedOn w:val="BodyTextIndentChar"/>
    <w:link w:val="Paragraph"/>
    <w:rsid w:val="0096017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sid w:val="00960179"/>
    <w:rPr>
      <w:rFonts w:ascii="Tahoma" w:eastAsia="Times New Roman" w:hAnsi="Tahoma" w:cs="Tahoma"/>
      <w:sz w:val="16"/>
      <w:szCs w:val="16"/>
    </w:rPr>
  </w:style>
  <w:style w:type="character" w:styleId="CommentReference">
    <w:name w:val="annotation reference"/>
    <w:basedOn w:val="DefaultParagraphFont"/>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semiHidden/>
    <w:unhideWhenUsed/>
    <w:rsid w:val="009E4DD5"/>
    <w:rPr>
      <w:sz w:val="20"/>
    </w:rPr>
  </w:style>
  <w:style w:type="character" w:customStyle="1" w:styleId="CommentTextChar">
    <w:name w:val="Comment Text Char"/>
    <w:basedOn w:val="DefaultParagraphFont"/>
    <w:link w:val="CommentText"/>
    <w:uiPriority w:val="99"/>
    <w:semiHidden/>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basedOn w:val="CommentText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styleId="NoSpacing">
    <w:name w:val="No Spacing"/>
    <w:uiPriority w:val="1"/>
    <w:qFormat/>
    <w:rsid w:val="004327ED"/>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483D73"/>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D75A7A"/>
    <w:rPr>
      <w:color w:val="800080" w:themeColor="followedHyperlink"/>
      <w:u w:val="single"/>
    </w:rPr>
  </w:style>
  <w:style w:type="table" w:customStyle="1" w:styleId="TableGrid1">
    <w:name w:val="Table Grid1"/>
    <w:basedOn w:val="TableNormal"/>
    <w:next w:val="TableGrid"/>
    <w:uiPriority w:val="59"/>
    <w:rsid w:val="00C4494B"/>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F9736C"/>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B561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portal.sat.gob.gt/sitio/index.php/estadisticas/47-estadicas-tributarias/7880-boletin-estadistico.html" TargetMode="External"/><Relationship Id="rId26" Type="http://schemas.openxmlformats.org/officeDocument/2006/relationships/hyperlink" Target="https://index.baselgovernance.org/sites/index/documents/Basel_AML_Index_Report_2015.pdf" TargetMode="External"/><Relationship Id="rId39" Type="http://schemas.openxmlformats.org/officeDocument/2006/relationships/theme" Target="theme/theme1.xml"/><Relationship Id="rId21" Type="http://schemas.openxmlformats.org/officeDocument/2006/relationships/hyperlink" Target="http://www.gfintegrity.org/report/illicit-financial-flows-from-developing-countries-2004-2013/" TargetMode="External"/><Relationship Id="rId34" Type="http://schemas.openxmlformats.org/officeDocument/2006/relationships/hyperlink" Target="http://idbdocs.iadb.org/wsdocs/getDocument.aspx?DOCNUM=40338785" TargetMode="External"/><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index.baselgovernance.org/sites/index/documents/Basel_AML_Index_Report_2015.pdf" TargetMode="External"/><Relationship Id="rId20" Type="http://schemas.openxmlformats.org/officeDocument/2006/relationships/hyperlink" Target="http://idbdocs.iadb.org/wsdocs/getDocument.aspx?DOCNUM=40338785" TargetMode="External"/><Relationship Id="rId29" Type="http://schemas.openxmlformats.org/officeDocument/2006/relationships/hyperlink" Target="mailto:carloscp@iadb.org"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financialsecrecyindex.com/PDF/Guatemala.pdf" TargetMode="External"/><Relationship Id="rId32" Type="http://schemas.openxmlformats.org/officeDocument/2006/relationships/header" Target="header6.xml"/><Relationship Id="rId37" Type="http://schemas.openxmlformats.org/officeDocument/2006/relationships/header" Target="header8.xml"/><Relationship Id="rId40"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idbdocs.iadb.org/wsdocs/getDocument.aspx?DOCNUM=40338785" TargetMode="External"/><Relationship Id="rId23" Type="http://schemas.openxmlformats.org/officeDocument/2006/relationships/hyperlink" Target="http://idbdocs.iadb.org/wsdocs/getDocument.aspx?DOCNUM=40380952" TargetMode="External"/><Relationship Id="rId28" Type="http://schemas.openxmlformats.org/officeDocument/2006/relationships/hyperlink" Target="mailto:carloscp@iadb.org" TargetMode="External"/><Relationship Id="rId36"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idbdocs.iadb.org/wsdocs/getDocument.aspx?DOCNUM=40327795" TargetMode="External"/><Relationship Id="rId31" Type="http://schemas.openxmlformats.org/officeDocument/2006/relationships/header" Target="header5.xml"/><Relationship Id="rId44"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index.baselgovernance.org/sites/index/documents/Basel_AML_Index_Report_2015.pdf" TargetMode="External"/><Relationship Id="rId22" Type="http://schemas.openxmlformats.org/officeDocument/2006/relationships/hyperlink" Target="https://www.moodys.com/" TargetMode="External"/><Relationship Id="rId27" Type="http://schemas.openxmlformats.org/officeDocument/2006/relationships/hyperlink" Target="mailto:carloscp@iadb.org" TargetMode="External"/><Relationship Id="rId30" Type="http://schemas.openxmlformats.org/officeDocument/2006/relationships/header" Target="header4.xml"/><Relationship Id="rId35" Type="http://schemas.openxmlformats.org/officeDocument/2006/relationships/hyperlink" Target="file:///D:\DATA.IDB\ICF\Revisi&#243;n%20de%20documentos\Documentos%20de%20los%20proyectos\Propuestas%20de%20operaciones\GU-L1096\Post-QRR\Versi&#243;n%20del%202016-08-09\Global%20Financial%20Integrity" TargetMode="External"/><Relationship Id="rId43"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idbdocs.iadb.org/wsdocs/getDocument.aspx?DOCNUM=40327795" TargetMode="External"/><Relationship Id="rId25" Type="http://schemas.openxmlformats.org/officeDocument/2006/relationships/hyperlink" Target="https://index.baselgovernance.org/sites/index/documents/Basel_AML_Index_Report_2015.pdf" TargetMode="External"/><Relationship Id="rId33" Type="http://schemas.openxmlformats.org/officeDocument/2006/relationships/hyperlink" Target="https://index.baselgovernance.org/sites/index/documents/Basel_AML_Index_Report_2015.pdf"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F92AADE598F143A0AAB57455B6AC05" ma:contentTypeVersion="0" ma:contentTypeDescription="A content type to manage public (operations) IDB documents" ma:contentTypeScope="" ma:versionID="bb13e1c2ac9c0cba80c715b8fab2b9a6">
  <xsd:schema xmlns:xsd="http://www.w3.org/2001/XMLSchema" xmlns:xs="http://www.w3.org/2001/XMLSchema" xmlns:p="http://schemas.microsoft.com/office/2006/metadata/properties" xmlns:ns2="9c571b2f-e523-4ab2-ba2e-09e151a03ef4" targetNamespace="http://schemas.microsoft.com/office/2006/metadata/properties" ma:root="true" ma:fieldsID="5ab96410b6bc34f3c1dd89d1a45f6f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1badd0-c5d6-441e-9ffc-2198742fc76f}" ma:internalName="TaxCatchAll" ma:showField="CatchAllData"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1badd0-c5d6-441e-9ffc-2198742fc76f}" ma:internalName="TaxCatchAllLabel" ma:readOnly="true" ma:showField="CatchAllDataLabel"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40381218</IDBDocs_x0020_Number>
    <Document_x0020_Author xmlns="9c571b2f-e523-4ab2-ba2e-09e151a03ef4">Pimenta, Carlos Cesar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GU-L1096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364F327-4D4B-4525-9065-565C885E6E80}"/>
</file>

<file path=customXml/itemProps2.xml><?xml version="1.0" encoding="utf-8"?>
<ds:datastoreItem xmlns:ds="http://schemas.openxmlformats.org/officeDocument/2006/customXml" ds:itemID="{A146846C-6C99-4799-883A-083620CEF843}"/>
</file>

<file path=customXml/itemProps3.xml><?xml version="1.0" encoding="utf-8"?>
<ds:datastoreItem xmlns:ds="http://schemas.openxmlformats.org/officeDocument/2006/customXml" ds:itemID="{731C69E5-159F-4E2A-BA73-0B8433A67974}"/>
</file>

<file path=customXml/itemProps4.xml><?xml version="1.0" encoding="utf-8"?>
<ds:datastoreItem xmlns:ds="http://schemas.openxmlformats.org/officeDocument/2006/customXml" ds:itemID="{004E29BF-1A0F-461F-BAF4-89397A642066}"/>
</file>

<file path=customXml/itemProps5.xml><?xml version="1.0" encoding="utf-8"?>
<ds:datastoreItem xmlns:ds="http://schemas.openxmlformats.org/officeDocument/2006/customXml" ds:itemID="{55DE5B68-3AF2-44D7-932A-B0575C442F2B}"/>
</file>

<file path=customXml/itemProps6.xml><?xml version="1.0" encoding="utf-8"?>
<ds:datastoreItem xmlns:ds="http://schemas.openxmlformats.org/officeDocument/2006/customXml" ds:itemID="{30F1BDF2-B900-47F2-AB49-7638840A58DC}"/>
</file>

<file path=docProps/app.xml><?xml version="1.0" encoding="utf-8"?>
<Properties xmlns="http://schemas.openxmlformats.org/officeDocument/2006/extended-properties" xmlns:vt="http://schemas.openxmlformats.org/officeDocument/2006/docPropsVTypes">
  <Template>Normal.dotm</Template>
  <TotalTime>0</TotalTime>
  <Pages>39</Pages>
  <Words>11995</Words>
  <Characters>68377</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EEO_2 - Plan de Monitoreo y Evaluación (GU-L1096)</dc:title>
  <dc:creator>claudiacox</dc:creator>
  <cp:lastModifiedBy>IADB</cp:lastModifiedBy>
  <cp:revision>2</cp:revision>
  <cp:lastPrinted>2016-07-11T13:26:00Z</cp:lastPrinted>
  <dcterms:created xsi:type="dcterms:W3CDTF">2016-10-03T20:06:00Z</dcterms:created>
  <dcterms:modified xsi:type="dcterms:W3CDTF">2016-10-03T20:06:00Z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0x01010046CF21643EE8D14686A648AA6DAD089200B7F92AADE598F143A0AAB57455B6AC05</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