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2AAB" w:rsidRPr="00454F6C" w:rsidRDefault="00F12AAB" w:rsidP="00F12AAB">
      <w:pPr>
        <w:jc w:val="center"/>
        <w:rPr>
          <w:b/>
          <w:sz w:val="24"/>
          <w:szCs w:val="24"/>
          <w:lang w:val="es-UY"/>
        </w:rPr>
      </w:pPr>
      <w:r>
        <w:rPr>
          <w:b/>
          <w:sz w:val="24"/>
          <w:szCs w:val="24"/>
          <w:lang w:val="es-UY"/>
        </w:rPr>
        <w:t>CARACTERIZACIÓN DEL SECTOR</w:t>
      </w:r>
      <w:r w:rsidR="00AF2A13">
        <w:rPr>
          <w:b/>
          <w:sz w:val="24"/>
          <w:szCs w:val="24"/>
          <w:lang w:val="es-UY"/>
        </w:rPr>
        <w:t xml:space="preserve"> DE SERVICIOS Y BIENES INTENSIVOS EN CONOCIMIENTO EN URUGUAY</w:t>
      </w:r>
    </w:p>
    <w:p w:rsidR="00172937" w:rsidRPr="00172937" w:rsidRDefault="00172937" w:rsidP="00172937">
      <w:pPr>
        <w:tabs>
          <w:tab w:val="left" w:pos="6180"/>
        </w:tabs>
        <w:jc w:val="center"/>
        <w:rPr>
          <w:b/>
          <w:sz w:val="24"/>
          <w:szCs w:val="24"/>
          <w:lang w:val="es-UY"/>
        </w:rPr>
      </w:pPr>
      <w:r w:rsidRPr="00172937">
        <w:rPr>
          <w:b/>
          <w:sz w:val="24"/>
          <w:szCs w:val="24"/>
          <w:lang w:val="es-UY"/>
        </w:rPr>
        <w:t>SI</w:t>
      </w:r>
      <w:r>
        <w:rPr>
          <w:b/>
          <w:sz w:val="24"/>
          <w:szCs w:val="24"/>
          <w:lang w:val="es-UY"/>
        </w:rPr>
        <w:t>N</w:t>
      </w:r>
      <w:r w:rsidRPr="00172937">
        <w:rPr>
          <w:b/>
          <w:sz w:val="24"/>
          <w:szCs w:val="24"/>
          <w:lang w:val="es-UY"/>
        </w:rPr>
        <w:t>TESIS EJECUTIVA</w:t>
      </w:r>
    </w:p>
    <w:p w:rsidR="004D663B" w:rsidRDefault="00172937" w:rsidP="00DE0AC5">
      <w:pPr>
        <w:tabs>
          <w:tab w:val="left" w:pos="6180"/>
        </w:tabs>
        <w:jc w:val="both"/>
        <w:rPr>
          <w:lang w:val="es-UY"/>
        </w:rPr>
      </w:pPr>
      <w:r>
        <w:rPr>
          <w:lang w:val="es-UY"/>
        </w:rPr>
        <w:t xml:space="preserve">La inserción internacional del Uruguay está dominada por la provisión de bienes y servicios basados en recursos naturales, por lo que los Servicios y Bienes Intensivos en Conocimiento (SBIC) no constituyen la parte central de la oferta exportable nacional. </w:t>
      </w:r>
      <w:r w:rsidR="004D663B">
        <w:rPr>
          <w:lang w:val="es-UY"/>
        </w:rPr>
        <w:t>La abundancia de recursos naturales, en particular la tierra cultivable, determina que la mayor parte de las exportaciones del país esté determinada por bienes que hacen un uso intensivo de ese recurso, tal como la carne, los lácteos, el arroz, la pulpa de celulosa y la soja. En materia de manufacturas de base no agropecuaria el país también tiene una larga tradición de exportación, principalmente asociada a las preferencias com</w:t>
      </w:r>
      <w:r w:rsidR="001B0845">
        <w:rPr>
          <w:lang w:val="es-UY"/>
        </w:rPr>
        <w:t xml:space="preserve">erciales que otorga el MERCOSUR. De todas formas, la mayoría de estas exportaciones tienen como principal componente del valor a los insumos importados, por lo que tampoco en esos bienes suelen incorporar intensivamente conocimiento desarrollado localmente. </w:t>
      </w:r>
      <w:r w:rsidR="004D663B">
        <w:rPr>
          <w:lang w:val="es-UY"/>
        </w:rPr>
        <w:t xml:space="preserve">En materia de servicios la situación es algo diferente. Si bien el principal servicio de exportación es el turismo asociado a la temporada estival, el país es un destacado exportador de servicios informáticos y recientemente ha captado inversiones en servicios globales tales como los centros de servicios compartidos. </w:t>
      </w:r>
    </w:p>
    <w:p w:rsidR="00172937" w:rsidRDefault="001B0845" w:rsidP="00DE0AC5">
      <w:pPr>
        <w:tabs>
          <w:tab w:val="left" w:pos="6180"/>
        </w:tabs>
        <w:jc w:val="both"/>
        <w:rPr>
          <w:lang w:val="es-UY"/>
        </w:rPr>
      </w:pPr>
      <w:r>
        <w:rPr>
          <w:lang w:val="es-UY"/>
        </w:rPr>
        <w:t>Entonces, s</w:t>
      </w:r>
      <w:r w:rsidR="00172937">
        <w:rPr>
          <w:lang w:val="es-UY"/>
        </w:rPr>
        <w:t>e pueden destacan algunos rubros, tanto en bienes como en servicios, donde los recursos humanos calificados en las disciplinas STEM (</w:t>
      </w:r>
      <w:proofErr w:type="spellStart"/>
      <w:r w:rsidR="00172937" w:rsidRPr="001B0845">
        <w:rPr>
          <w:i/>
          <w:lang w:val="es-UY"/>
        </w:rPr>
        <w:t>Science</w:t>
      </w:r>
      <w:proofErr w:type="spellEnd"/>
      <w:r w:rsidR="00172937" w:rsidRPr="001B0845">
        <w:rPr>
          <w:i/>
          <w:lang w:val="es-UY"/>
        </w:rPr>
        <w:t xml:space="preserve">, </w:t>
      </w:r>
      <w:proofErr w:type="spellStart"/>
      <w:r w:rsidR="00172937" w:rsidRPr="001B0845">
        <w:rPr>
          <w:i/>
          <w:lang w:val="es-UY"/>
        </w:rPr>
        <w:t>Technology</w:t>
      </w:r>
      <w:proofErr w:type="spellEnd"/>
      <w:r w:rsidR="00172937" w:rsidRPr="001B0845">
        <w:rPr>
          <w:i/>
          <w:lang w:val="es-UY"/>
        </w:rPr>
        <w:t xml:space="preserve">, </w:t>
      </w:r>
      <w:proofErr w:type="spellStart"/>
      <w:r w:rsidR="00172937" w:rsidRPr="001B0845">
        <w:rPr>
          <w:i/>
          <w:lang w:val="es-UY"/>
        </w:rPr>
        <w:t>Engineering</w:t>
      </w:r>
      <w:proofErr w:type="spellEnd"/>
      <w:r w:rsidR="00172937" w:rsidRPr="001B0845">
        <w:rPr>
          <w:i/>
          <w:lang w:val="es-UY"/>
        </w:rPr>
        <w:t xml:space="preserve"> and </w:t>
      </w:r>
      <w:proofErr w:type="spellStart"/>
      <w:r w:rsidR="00172937" w:rsidRPr="001B0845">
        <w:rPr>
          <w:i/>
          <w:lang w:val="es-UY"/>
        </w:rPr>
        <w:t>Mathematics</w:t>
      </w:r>
      <w:proofErr w:type="spellEnd"/>
      <w:r w:rsidR="00172937">
        <w:rPr>
          <w:lang w:val="es-UY"/>
        </w:rPr>
        <w:t xml:space="preserve">) </w:t>
      </w:r>
      <w:r w:rsidR="00300A36">
        <w:rPr>
          <w:lang w:val="es-UY"/>
        </w:rPr>
        <w:t xml:space="preserve">juegan un papel relevante. En este documento se utiliza información del empleo de profesionales STEM por rama de actividad y se caracterizan algunas ramas de exportación </w:t>
      </w:r>
      <w:r>
        <w:rPr>
          <w:lang w:val="es-UY"/>
        </w:rPr>
        <w:t>donde la participación de profesionales STEM es destacada y por lo tanto son intensivos en conocimiento</w:t>
      </w:r>
      <w:r w:rsidR="00300A36">
        <w:rPr>
          <w:lang w:val="es-UY"/>
        </w:rPr>
        <w:t>. En el caso de los bienes, las ramas SBIC que se detectan son la fabricación de sustancias y productos químicos, farmacéuticos, algunos derivados del metal, equipami</w:t>
      </w:r>
      <w:r w:rsidR="004D663B">
        <w:rPr>
          <w:lang w:val="es-UY"/>
        </w:rPr>
        <w:t>ento informático y eléctrico.</w:t>
      </w:r>
      <w:r w:rsidR="00300A36">
        <w:rPr>
          <w:lang w:val="es-UY"/>
        </w:rPr>
        <w:t xml:space="preserve"> </w:t>
      </w:r>
      <w:r w:rsidR="00AF2A13">
        <w:rPr>
          <w:lang w:val="es-UY"/>
        </w:rPr>
        <w:t xml:space="preserve">En el caso de los servicios, se consideran los servicios de telecomunicaciones, informáticos, profesionales y de consultoría y audiovisuales. </w:t>
      </w:r>
    </w:p>
    <w:p w:rsidR="00DE0AC5" w:rsidRDefault="00DE0AC5" w:rsidP="00DE0AC5">
      <w:pPr>
        <w:tabs>
          <w:tab w:val="left" w:pos="6180"/>
        </w:tabs>
        <w:jc w:val="both"/>
        <w:rPr>
          <w:lang w:val="es-UY"/>
        </w:rPr>
      </w:pPr>
      <w:r>
        <w:rPr>
          <w:lang w:val="es-UY"/>
        </w:rPr>
        <w:t xml:space="preserve">El siguiente cuadro muestra la estimación de los servicios y bienes intensivos en conocimiento para el período 2012 a 2017. </w:t>
      </w:r>
      <w:r w:rsidR="00AF2A13">
        <w:rPr>
          <w:lang w:val="es-UY"/>
        </w:rPr>
        <w:t xml:space="preserve">Las exportaciones de bienes son de </w:t>
      </w:r>
      <w:r>
        <w:rPr>
          <w:lang w:val="es-UY"/>
        </w:rPr>
        <w:t xml:space="preserve">fuente </w:t>
      </w:r>
      <w:r w:rsidR="00AF2A13">
        <w:rPr>
          <w:lang w:val="es-UY"/>
        </w:rPr>
        <w:t>Dirección Nacional de Aduanas</w:t>
      </w:r>
      <w:r>
        <w:rPr>
          <w:lang w:val="es-UY"/>
        </w:rPr>
        <w:t>, incluyen</w:t>
      </w:r>
      <w:r w:rsidR="00AF2A13">
        <w:rPr>
          <w:lang w:val="es-UY"/>
        </w:rPr>
        <w:t xml:space="preserve">do información de Zonas Francas, y las de servicios son de </w:t>
      </w:r>
      <w:r>
        <w:rPr>
          <w:lang w:val="es-UY"/>
        </w:rPr>
        <w:t xml:space="preserve">Balanza de Pagos. </w:t>
      </w:r>
      <w:r w:rsidR="001B0845">
        <w:rPr>
          <w:lang w:val="es-UY"/>
        </w:rPr>
        <w:t xml:space="preserve">El cuadro muestra que en el caso de los bienes solamente entre el 4% y el 5% puede ser catalogado como intensivo en conocimiento, mientras que para los servicios, la participación es de casi el 30%. Tanto en bienes como en servicios la proporción se ha mantenido estable a lo largo del período 2012-2017. En el último año, los SBIC representaron el 12% de las exportaciones totales y casi 3% del PIB. </w:t>
      </w:r>
    </w:p>
    <w:p w:rsidR="00DE0AC5" w:rsidRDefault="00DE0AC5" w:rsidP="00E81693">
      <w:pPr>
        <w:tabs>
          <w:tab w:val="left" w:pos="6180"/>
        </w:tabs>
        <w:spacing w:after="0"/>
        <w:jc w:val="center"/>
        <w:rPr>
          <w:b/>
          <w:lang w:val="es-UY"/>
        </w:rPr>
      </w:pPr>
      <w:r w:rsidRPr="00C24265">
        <w:rPr>
          <w:b/>
          <w:lang w:val="es-UY"/>
        </w:rPr>
        <w:t>Bienes y servicios intensivos en conocimiento en Uruguay</w:t>
      </w:r>
      <w:r>
        <w:rPr>
          <w:b/>
          <w:lang w:val="es-UY"/>
        </w:rPr>
        <w:t xml:space="preserve"> y participación en el total. En millones </w:t>
      </w:r>
      <w:r w:rsidR="00E81693">
        <w:rPr>
          <w:b/>
          <w:lang w:val="es-UY"/>
        </w:rPr>
        <w:t>USD</w:t>
      </w:r>
    </w:p>
    <w:p w:rsidR="00FD5B72" w:rsidRPr="00C24265" w:rsidRDefault="00FD5B72" w:rsidP="00E81693">
      <w:pPr>
        <w:tabs>
          <w:tab w:val="left" w:pos="6180"/>
        </w:tabs>
        <w:spacing w:after="0"/>
        <w:jc w:val="center"/>
        <w:rPr>
          <w:b/>
          <w:lang w:val="es-UY"/>
        </w:rPr>
      </w:pPr>
    </w:p>
    <w:tbl>
      <w:tblPr>
        <w:tblW w:w="9390" w:type="dxa"/>
        <w:jc w:val="center"/>
        <w:tblCellMar>
          <w:left w:w="0" w:type="dxa"/>
          <w:right w:w="0" w:type="dxa"/>
        </w:tblCellMar>
        <w:tblLook w:val="04A0" w:firstRow="1" w:lastRow="0" w:firstColumn="1" w:lastColumn="0" w:noHBand="0" w:noVBand="1"/>
      </w:tblPr>
      <w:tblGrid>
        <w:gridCol w:w="4548"/>
        <w:gridCol w:w="807"/>
        <w:gridCol w:w="807"/>
        <w:gridCol w:w="807"/>
        <w:gridCol w:w="807"/>
        <w:gridCol w:w="807"/>
        <w:gridCol w:w="807"/>
      </w:tblGrid>
      <w:tr w:rsidR="00DE0AC5" w:rsidRPr="00230D13" w:rsidTr="00FD5B72">
        <w:trPr>
          <w:trHeight w:val="43"/>
          <w:jc w:val="center"/>
        </w:trPr>
        <w:tc>
          <w:tcPr>
            <w:tcW w:w="454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30D13" w:rsidRDefault="00DE0AC5" w:rsidP="00AF2A13">
            <w:pPr>
              <w:tabs>
                <w:tab w:val="left" w:pos="6180"/>
              </w:tabs>
              <w:spacing w:after="0" w:line="240" w:lineRule="auto"/>
              <w:rPr>
                <w:b/>
                <w:lang w:val="es-UY"/>
              </w:rPr>
            </w:pPr>
            <w:r w:rsidRPr="00230D13">
              <w:rPr>
                <w:b/>
                <w:lang w:val="es-UY"/>
              </w:rPr>
              <w:t>Tipo</w:t>
            </w:r>
          </w:p>
        </w:tc>
        <w:tc>
          <w:tcPr>
            <w:tcW w:w="80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30D13" w:rsidRDefault="00DE0AC5" w:rsidP="00AF2A13">
            <w:pPr>
              <w:tabs>
                <w:tab w:val="left" w:pos="6180"/>
              </w:tabs>
              <w:spacing w:after="0" w:line="240" w:lineRule="auto"/>
              <w:jc w:val="center"/>
              <w:rPr>
                <w:b/>
                <w:lang w:val="es-UY"/>
              </w:rPr>
            </w:pPr>
            <w:r w:rsidRPr="00230D13">
              <w:rPr>
                <w:b/>
                <w:lang w:val="es-UY"/>
              </w:rPr>
              <w:t>2012</w:t>
            </w:r>
          </w:p>
        </w:tc>
        <w:tc>
          <w:tcPr>
            <w:tcW w:w="80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30D13" w:rsidRDefault="00DE0AC5" w:rsidP="00AF2A13">
            <w:pPr>
              <w:tabs>
                <w:tab w:val="left" w:pos="6180"/>
              </w:tabs>
              <w:spacing w:after="0" w:line="240" w:lineRule="auto"/>
              <w:jc w:val="center"/>
              <w:rPr>
                <w:b/>
                <w:lang w:val="es-UY"/>
              </w:rPr>
            </w:pPr>
            <w:r w:rsidRPr="00230D13">
              <w:rPr>
                <w:b/>
                <w:lang w:val="es-UY"/>
              </w:rPr>
              <w:t>2013</w:t>
            </w:r>
          </w:p>
        </w:tc>
        <w:tc>
          <w:tcPr>
            <w:tcW w:w="80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30D13" w:rsidRDefault="00DE0AC5" w:rsidP="00AF2A13">
            <w:pPr>
              <w:tabs>
                <w:tab w:val="left" w:pos="6180"/>
              </w:tabs>
              <w:spacing w:after="0" w:line="240" w:lineRule="auto"/>
              <w:jc w:val="center"/>
              <w:rPr>
                <w:b/>
                <w:lang w:val="es-UY"/>
              </w:rPr>
            </w:pPr>
            <w:r w:rsidRPr="00230D13">
              <w:rPr>
                <w:b/>
                <w:lang w:val="es-UY"/>
              </w:rPr>
              <w:t>2014</w:t>
            </w:r>
          </w:p>
        </w:tc>
        <w:tc>
          <w:tcPr>
            <w:tcW w:w="80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30D13" w:rsidRDefault="00DE0AC5" w:rsidP="00AF2A13">
            <w:pPr>
              <w:tabs>
                <w:tab w:val="left" w:pos="6180"/>
              </w:tabs>
              <w:spacing w:after="0" w:line="240" w:lineRule="auto"/>
              <w:jc w:val="center"/>
              <w:rPr>
                <w:b/>
                <w:lang w:val="es-UY"/>
              </w:rPr>
            </w:pPr>
            <w:r w:rsidRPr="00230D13">
              <w:rPr>
                <w:b/>
                <w:lang w:val="es-UY"/>
              </w:rPr>
              <w:t>2015</w:t>
            </w:r>
          </w:p>
        </w:tc>
        <w:tc>
          <w:tcPr>
            <w:tcW w:w="80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30D13" w:rsidRDefault="00DE0AC5" w:rsidP="00AF2A13">
            <w:pPr>
              <w:tabs>
                <w:tab w:val="left" w:pos="6180"/>
              </w:tabs>
              <w:spacing w:after="0" w:line="240" w:lineRule="auto"/>
              <w:jc w:val="center"/>
              <w:rPr>
                <w:b/>
                <w:lang w:val="es-UY"/>
              </w:rPr>
            </w:pPr>
            <w:r w:rsidRPr="00230D13">
              <w:rPr>
                <w:b/>
                <w:lang w:val="es-UY"/>
              </w:rPr>
              <w:t>2016</w:t>
            </w:r>
          </w:p>
        </w:tc>
        <w:tc>
          <w:tcPr>
            <w:tcW w:w="80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30D13" w:rsidRDefault="00DE0AC5" w:rsidP="00AF2A13">
            <w:pPr>
              <w:tabs>
                <w:tab w:val="left" w:pos="6180"/>
              </w:tabs>
              <w:spacing w:after="0" w:line="240" w:lineRule="auto"/>
              <w:jc w:val="center"/>
              <w:rPr>
                <w:b/>
                <w:lang w:val="es-UY"/>
              </w:rPr>
            </w:pPr>
            <w:r w:rsidRPr="00230D13">
              <w:rPr>
                <w:b/>
                <w:lang w:val="es-UY"/>
              </w:rPr>
              <w:t>2017</w:t>
            </w:r>
          </w:p>
        </w:tc>
      </w:tr>
      <w:tr w:rsidR="00DE0AC5" w:rsidRPr="00230D13" w:rsidTr="00FD5B72">
        <w:trPr>
          <w:trHeight w:val="53"/>
          <w:jc w:val="center"/>
        </w:trPr>
        <w:tc>
          <w:tcPr>
            <w:tcW w:w="0" w:type="auto"/>
            <w:gridSpan w:val="7"/>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F3190" w:rsidRDefault="00DE0AC5" w:rsidP="00AF2A13">
            <w:pPr>
              <w:tabs>
                <w:tab w:val="left" w:pos="6180"/>
              </w:tabs>
              <w:spacing w:after="0" w:line="240" w:lineRule="auto"/>
              <w:jc w:val="center"/>
              <w:rPr>
                <w:b/>
                <w:lang w:val="es-UY"/>
              </w:rPr>
            </w:pPr>
            <w:r w:rsidRPr="002F3190">
              <w:rPr>
                <w:b/>
                <w:lang w:val="es-UY"/>
              </w:rPr>
              <w:t>Intensivos en Conocimiento</w:t>
            </w:r>
          </w:p>
        </w:tc>
      </w:tr>
      <w:tr w:rsidR="00DE0AC5" w:rsidRPr="00230D13" w:rsidTr="00FD5B72">
        <w:trPr>
          <w:trHeight w:val="53"/>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30D13" w:rsidRDefault="00DE0AC5" w:rsidP="00AF2A13">
            <w:pPr>
              <w:tabs>
                <w:tab w:val="left" w:pos="6180"/>
              </w:tabs>
              <w:spacing w:after="0" w:line="240" w:lineRule="auto"/>
              <w:jc w:val="both"/>
              <w:rPr>
                <w:rFonts w:ascii="Calibri" w:hAnsi="Calibri"/>
                <w:b/>
                <w:color w:val="000000"/>
                <w:lang w:val="es-UY"/>
              </w:rPr>
            </w:pPr>
            <w:r w:rsidRPr="002F3190">
              <w:rPr>
                <w:b/>
                <w:lang w:val="es-UY"/>
              </w:rPr>
              <w:t>Bienes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F3190" w:rsidRDefault="00DE0AC5" w:rsidP="00AF2A13">
            <w:pPr>
              <w:tabs>
                <w:tab w:val="left" w:pos="6180"/>
              </w:tabs>
              <w:spacing w:after="0" w:line="240" w:lineRule="auto"/>
              <w:jc w:val="right"/>
              <w:rPr>
                <w:lang w:val="es-UY"/>
              </w:rPr>
            </w:pPr>
            <w:r w:rsidRPr="002F3190">
              <w:rPr>
                <w:lang w:val="es-UY"/>
              </w:rPr>
              <w:t>487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F3190" w:rsidRDefault="00DE0AC5" w:rsidP="00AF2A13">
            <w:pPr>
              <w:tabs>
                <w:tab w:val="left" w:pos="6180"/>
              </w:tabs>
              <w:spacing w:after="0" w:line="240" w:lineRule="auto"/>
              <w:jc w:val="right"/>
              <w:rPr>
                <w:lang w:val="es-UY"/>
              </w:rPr>
            </w:pPr>
            <w:r w:rsidRPr="002F3190">
              <w:rPr>
                <w:lang w:val="es-UY"/>
              </w:rPr>
              <w:t>490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F3190" w:rsidRDefault="00DE0AC5" w:rsidP="00AF2A13">
            <w:pPr>
              <w:tabs>
                <w:tab w:val="left" w:pos="6180"/>
              </w:tabs>
              <w:spacing w:after="0" w:line="240" w:lineRule="auto"/>
              <w:jc w:val="right"/>
              <w:rPr>
                <w:lang w:val="es-UY"/>
              </w:rPr>
            </w:pPr>
            <w:r w:rsidRPr="002F3190">
              <w:rPr>
                <w:lang w:val="es-UY"/>
              </w:rPr>
              <w:t>531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F3190" w:rsidRDefault="00DE0AC5" w:rsidP="00AF2A13">
            <w:pPr>
              <w:tabs>
                <w:tab w:val="left" w:pos="6180"/>
              </w:tabs>
              <w:spacing w:after="0" w:line="240" w:lineRule="auto"/>
              <w:jc w:val="right"/>
              <w:rPr>
                <w:lang w:val="es-UY"/>
              </w:rPr>
            </w:pPr>
            <w:r w:rsidRPr="002F3190">
              <w:rPr>
                <w:lang w:val="es-UY"/>
              </w:rPr>
              <w:t>518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F3190" w:rsidRDefault="00DE0AC5" w:rsidP="00AF2A13">
            <w:pPr>
              <w:tabs>
                <w:tab w:val="left" w:pos="6180"/>
              </w:tabs>
              <w:spacing w:after="0" w:line="240" w:lineRule="auto"/>
              <w:jc w:val="right"/>
              <w:rPr>
                <w:lang w:val="es-UY"/>
              </w:rPr>
            </w:pPr>
            <w:r w:rsidRPr="002F3190">
              <w:rPr>
                <w:lang w:val="es-UY"/>
              </w:rPr>
              <w:t>526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F3190" w:rsidRDefault="00DE0AC5" w:rsidP="00AF2A13">
            <w:pPr>
              <w:tabs>
                <w:tab w:val="left" w:pos="6180"/>
              </w:tabs>
              <w:spacing w:after="0" w:line="240" w:lineRule="auto"/>
              <w:jc w:val="right"/>
              <w:rPr>
                <w:lang w:val="es-UY"/>
              </w:rPr>
            </w:pPr>
            <w:r w:rsidRPr="002F3190">
              <w:rPr>
                <w:lang w:val="es-UY"/>
              </w:rPr>
              <w:t>531</w:t>
            </w:r>
          </w:p>
        </w:tc>
      </w:tr>
      <w:tr w:rsidR="00DE0AC5" w:rsidTr="00FD5B72">
        <w:trPr>
          <w:trHeight w:val="53"/>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F3190" w:rsidRDefault="00DE0AC5" w:rsidP="00AF2A13">
            <w:pPr>
              <w:tabs>
                <w:tab w:val="left" w:pos="6180"/>
              </w:tabs>
              <w:spacing w:after="0" w:line="240" w:lineRule="auto"/>
              <w:jc w:val="both"/>
              <w:rPr>
                <w:b/>
                <w:lang w:val="es-UY"/>
              </w:rPr>
            </w:pPr>
            <w:r w:rsidRPr="002F3190">
              <w:rPr>
                <w:b/>
                <w:lang w:val="es-UY"/>
              </w:rPr>
              <w:t>Servicios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F3190" w:rsidRDefault="00DE0AC5" w:rsidP="00AF2A13">
            <w:pPr>
              <w:tabs>
                <w:tab w:val="left" w:pos="6180"/>
              </w:tabs>
              <w:spacing w:after="0" w:line="240" w:lineRule="auto"/>
              <w:jc w:val="right"/>
              <w:rPr>
                <w:lang w:val="es-UY"/>
              </w:rPr>
            </w:pPr>
            <w:r w:rsidRPr="002F3190">
              <w:rPr>
                <w:lang w:val="es-UY"/>
              </w:rPr>
              <w:t>1,484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F3190" w:rsidRDefault="00DE0AC5" w:rsidP="00AF2A13">
            <w:pPr>
              <w:tabs>
                <w:tab w:val="left" w:pos="6180"/>
              </w:tabs>
              <w:spacing w:after="0" w:line="240" w:lineRule="auto"/>
              <w:jc w:val="right"/>
              <w:rPr>
                <w:lang w:val="es-UY"/>
              </w:rPr>
            </w:pPr>
            <w:r w:rsidRPr="002F3190">
              <w:rPr>
                <w:lang w:val="es-UY"/>
              </w:rPr>
              <w:t>1,481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F3190" w:rsidRDefault="00DE0AC5" w:rsidP="00AF2A13">
            <w:pPr>
              <w:tabs>
                <w:tab w:val="left" w:pos="6180"/>
              </w:tabs>
              <w:spacing w:after="0" w:line="240" w:lineRule="auto"/>
              <w:jc w:val="right"/>
              <w:rPr>
                <w:lang w:val="es-UY"/>
              </w:rPr>
            </w:pPr>
            <w:r w:rsidRPr="002F3190">
              <w:rPr>
                <w:lang w:val="es-UY"/>
              </w:rPr>
              <w:t>1,421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F3190" w:rsidRDefault="00DE0AC5" w:rsidP="00AF2A13">
            <w:pPr>
              <w:tabs>
                <w:tab w:val="left" w:pos="6180"/>
              </w:tabs>
              <w:spacing w:after="0" w:line="240" w:lineRule="auto"/>
              <w:jc w:val="right"/>
              <w:rPr>
                <w:lang w:val="es-UY"/>
              </w:rPr>
            </w:pPr>
            <w:r w:rsidRPr="002F3190">
              <w:rPr>
                <w:lang w:val="es-UY"/>
              </w:rPr>
              <w:t>1,494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F3190" w:rsidRDefault="00DE0AC5" w:rsidP="00AF2A13">
            <w:pPr>
              <w:tabs>
                <w:tab w:val="left" w:pos="6180"/>
              </w:tabs>
              <w:spacing w:after="0" w:line="240" w:lineRule="auto"/>
              <w:jc w:val="right"/>
              <w:rPr>
                <w:lang w:val="es-UY"/>
              </w:rPr>
            </w:pPr>
            <w:r w:rsidRPr="002F3190">
              <w:rPr>
                <w:lang w:val="es-UY"/>
              </w:rPr>
              <w:t>1,240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F3190" w:rsidRDefault="00DE0AC5" w:rsidP="00AF2A13">
            <w:pPr>
              <w:tabs>
                <w:tab w:val="left" w:pos="6180"/>
              </w:tabs>
              <w:spacing w:after="0" w:line="240" w:lineRule="auto"/>
              <w:jc w:val="right"/>
              <w:rPr>
                <w:lang w:val="es-UY"/>
              </w:rPr>
            </w:pPr>
            <w:r w:rsidRPr="002F3190">
              <w:rPr>
                <w:lang w:val="es-UY"/>
              </w:rPr>
              <w:t>1,332</w:t>
            </w:r>
          </w:p>
        </w:tc>
      </w:tr>
      <w:tr w:rsidR="00DE0AC5" w:rsidTr="00FD5B72">
        <w:trPr>
          <w:trHeight w:val="43"/>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F3190" w:rsidRDefault="00DE0AC5" w:rsidP="00AF2A13">
            <w:pPr>
              <w:tabs>
                <w:tab w:val="left" w:pos="6180"/>
              </w:tabs>
              <w:spacing w:after="0" w:line="240" w:lineRule="auto"/>
              <w:jc w:val="both"/>
              <w:rPr>
                <w:b/>
                <w:lang w:val="es-UY"/>
              </w:rPr>
            </w:pPr>
            <w:r w:rsidRPr="002F3190">
              <w:rPr>
                <w:b/>
                <w:lang w:val="es-UY"/>
              </w:rPr>
              <w:t>Total</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F3190" w:rsidRDefault="00DE0AC5" w:rsidP="00AF2A13">
            <w:pPr>
              <w:tabs>
                <w:tab w:val="left" w:pos="6180"/>
              </w:tabs>
              <w:spacing w:after="0" w:line="240" w:lineRule="auto"/>
              <w:jc w:val="right"/>
              <w:rPr>
                <w:lang w:val="es-UY"/>
              </w:rPr>
            </w:pPr>
            <w:r w:rsidRPr="002F3190">
              <w:rPr>
                <w:lang w:val="es-UY"/>
              </w:rPr>
              <w:t>1,971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F3190" w:rsidRDefault="00DE0AC5" w:rsidP="00AF2A13">
            <w:pPr>
              <w:tabs>
                <w:tab w:val="left" w:pos="6180"/>
              </w:tabs>
              <w:spacing w:after="0" w:line="240" w:lineRule="auto"/>
              <w:jc w:val="right"/>
              <w:rPr>
                <w:lang w:val="es-UY"/>
              </w:rPr>
            </w:pPr>
            <w:r w:rsidRPr="002F3190">
              <w:rPr>
                <w:lang w:val="es-UY"/>
              </w:rPr>
              <w:t>1,971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F3190" w:rsidRDefault="00DE0AC5" w:rsidP="00AF2A13">
            <w:pPr>
              <w:tabs>
                <w:tab w:val="left" w:pos="6180"/>
              </w:tabs>
              <w:spacing w:after="0" w:line="240" w:lineRule="auto"/>
              <w:jc w:val="right"/>
              <w:rPr>
                <w:lang w:val="es-UY"/>
              </w:rPr>
            </w:pPr>
            <w:r w:rsidRPr="002F3190">
              <w:rPr>
                <w:lang w:val="es-UY"/>
              </w:rPr>
              <w:t>1,951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F3190" w:rsidRDefault="00DE0AC5" w:rsidP="00AF2A13">
            <w:pPr>
              <w:tabs>
                <w:tab w:val="left" w:pos="6180"/>
              </w:tabs>
              <w:spacing w:after="0" w:line="240" w:lineRule="auto"/>
              <w:jc w:val="right"/>
              <w:rPr>
                <w:lang w:val="es-UY"/>
              </w:rPr>
            </w:pPr>
            <w:r w:rsidRPr="002F3190">
              <w:rPr>
                <w:lang w:val="es-UY"/>
              </w:rPr>
              <w:t>2,013</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F3190" w:rsidRDefault="00DE0AC5" w:rsidP="00AF2A13">
            <w:pPr>
              <w:tabs>
                <w:tab w:val="left" w:pos="6180"/>
              </w:tabs>
              <w:spacing w:after="0" w:line="240" w:lineRule="auto"/>
              <w:jc w:val="right"/>
              <w:rPr>
                <w:lang w:val="es-UY"/>
              </w:rPr>
            </w:pPr>
            <w:r w:rsidRPr="002F3190">
              <w:rPr>
                <w:lang w:val="es-UY"/>
              </w:rPr>
              <w:t>1,766</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0AC5" w:rsidRPr="002F3190" w:rsidRDefault="00DE0AC5" w:rsidP="00AF2A13">
            <w:pPr>
              <w:tabs>
                <w:tab w:val="left" w:pos="6180"/>
              </w:tabs>
              <w:spacing w:after="0" w:line="240" w:lineRule="auto"/>
              <w:jc w:val="right"/>
              <w:rPr>
                <w:lang w:val="es-UY"/>
              </w:rPr>
            </w:pPr>
            <w:r w:rsidRPr="002F3190">
              <w:rPr>
                <w:lang w:val="es-UY"/>
              </w:rPr>
              <w:t>1,863</w:t>
            </w:r>
          </w:p>
        </w:tc>
      </w:tr>
      <w:tr w:rsidR="001B0845" w:rsidRPr="00810A61" w:rsidTr="001B0845">
        <w:trPr>
          <w:trHeight w:val="300"/>
          <w:jc w:val="center"/>
        </w:trPr>
        <w:tc>
          <w:tcPr>
            <w:tcW w:w="0" w:type="auto"/>
            <w:gridSpan w:val="7"/>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B0845" w:rsidRPr="002F3190" w:rsidRDefault="001B0845" w:rsidP="001B0845">
            <w:pPr>
              <w:tabs>
                <w:tab w:val="left" w:pos="6180"/>
              </w:tabs>
              <w:spacing w:after="0" w:line="240" w:lineRule="auto"/>
              <w:jc w:val="center"/>
              <w:rPr>
                <w:lang w:val="es-UY"/>
              </w:rPr>
            </w:pPr>
            <w:r w:rsidRPr="002F3190">
              <w:rPr>
                <w:b/>
                <w:lang w:val="es-UY"/>
              </w:rPr>
              <w:lastRenderedPageBreak/>
              <w:t>Proporción de intensivos en conocimiento en el total</w:t>
            </w:r>
          </w:p>
        </w:tc>
      </w:tr>
      <w:tr w:rsidR="001B0845" w:rsidTr="00FD5B72">
        <w:trPr>
          <w:trHeight w:val="15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1B0845" w:rsidRPr="002F3190" w:rsidRDefault="001B0845" w:rsidP="001272AF">
            <w:pPr>
              <w:tabs>
                <w:tab w:val="left" w:pos="6180"/>
              </w:tabs>
              <w:spacing w:after="0" w:line="240" w:lineRule="auto"/>
              <w:jc w:val="both"/>
              <w:rPr>
                <w:b/>
                <w:lang w:val="es-UY"/>
              </w:rPr>
            </w:pPr>
            <w:r w:rsidRPr="002F3190">
              <w:rPr>
                <w:b/>
                <w:lang w:val="es-UY"/>
              </w:rPr>
              <w:t>IC en Bienes</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B0845" w:rsidRPr="002F3190" w:rsidRDefault="001B0845" w:rsidP="001272AF">
            <w:pPr>
              <w:tabs>
                <w:tab w:val="left" w:pos="6180"/>
              </w:tabs>
              <w:spacing w:after="0" w:line="240" w:lineRule="auto"/>
              <w:jc w:val="center"/>
              <w:rPr>
                <w:lang w:val="es-UY"/>
              </w:rPr>
            </w:pPr>
            <w:r w:rsidRPr="002F3190">
              <w:rPr>
                <w:lang w:val="es-UY"/>
              </w:rPr>
              <w:t>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B0845" w:rsidRPr="002F3190" w:rsidRDefault="001B0845" w:rsidP="001272AF">
            <w:pPr>
              <w:tabs>
                <w:tab w:val="left" w:pos="6180"/>
              </w:tabs>
              <w:spacing w:after="0" w:line="240" w:lineRule="auto"/>
              <w:jc w:val="center"/>
              <w:rPr>
                <w:lang w:val="es-UY"/>
              </w:rPr>
            </w:pPr>
            <w:r w:rsidRPr="002F3190">
              <w:rPr>
                <w:lang w:val="es-UY"/>
              </w:rPr>
              <w:t>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B0845" w:rsidRPr="002F3190" w:rsidRDefault="001B0845" w:rsidP="001272AF">
            <w:pPr>
              <w:tabs>
                <w:tab w:val="left" w:pos="6180"/>
              </w:tabs>
              <w:spacing w:after="0" w:line="240" w:lineRule="auto"/>
              <w:jc w:val="center"/>
              <w:rPr>
                <w:lang w:val="es-UY"/>
              </w:rPr>
            </w:pPr>
            <w:r w:rsidRPr="002F3190">
              <w:rPr>
                <w:lang w:val="es-UY"/>
              </w:rPr>
              <w:t>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B0845" w:rsidRPr="002F3190" w:rsidRDefault="001B0845" w:rsidP="001272AF">
            <w:pPr>
              <w:tabs>
                <w:tab w:val="left" w:pos="6180"/>
              </w:tabs>
              <w:spacing w:after="0" w:line="240" w:lineRule="auto"/>
              <w:jc w:val="center"/>
              <w:rPr>
                <w:lang w:val="es-UY"/>
              </w:rPr>
            </w:pPr>
            <w:r w:rsidRPr="002F3190">
              <w:rPr>
                <w:lang w:val="es-UY"/>
              </w:rPr>
              <w:t>5%</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B0845" w:rsidRPr="002F3190" w:rsidRDefault="001B0845" w:rsidP="001272AF">
            <w:pPr>
              <w:tabs>
                <w:tab w:val="left" w:pos="6180"/>
              </w:tabs>
              <w:spacing w:after="0" w:line="240" w:lineRule="auto"/>
              <w:jc w:val="center"/>
              <w:rPr>
                <w:lang w:val="es-UY"/>
              </w:rPr>
            </w:pPr>
            <w:r w:rsidRPr="002F3190">
              <w:rPr>
                <w:lang w:val="es-UY"/>
              </w:rPr>
              <w:t>5%</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B0845" w:rsidRPr="002F3190" w:rsidRDefault="001B0845" w:rsidP="001272AF">
            <w:pPr>
              <w:tabs>
                <w:tab w:val="left" w:pos="6180"/>
              </w:tabs>
              <w:spacing w:after="0" w:line="240" w:lineRule="auto"/>
              <w:jc w:val="center"/>
              <w:rPr>
                <w:lang w:val="es-UY"/>
              </w:rPr>
            </w:pPr>
            <w:r w:rsidRPr="002F3190">
              <w:rPr>
                <w:lang w:val="es-UY"/>
              </w:rPr>
              <w:t>5%</w:t>
            </w:r>
          </w:p>
        </w:tc>
      </w:tr>
      <w:tr w:rsidR="001B0845" w:rsidTr="00FD5B72">
        <w:trPr>
          <w:trHeight w:val="43"/>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1B0845" w:rsidRPr="002F3190" w:rsidRDefault="001B0845" w:rsidP="001272AF">
            <w:pPr>
              <w:tabs>
                <w:tab w:val="left" w:pos="6180"/>
              </w:tabs>
              <w:spacing w:after="0" w:line="240" w:lineRule="auto"/>
              <w:jc w:val="both"/>
              <w:rPr>
                <w:b/>
                <w:lang w:val="es-UY"/>
              </w:rPr>
            </w:pPr>
            <w:r w:rsidRPr="002F3190">
              <w:rPr>
                <w:b/>
                <w:lang w:val="es-UY"/>
              </w:rPr>
              <w:t>IC en servicios</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B0845" w:rsidRPr="002F3190" w:rsidRDefault="001B0845" w:rsidP="001272AF">
            <w:pPr>
              <w:tabs>
                <w:tab w:val="left" w:pos="6180"/>
              </w:tabs>
              <w:spacing w:after="0" w:line="240" w:lineRule="auto"/>
              <w:jc w:val="center"/>
              <w:rPr>
                <w:lang w:val="es-UY"/>
              </w:rPr>
            </w:pPr>
            <w:r w:rsidRPr="002F3190">
              <w:rPr>
                <w:lang w:val="es-UY"/>
              </w:rPr>
              <w:t>29%</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B0845" w:rsidRPr="002F3190" w:rsidRDefault="001B0845" w:rsidP="001272AF">
            <w:pPr>
              <w:tabs>
                <w:tab w:val="left" w:pos="6180"/>
              </w:tabs>
              <w:spacing w:after="0" w:line="240" w:lineRule="auto"/>
              <w:jc w:val="center"/>
              <w:rPr>
                <w:lang w:val="es-UY"/>
              </w:rPr>
            </w:pPr>
            <w:r w:rsidRPr="002F3190">
              <w:rPr>
                <w:lang w:val="es-UY"/>
              </w:rPr>
              <w:t>31%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B0845" w:rsidRPr="002F3190" w:rsidRDefault="001B0845" w:rsidP="001272AF">
            <w:pPr>
              <w:tabs>
                <w:tab w:val="left" w:pos="6180"/>
              </w:tabs>
              <w:spacing w:after="0" w:line="240" w:lineRule="auto"/>
              <w:jc w:val="center"/>
              <w:rPr>
                <w:lang w:val="es-UY"/>
              </w:rPr>
            </w:pPr>
            <w:r w:rsidRPr="002F3190">
              <w:rPr>
                <w:lang w:val="es-UY"/>
              </w:rPr>
              <w:t>31%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B0845" w:rsidRPr="002F3190" w:rsidRDefault="001B0845" w:rsidP="001272AF">
            <w:pPr>
              <w:tabs>
                <w:tab w:val="left" w:pos="6180"/>
              </w:tabs>
              <w:spacing w:after="0" w:line="240" w:lineRule="auto"/>
              <w:jc w:val="center"/>
              <w:rPr>
                <w:lang w:val="es-UY"/>
              </w:rPr>
            </w:pPr>
            <w:r w:rsidRPr="002F3190">
              <w:rPr>
                <w:lang w:val="es-UY"/>
              </w:rPr>
              <w:t>33%</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B0845" w:rsidRPr="002F3190" w:rsidRDefault="001B0845" w:rsidP="001272AF">
            <w:pPr>
              <w:tabs>
                <w:tab w:val="left" w:pos="6180"/>
              </w:tabs>
              <w:spacing w:after="0" w:line="240" w:lineRule="auto"/>
              <w:jc w:val="center"/>
              <w:rPr>
                <w:lang w:val="es-UY"/>
              </w:rPr>
            </w:pPr>
            <w:r w:rsidRPr="002F3190">
              <w:rPr>
                <w:lang w:val="es-UY"/>
              </w:rPr>
              <w:t>30%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B0845" w:rsidRPr="002F3190" w:rsidRDefault="001B0845" w:rsidP="001272AF">
            <w:pPr>
              <w:tabs>
                <w:tab w:val="left" w:pos="6180"/>
              </w:tabs>
              <w:spacing w:after="0" w:line="240" w:lineRule="auto"/>
              <w:jc w:val="center"/>
              <w:rPr>
                <w:lang w:val="es-UY"/>
              </w:rPr>
            </w:pPr>
            <w:r w:rsidRPr="002F3190">
              <w:rPr>
                <w:lang w:val="es-UY"/>
              </w:rPr>
              <w:t>28%</w:t>
            </w:r>
          </w:p>
        </w:tc>
      </w:tr>
      <w:tr w:rsidR="001B0845" w:rsidTr="00FD5B72">
        <w:trPr>
          <w:trHeight w:val="43"/>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1B0845" w:rsidRPr="002F3190" w:rsidRDefault="001B0845" w:rsidP="001272AF">
            <w:pPr>
              <w:tabs>
                <w:tab w:val="left" w:pos="6180"/>
              </w:tabs>
              <w:spacing w:after="0" w:line="240" w:lineRule="auto"/>
              <w:jc w:val="both"/>
              <w:rPr>
                <w:b/>
                <w:lang w:val="es-UY"/>
              </w:rPr>
            </w:pPr>
            <w:r w:rsidRPr="002F3190">
              <w:rPr>
                <w:b/>
                <w:lang w:val="es-UY"/>
              </w:rPr>
              <w:t>IC en total</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B0845" w:rsidRPr="002F3190" w:rsidRDefault="001B0845" w:rsidP="001272AF">
            <w:pPr>
              <w:tabs>
                <w:tab w:val="left" w:pos="6180"/>
              </w:tabs>
              <w:spacing w:after="0" w:line="240" w:lineRule="auto"/>
              <w:jc w:val="center"/>
              <w:rPr>
                <w:lang w:val="es-UY"/>
              </w:rPr>
            </w:pPr>
            <w:r w:rsidRPr="002F3190">
              <w:rPr>
                <w:lang w:val="es-UY"/>
              </w:rPr>
              <w:t>11%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B0845" w:rsidRPr="002F3190" w:rsidRDefault="001B0845" w:rsidP="001272AF">
            <w:pPr>
              <w:tabs>
                <w:tab w:val="left" w:pos="6180"/>
              </w:tabs>
              <w:spacing w:after="0" w:line="240" w:lineRule="auto"/>
              <w:jc w:val="center"/>
              <w:rPr>
                <w:lang w:val="es-UY"/>
              </w:rPr>
            </w:pPr>
            <w:r w:rsidRPr="002F3190">
              <w:rPr>
                <w:lang w:val="es-UY"/>
              </w:rPr>
              <w:t>11%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B0845" w:rsidRPr="002F3190" w:rsidRDefault="001B0845" w:rsidP="001272AF">
            <w:pPr>
              <w:tabs>
                <w:tab w:val="left" w:pos="6180"/>
              </w:tabs>
              <w:spacing w:after="0" w:line="240" w:lineRule="auto"/>
              <w:jc w:val="center"/>
              <w:rPr>
                <w:lang w:val="es-UY"/>
              </w:rPr>
            </w:pPr>
            <w:r w:rsidRPr="002F3190">
              <w:rPr>
                <w:lang w:val="es-UY"/>
              </w:rPr>
              <w:t>11%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B0845" w:rsidRPr="002F3190" w:rsidRDefault="001B0845" w:rsidP="001272AF">
            <w:pPr>
              <w:tabs>
                <w:tab w:val="left" w:pos="6180"/>
              </w:tabs>
              <w:spacing w:after="0" w:line="240" w:lineRule="auto"/>
              <w:jc w:val="center"/>
              <w:rPr>
                <w:lang w:val="es-UY"/>
              </w:rPr>
            </w:pPr>
            <w:r w:rsidRPr="002F3190">
              <w:rPr>
                <w:lang w:val="es-UY"/>
              </w:rPr>
              <w:t>13%</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B0845" w:rsidRPr="002F3190" w:rsidRDefault="001B0845" w:rsidP="001272AF">
            <w:pPr>
              <w:tabs>
                <w:tab w:val="left" w:pos="6180"/>
              </w:tabs>
              <w:spacing w:after="0" w:line="240" w:lineRule="auto"/>
              <w:jc w:val="center"/>
              <w:rPr>
                <w:lang w:val="es-UY"/>
              </w:rPr>
            </w:pPr>
            <w:r w:rsidRPr="002F3190">
              <w:rPr>
                <w:lang w:val="es-UY"/>
              </w:rPr>
              <w:t>12%</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B0845" w:rsidRPr="002F3190" w:rsidRDefault="001B0845" w:rsidP="001272AF">
            <w:pPr>
              <w:tabs>
                <w:tab w:val="left" w:pos="6180"/>
              </w:tabs>
              <w:spacing w:after="0" w:line="240" w:lineRule="auto"/>
              <w:jc w:val="center"/>
              <w:rPr>
                <w:lang w:val="es-UY"/>
              </w:rPr>
            </w:pPr>
            <w:r w:rsidRPr="002F3190">
              <w:rPr>
                <w:lang w:val="es-UY"/>
              </w:rPr>
              <w:t>12%</w:t>
            </w:r>
          </w:p>
        </w:tc>
      </w:tr>
    </w:tbl>
    <w:p w:rsidR="00DE0AC5" w:rsidRDefault="00DE0AC5" w:rsidP="00DE0AC5">
      <w:pPr>
        <w:jc w:val="center"/>
        <w:rPr>
          <w:lang w:val="es-UY"/>
        </w:rPr>
      </w:pPr>
      <w:r>
        <w:rPr>
          <w:lang w:val="es-UY"/>
        </w:rPr>
        <w:t>Fuente: Elaboración propia</w:t>
      </w:r>
      <w:r w:rsidR="00A27A81">
        <w:rPr>
          <w:lang w:val="es-UY"/>
        </w:rPr>
        <w:t xml:space="preserve"> en base a ANII, DNA, UNCTAD y BCU. </w:t>
      </w:r>
    </w:p>
    <w:p w:rsidR="00DE0AC5" w:rsidRDefault="00DE0AC5">
      <w:pPr>
        <w:rPr>
          <w:b/>
          <w:lang w:val="es-UY"/>
        </w:rPr>
      </w:pPr>
    </w:p>
    <w:p w:rsidR="00A27A81" w:rsidRDefault="00A27A81">
      <w:pPr>
        <w:rPr>
          <w:b/>
          <w:sz w:val="24"/>
          <w:szCs w:val="24"/>
          <w:lang w:val="es-UY"/>
        </w:rPr>
      </w:pPr>
      <w:r>
        <w:rPr>
          <w:b/>
          <w:sz w:val="24"/>
          <w:szCs w:val="24"/>
          <w:lang w:val="es-UY"/>
        </w:rPr>
        <w:br w:type="page"/>
      </w:r>
    </w:p>
    <w:p w:rsidR="00A27A81" w:rsidRPr="00A27A81" w:rsidRDefault="00A27A81" w:rsidP="00A27A81">
      <w:pPr>
        <w:jc w:val="center"/>
        <w:rPr>
          <w:b/>
          <w:sz w:val="24"/>
          <w:szCs w:val="24"/>
          <w:lang w:val="es-UY"/>
        </w:rPr>
      </w:pPr>
      <w:r w:rsidRPr="00A27A81">
        <w:rPr>
          <w:b/>
          <w:sz w:val="24"/>
          <w:szCs w:val="24"/>
          <w:lang w:val="es-UY"/>
        </w:rPr>
        <w:lastRenderedPageBreak/>
        <w:t>CARACTERIZACIÓN DEL SECTOR DE SERVICIOS Y BIENES INTENSIVOS EN CONOCIMIENTO EN URUGUAY</w:t>
      </w:r>
    </w:p>
    <w:p w:rsidR="00454F6C" w:rsidRPr="00524967" w:rsidRDefault="00454F6C" w:rsidP="002B4E7D">
      <w:pPr>
        <w:pStyle w:val="ListParagraph"/>
        <w:numPr>
          <w:ilvl w:val="0"/>
          <w:numId w:val="2"/>
        </w:numPr>
        <w:rPr>
          <w:b/>
          <w:lang w:val="es-UY"/>
        </w:rPr>
      </w:pPr>
      <w:r>
        <w:rPr>
          <w:b/>
          <w:lang w:val="es-UY"/>
        </w:rPr>
        <w:t>Entorno de las empresas intensivas en conocimiento</w:t>
      </w:r>
    </w:p>
    <w:p w:rsidR="00EF7A09" w:rsidRDefault="00524967" w:rsidP="00524967">
      <w:pPr>
        <w:jc w:val="both"/>
        <w:rPr>
          <w:lang w:val="es-UY"/>
        </w:rPr>
      </w:pPr>
      <w:r>
        <w:rPr>
          <w:lang w:val="es-UY"/>
        </w:rPr>
        <w:t xml:space="preserve">Uruguay tiene una estructura productiva basada principalmente en la explotación de sus recursos naturales. Cerca del </w:t>
      </w:r>
      <w:r w:rsidR="00001790">
        <w:rPr>
          <w:lang w:val="es-UY"/>
        </w:rPr>
        <w:t>85</w:t>
      </w:r>
      <w:r>
        <w:rPr>
          <w:lang w:val="es-UY"/>
        </w:rPr>
        <w:t xml:space="preserve">% de sus exportaciones de bienes son primarios o manufacturas de origen agropecuario. La exportación de servicios se ha expandido en los </w:t>
      </w:r>
      <w:r w:rsidR="00001790">
        <w:rPr>
          <w:lang w:val="es-UY"/>
        </w:rPr>
        <w:t>últimos años y representó</w:t>
      </w:r>
      <w:r>
        <w:rPr>
          <w:lang w:val="es-UY"/>
        </w:rPr>
        <w:t xml:space="preserve"> el </w:t>
      </w:r>
      <w:r w:rsidR="00B42AE0">
        <w:rPr>
          <w:lang w:val="es-UY"/>
        </w:rPr>
        <w:t>29%</w:t>
      </w:r>
      <w:r>
        <w:rPr>
          <w:lang w:val="es-UY"/>
        </w:rPr>
        <w:t xml:space="preserve"> de las exportaciones totales</w:t>
      </w:r>
      <w:r w:rsidR="00001790">
        <w:rPr>
          <w:lang w:val="es-UY"/>
        </w:rPr>
        <w:t xml:space="preserve"> del año 2017</w:t>
      </w:r>
      <w:r>
        <w:rPr>
          <w:lang w:val="es-UY"/>
        </w:rPr>
        <w:t xml:space="preserve">. Dentro de estas, el </w:t>
      </w:r>
      <w:r w:rsidR="00B42AE0">
        <w:rPr>
          <w:lang w:val="es-UY"/>
        </w:rPr>
        <w:t>53</w:t>
      </w:r>
      <w:r>
        <w:rPr>
          <w:lang w:val="es-UY"/>
        </w:rPr>
        <w:t xml:space="preserve">% corresponde al rubro viajes (esto es, turismo receptivo) y el </w:t>
      </w:r>
      <w:r w:rsidR="00B42AE0">
        <w:rPr>
          <w:lang w:val="es-UY"/>
        </w:rPr>
        <w:t>10</w:t>
      </w:r>
      <w:r>
        <w:rPr>
          <w:lang w:val="es-UY"/>
        </w:rPr>
        <w:t>% a servi</w:t>
      </w:r>
      <w:r w:rsidR="00A00E58">
        <w:rPr>
          <w:lang w:val="es-UY"/>
        </w:rPr>
        <w:t>cios de transporte y auxiliares</w:t>
      </w:r>
      <w:r w:rsidR="00B23488">
        <w:rPr>
          <w:lang w:val="es-UY"/>
        </w:rPr>
        <w:t xml:space="preserve">. </w:t>
      </w:r>
    </w:p>
    <w:p w:rsidR="00B23488" w:rsidRDefault="00B23488" w:rsidP="00524967">
      <w:pPr>
        <w:jc w:val="both"/>
        <w:rPr>
          <w:lang w:val="es-UY"/>
        </w:rPr>
      </w:pPr>
      <w:r>
        <w:rPr>
          <w:lang w:val="es-UY"/>
        </w:rPr>
        <w:t xml:space="preserve">Dentro de este panorama de relativamente escasa producción de servicios y bienes intensivos en conocimiento (SBIC), se </w:t>
      </w:r>
      <w:r w:rsidR="002C0760">
        <w:rPr>
          <w:lang w:val="es-UY"/>
        </w:rPr>
        <w:t>suele</w:t>
      </w:r>
      <w:r>
        <w:rPr>
          <w:lang w:val="es-UY"/>
        </w:rPr>
        <w:t xml:space="preserve"> destacar algunos casos de bienes incluso agrícolas (como la carne bovina) que incorpora </w:t>
      </w:r>
      <w:r w:rsidR="0034316E">
        <w:rPr>
          <w:lang w:val="es-UY"/>
        </w:rPr>
        <w:t xml:space="preserve">en su proceso productivo </w:t>
      </w:r>
      <w:r>
        <w:rPr>
          <w:lang w:val="es-UY"/>
        </w:rPr>
        <w:t>tecnologías de la información desarrolla</w:t>
      </w:r>
      <w:bookmarkStart w:id="0" w:name="_GoBack"/>
      <w:bookmarkEnd w:id="0"/>
      <w:r>
        <w:rPr>
          <w:lang w:val="es-UY"/>
        </w:rPr>
        <w:t>das localmente</w:t>
      </w:r>
      <w:r w:rsidR="0022049E">
        <w:rPr>
          <w:lang w:val="es-UY"/>
        </w:rPr>
        <w:t>, pero que no logran ser considerados intensivos en conocimiento, dado que su principal factor p</w:t>
      </w:r>
      <w:r w:rsidR="00202FC9">
        <w:rPr>
          <w:lang w:val="es-UY"/>
        </w:rPr>
        <w:t>roductivo es el recurso natural</w:t>
      </w:r>
      <w:r>
        <w:rPr>
          <w:lang w:val="es-UY"/>
        </w:rPr>
        <w:t xml:space="preserve">. En el sector industrial, se pueden citar algunos casos de incorporación de conocimiento en la producción de bienes de biotecnología o de insumos para la industria médica. Según el informe </w:t>
      </w:r>
      <w:r w:rsidR="008A37EE">
        <w:rPr>
          <w:lang w:val="es-UY"/>
        </w:rPr>
        <w:t>“Contenido Tecnológico de las Exportaciones</w:t>
      </w:r>
      <w:r w:rsidR="00454F6C">
        <w:rPr>
          <w:lang w:val="es-UY"/>
        </w:rPr>
        <w:t>”</w:t>
      </w:r>
      <w:r w:rsidR="00A00E58">
        <w:rPr>
          <w:lang w:val="es-UY"/>
        </w:rPr>
        <w:t>, realizado por CINVE CENIT (2014)</w:t>
      </w:r>
      <w:r w:rsidR="00FD42E6">
        <w:rPr>
          <w:lang w:val="es-UY"/>
        </w:rPr>
        <w:t xml:space="preserve">, los sectores de </w:t>
      </w:r>
      <w:r w:rsidR="008A37EE">
        <w:rPr>
          <w:lang w:val="es-UY"/>
        </w:rPr>
        <w:t>Programación, Consultoría en TI y actividades relacionadas (CIIU</w:t>
      </w:r>
      <w:r w:rsidR="00447648">
        <w:rPr>
          <w:rStyle w:val="FootnoteReference"/>
          <w:lang w:val="es-UY"/>
        </w:rPr>
        <w:footnoteReference w:id="1"/>
      </w:r>
      <w:r w:rsidR="008A37EE">
        <w:rPr>
          <w:lang w:val="es-UY"/>
        </w:rPr>
        <w:t xml:space="preserve"> 62 rev4)</w:t>
      </w:r>
      <w:r w:rsidR="00FD42E6">
        <w:rPr>
          <w:lang w:val="es-UY"/>
        </w:rPr>
        <w:t xml:space="preserve">, </w:t>
      </w:r>
      <w:r w:rsidR="008A37EE">
        <w:rPr>
          <w:lang w:val="es-UY"/>
        </w:rPr>
        <w:t xml:space="preserve">Actividades de ingeniería y arquitectura y análisis (CIIU 71 rev4) e Investigación científica y desarrollo (CIIU 72 rev4) </w:t>
      </w:r>
      <w:r w:rsidR="00FD42E6">
        <w:rPr>
          <w:lang w:val="es-UY"/>
        </w:rPr>
        <w:t>son los que más nivel de innovación contienen</w:t>
      </w:r>
      <w:r w:rsidR="008A37EE">
        <w:rPr>
          <w:lang w:val="es-UY"/>
        </w:rPr>
        <w:t xml:space="preserve">, aunque el grueso de la innovación la lleva adelante, por su tamaño, el primero de los mencionados. Según este informe, la proporción de la innovación en el producto de la rama CIIU 62 era de 2,83%. </w:t>
      </w:r>
      <w:r w:rsidR="00FD42E6">
        <w:rPr>
          <w:lang w:val="es-UY"/>
        </w:rPr>
        <w:t xml:space="preserve">En Uruguay, la provisión de SBIC tiene su centro en el sector de Tecnologías de la Información, que contiene una larga tradición de </w:t>
      </w:r>
      <w:r w:rsidR="00E744FE">
        <w:rPr>
          <w:lang w:val="es-UY"/>
        </w:rPr>
        <w:t xml:space="preserve">internacionalización de la producción. </w:t>
      </w:r>
      <w:r w:rsidR="00447648">
        <w:rPr>
          <w:lang w:val="es-UY"/>
        </w:rPr>
        <w:t>A partir de una</w:t>
      </w:r>
      <w:r w:rsidR="002C0760">
        <w:rPr>
          <w:lang w:val="es-UY"/>
        </w:rPr>
        <w:t xml:space="preserve"> matriz</w:t>
      </w:r>
      <w:r w:rsidR="00447648">
        <w:rPr>
          <w:lang w:val="es-UY"/>
        </w:rPr>
        <w:t xml:space="preserve"> insumo producto que permite estimar los encadenamientos con los otros sectores, </w:t>
      </w:r>
      <w:r w:rsidR="001052F9">
        <w:rPr>
          <w:lang w:val="es-UY"/>
        </w:rPr>
        <w:t>Brun</w:t>
      </w:r>
      <w:r w:rsidR="00447648">
        <w:rPr>
          <w:lang w:val="es-UY"/>
        </w:rPr>
        <w:t xml:space="preserve"> y Lalanne (2017) estiman el valor agregado nacional por sector exportador y luego lo dividen según la contribu</w:t>
      </w:r>
      <w:r w:rsidR="00A27A81">
        <w:rPr>
          <w:lang w:val="es-UY"/>
        </w:rPr>
        <w:t>ción de cada factor. En general</w:t>
      </w:r>
      <w:r w:rsidR="00447648">
        <w:rPr>
          <w:lang w:val="es-UY"/>
        </w:rPr>
        <w:t xml:space="preserve"> encuentran que los servicios contienen mayor peso de remuneraciones a calificados dentro del valor agregado que los bienes, siendo los servicios a las empresas </w:t>
      </w:r>
      <w:r w:rsidR="002C0760">
        <w:rPr>
          <w:lang w:val="es-UY"/>
        </w:rPr>
        <w:t xml:space="preserve">(donde se incluyen, según la clasificación del trabajo, a los servicios informáticos y también a los servicios profesionales) </w:t>
      </w:r>
      <w:r w:rsidR="00447648">
        <w:rPr>
          <w:lang w:val="es-UY"/>
        </w:rPr>
        <w:t xml:space="preserve">y los financieros los que </w:t>
      </w:r>
      <w:r w:rsidR="002C0760">
        <w:rPr>
          <w:lang w:val="es-UY"/>
        </w:rPr>
        <w:t>más</w:t>
      </w:r>
      <w:r w:rsidR="00447648">
        <w:rPr>
          <w:lang w:val="es-UY"/>
        </w:rPr>
        <w:t xml:space="preserve"> </w:t>
      </w:r>
      <w:r w:rsidR="002C0760">
        <w:rPr>
          <w:lang w:val="es-UY"/>
        </w:rPr>
        <w:t>integran trabajo calificado. Dentro de los bienes, el trabajo encuentra que los sectores de producción de medicamentos y la industria química en general son los que contienen mayor incidencia del trabajo calificado, medido a través de las remunerac</w:t>
      </w:r>
      <w:r w:rsidR="00A724EA">
        <w:rPr>
          <w:lang w:val="es-UY"/>
        </w:rPr>
        <w:t>iones. El resto de los sectores</w:t>
      </w:r>
      <w:r w:rsidR="002C0760">
        <w:rPr>
          <w:lang w:val="es-UY"/>
        </w:rPr>
        <w:t xml:space="preserve"> tienen un peso de remuneraciones a calificados menor al 10% del valor exportado. Esto es así porque los sectores primarios y la agroindustria están basados intensivamente en recursos natrales y el resto de la industria tiene una alta dependencia de insumos importados. </w:t>
      </w:r>
      <w:r w:rsidR="00202FC9">
        <w:rPr>
          <w:lang w:val="es-UY"/>
        </w:rPr>
        <w:t xml:space="preserve">Aunque este trabajo no refiere exclusivamente a la provisión de Tecnologías de la Información y la Comunicación (TICS) sino a un conjunto más amplio </w:t>
      </w:r>
      <w:r w:rsidR="00E81693">
        <w:rPr>
          <w:lang w:val="es-UY"/>
        </w:rPr>
        <w:t xml:space="preserve">de rubros, para caracterizar a los SBIC </w:t>
      </w:r>
      <w:r w:rsidR="00202FC9">
        <w:rPr>
          <w:lang w:val="es-UY"/>
        </w:rPr>
        <w:t xml:space="preserve">se deben mencionar algunos aspectos del </w:t>
      </w:r>
      <w:proofErr w:type="spellStart"/>
      <w:r w:rsidR="00202FC9" w:rsidRPr="00202FC9">
        <w:rPr>
          <w:i/>
          <w:lang w:val="es-UY"/>
        </w:rPr>
        <w:t>core</w:t>
      </w:r>
      <w:proofErr w:type="spellEnd"/>
      <w:r w:rsidR="00202FC9">
        <w:rPr>
          <w:lang w:val="es-UY"/>
        </w:rPr>
        <w:t xml:space="preserve"> del sector. </w:t>
      </w:r>
    </w:p>
    <w:p w:rsidR="00E81693" w:rsidRDefault="00E81693" w:rsidP="00524967">
      <w:pPr>
        <w:jc w:val="both"/>
        <w:rPr>
          <w:lang w:val="es-UY"/>
        </w:rPr>
      </w:pPr>
    </w:p>
    <w:p w:rsidR="00810A61" w:rsidRPr="00A724EA" w:rsidRDefault="00810A61" w:rsidP="00524967">
      <w:pPr>
        <w:jc w:val="both"/>
        <w:rPr>
          <w:lang w:val="es-UY"/>
        </w:rPr>
      </w:pPr>
    </w:p>
    <w:p w:rsidR="00215C1F" w:rsidRPr="00215C1F" w:rsidRDefault="00215C1F" w:rsidP="00215C1F">
      <w:pPr>
        <w:pStyle w:val="ListParagraph"/>
        <w:numPr>
          <w:ilvl w:val="0"/>
          <w:numId w:val="10"/>
        </w:numPr>
        <w:tabs>
          <w:tab w:val="left" w:pos="6180"/>
        </w:tabs>
        <w:jc w:val="both"/>
        <w:rPr>
          <w:i/>
          <w:lang w:val="es-UY"/>
        </w:rPr>
      </w:pPr>
      <w:r w:rsidRPr="00215C1F">
        <w:rPr>
          <w:i/>
          <w:lang w:val="es-UY"/>
        </w:rPr>
        <w:t xml:space="preserve">Ecosistema </w:t>
      </w:r>
    </w:p>
    <w:p w:rsidR="00F175B6" w:rsidRPr="00215C1F" w:rsidRDefault="00297517" w:rsidP="00215C1F">
      <w:pPr>
        <w:tabs>
          <w:tab w:val="left" w:pos="6180"/>
        </w:tabs>
        <w:jc w:val="both"/>
        <w:rPr>
          <w:lang w:val="es-UY"/>
        </w:rPr>
      </w:pPr>
      <w:r>
        <w:rPr>
          <w:lang w:val="es-UY"/>
        </w:rPr>
        <w:t xml:space="preserve">En Uruguay hay 500 empresas estables produciendo en la industria de las TICS. Según los datos de la Cámara Uruguaya de Tecnologías de la Información (CUTI), </w:t>
      </w:r>
      <w:r w:rsidR="000772C0">
        <w:rPr>
          <w:lang w:val="es-UY"/>
        </w:rPr>
        <w:t xml:space="preserve">75% de las empresas exportan y </w:t>
      </w:r>
      <w:r>
        <w:rPr>
          <w:lang w:val="es-UY"/>
        </w:rPr>
        <w:t>alrededor de un tercio de las ventas totales se orientan al exterior</w:t>
      </w:r>
      <w:r w:rsidR="000772C0">
        <w:rPr>
          <w:lang w:val="es-UY"/>
        </w:rPr>
        <w:t xml:space="preserve">. </w:t>
      </w:r>
    </w:p>
    <w:p w:rsidR="00E10EE7" w:rsidRPr="00E10EE7" w:rsidRDefault="00E10EE7" w:rsidP="00E10EE7">
      <w:pPr>
        <w:tabs>
          <w:tab w:val="left" w:pos="6180"/>
        </w:tabs>
        <w:jc w:val="both"/>
        <w:rPr>
          <w:lang w:val="es-UY"/>
        </w:rPr>
      </w:pPr>
      <w:r w:rsidRPr="00E10EE7">
        <w:rPr>
          <w:lang w:val="es-UY"/>
        </w:rPr>
        <w:t xml:space="preserve">El sector de las TICS es unos de los más innovadores del entorno. Según </w:t>
      </w:r>
      <w:r w:rsidR="00A00E58">
        <w:rPr>
          <w:lang w:val="es-UY"/>
        </w:rPr>
        <w:t xml:space="preserve">mencionado </w:t>
      </w:r>
      <w:r w:rsidRPr="00E10EE7">
        <w:rPr>
          <w:lang w:val="es-UY"/>
        </w:rPr>
        <w:t>el informe Contenido T</w:t>
      </w:r>
      <w:r w:rsidR="00A00E58">
        <w:rPr>
          <w:lang w:val="es-UY"/>
        </w:rPr>
        <w:t>ecnológico de las exportaciones</w:t>
      </w:r>
      <w:r w:rsidRPr="00E10EE7">
        <w:rPr>
          <w:lang w:val="es-UY"/>
        </w:rPr>
        <w:t xml:space="preserve">, el sector de TICS era el tercero en proporción de gasto en actividades de innovación y desarrollo como proporción de la producción. Según la encuesta 2016 de CUTI, las empresas del sector destinaron el 5% de su presupuesto a tareas de investigación y desarrollo. </w:t>
      </w:r>
    </w:p>
    <w:p w:rsidR="00F175B6" w:rsidRDefault="00F175B6" w:rsidP="00F175B6">
      <w:pPr>
        <w:tabs>
          <w:tab w:val="left" w:pos="6180"/>
        </w:tabs>
        <w:jc w:val="both"/>
        <w:rPr>
          <w:lang w:val="es-UY"/>
        </w:rPr>
      </w:pPr>
      <w:r>
        <w:rPr>
          <w:lang w:val="es-UY"/>
        </w:rPr>
        <w:t xml:space="preserve">Creada a partir de un proyecto BID FOMIN, la incubadora ingenio tiene experiencia en la promoción de </w:t>
      </w:r>
      <w:r w:rsidRPr="002F3360">
        <w:rPr>
          <w:i/>
          <w:lang w:val="es-UY"/>
        </w:rPr>
        <w:t>startups</w:t>
      </w:r>
      <w:r>
        <w:rPr>
          <w:lang w:val="es-UY"/>
        </w:rPr>
        <w:t xml:space="preserve"> orientadas a la tecnología, donde ya ha incubado a más de 200 </w:t>
      </w:r>
      <w:r w:rsidRPr="002F3360">
        <w:rPr>
          <w:i/>
          <w:lang w:val="es-UY"/>
        </w:rPr>
        <w:t>startups</w:t>
      </w:r>
      <w:r>
        <w:rPr>
          <w:lang w:val="es-UY"/>
        </w:rPr>
        <w:t xml:space="preserve">. Actualmente Ingenio es financiada por el LATU y por el aporte de los </w:t>
      </w:r>
      <w:proofErr w:type="spellStart"/>
      <w:r>
        <w:rPr>
          <w:lang w:val="es-UY"/>
        </w:rPr>
        <w:t>incubandos</w:t>
      </w:r>
      <w:proofErr w:type="spellEnd"/>
      <w:r>
        <w:rPr>
          <w:lang w:val="es-UY"/>
        </w:rPr>
        <w:t xml:space="preserve"> exitosos en los primeros dos años de egresados. Ingenio provee infraestructura y asesoramiento en el desarrollo de su negocio. </w:t>
      </w:r>
    </w:p>
    <w:p w:rsidR="00F175B6" w:rsidRDefault="00F175B6" w:rsidP="00F175B6">
      <w:pPr>
        <w:tabs>
          <w:tab w:val="left" w:pos="6180"/>
        </w:tabs>
        <w:jc w:val="both"/>
        <w:rPr>
          <w:lang w:val="es-UY"/>
        </w:rPr>
      </w:pPr>
      <w:r>
        <w:rPr>
          <w:lang w:val="es-UY"/>
        </w:rPr>
        <w:t xml:space="preserve">En general el sector de SBIC tiende a estar concentrado geográficamente en parques o áreas donde se produce interacción entre empleados de diferentes empresas y se puede potenciar la economía colaborativa. Los proyectos más pequeños encuentran en las oficinas de </w:t>
      </w:r>
      <w:proofErr w:type="spellStart"/>
      <w:r w:rsidRPr="007547DD">
        <w:rPr>
          <w:i/>
          <w:lang w:val="es-UY"/>
        </w:rPr>
        <w:t>Cowork</w:t>
      </w:r>
      <w:proofErr w:type="spellEnd"/>
      <w:r>
        <w:rPr>
          <w:lang w:val="es-UY"/>
        </w:rPr>
        <w:t xml:space="preserve">, ubicadas en zonas céntricas de la ciudad de Montevideo, espacio, infraestructura y entorno. </w:t>
      </w:r>
    </w:p>
    <w:p w:rsidR="00F175B6" w:rsidRDefault="00F175B6" w:rsidP="00F175B6">
      <w:pPr>
        <w:tabs>
          <w:tab w:val="left" w:pos="6180"/>
        </w:tabs>
        <w:jc w:val="both"/>
        <w:rPr>
          <w:lang w:val="es-UY"/>
        </w:rPr>
      </w:pPr>
      <w:r>
        <w:rPr>
          <w:lang w:val="es-UY"/>
        </w:rPr>
        <w:t xml:space="preserve">En el entorno de TICs coexisten algunos jugadores grandes y con mucha experiencia con jugadores pequeños y medianos. Además, aunque el </w:t>
      </w:r>
      <w:proofErr w:type="spellStart"/>
      <w:r w:rsidRPr="00757170">
        <w:rPr>
          <w:i/>
          <w:lang w:val="es-UY"/>
        </w:rPr>
        <w:t>core</w:t>
      </w:r>
      <w:proofErr w:type="spellEnd"/>
      <w:r>
        <w:rPr>
          <w:lang w:val="es-UY"/>
        </w:rPr>
        <w:t xml:space="preserve"> del sector es nacional, hay significativa presencia de empresas extranjeras. Estas tienen tres formas de ingresar al mercado nacional: algunas de ellas compran una firma local ya exitosa e incrementan su tamaño, otras trasnacionales grandes tienen dilatada trayectoria en el mercado local y fuertes vínculos con el entorno local, eligiendo exportar desde su filial o socio nacional. Finalmente, también hay cierta inversión </w:t>
      </w:r>
      <w:r w:rsidRPr="00757170">
        <w:rPr>
          <w:i/>
          <w:lang w:val="es-UY"/>
        </w:rPr>
        <w:t>greenfield</w:t>
      </w:r>
      <w:r>
        <w:rPr>
          <w:lang w:val="es-UY"/>
        </w:rPr>
        <w:t xml:space="preserve"> que elige el país como plataforma de exportación. Muchas empresas decid</w:t>
      </w:r>
      <w:r w:rsidR="00A724EA">
        <w:rPr>
          <w:lang w:val="es-UY"/>
        </w:rPr>
        <w:t>en proveer sus servicios desde Zonas F</w:t>
      </w:r>
      <w:r>
        <w:rPr>
          <w:lang w:val="es-UY"/>
        </w:rPr>
        <w:t xml:space="preserve">rancas, donde tienen seguridad jurídica e infraestructura. Hay tres Zonas Francas que atienden el segmento: la más antigua y diversificada es </w:t>
      </w:r>
      <w:proofErr w:type="spellStart"/>
      <w:r>
        <w:rPr>
          <w:lang w:val="es-UY"/>
        </w:rPr>
        <w:t>Zonamérica</w:t>
      </w:r>
      <w:proofErr w:type="spellEnd"/>
      <w:r>
        <w:rPr>
          <w:lang w:val="es-UY"/>
        </w:rPr>
        <w:t xml:space="preserve"> que cuenta con edificios concebidos directamente para servir como plataforma de servicios tecnológicos. También el </w:t>
      </w:r>
      <w:proofErr w:type="spellStart"/>
      <w:r w:rsidRPr="00A724EA">
        <w:rPr>
          <w:i/>
          <w:lang w:val="es-UY"/>
        </w:rPr>
        <w:t>W</w:t>
      </w:r>
      <w:r w:rsidR="00A724EA" w:rsidRPr="00A724EA">
        <w:rPr>
          <w:i/>
          <w:lang w:val="es-UY"/>
        </w:rPr>
        <w:t>orld</w:t>
      </w:r>
      <w:proofErr w:type="spellEnd"/>
      <w:r w:rsidR="00A724EA" w:rsidRPr="00A724EA">
        <w:rPr>
          <w:i/>
          <w:lang w:val="es-UY"/>
        </w:rPr>
        <w:t xml:space="preserve"> </w:t>
      </w:r>
      <w:proofErr w:type="spellStart"/>
      <w:r w:rsidRPr="00A724EA">
        <w:rPr>
          <w:i/>
          <w:lang w:val="es-UY"/>
        </w:rPr>
        <w:t>T</w:t>
      </w:r>
      <w:r w:rsidR="00A724EA" w:rsidRPr="00A724EA">
        <w:rPr>
          <w:i/>
          <w:lang w:val="es-UY"/>
        </w:rPr>
        <w:t>rade</w:t>
      </w:r>
      <w:proofErr w:type="spellEnd"/>
      <w:r w:rsidR="00A724EA" w:rsidRPr="00A724EA">
        <w:rPr>
          <w:i/>
          <w:lang w:val="es-UY"/>
        </w:rPr>
        <w:t xml:space="preserve"> </w:t>
      </w:r>
      <w:r w:rsidRPr="00A724EA">
        <w:rPr>
          <w:i/>
          <w:lang w:val="es-UY"/>
        </w:rPr>
        <w:t>C</w:t>
      </w:r>
      <w:r w:rsidR="00A724EA" w:rsidRPr="00A724EA">
        <w:rPr>
          <w:i/>
          <w:lang w:val="es-UY"/>
        </w:rPr>
        <w:t>enter</w:t>
      </w:r>
      <w:r>
        <w:rPr>
          <w:lang w:val="es-UY"/>
        </w:rPr>
        <w:t xml:space="preserve"> ha construido un entorno de infraestructura orientada a algunos segmentos como la consultoría y el financiero, mientras que </w:t>
      </w:r>
      <w:r w:rsidRPr="00A724EA">
        <w:rPr>
          <w:i/>
          <w:lang w:val="es-UY"/>
        </w:rPr>
        <w:t>Aguada Park</w:t>
      </w:r>
      <w:r>
        <w:rPr>
          <w:lang w:val="es-UY"/>
        </w:rPr>
        <w:t xml:space="preserve"> alberga firmas de mayor tamaño. </w:t>
      </w:r>
    </w:p>
    <w:p w:rsidR="00F175B6" w:rsidRDefault="004658C4" w:rsidP="004658C4">
      <w:pPr>
        <w:tabs>
          <w:tab w:val="left" w:pos="6180"/>
        </w:tabs>
        <w:jc w:val="both"/>
        <w:rPr>
          <w:lang w:val="es-UY"/>
        </w:rPr>
      </w:pPr>
      <w:r>
        <w:rPr>
          <w:lang w:val="es-UY"/>
        </w:rPr>
        <w:t>La CUTI</w:t>
      </w:r>
      <w:r w:rsidR="00F175B6">
        <w:rPr>
          <w:lang w:val="es-UY"/>
        </w:rPr>
        <w:t xml:space="preserve"> es la organización que reúne a las empresas de desarrollo de software, consultoría y telecomunicaciones. Tiene más de 300 socios activos. Según la indicación propia de cada empresa, un cuarto</w:t>
      </w:r>
      <w:r w:rsidR="00A724EA">
        <w:rPr>
          <w:lang w:val="es-UY"/>
        </w:rPr>
        <w:t xml:space="preserve"> del total </w:t>
      </w:r>
      <w:r w:rsidR="00F175B6">
        <w:rPr>
          <w:lang w:val="es-UY"/>
        </w:rPr>
        <w:t xml:space="preserve">se define como de “Tecnología” y otros segmentos más indicados son, en ese orden: financiero, gobierno, general, salud, telecomunicaciones, </w:t>
      </w:r>
      <w:proofErr w:type="spellStart"/>
      <w:r w:rsidR="00F175B6" w:rsidRPr="00F16CF8">
        <w:rPr>
          <w:i/>
          <w:lang w:val="es-UY"/>
        </w:rPr>
        <w:t>retail</w:t>
      </w:r>
      <w:proofErr w:type="spellEnd"/>
      <w:r w:rsidR="00F175B6">
        <w:rPr>
          <w:lang w:val="es-UY"/>
        </w:rPr>
        <w:t xml:space="preserve">, manufactura, industria, </w:t>
      </w:r>
      <w:r w:rsidR="00F175B6" w:rsidRPr="00F16CF8">
        <w:rPr>
          <w:i/>
          <w:lang w:val="es-UY"/>
        </w:rPr>
        <w:t>e-</w:t>
      </w:r>
      <w:proofErr w:type="spellStart"/>
      <w:r w:rsidR="00F175B6" w:rsidRPr="00F16CF8">
        <w:rPr>
          <w:i/>
          <w:lang w:val="es-UY"/>
        </w:rPr>
        <w:t>commerce</w:t>
      </w:r>
      <w:proofErr w:type="spellEnd"/>
      <w:r w:rsidR="00F175B6">
        <w:rPr>
          <w:lang w:val="es-UY"/>
        </w:rPr>
        <w:t xml:space="preserve">, logística, educación, recursos humanos. Dadas </w:t>
      </w:r>
      <w:r>
        <w:rPr>
          <w:lang w:val="es-UY"/>
        </w:rPr>
        <w:t>las</w:t>
      </w:r>
      <w:r w:rsidR="00F175B6">
        <w:rPr>
          <w:lang w:val="es-UY"/>
        </w:rPr>
        <w:t xml:space="preserve"> definiciones</w:t>
      </w:r>
      <w:r>
        <w:rPr>
          <w:lang w:val="es-UY"/>
        </w:rPr>
        <w:t xml:space="preserve"> que indican las propias empresas</w:t>
      </w:r>
      <w:r w:rsidR="00F175B6">
        <w:rPr>
          <w:lang w:val="es-UY"/>
        </w:rPr>
        <w:t>, es bastante claro que hay una gran cantidad de “verticales”.</w:t>
      </w:r>
    </w:p>
    <w:p w:rsidR="00F175B6" w:rsidRDefault="00F175B6" w:rsidP="00F175B6">
      <w:pPr>
        <w:tabs>
          <w:tab w:val="left" w:pos="6180"/>
        </w:tabs>
        <w:jc w:val="both"/>
        <w:rPr>
          <w:lang w:val="es-UY"/>
        </w:rPr>
      </w:pPr>
      <w:r>
        <w:rPr>
          <w:lang w:val="es-UY"/>
        </w:rPr>
        <w:lastRenderedPageBreak/>
        <w:t xml:space="preserve">El mapa estratégico 2015-2020 de CUTI muestra las principales preocupaciones de las empresas TIC en Uruguay. Identifican escasez de mano de obra, falta de política que fomenten el </w:t>
      </w:r>
      <w:proofErr w:type="spellStart"/>
      <w:r>
        <w:rPr>
          <w:lang w:val="es-UY"/>
        </w:rPr>
        <w:t>emprendedurismo</w:t>
      </w:r>
      <w:proofErr w:type="spellEnd"/>
      <w:r>
        <w:rPr>
          <w:lang w:val="es-UY"/>
        </w:rPr>
        <w:t xml:space="preserve">, insuficiencia de capital de riesgo e inadecuada legislación laboral. Abogan por un incremento de la demanda por software nacional a través de las compras públicas, la promoción en el uso de software vertical en algunas industrias como el turismo y el incremento de las exportaciones a través de una agresiva promoción en el exterior de los desarrollos nacionales. Establecieron algunas metas en el crecimiento de las exportaciones, aumento de matriculación en carreras de Ciencias de la Información y atracción del empleo extranjero.  </w:t>
      </w:r>
    </w:p>
    <w:p w:rsidR="00F175B6" w:rsidRPr="003F4A8C" w:rsidRDefault="00F175B6" w:rsidP="00F175B6">
      <w:pPr>
        <w:tabs>
          <w:tab w:val="left" w:pos="6180"/>
        </w:tabs>
        <w:jc w:val="both"/>
        <w:rPr>
          <w:lang w:val="es-UY"/>
        </w:rPr>
      </w:pPr>
      <w:r>
        <w:rPr>
          <w:lang w:val="es-UY"/>
        </w:rPr>
        <w:t>L</w:t>
      </w:r>
      <w:r w:rsidRPr="003F4A8C">
        <w:rPr>
          <w:lang w:val="es-UY"/>
        </w:rPr>
        <w:t xml:space="preserve">a Cámara de Economía Digital </w:t>
      </w:r>
      <w:r>
        <w:rPr>
          <w:lang w:val="es-UY"/>
        </w:rPr>
        <w:t>del Uruguay (CEDU) se creó en 2015 para mejorar la interacción entre instituciones dedicadas al e-</w:t>
      </w:r>
      <w:proofErr w:type="spellStart"/>
      <w:r w:rsidRPr="00D703D7">
        <w:rPr>
          <w:i/>
          <w:lang w:val="es-UY"/>
        </w:rPr>
        <w:t>commerce</w:t>
      </w:r>
      <w:proofErr w:type="spellEnd"/>
      <w:r>
        <w:rPr>
          <w:lang w:val="es-UY"/>
        </w:rPr>
        <w:t xml:space="preserve">, en general domésticas. Esta asociación de reguladores, proveedores de TI, canales de pago, </w:t>
      </w:r>
      <w:proofErr w:type="spellStart"/>
      <w:r w:rsidRPr="00E84B9A">
        <w:rPr>
          <w:i/>
          <w:lang w:val="es-UY"/>
        </w:rPr>
        <w:t>couriers</w:t>
      </w:r>
      <w:proofErr w:type="spellEnd"/>
      <w:r>
        <w:rPr>
          <w:lang w:val="es-UY"/>
        </w:rPr>
        <w:t xml:space="preserve">, instituciones financieras, publicidad, </w:t>
      </w:r>
      <w:proofErr w:type="spellStart"/>
      <w:r w:rsidRPr="00E84B9A">
        <w:rPr>
          <w:i/>
          <w:lang w:val="es-UY"/>
        </w:rPr>
        <w:t>retailiers</w:t>
      </w:r>
      <w:proofErr w:type="spellEnd"/>
      <w:r>
        <w:rPr>
          <w:lang w:val="es-UY"/>
        </w:rPr>
        <w:t xml:space="preserve"> y desarrolladores. El objetivo de la Asociación es promover el buen uso de las tecnologías en las compras, especialmente en internet. </w:t>
      </w:r>
    </w:p>
    <w:p w:rsidR="00F175B6" w:rsidRDefault="00F175B6" w:rsidP="00F175B6">
      <w:pPr>
        <w:tabs>
          <w:tab w:val="left" w:pos="6180"/>
        </w:tabs>
        <w:jc w:val="both"/>
        <w:rPr>
          <w:lang w:val="es-UY"/>
        </w:rPr>
      </w:pPr>
      <w:r>
        <w:rPr>
          <w:lang w:val="es-UY"/>
        </w:rPr>
        <w:t xml:space="preserve">El proyecto “ICT4V”, desarrollado conjuntamente por el LATU y la CUTI propone la creación de asociaciones entre empresas para desarrollar proyectos conjuntos que integren tecnologías de punta. Las empresas asociadas al centro tienen la posibilidad de beneficiarse de dos tipos de proyectos: los proyectos horizontales son utilizados por todos los miembros de la asociación y consisten en la difusión de tecnologías, organización de eventos e instalación de plataformas comunes. Los proyectos verticales tienen el objetivo de la innovación, desarrollo de tecnología o asesoramiento y son integrados por los </w:t>
      </w:r>
      <w:proofErr w:type="spellStart"/>
      <w:r w:rsidRPr="000A5E72">
        <w:rPr>
          <w:i/>
          <w:lang w:val="es-UY"/>
        </w:rPr>
        <w:t>partners</w:t>
      </w:r>
      <w:proofErr w:type="spellEnd"/>
      <w:r>
        <w:rPr>
          <w:lang w:val="es-UY"/>
        </w:rPr>
        <w:t xml:space="preserve"> específicos que los solicitan. Pueden solicitar financiamiento externo. Cada proyecto vertical define todos los asuntos relacionados con la propiedad intelectual. </w:t>
      </w:r>
    </w:p>
    <w:p w:rsidR="00F175B6" w:rsidRDefault="00F175B6" w:rsidP="00F175B6">
      <w:pPr>
        <w:tabs>
          <w:tab w:val="left" w:pos="6180"/>
        </w:tabs>
        <w:jc w:val="both"/>
        <w:rPr>
          <w:lang w:val="es-UY"/>
        </w:rPr>
      </w:pPr>
      <w:r>
        <w:rPr>
          <w:lang w:val="es-UY"/>
        </w:rPr>
        <w:t>En 2017 se formó el Centro Académico de Análisis de Big Data</w:t>
      </w:r>
      <w:r w:rsidRPr="00F15AC3">
        <w:rPr>
          <w:lang w:val="es-UY"/>
        </w:rPr>
        <w:t xml:space="preserve"> </w:t>
      </w:r>
      <w:r>
        <w:rPr>
          <w:lang w:val="es-UY"/>
        </w:rPr>
        <w:t xml:space="preserve">(CABIDA), formado principalmente por académicos de la Universidad de la República, con la finalidad de integrar a los investigadores relacionados con el </w:t>
      </w:r>
      <w:r w:rsidRPr="00F82036">
        <w:rPr>
          <w:i/>
          <w:lang w:val="es-UY"/>
        </w:rPr>
        <w:t xml:space="preserve">Data </w:t>
      </w:r>
      <w:proofErr w:type="spellStart"/>
      <w:r w:rsidRPr="00F82036">
        <w:rPr>
          <w:i/>
          <w:lang w:val="es-UY"/>
        </w:rPr>
        <w:t>Driven</w:t>
      </w:r>
      <w:proofErr w:type="spellEnd"/>
      <w:r w:rsidRPr="00F82036">
        <w:rPr>
          <w:i/>
          <w:lang w:val="es-UY"/>
        </w:rPr>
        <w:t xml:space="preserve"> </w:t>
      </w:r>
      <w:proofErr w:type="spellStart"/>
      <w:r w:rsidRPr="00F82036">
        <w:rPr>
          <w:i/>
          <w:lang w:val="es-UY"/>
        </w:rPr>
        <w:t>Science</w:t>
      </w:r>
      <w:proofErr w:type="spellEnd"/>
      <w:r>
        <w:rPr>
          <w:lang w:val="es-UY"/>
        </w:rPr>
        <w:t xml:space="preserve"> en la solución de problemas a través de la transferencia de tecnología y la potenciación de las capacidades de análisis. En mayo de este año dicha institución patrocinó un Workshop donde participaron expertos internacionales en Big Data. </w:t>
      </w:r>
    </w:p>
    <w:p w:rsidR="00F175B6" w:rsidRPr="00215C1F" w:rsidRDefault="00F175B6" w:rsidP="00215C1F">
      <w:pPr>
        <w:pStyle w:val="ListParagraph"/>
        <w:numPr>
          <w:ilvl w:val="0"/>
          <w:numId w:val="10"/>
        </w:numPr>
        <w:tabs>
          <w:tab w:val="left" w:pos="6180"/>
        </w:tabs>
        <w:jc w:val="both"/>
        <w:rPr>
          <w:i/>
          <w:lang w:val="es-UY"/>
        </w:rPr>
      </w:pPr>
      <w:r w:rsidRPr="00215C1F">
        <w:rPr>
          <w:i/>
          <w:lang w:val="es-UY"/>
        </w:rPr>
        <w:t>Educación y recursos humanos</w:t>
      </w:r>
    </w:p>
    <w:p w:rsidR="00F175B6" w:rsidRDefault="00F175B6" w:rsidP="00F175B6">
      <w:pPr>
        <w:tabs>
          <w:tab w:val="left" w:pos="6180"/>
        </w:tabs>
        <w:jc w:val="both"/>
        <w:rPr>
          <w:lang w:val="es-UY"/>
        </w:rPr>
      </w:pPr>
      <w:r>
        <w:rPr>
          <w:lang w:val="es-UY"/>
        </w:rPr>
        <w:t xml:space="preserve">Conducido por una mejora tecnológica continua, el entorno en el sector está siempre cambiando. Aunque hay cinco universidades ofreciendo el título de Ingeniero de sistemas, la mayoría de los profesionales son graduados de la estatal y gratuita Universidad de la República y la privada Universidad ORT, incluso en títulos de menor duración que la titulación de Ingeniero, que dura cinco años en todas las carreras. Debido a la creciente demanda por flexibilidad, el sistema educativo ofrece carreras de cuatro (Licenciatura en sistemas / computación), tres (Analista en sistemas / computación) o dos años (programador / asistente en computación). Todas las universidades tienen un sistema de promoción de startups con espacio físico y virtual y difusión de conceptos de desarrollo de negocios, entre los que se destaca el Centro de Innovación y Emprendimientos de la Universidad ORT, donde se incuban la mayoría de las </w:t>
      </w:r>
      <w:r w:rsidRPr="00E2475E">
        <w:rPr>
          <w:i/>
          <w:lang w:val="es-UY"/>
        </w:rPr>
        <w:t>startups</w:t>
      </w:r>
      <w:r>
        <w:rPr>
          <w:lang w:val="es-UY"/>
        </w:rPr>
        <w:t xml:space="preserve"> del país. Otro caso de referencia es la Fundación </w:t>
      </w:r>
      <w:proofErr w:type="spellStart"/>
      <w:r>
        <w:rPr>
          <w:lang w:val="es-UY"/>
        </w:rPr>
        <w:t>Ricaldoni</w:t>
      </w:r>
      <w:proofErr w:type="spellEnd"/>
      <w:r>
        <w:rPr>
          <w:lang w:val="es-UY"/>
        </w:rPr>
        <w:t xml:space="preserve">, de la Universidad de la República. Ambas universidades líderes en la formación de profesionales tienen programas de maestrías y doctorados en </w:t>
      </w:r>
      <w:r>
        <w:rPr>
          <w:lang w:val="es-UY"/>
        </w:rPr>
        <w:lastRenderedPageBreak/>
        <w:t xml:space="preserve">Ingeniería de sistemas / computación. En los últimos años la Universidad de la República y la Universidad del Trabajo del Uruguay (UTU) lanzaron programas conjuntos de tres años para carreras radicadas en ciudades intermedias del interior del país y la Universidad Tecnológica del Uruguay (UTEC) también lanzó una carrera corta de técnico en Tecnologías de la Información fuera de la capital. </w:t>
      </w:r>
    </w:p>
    <w:p w:rsidR="00F175B6" w:rsidRDefault="00F175B6" w:rsidP="00F175B6">
      <w:pPr>
        <w:tabs>
          <w:tab w:val="left" w:pos="6180"/>
        </w:tabs>
        <w:jc w:val="both"/>
        <w:rPr>
          <w:lang w:val="es-UY"/>
        </w:rPr>
      </w:pPr>
      <w:r>
        <w:rPr>
          <w:lang w:val="es-UY"/>
        </w:rPr>
        <w:t xml:space="preserve">Debido a la demanda de personal, la industria SBIC está tratando de expandir la empleabilidad de la fuerza de trabajo. Hay varias iniciativas en ese sentido. ANIMA es un bachillerato tecnológico en administración y TICs que fomenta la detección de jóvenes de bajos recursos y fortalece su empleabilidad en un sistema educativo dual, combinando clases con pasantías en empresas. Algunas empresas privadas realizan experiencias de desarrollo de programadores en pequeños pueblos del interior o en barrios carenciados de Montevideo. </w:t>
      </w:r>
    </w:p>
    <w:p w:rsidR="00F175B6" w:rsidRPr="00215C1F" w:rsidRDefault="00F175B6" w:rsidP="00215C1F">
      <w:pPr>
        <w:pStyle w:val="ListParagraph"/>
        <w:numPr>
          <w:ilvl w:val="0"/>
          <w:numId w:val="10"/>
        </w:numPr>
        <w:tabs>
          <w:tab w:val="left" w:pos="6180"/>
        </w:tabs>
        <w:jc w:val="both"/>
        <w:rPr>
          <w:i/>
          <w:lang w:val="es-UY"/>
        </w:rPr>
      </w:pPr>
      <w:r w:rsidRPr="00215C1F">
        <w:rPr>
          <w:i/>
          <w:lang w:val="es-UY"/>
        </w:rPr>
        <w:t>Programas del gobierno</w:t>
      </w:r>
    </w:p>
    <w:p w:rsidR="00F175B6" w:rsidRDefault="00F175B6" w:rsidP="00F175B6">
      <w:pPr>
        <w:tabs>
          <w:tab w:val="left" w:pos="6180"/>
        </w:tabs>
        <w:jc w:val="both"/>
        <w:rPr>
          <w:lang w:val="es-UY"/>
        </w:rPr>
      </w:pPr>
      <w:r>
        <w:rPr>
          <w:lang w:val="es-UY"/>
        </w:rPr>
        <w:t xml:space="preserve">Aunque el sector no creció al amparo de políticas públicas sino estimulado por la creciente necesidad de tecnologías, en los últimos años ha aumentado la interacción entre las políticas y el ecosistema digital. En </w:t>
      </w:r>
      <w:proofErr w:type="spellStart"/>
      <w:r>
        <w:rPr>
          <w:lang w:val="es-UY"/>
        </w:rPr>
        <w:t>UruguayXXI</w:t>
      </w:r>
      <w:proofErr w:type="spellEnd"/>
      <w:r>
        <w:rPr>
          <w:lang w:val="es-UY"/>
        </w:rPr>
        <w:t xml:space="preserve"> funciona el programa de Servicios Globales impulsado por el BID en 2012, que atiende a la promoción de la inversión, a la internacionalización de las empresas, a la captación de talento (con el programa </w:t>
      </w:r>
      <w:r w:rsidRPr="00B95C85">
        <w:rPr>
          <w:i/>
          <w:lang w:val="es-UY"/>
        </w:rPr>
        <w:t xml:space="preserve">Smart </w:t>
      </w:r>
      <w:proofErr w:type="spellStart"/>
      <w:r w:rsidRPr="00B95C85">
        <w:rPr>
          <w:i/>
          <w:lang w:val="es-UY"/>
        </w:rPr>
        <w:t>Talent</w:t>
      </w:r>
      <w:proofErr w:type="spellEnd"/>
      <w:r>
        <w:rPr>
          <w:lang w:val="es-UY"/>
        </w:rPr>
        <w:t xml:space="preserve">) y a la mejora de la regulación de los segmentos de TICs, </w:t>
      </w:r>
      <w:r w:rsidRPr="006858B0">
        <w:rPr>
          <w:i/>
          <w:lang w:val="es-UY"/>
        </w:rPr>
        <w:t>Business Services</w:t>
      </w:r>
      <w:r>
        <w:rPr>
          <w:lang w:val="es-UY"/>
        </w:rPr>
        <w:t xml:space="preserve">, Ciencias de la Vida e industrias creativas. El programa incluye la organización y financiación de </w:t>
      </w:r>
      <w:proofErr w:type="spellStart"/>
      <w:r w:rsidRPr="006858B0">
        <w:rPr>
          <w:i/>
          <w:lang w:val="es-UY"/>
        </w:rPr>
        <w:t>Finishing</w:t>
      </w:r>
      <w:proofErr w:type="spellEnd"/>
      <w:r>
        <w:rPr>
          <w:lang w:val="es-UY"/>
        </w:rPr>
        <w:t xml:space="preserve"> </w:t>
      </w:r>
      <w:proofErr w:type="spellStart"/>
      <w:r w:rsidRPr="006858B0">
        <w:rPr>
          <w:i/>
          <w:lang w:val="es-UY"/>
        </w:rPr>
        <w:t>Schools</w:t>
      </w:r>
      <w:proofErr w:type="spellEnd"/>
      <w:r>
        <w:rPr>
          <w:lang w:val="es-UY"/>
        </w:rPr>
        <w:t xml:space="preserve">, donde empleados adquieren una capacitación específica para alguna demanda particular de la industria. </w:t>
      </w:r>
    </w:p>
    <w:p w:rsidR="00F175B6" w:rsidRDefault="00F175B6" w:rsidP="00F175B6">
      <w:pPr>
        <w:tabs>
          <w:tab w:val="left" w:pos="6180"/>
        </w:tabs>
        <w:jc w:val="both"/>
        <w:rPr>
          <w:lang w:val="es-UY"/>
        </w:rPr>
      </w:pPr>
      <w:r>
        <w:rPr>
          <w:lang w:val="es-UY"/>
        </w:rPr>
        <w:t>En el año 2000 el gobierno exoneró de impuestos a la renta de las empresas que produzcan y comercialicen software en plaza y al exterior y también a la provisión de servicios de consultoría. En 2007 dicha exoneración está activa solamente para las exportaciones. También se encuentra promovida durante algunos años la actividad de los Centros de Servicios Compartidos y de Atención a Clientes, si</w:t>
      </w:r>
      <w:r w:rsidR="001C5662">
        <w:rPr>
          <w:lang w:val="es-UY"/>
        </w:rPr>
        <w:t>empre que los mismos empleen un</w:t>
      </w:r>
      <w:r>
        <w:rPr>
          <w:lang w:val="es-UY"/>
        </w:rPr>
        <w:t xml:space="preserve"> gran</w:t>
      </w:r>
      <w:r w:rsidR="001C5662">
        <w:rPr>
          <w:lang w:val="es-UY"/>
        </w:rPr>
        <w:t xml:space="preserve"> número de trabajadores</w:t>
      </w:r>
      <w:r>
        <w:rPr>
          <w:lang w:val="es-UY"/>
        </w:rPr>
        <w:t xml:space="preserve">. </w:t>
      </w:r>
    </w:p>
    <w:p w:rsidR="00F175B6" w:rsidRDefault="00F175B6" w:rsidP="00F175B6">
      <w:pPr>
        <w:tabs>
          <w:tab w:val="left" w:pos="6180"/>
        </w:tabs>
        <w:jc w:val="both"/>
        <w:rPr>
          <w:lang w:val="es-UY"/>
        </w:rPr>
      </w:pPr>
      <w:r>
        <w:rPr>
          <w:lang w:val="es-UY"/>
        </w:rPr>
        <w:t>La Agencia para el Desarrollo del Gobierno Electrónico y la Sociedad de la Información y el Conocimiento (AGESIC) es la oficina asesora del Poder Ejecutivo en materia de TICs. Promueve el uso de las TICS en las relaciones entre los individuos y el Estado, dictando normas, estándares y procedimientos técnicos, incluyendo el E-gobierno. También representa al país en las organizaciones internacionales relacionadas con la materia. Este año Uruguay ingreso en el actualmente denominado D-7</w:t>
      </w:r>
      <w:r>
        <w:rPr>
          <w:rStyle w:val="FootnoteReference"/>
          <w:lang w:val="es-UY"/>
        </w:rPr>
        <w:footnoteReference w:id="2"/>
      </w:r>
      <w:r>
        <w:rPr>
          <w:lang w:val="es-UY"/>
        </w:rPr>
        <w:t xml:space="preserve">, compuesto por los países más avanzados en gobierno digital. Los pilares del </w:t>
      </w:r>
      <w:r w:rsidR="00E81693">
        <w:rPr>
          <w:lang w:val="es-UY"/>
        </w:rPr>
        <w:t>D-7</w:t>
      </w:r>
      <w:r>
        <w:rPr>
          <w:lang w:val="es-UY"/>
        </w:rPr>
        <w:t xml:space="preserve"> son </w:t>
      </w:r>
      <w:r w:rsidRPr="00A7798A">
        <w:rPr>
          <w:lang w:val="es-UY"/>
        </w:rPr>
        <w:t>el desarrollo de la conectividad, la ciudadanía digital, la programación desde la niñez, el gobierno abierto, los estándares y códigos abiertos y el gobierno centrado en las personas.</w:t>
      </w:r>
      <w:r>
        <w:rPr>
          <w:lang w:val="es-UY"/>
        </w:rPr>
        <w:t xml:space="preserve"> </w:t>
      </w:r>
    </w:p>
    <w:p w:rsidR="00F175B6" w:rsidRPr="00215C1F" w:rsidRDefault="00F175B6" w:rsidP="00215C1F">
      <w:pPr>
        <w:pStyle w:val="ListParagraph"/>
        <w:numPr>
          <w:ilvl w:val="0"/>
          <w:numId w:val="10"/>
        </w:numPr>
        <w:tabs>
          <w:tab w:val="left" w:pos="6180"/>
        </w:tabs>
        <w:jc w:val="both"/>
        <w:rPr>
          <w:i/>
          <w:lang w:val="es-UY"/>
        </w:rPr>
      </w:pPr>
      <w:r w:rsidRPr="00215C1F">
        <w:rPr>
          <w:i/>
          <w:lang w:val="es-UY"/>
        </w:rPr>
        <w:t>Mercado de trabajo</w:t>
      </w:r>
    </w:p>
    <w:p w:rsidR="00F175B6" w:rsidRDefault="00F175B6" w:rsidP="00F175B6">
      <w:pPr>
        <w:tabs>
          <w:tab w:val="left" w:pos="6180"/>
        </w:tabs>
        <w:jc w:val="both"/>
        <w:rPr>
          <w:lang w:val="es-UY"/>
        </w:rPr>
      </w:pPr>
      <w:r>
        <w:rPr>
          <w:lang w:val="es-UY"/>
        </w:rPr>
        <w:t xml:space="preserve">La encuesta a las empresas TIC estimó el empleo de las empresas del universo de estudio en 10.800 puestos de trabajo, sin contar ANTEL. El siguiente cuadro muestra la distribución de la facturación por empleado según tipo de segmento. El segmento de las verticales es el más pequeño pero es el que alcanza </w:t>
      </w:r>
      <w:r>
        <w:rPr>
          <w:lang w:val="es-UY"/>
        </w:rPr>
        <w:lastRenderedPageBreak/>
        <w:t xml:space="preserve">mayor nivel de producto por trabajador. La encuesta señala que 81% se encuentra en relación de dependencia. </w:t>
      </w:r>
    </w:p>
    <w:p w:rsidR="00A00E58" w:rsidRDefault="00F12AAB" w:rsidP="00F12AAB">
      <w:pPr>
        <w:tabs>
          <w:tab w:val="left" w:pos="6180"/>
        </w:tabs>
        <w:jc w:val="center"/>
        <w:rPr>
          <w:lang w:val="es-UY"/>
        </w:rPr>
      </w:pPr>
      <w:r w:rsidRPr="00F12AAB">
        <w:rPr>
          <w:b/>
          <w:lang w:val="es-UY"/>
        </w:rPr>
        <w:t>Cuadro 1:</w:t>
      </w:r>
      <w:r>
        <w:rPr>
          <w:lang w:val="es-UY"/>
        </w:rPr>
        <w:t xml:space="preserve"> Empleos y facturación por empleado en la industria TIC del Uruguay. En número de empleos y millones </w:t>
      </w:r>
      <w:r w:rsidR="002851F1">
        <w:rPr>
          <w:lang w:val="es-UY"/>
        </w:rPr>
        <w:t>USD. Año 2016</w:t>
      </w:r>
    </w:p>
    <w:tbl>
      <w:tblPr>
        <w:tblStyle w:val="TableGrid"/>
        <w:tblW w:w="0" w:type="auto"/>
        <w:jc w:val="center"/>
        <w:tblLook w:val="04A0" w:firstRow="1" w:lastRow="0" w:firstColumn="1" w:lastColumn="0" w:noHBand="0" w:noVBand="1"/>
      </w:tblPr>
      <w:tblGrid>
        <w:gridCol w:w="1885"/>
        <w:gridCol w:w="1101"/>
        <w:gridCol w:w="1937"/>
      </w:tblGrid>
      <w:tr w:rsidR="00F175B6" w:rsidTr="00DC1DCA">
        <w:trPr>
          <w:jc w:val="center"/>
        </w:trPr>
        <w:tc>
          <w:tcPr>
            <w:tcW w:w="1885" w:type="dxa"/>
          </w:tcPr>
          <w:p w:rsidR="00F175B6" w:rsidRPr="005B48FD" w:rsidRDefault="00F175B6" w:rsidP="00DC1DCA">
            <w:pPr>
              <w:tabs>
                <w:tab w:val="left" w:pos="6180"/>
              </w:tabs>
              <w:jc w:val="both"/>
              <w:rPr>
                <w:b/>
                <w:lang w:val="es-UY"/>
              </w:rPr>
            </w:pPr>
            <w:r w:rsidRPr="005B48FD">
              <w:rPr>
                <w:b/>
                <w:lang w:val="es-UY"/>
              </w:rPr>
              <w:t>Segmento</w:t>
            </w:r>
          </w:p>
        </w:tc>
        <w:tc>
          <w:tcPr>
            <w:tcW w:w="1101" w:type="dxa"/>
          </w:tcPr>
          <w:p w:rsidR="00F175B6" w:rsidRPr="005B48FD" w:rsidRDefault="00F175B6" w:rsidP="00DC1DCA">
            <w:pPr>
              <w:tabs>
                <w:tab w:val="left" w:pos="6180"/>
              </w:tabs>
              <w:jc w:val="center"/>
              <w:rPr>
                <w:b/>
                <w:lang w:val="es-UY"/>
              </w:rPr>
            </w:pPr>
            <w:r w:rsidRPr="005B48FD">
              <w:rPr>
                <w:b/>
                <w:lang w:val="es-UY"/>
              </w:rPr>
              <w:t>Empleos</w:t>
            </w:r>
          </w:p>
        </w:tc>
        <w:tc>
          <w:tcPr>
            <w:tcW w:w="1937" w:type="dxa"/>
          </w:tcPr>
          <w:p w:rsidR="00F175B6" w:rsidRPr="005B48FD" w:rsidRDefault="00F175B6" w:rsidP="00DC1DCA">
            <w:pPr>
              <w:tabs>
                <w:tab w:val="left" w:pos="6180"/>
              </w:tabs>
              <w:jc w:val="center"/>
              <w:rPr>
                <w:b/>
                <w:lang w:val="es-UY"/>
              </w:rPr>
            </w:pPr>
            <w:r w:rsidRPr="005B48FD">
              <w:rPr>
                <w:b/>
                <w:lang w:val="es-UY"/>
              </w:rPr>
              <w:t>Facturación por empleado</w:t>
            </w:r>
          </w:p>
        </w:tc>
      </w:tr>
      <w:tr w:rsidR="00F175B6" w:rsidTr="00DC1DCA">
        <w:trPr>
          <w:jc w:val="center"/>
        </w:trPr>
        <w:tc>
          <w:tcPr>
            <w:tcW w:w="1885" w:type="dxa"/>
          </w:tcPr>
          <w:p w:rsidR="00F175B6" w:rsidRDefault="00F175B6" w:rsidP="00DC1DCA">
            <w:pPr>
              <w:tabs>
                <w:tab w:val="left" w:pos="6180"/>
              </w:tabs>
              <w:jc w:val="both"/>
              <w:rPr>
                <w:lang w:val="es-UY"/>
              </w:rPr>
            </w:pPr>
            <w:r>
              <w:rPr>
                <w:lang w:val="es-UY"/>
              </w:rPr>
              <w:t>Servicios TI</w:t>
            </w:r>
          </w:p>
        </w:tc>
        <w:tc>
          <w:tcPr>
            <w:tcW w:w="1101" w:type="dxa"/>
          </w:tcPr>
          <w:p w:rsidR="00F175B6" w:rsidRDefault="00F175B6" w:rsidP="00DC1DCA">
            <w:pPr>
              <w:tabs>
                <w:tab w:val="left" w:pos="6180"/>
              </w:tabs>
              <w:jc w:val="center"/>
              <w:rPr>
                <w:lang w:val="es-UY"/>
              </w:rPr>
            </w:pPr>
            <w:r>
              <w:rPr>
                <w:lang w:val="es-UY"/>
              </w:rPr>
              <w:t>4.160</w:t>
            </w:r>
          </w:p>
        </w:tc>
        <w:tc>
          <w:tcPr>
            <w:tcW w:w="1937" w:type="dxa"/>
          </w:tcPr>
          <w:p w:rsidR="00F175B6" w:rsidRDefault="00F175B6" w:rsidP="00DC1DCA">
            <w:pPr>
              <w:tabs>
                <w:tab w:val="left" w:pos="6180"/>
              </w:tabs>
              <w:jc w:val="center"/>
              <w:rPr>
                <w:lang w:val="es-UY"/>
              </w:rPr>
            </w:pPr>
            <w:r>
              <w:rPr>
                <w:lang w:val="es-UY"/>
              </w:rPr>
              <w:t>81.184</w:t>
            </w:r>
          </w:p>
        </w:tc>
      </w:tr>
      <w:tr w:rsidR="00F175B6" w:rsidTr="00DC1DCA">
        <w:trPr>
          <w:jc w:val="center"/>
        </w:trPr>
        <w:tc>
          <w:tcPr>
            <w:tcW w:w="1885" w:type="dxa"/>
          </w:tcPr>
          <w:p w:rsidR="00F175B6" w:rsidRDefault="00F175B6" w:rsidP="00DC1DCA">
            <w:pPr>
              <w:tabs>
                <w:tab w:val="left" w:pos="6180"/>
              </w:tabs>
              <w:jc w:val="both"/>
              <w:rPr>
                <w:lang w:val="es-UY"/>
              </w:rPr>
            </w:pPr>
            <w:r>
              <w:rPr>
                <w:lang w:val="es-UY"/>
              </w:rPr>
              <w:t>Infraestructura TI</w:t>
            </w:r>
          </w:p>
        </w:tc>
        <w:tc>
          <w:tcPr>
            <w:tcW w:w="1101" w:type="dxa"/>
          </w:tcPr>
          <w:p w:rsidR="00F175B6" w:rsidRDefault="00F175B6" w:rsidP="00DC1DCA">
            <w:pPr>
              <w:tabs>
                <w:tab w:val="left" w:pos="6180"/>
              </w:tabs>
              <w:jc w:val="center"/>
              <w:rPr>
                <w:lang w:val="es-UY"/>
              </w:rPr>
            </w:pPr>
            <w:r>
              <w:rPr>
                <w:lang w:val="es-UY"/>
              </w:rPr>
              <w:t>2.948</w:t>
            </w:r>
          </w:p>
        </w:tc>
        <w:tc>
          <w:tcPr>
            <w:tcW w:w="1937" w:type="dxa"/>
          </w:tcPr>
          <w:p w:rsidR="00F175B6" w:rsidRDefault="00F175B6" w:rsidP="00DC1DCA">
            <w:pPr>
              <w:tabs>
                <w:tab w:val="left" w:pos="6180"/>
              </w:tabs>
              <w:jc w:val="center"/>
              <w:rPr>
                <w:lang w:val="es-UY"/>
              </w:rPr>
            </w:pPr>
            <w:r>
              <w:rPr>
                <w:lang w:val="es-UY"/>
              </w:rPr>
              <w:t>67.786</w:t>
            </w:r>
          </w:p>
        </w:tc>
      </w:tr>
      <w:tr w:rsidR="00F175B6" w:rsidTr="00DC1DCA">
        <w:trPr>
          <w:jc w:val="center"/>
        </w:trPr>
        <w:tc>
          <w:tcPr>
            <w:tcW w:w="1885" w:type="dxa"/>
          </w:tcPr>
          <w:p w:rsidR="00F175B6" w:rsidRDefault="00F175B6" w:rsidP="00DC1DCA">
            <w:pPr>
              <w:tabs>
                <w:tab w:val="left" w:pos="6180"/>
              </w:tabs>
              <w:jc w:val="both"/>
              <w:rPr>
                <w:lang w:val="es-UY"/>
              </w:rPr>
            </w:pPr>
            <w:r>
              <w:rPr>
                <w:lang w:val="es-UY"/>
              </w:rPr>
              <w:t>Horizontal</w:t>
            </w:r>
          </w:p>
        </w:tc>
        <w:tc>
          <w:tcPr>
            <w:tcW w:w="1101" w:type="dxa"/>
          </w:tcPr>
          <w:p w:rsidR="00F175B6" w:rsidRDefault="00F175B6" w:rsidP="00DC1DCA">
            <w:pPr>
              <w:tabs>
                <w:tab w:val="left" w:pos="6180"/>
              </w:tabs>
              <w:jc w:val="center"/>
              <w:rPr>
                <w:lang w:val="es-UY"/>
              </w:rPr>
            </w:pPr>
            <w:r>
              <w:rPr>
                <w:lang w:val="es-UY"/>
              </w:rPr>
              <w:t>2.155</w:t>
            </w:r>
          </w:p>
        </w:tc>
        <w:tc>
          <w:tcPr>
            <w:tcW w:w="1937" w:type="dxa"/>
          </w:tcPr>
          <w:p w:rsidR="00F175B6" w:rsidRDefault="00F175B6" w:rsidP="00DC1DCA">
            <w:pPr>
              <w:tabs>
                <w:tab w:val="left" w:pos="6180"/>
              </w:tabs>
              <w:jc w:val="center"/>
              <w:rPr>
                <w:lang w:val="es-UY"/>
              </w:rPr>
            </w:pPr>
            <w:r>
              <w:rPr>
                <w:lang w:val="es-UY"/>
              </w:rPr>
              <w:t>90.766</w:t>
            </w:r>
          </w:p>
        </w:tc>
      </w:tr>
      <w:tr w:rsidR="00F175B6" w:rsidTr="00DC1DCA">
        <w:trPr>
          <w:jc w:val="center"/>
        </w:trPr>
        <w:tc>
          <w:tcPr>
            <w:tcW w:w="1885" w:type="dxa"/>
          </w:tcPr>
          <w:p w:rsidR="00F175B6" w:rsidRDefault="00F175B6" w:rsidP="00DC1DCA">
            <w:pPr>
              <w:tabs>
                <w:tab w:val="left" w:pos="6180"/>
              </w:tabs>
              <w:jc w:val="both"/>
              <w:rPr>
                <w:lang w:val="es-UY"/>
              </w:rPr>
            </w:pPr>
            <w:r>
              <w:rPr>
                <w:lang w:val="es-UY"/>
              </w:rPr>
              <w:t>Vertical</w:t>
            </w:r>
          </w:p>
        </w:tc>
        <w:tc>
          <w:tcPr>
            <w:tcW w:w="1101" w:type="dxa"/>
          </w:tcPr>
          <w:p w:rsidR="00F175B6" w:rsidRDefault="00F175B6" w:rsidP="00DC1DCA">
            <w:pPr>
              <w:tabs>
                <w:tab w:val="left" w:pos="6180"/>
              </w:tabs>
              <w:jc w:val="center"/>
              <w:rPr>
                <w:lang w:val="es-UY"/>
              </w:rPr>
            </w:pPr>
            <w:r>
              <w:rPr>
                <w:lang w:val="es-UY"/>
              </w:rPr>
              <w:t>1.417</w:t>
            </w:r>
          </w:p>
        </w:tc>
        <w:tc>
          <w:tcPr>
            <w:tcW w:w="1937" w:type="dxa"/>
          </w:tcPr>
          <w:p w:rsidR="00F175B6" w:rsidRDefault="00F175B6" w:rsidP="00DC1DCA">
            <w:pPr>
              <w:tabs>
                <w:tab w:val="left" w:pos="6180"/>
              </w:tabs>
              <w:jc w:val="center"/>
              <w:rPr>
                <w:lang w:val="es-UY"/>
              </w:rPr>
            </w:pPr>
            <w:r>
              <w:rPr>
                <w:lang w:val="es-UY"/>
              </w:rPr>
              <w:t>131.437</w:t>
            </w:r>
          </w:p>
        </w:tc>
      </w:tr>
      <w:tr w:rsidR="00F175B6" w:rsidTr="00DC1DCA">
        <w:trPr>
          <w:jc w:val="center"/>
        </w:trPr>
        <w:tc>
          <w:tcPr>
            <w:tcW w:w="1885" w:type="dxa"/>
          </w:tcPr>
          <w:p w:rsidR="00F175B6" w:rsidRDefault="00F175B6" w:rsidP="00DC1DCA">
            <w:pPr>
              <w:tabs>
                <w:tab w:val="left" w:pos="6180"/>
              </w:tabs>
              <w:jc w:val="both"/>
              <w:rPr>
                <w:lang w:val="es-UY"/>
              </w:rPr>
            </w:pPr>
            <w:r>
              <w:rPr>
                <w:lang w:val="es-UY"/>
              </w:rPr>
              <w:t>Total</w:t>
            </w:r>
          </w:p>
        </w:tc>
        <w:tc>
          <w:tcPr>
            <w:tcW w:w="1101" w:type="dxa"/>
          </w:tcPr>
          <w:p w:rsidR="00F175B6" w:rsidRDefault="00F175B6" w:rsidP="00DC1DCA">
            <w:pPr>
              <w:tabs>
                <w:tab w:val="left" w:pos="6180"/>
              </w:tabs>
              <w:jc w:val="center"/>
              <w:rPr>
                <w:lang w:val="es-UY"/>
              </w:rPr>
            </w:pPr>
            <w:r>
              <w:rPr>
                <w:lang w:val="es-UY"/>
              </w:rPr>
              <w:t>10.680</w:t>
            </w:r>
          </w:p>
        </w:tc>
        <w:tc>
          <w:tcPr>
            <w:tcW w:w="1937" w:type="dxa"/>
          </w:tcPr>
          <w:p w:rsidR="00F175B6" w:rsidRDefault="00F175B6" w:rsidP="00DC1DCA">
            <w:pPr>
              <w:tabs>
                <w:tab w:val="left" w:pos="6180"/>
              </w:tabs>
              <w:jc w:val="center"/>
              <w:rPr>
                <w:lang w:val="es-UY"/>
              </w:rPr>
            </w:pPr>
            <w:r>
              <w:rPr>
                <w:lang w:val="es-UY"/>
              </w:rPr>
              <w:t>86.088</w:t>
            </w:r>
          </w:p>
        </w:tc>
      </w:tr>
    </w:tbl>
    <w:p w:rsidR="00F175B6" w:rsidRDefault="00F12AAB" w:rsidP="00F12AAB">
      <w:pPr>
        <w:tabs>
          <w:tab w:val="left" w:pos="6180"/>
        </w:tabs>
        <w:jc w:val="center"/>
        <w:rPr>
          <w:lang w:val="es-UY"/>
        </w:rPr>
      </w:pPr>
      <w:r w:rsidRPr="00F12AAB">
        <w:rPr>
          <w:b/>
          <w:lang w:val="es-UY"/>
        </w:rPr>
        <w:t>Fuente</w:t>
      </w:r>
      <w:r>
        <w:rPr>
          <w:lang w:val="es-UY"/>
        </w:rPr>
        <w:t xml:space="preserve">: </w:t>
      </w:r>
      <w:r w:rsidR="002851F1">
        <w:rPr>
          <w:lang w:val="es-UY"/>
        </w:rPr>
        <w:t>Encuesta anual de CUTI 2017</w:t>
      </w:r>
    </w:p>
    <w:p w:rsidR="00F175B6" w:rsidRDefault="00F175B6" w:rsidP="00F175B6">
      <w:pPr>
        <w:tabs>
          <w:tab w:val="left" w:pos="6180"/>
        </w:tabs>
        <w:jc w:val="both"/>
        <w:rPr>
          <w:lang w:val="es-UY"/>
        </w:rPr>
      </w:pPr>
      <w:r>
        <w:rPr>
          <w:lang w:val="es-UY"/>
        </w:rPr>
        <w:t xml:space="preserve">La calificación de los trabajadores del sector es alta. El 36% tiene estudios universitarios completos, incluyendo un 2% que tienen una maestría y un 0,3% que tiene un doctorado. El 28% son estudiantes terciarios y el 18% tiene estudios terciarios no universitarios completos. Por otra parte, el 15% tiene bachillerato completo y solo el 2% no finalizó la secundaria. El 58% se desempeñan como especialistas, el 11% como asistentes, el 9% como administrativos y el 13% son directores o gerentes. Solo el 5% es personal de servicio y 4% realizan tareas comerciales. Un 67% son hombres. Solamente en el segmento administrativo hay mayoría de mujeres, y los sectores menos feminizados son los de especialistas y directores de empresas. </w:t>
      </w:r>
    </w:p>
    <w:p w:rsidR="00F175B6" w:rsidRDefault="00F175B6" w:rsidP="00F175B6">
      <w:pPr>
        <w:tabs>
          <w:tab w:val="left" w:pos="6180"/>
        </w:tabs>
        <w:jc w:val="both"/>
        <w:rPr>
          <w:lang w:val="es-UY"/>
        </w:rPr>
      </w:pPr>
      <w:r>
        <w:rPr>
          <w:lang w:val="es-UY"/>
        </w:rPr>
        <w:t xml:space="preserve">La encuesta de talento para la industria TI, realizada por el Programa de Servicios Globales y la CUTI en 2016, indica que las empresas nacionales están interesadas en contratar personal, y que la mayoría tiene personal extranjero en su plantilla. La mitad los contratados son de nacionalidad venezolana, cubana o india, aunque también hay de los países limítrofes. Los principales factores identificados para justificar la contratación de personal en el exterior son la escasez de talentos en la plaza local, el buen nivel técnico y profesional y el costo salarial. A su vez, las empresas valoran los conocimientos técnicos, la cultura de trabajo y la diversidad cultural. Los puestos más solicitados son los de desarrollador </w:t>
      </w:r>
      <w:r w:rsidRPr="00A11AA2">
        <w:rPr>
          <w:i/>
          <w:lang w:val="es-UY"/>
        </w:rPr>
        <w:t>senior</w:t>
      </w:r>
      <w:r>
        <w:rPr>
          <w:lang w:val="es-UY"/>
        </w:rPr>
        <w:t xml:space="preserve">, desarrollador </w:t>
      </w:r>
      <w:r w:rsidRPr="00A11AA2">
        <w:rPr>
          <w:i/>
          <w:lang w:val="es-UY"/>
        </w:rPr>
        <w:t>junior</w:t>
      </w:r>
      <w:r>
        <w:rPr>
          <w:lang w:val="es-UY"/>
        </w:rPr>
        <w:t xml:space="preserve"> y </w:t>
      </w:r>
      <w:r w:rsidRPr="00A11AA2">
        <w:rPr>
          <w:i/>
          <w:lang w:val="es-UY"/>
        </w:rPr>
        <w:t>Project manager</w:t>
      </w:r>
      <w:r>
        <w:rPr>
          <w:lang w:val="es-UY"/>
        </w:rPr>
        <w:t xml:space="preserve">. </w:t>
      </w:r>
    </w:p>
    <w:p w:rsidR="003E74B7" w:rsidRDefault="00E2475E" w:rsidP="00215C1F">
      <w:pPr>
        <w:pStyle w:val="ListParagraph"/>
        <w:numPr>
          <w:ilvl w:val="0"/>
          <w:numId w:val="11"/>
        </w:numPr>
        <w:jc w:val="both"/>
        <w:rPr>
          <w:b/>
          <w:lang w:val="es-UY"/>
        </w:rPr>
      </w:pPr>
      <w:r>
        <w:rPr>
          <w:b/>
          <w:lang w:val="es-UY"/>
        </w:rPr>
        <w:t>Identificación</w:t>
      </w:r>
      <w:r w:rsidR="003E74B7" w:rsidRPr="003E74B7">
        <w:rPr>
          <w:b/>
          <w:lang w:val="es-UY"/>
        </w:rPr>
        <w:t xml:space="preserve"> </w:t>
      </w:r>
      <w:r w:rsidR="003E74B7">
        <w:rPr>
          <w:b/>
          <w:lang w:val="es-UY"/>
        </w:rPr>
        <w:t xml:space="preserve">de Servicios y Bienes Intensivos </w:t>
      </w:r>
      <w:r w:rsidR="00FC695C">
        <w:rPr>
          <w:b/>
          <w:lang w:val="es-UY"/>
        </w:rPr>
        <w:t>en Conocimiento para el caso de Uruguay</w:t>
      </w:r>
    </w:p>
    <w:p w:rsidR="00E743F9" w:rsidRPr="003E74B7" w:rsidRDefault="00E743F9" w:rsidP="00E743F9">
      <w:pPr>
        <w:pStyle w:val="ListParagraph"/>
        <w:ind w:left="1440"/>
        <w:jc w:val="both"/>
        <w:rPr>
          <w:b/>
          <w:lang w:val="es-UY"/>
        </w:rPr>
      </w:pPr>
    </w:p>
    <w:p w:rsidR="00215C1F" w:rsidRPr="00215C1F" w:rsidRDefault="00215C1F" w:rsidP="00215C1F">
      <w:pPr>
        <w:pStyle w:val="ListParagraph"/>
        <w:numPr>
          <w:ilvl w:val="0"/>
          <w:numId w:val="12"/>
        </w:numPr>
        <w:jc w:val="both"/>
        <w:rPr>
          <w:i/>
          <w:lang w:val="es-UY"/>
        </w:rPr>
      </w:pPr>
      <w:r w:rsidRPr="00215C1F">
        <w:rPr>
          <w:i/>
          <w:lang w:val="es-UY"/>
        </w:rPr>
        <w:t>Metodología</w:t>
      </w:r>
    </w:p>
    <w:p w:rsidR="00297517" w:rsidRDefault="00FC695C" w:rsidP="00524967">
      <w:pPr>
        <w:jc w:val="both"/>
        <w:rPr>
          <w:lang w:val="es-UY"/>
        </w:rPr>
      </w:pPr>
      <w:r>
        <w:rPr>
          <w:lang w:val="es-UY"/>
        </w:rPr>
        <w:t xml:space="preserve">La provisión de SBIC en un país no depende tanto del tipo de bien o servicio que se provee sino de la tareas que se realizan en el país. Esto es especialmente importante en el caso de los bienes, donde intervienen una serie de insumos intermedios que se incorporan en el bien final y forman parte de su valor. Por este motivo, es relevante determinar específicamente </w:t>
      </w:r>
      <w:r w:rsidR="00496E68">
        <w:rPr>
          <w:lang w:val="es-UY"/>
        </w:rPr>
        <w:t>qué</w:t>
      </w:r>
      <w:r>
        <w:rPr>
          <w:lang w:val="es-UY"/>
        </w:rPr>
        <w:t xml:space="preserve"> tipo de capital humano interviene en l</w:t>
      </w:r>
      <w:r w:rsidR="004C5E9E">
        <w:rPr>
          <w:lang w:val="es-UY"/>
        </w:rPr>
        <w:t>as empresas uruguayas. La Encuesta de A</w:t>
      </w:r>
      <w:r>
        <w:rPr>
          <w:lang w:val="es-UY"/>
        </w:rPr>
        <w:t>ctividade</w:t>
      </w:r>
      <w:r w:rsidR="004C5E9E">
        <w:rPr>
          <w:lang w:val="es-UY"/>
        </w:rPr>
        <w:t>s de I</w:t>
      </w:r>
      <w:r>
        <w:rPr>
          <w:lang w:val="es-UY"/>
        </w:rPr>
        <w:t xml:space="preserve">nnovación (EAI) </w:t>
      </w:r>
      <w:r w:rsidR="004C5E9E">
        <w:rPr>
          <w:lang w:val="es-UY"/>
        </w:rPr>
        <w:t xml:space="preserve">realizada por el Instituto Nacional de Estadística (INE) a pedido de la Agencia Nacional de Investigación e Innovación (ANII) relevó el tipo de formación de los profesionales de las empresas de la industria manufacturera y los servicios, </w:t>
      </w:r>
      <w:r w:rsidR="004C5E9E">
        <w:rPr>
          <w:lang w:val="es-UY"/>
        </w:rPr>
        <w:lastRenderedPageBreak/>
        <w:t>exceptua</w:t>
      </w:r>
      <w:r w:rsidR="001C5662">
        <w:rPr>
          <w:lang w:val="es-UY"/>
        </w:rPr>
        <w:t xml:space="preserve">ndo los sectores de </w:t>
      </w:r>
      <w:r w:rsidR="00496E68">
        <w:rPr>
          <w:lang w:val="es-UY"/>
        </w:rPr>
        <w:t>intermediación comercial, financiera, constr</w:t>
      </w:r>
      <w:r w:rsidR="001C5662">
        <w:rPr>
          <w:lang w:val="es-UY"/>
        </w:rPr>
        <w:t>ucción, educativos y culturales</w:t>
      </w:r>
      <w:r w:rsidR="00496E68">
        <w:rPr>
          <w:lang w:val="es-UY"/>
        </w:rPr>
        <w:t>. La EAI releva el número de profesionales en el total de personal ocupado en una empresa y además el tipo de profesional. Se consideró que son idóneos para el desarrollo de SBIC a los que tienen formación profesional en las ciencias exactas, naturales, médicas, diseño y arquitectura, todas las ingenierías y las ciencias agrícolas</w:t>
      </w:r>
      <w:r w:rsidR="001C5662">
        <w:rPr>
          <w:lang w:val="es-UY"/>
        </w:rPr>
        <w:t xml:space="preserve"> (</w:t>
      </w:r>
      <w:r w:rsidR="0051480A">
        <w:rPr>
          <w:lang w:val="es-UY"/>
        </w:rPr>
        <w:t xml:space="preserve">a estos profesionales se los denomina STEM, por el término </w:t>
      </w:r>
      <w:proofErr w:type="spellStart"/>
      <w:r w:rsidR="0051480A" w:rsidRPr="0051480A">
        <w:rPr>
          <w:i/>
          <w:lang w:val="es-UY"/>
        </w:rPr>
        <w:t>Science</w:t>
      </w:r>
      <w:proofErr w:type="spellEnd"/>
      <w:r w:rsidR="0051480A" w:rsidRPr="0051480A">
        <w:rPr>
          <w:i/>
          <w:lang w:val="es-UY"/>
        </w:rPr>
        <w:t xml:space="preserve">, </w:t>
      </w:r>
      <w:proofErr w:type="spellStart"/>
      <w:r w:rsidR="0051480A" w:rsidRPr="0051480A">
        <w:rPr>
          <w:i/>
          <w:lang w:val="es-UY"/>
        </w:rPr>
        <w:t>Technology</w:t>
      </w:r>
      <w:proofErr w:type="spellEnd"/>
      <w:r w:rsidR="0051480A" w:rsidRPr="0051480A">
        <w:rPr>
          <w:i/>
          <w:lang w:val="es-UY"/>
        </w:rPr>
        <w:t xml:space="preserve">, </w:t>
      </w:r>
      <w:proofErr w:type="spellStart"/>
      <w:r w:rsidR="0051480A" w:rsidRPr="0051480A">
        <w:rPr>
          <w:i/>
          <w:lang w:val="es-UY"/>
        </w:rPr>
        <w:t>Engineeiring</w:t>
      </w:r>
      <w:proofErr w:type="spellEnd"/>
      <w:r w:rsidR="0051480A" w:rsidRPr="0051480A">
        <w:rPr>
          <w:i/>
          <w:lang w:val="es-UY"/>
        </w:rPr>
        <w:t xml:space="preserve"> and </w:t>
      </w:r>
      <w:proofErr w:type="spellStart"/>
      <w:r w:rsidR="0051480A" w:rsidRPr="0051480A">
        <w:rPr>
          <w:i/>
          <w:lang w:val="es-UY"/>
        </w:rPr>
        <w:t>Mathematics</w:t>
      </w:r>
      <w:proofErr w:type="spellEnd"/>
      <w:r w:rsidR="0051480A">
        <w:rPr>
          <w:lang w:val="es-UY"/>
        </w:rPr>
        <w:t>)</w:t>
      </w:r>
      <w:r w:rsidR="00496E68">
        <w:rPr>
          <w:lang w:val="es-UY"/>
        </w:rPr>
        <w:t xml:space="preserve">. Se considera que las no </w:t>
      </w:r>
      <w:r w:rsidR="0051480A">
        <w:rPr>
          <w:lang w:val="es-UY"/>
        </w:rPr>
        <w:t>STEM</w:t>
      </w:r>
      <w:r w:rsidR="00496E68">
        <w:rPr>
          <w:lang w:val="es-UY"/>
        </w:rPr>
        <w:t xml:space="preserve"> son las ciencias sociales, administración y contabilidad, derecho y humanidades. </w:t>
      </w:r>
    </w:p>
    <w:p w:rsidR="00415FF7" w:rsidRDefault="00415FF7" w:rsidP="00524967">
      <w:pPr>
        <w:jc w:val="both"/>
        <w:rPr>
          <w:lang w:val="es-UY"/>
        </w:rPr>
      </w:pPr>
      <w:r>
        <w:rPr>
          <w:lang w:val="es-UY"/>
        </w:rPr>
        <w:t xml:space="preserve">Se tomó el criterio de que las ramas intensivas en SBIC son aquellas en las que la proporción de profesionales STEM es </w:t>
      </w:r>
      <w:r w:rsidR="000B54BC">
        <w:rPr>
          <w:lang w:val="es-UY"/>
        </w:rPr>
        <w:t>por lo menos</w:t>
      </w:r>
      <w:r>
        <w:rPr>
          <w:lang w:val="es-UY"/>
        </w:rPr>
        <w:t xml:space="preserve"> una vez y media </w:t>
      </w:r>
      <w:r w:rsidR="000B54BC">
        <w:rPr>
          <w:lang w:val="es-UY"/>
        </w:rPr>
        <w:t>mayor a</w:t>
      </w:r>
      <w:r>
        <w:rPr>
          <w:lang w:val="es-UY"/>
        </w:rPr>
        <w:t>l p</w:t>
      </w:r>
      <w:r w:rsidR="000B54BC">
        <w:rPr>
          <w:lang w:val="es-UY"/>
        </w:rPr>
        <w:t>romedio de las ramas relevadas por la encuesta. Adicionalmente, solo se tomaron en cuenta ramas dónde las remuneraciones representan más del 10% del producto</w:t>
      </w:r>
      <w:r w:rsidR="00DC1DCA">
        <w:rPr>
          <w:rStyle w:val="FootnoteReference"/>
          <w:lang w:val="es-UY"/>
        </w:rPr>
        <w:footnoteReference w:id="3"/>
      </w:r>
      <w:r w:rsidR="000B54BC">
        <w:rPr>
          <w:lang w:val="es-UY"/>
        </w:rPr>
        <w:t xml:space="preserve">, para evitar ramas que en realidad son intensivas en </w:t>
      </w:r>
      <w:r w:rsidR="00CC3004">
        <w:rPr>
          <w:lang w:val="es-UY"/>
        </w:rPr>
        <w:t>otros factores</w:t>
      </w:r>
      <w:r w:rsidR="000B54BC">
        <w:rPr>
          <w:lang w:val="es-UY"/>
        </w:rPr>
        <w:t xml:space="preserve">, por ejemplo </w:t>
      </w:r>
      <w:r w:rsidR="00CC3004">
        <w:rPr>
          <w:lang w:val="es-UY"/>
        </w:rPr>
        <w:t>recursos</w:t>
      </w:r>
      <w:r w:rsidR="000B54BC">
        <w:rPr>
          <w:lang w:val="es-UY"/>
        </w:rPr>
        <w:t xml:space="preserve"> naturales. </w:t>
      </w:r>
      <w:r w:rsidR="00CC3004">
        <w:rPr>
          <w:lang w:val="es-UY"/>
        </w:rPr>
        <w:t xml:space="preserve">Finalmente, se detectaron algunos resultados donde los resultados estaban determinados por </w:t>
      </w:r>
      <w:proofErr w:type="spellStart"/>
      <w:r w:rsidR="00CC3004" w:rsidRPr="00CC3004">
        <w:rPr>
          <w:i/>
          <w:lang w:val="es-UY"/>
        </w:rPr>
        <w:t>outliers</w:t>
      </w:r>
      <w:proofErr w:type="spellEnd"/>
      <w:r w:rsidR="000B54BC">
        <w:rPr>
          <w:lang w:val="es-UY"/>
        </w:rPr>
        <w:t xml:space="preserve"> </w:t>
      </w:r>
      <w:r w:rsidR="00CC3004">
        <w:rPr>
          <w:lang w:val="es-UY"/>
        </w:rPr>
        <w:t xml:space="preserve">y se incluyeron algunos sectores que estaban ligeramente por debajo del umbral pero que producen bienes o servicios similares a los incluidos. </w:t>
      </w:r>
      <w:r w:rsidR="00DC1DCA">
        <w:rPr>
          <w:lang w:val="es-UY"/>
        </w:rPr>
        <w:t xml:space="preserve">Esto ocurrió en la industria química y en algunas ramas profesionales. El anexo A incluye el listado de los bienes y servicios intensivos en conocimiento en Uruguay. </w:t>
      </w:r>
    </w:p>
    <w:p w:rsidR="00DC1DCA" w:rsidRDefault="00215C1F" w:rsidP="00215C1F">
      <w:pPr>
        <w:pStyle w:val="ListParagraph"/>
        <w:numPr>
          <w:ilvl w:val="0"/>
          <w:numId w:val="12"/>
        </w:numPr>
        <w:jc w:val="both"/>
        <w:rPr>
          <w:lang w:val="es-UY"/>
        </w:rPr>
      </w:pPr>
      <w:r>
        <w:rPr>
          <w:lang w:val="es-UY"/>
        </w:rPr>
        <w:t>La medición de los bienes intensivos en conocimiento</w:t>
      </w:r>
    </w:p>
    <w:p w:rsidR="00826F71" w:rsidRDefault="00826F71" w:rsidP="00826F71">
      <w:pPr>
        <w:jc w:val="both"/>
        <w:rPr>
          <w:lang w:val="es-UY"/>
        </w:rPr>
      </w:pPr>
      <w:r>
        <w:rPr>
          <w:lang w:val="es-UY"/>
        </w:rPr>
        <w:t>Los bienes intensivos en conocimiento que se relevaron según la EAI corresponden a la industria química, de medicamentos y algunos rubros de fabricación de equipamiento informático o auxiliar de maquinaria</w:t>
      </w:r>
      <w:r w:rsidR="0051480A">
        <w:rPr>
          <w:lang w:val="es-UY"/>
        </w:rPr>
        <w:t>, aunque predominan los relacionados con la química</w:t>
      </w:r>
      <w:r>
        <w:rPr>
          <w:lang w:val="es-UY"/>
        </w:rPr>
        <w:t xml:space="preserve">. Utilizando tablas de correspondencia entre la CIIU </w:t>
      </w:r>
      <w:r w:rsidR="00B567E5">
        <w:rPr>
          <w:lang w:val="es-UY"/>
        </w:rPr>
        <w:t>y la Clasificación Central de Productos (CPC) y entre ésta y la</w:t>
      </w:r>
      <w:r w:rsidR="0051480A">
        <w:rPr>
          <w:lang w:val="es-UY"/>
        </w:rPr>
        <w:t xml:space="preserve"> Nomenclatura Común del MERCOSUR</w:t>
      </w:r>
      <w:r w:rsidR="00B567E5">
        <w:rPr>
          <w:lang w:val="es-UY"/>
        </w:rPr>
        <w:t xml:space="preserve"> (NCM) es posible determinar la evolución de las exportaciones de estos bienes en el período 2012-201</w:t>
      </w:r>
      <w:r w:rsidR="00F34D75">
        <w:rPr>
          <w:lang w:val="es-UY"/>
        </w:rPr>
        <w:t>7</w:t>
      </w:r>
      <w:r w:rsidR="00B567E5">
        <w:rPr>
          <w:lang w:val="es-UY"/>
        </w:rPr>
        <w:t xml:space="preserve">. </w:t>
      </w:r>
      <w:r w:rsidR="0058328E">
        <w:rPr>
          <w:lang w:val="es-UY"/>
        </w:rPr>
        <w:t xml:space="preserve">El anexo B muestra las posiciones arancelarias relevadas. </w:t>
      </w:r>
      <w:r w:rsidR="00B567E5">
        <w:rPr>
          <w:lang w:val="es-UY"/>
        </w:rPr>
        <w:t xml:space="preserve">Los datos están corregidos por la acción de las zonas francas, desde donde opera parte del sector de medicamentos, que es el más grande de los relevados. </w:t>
      </w:r>
      <w:r w:rsidR="00F34D75">
        <w:rPr>
          <w:lang w:val="es-UY"/>
        </w:rPr>
        <w:t xml:space="preserve">El cuadro muestra las exportaciones de bienes intensivos en conocimiento según sector CIIU para los años 2012 a 2017. Las exportaciones pasaron de 487 millones en 2012 a 531 en 2017. </w:t>
      </w:r>
      <w:r w:rsidR="00DA45F8">
        <w:rPr>
          <w:lang w:val="es-UY"/>
        </w:rPr>
        <w:t xml:space="preserve">En promedio, cada año exportaron 173 empresas. </w:t>
      </w:r>
    </w:p>
    <w:p w:rsidR="00BD3DA5" w:rsidRDefault="00BD3DA5">
      <w:pPr>
        <w:rPr>
          <w:b/>
          <w:lang w:val="es-UY"/>
        </w:rPr>
      </w:pPr>
      <w:r>
        <w:rPr>
          <w:b/>
          <w:lang w:val="es-UY"/>
        </w:rPr>
        <w:br w:type="page"/>
      </w:r>
    </w:p>
    <w:p w:rsidR="00C24265" w:rsidRPr="0051480A" w:rsidRDefault="0051480A" w:rsidP="00826F71">
      <w:pPr>
        <w:jc w:val="both"/>
        <w:rPr>
          <w:b/>
          <w:lang w:val="es-UY"/>
        </w:rPr>
      </w:pPr>
      <w:r w:rsidRPr="0051480A">
        <w:rPr>
          <w:b/>
          <w:lang w:val="es-UY"/>
        </w:rPr>
        <w:lastRenderedPageBreak/>
        <w:t xml:space="preserve">Cuadro </w:t>
      </w:r>
      <w:r w:rsidR="00F12AAB">
        <w:rPr>
          <w:b/>
          <w:lang w:val="es-UY"/>
        </w:rPr>
        <w:t>2</w:t>
      </w:r>
      <w:r w:rsidRPr="0051480A">
        <w:rPr>
          <w:b/>
          <w:lang w:val="es-UY"/>
        </w:rPr>
        <w:t xml:space="preserve">- </w:t>
      </w:r>
      <w:r w:rsidR="00C24265" w:rsidRPr="0051480A">
        <w:rPr>
          <w:b/>
          <w:lang w:val="es-UY"/>
        </w:rPr>
        <w:t>Exportaciones de bienes intensivos en conocimiento del Uruguay</w:t>
      </w:r>
      <w:r w:rsidR="008B14C3">
        <w:rPr>
          <w:b/>
          <w:lang w:val="es-UY"/>
        </w:rPr>
        <w:t xml:space="preserve"> y número de empresas exportadoras</w:t>
      </w:r>
      <w:r w:rsidR="00C24265" w:rsidRPr="0051480A">
        <w:rPr>
          <w:b/>
          <w:lang w:val="es-UY"/>
        </w:rPr>
        <w:t xml:space="preserve">. </w:t>
      </w:r>
      <w:r w:rsidRPr="0051480A">
        <w:rPr>
          <w:b/>
          <w:lang w:val="es-UY"/>
        </w:rPr>
        <w:t xml:space="preserve">En millones de dólares. </w:t>
      </w:r>
      <w:r w:rsidR="00C24265" w:rsidRPr="0051480A">
        <w:rPr>
          <w:b/>
          <w:lang w:val="es-UY"/>
        </w:rPr>
        <w:t>Años 2012 a 2017</w:t>
      </w:r>
    </w:p>
    <w:tbl>
      <w:tblPr>
        <w:tblW w:w="5123" w:type="pct"/>
        <w:tblLayout w:type="fixed"/>
        <w:tblLook w:val="04A0" w:firstRow="1" w:lastRow="0" w:firstColumn="1" w:lastColumn="0" w:noHBand="0" w:noVBand="1"/>
      </w:tblPr>
      <w:tblGrid>
        <w:gridCol w:w="721"/>
        <w:gridCol w:w="3963"/>
        <w:gridCol w:w="701"/>
        <w:gridCol w:w="753"/>
        <w:gridCol w:w="657"/>
        <w:gridCol w:w="665"/>
        <w:gridCol w:w="699"/>
        <w:gridCol w:w="701"/>
        <w:gridCol w:w="720"/>
      </w:tblGrid>
      <w:tr w:rsidR="00DA45F8" w:rsidRPr="00F34D75" w:rsidTr="00DA45F8">
        <w:trPr>
          <w:trHeight w:val="300"/>
        </w:trPr>
        <w:tc>
          <w:tcPr>
            <w:tcW w:w="37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rPr>
                <w:rFonts w:ascii="Calibri" w:eastAsia="Times New Roman" w:hAnsi="Calibri" w:cs="Times New Roman"/>
                <w:b/>
                <w:color w:val="000000"/>
              </w:rPr>
            </w:pPr>
            <w:r w:rsidRPr="00F34D75">
              <w:rPr>
                <w:rFonts w:ascii="Calibri" w:eastAsia="Times New Roman" w:hAnsi="Calibri" w:cs="Times New Roman"/>
                <w:b/>
                <w:color w:val="000000"/>
              </w:rPr>
              <w:t>CIIU</w:t>
            </w:r>
          </w:p>
        </w:tc>
        <w:tc>
          <w:tcPr>
            <w:tcW w:w="2068"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rPr>
                <w:rFonts w:ascii="Calibri" w:eastAsia="Times New Roman" w:hAnsi="Calibri" w:cs="Times New Roman"/>
                <w:b/>
                <w:color w:val="000000"/>
              </w:rPr>
            </w:pPr>
            <w:r w:rsidRPr="00F34D75">
              <w:rPr>
                <w:rFonts w:ascii="Calibri" w:eastAsia="Times New Roman" w:hAnsi="Calibri" w:cs="Times New Roman"/>
                <w:b/>
                <w:color w:val="000000"/>
              </w:rPr>
              <w:t>DESCRIPCION</w:t>
            </w:r>
          </w:p>
        </w:tc>
        <w:tc>
          <w:tcPr>
            <w:tcW w:w="366"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b/>
                <w:bCs/>
                <w:color w:val="000000"/>
              </w:rPr>
            </w:pPr>
            <w:r w:rsidRPr="00F34D75">
              <w:rPr>
                <w:rFonts w:ascii="Calibri" w:eastAsia="Times New Roman" w:hAnsi="Calibri" w:cs="Times New Roman"/>
                <w:b/>
                <w:bCs/>
                <w:color w:val="000000"/>
              </w:rPr>
              <w:t>2012</w:t>
            </w:r>
          </w:p>
        </w:tc>
        <w:tc>
          <w:tcPr>
            <w:tcW w:w="393"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b/>
                <w:bCs/>
                <w:color w:val="000000"/>
              </w:rPr>
            </w:pPr>
            <w:r w:rsidRPr="00F34D75">
              <w:rPr>
                <w:rFonts w:ascii="Calibri" w:eastAsia="Times New Roman" w:hAnsi="Calibri" w:cs="Times New Roman"/>
                <w:b/>
                <w:bCs/>
                <w:color w:val="000000"/>
              </w:rPr>
              <w:t>2013</w:t>
            </w:r>
          </w:p>
        </w:tc>
        <w:tc>
          <w:tcPr>
            <w:tcW w:w="343"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b/>
                <w:bCs/>
                <w:color w:val="000000"/>
              </w:rPr>
            </w:pPr>
            <w:r w:rsidRPr="00F34D75">
              <w:rPr>
                <w:rFonts w:ascii="Calibri" w:eastAsia="Times New Roman" w:hAnsi="Calibri" w:cs="Times New Roman"/>
                <w:b/>
                <w:bCs/>
                <w:color w:val="000000"/>
              </w:rPr>
              <w:t>2014</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b/>
                <w:bCs/>
                <w:color w:val="000000"/>
              </w:rPr>
            </w:pPr>
            <w:r w:rsidRPr="00F34D75">
              <w:rPr>
                <w:rFonts w:ascii="Calibri" w:eastAsia="Times New Roman" w:hAnsi="Calibri" w:cs="Times New Roman"/>
                <w:b/>
                <w:bCs/>
                <w:color w:val="000000"/>
              </w:rPr>
              <w:t>2015</w:t>
            </w:r>
          </w:p>
        </w:tc>
        <w:tc>
          <w:tcPr>
            <w:tcW w:w="365"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b/>
                <w:bCs/>
                <w:color w:val="000000"/>
              </w:rPr>
            </w:pPr>
            <w:r w:rsidRPr="00F34D75">
              <w:rPr>
                <w:rFonts w:ascii="Calibri" w:eastAsia="Times New Roman" w:hAnsi="Calibri" w:cs="Times New Roman"/>
                <w:b/>
                <w:bCs/>
                <w:color w:val="000000"/>
              </w:rPr>
              <w:t>2016</w:t>
            </w:r>
          </w:p>
        </w:tc>
        <w:tc>
          <w:tcPr>
            <w:tcW w:w="366"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b/>
                <w:bCs/>
                <w:color w:val="000000"/>
              </w:rPr>
            </w:pPr>
            <w:r w:rsidRPr="00F34D75">
              <w:rPr>
                <w:rFonts w:ascii="Calibri" w:eastAsia="Times New Roman" w:hAnsi="Calibri" w:cs="Times New Roman"/>
                <w:b/>
                <w:bCs/>
                <w:color w:val="000000"/>
              </w:rPr>
              <w:t>2017</w:t>
            </w:r>
          </w:p>
        </w:tc>
        <w:tc>
          <w:tcPr>
            <w:tcW w:w="376" w:type="pct"/>
            <w:tcBorders>
              <w:top w:val="single" w:sz="4" w:space="0" w:color="auto"/>
              <w:left w:val="nil"/>
              <w:bottom w:val="single" w:sz="4" w:space="0" w:color="auto"/>
              <w:right w:val="single" w:sz="4" w:space="0" w:color="auto"/>
            </w:tcBorders>
          </w:tcPr>
          <w:p w:rsidR="00AE624D" w:rsidRPr="00F34D75" w:rsidRDefault="00AE624D" w:rsidP="00DA45F8">
            <w:pPr>
              <w:spacing w:after="0" w:line="240" w:lineRule="auto"/>
              <w:jc w:val="right"/>
              <w:rPr>
                <w:rFonts w:ascii="Calibri" w:eastAsia="Times New Roman" w:hAnsi="Calibri" w:cs="Times New Roman"/>
                <w:b/>
                <w:bCs/>
                <w:color w:val="000000"/>
              </w:rPr>
            </w:pPr>
            <w:r>
              <w:rPr>
                <w:rFonts w:ascii="Calibri" w:eastAsia="Times New Roman" w:hAnsi="Calibri" w:cs="Times New Roman"/>
                <w:b/>
                <w:bCs/>
                <w:color w:val="000000"/>
              </w:rPr>
              <w:t>Num emp*</w:t>
            </w:r>
          </w:p>
        </w:tc>
      </w:tr>
      <w:tr w:rsidR="00DA45F8" w:rsidRPr="00F34D75" w:rsidTr="00DA45F8">
        <w:trPr>
          <w:trHeight w:val="300"/>
        </w:trPr>
        <w:tc>
          <w:tcPr>
            <w:tcW w:w="376" w:type="pct"/>
            <w:tcBorders>
              <w:top w:val="nil"/>
              <w:left w:val="single" w:sz="4" w:space="0" w:color="auto"/>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2011</w:t>
            </w:r>
          </w:p>
        </w:tc>
        <w:tc>
          <w:tcPr>
            <w:tcW w:w="2068"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rPr>
                <w:rFonts w:ascii="Calibri" w:eastAsia="Times New Roman" w:hAnsi="Calibri" w:cs="Times New Roman"/>
                <w:color w:val="000000"/>
                <w:lang w:val="es-UY"/>
              </w:rPr>
            </w:pPr>
            <w:r>
              <w:rPr>
                <w:rFonts w:ascii="Calibri" w:eastAsia="Times New Roman" w:hAnsi="Calibri" w:cs="Times New Roman"/>
                <w:color w:val="000000"/>
                <w:lang w:val="es-UY"/>
              </w:rPr>
              <w:t xml:space="preserve">Fab. </w:t>
            </w:r>
            <w:r w:rsidRPr="00F34D75">
              <w:rPr>
                <w:rFonts w:ascii="Calibri" w:eastAsia="Times New Roman" w:hAnsi="Calibri" w:cs="Times New Roman"/>
                <w:color w:val="000000"/>
                <w:lang w:val="es-UY"/>
              </w:rPr>
              <w:t>sustancias químicas básicas y biocombustibles</w:t>
            </w:r>
          </w:p>
        </w:tc>
        <w:tc>
          <w:tcPr>
            <w:tcW w:w="366"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107</w:t>
            </w:r>
          </w:p>
        </w:tc>
        <w:tc>
          <w:tcPr>
            <w:tcW w:w="393"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117</w:t>
            </w:r>
          </w:p>
        </w:tc>
        <w:tc>
          <w:tcPr>
            <w:tcW w:w="343"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125</w:t>
            </w:r>
          </w:p>
        </w:tc>
        <w:tc>
          <w:tcPr>
            <w:tcW w:w="347"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99</w:t>
            </w:r>
          </w:p>
        </w:tc>
        <w:tc>
          <w:tcPr>
            <w:tcW w:w="365"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100</w:t>
            </w:r>
          </w:p>
        </w:tc>
        <w:tc>
          <w:tcPr>
            <w:tcW w:w="366"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119</w:t>
            </w:r>
          </w:p>
        </w:tc>
        <w:tc>
          <w:tcPr>
            <w:tcW w:w="376" w:type="pct"/>
            <w:tcBorders>
              <w:top w:val="nil"/>
              <w:left w:val="nil"/>
              <w:bottom w:val="single" w:sz="4" w:space="0" w:color="auto"/>
              <w:right w:val="single" w:sz="4" w:space="0" w:color="auto"/>
            </w:tcBorders>
          </w:tcPr>
          <w:p w:rsidR="00AE624D" w:rsidRPr="00F34D75" w:rsidRDefault="00AE624D" w:rsidP="00F34D75">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26</w:t>
            </w:r>
          </w:p>
        </w:tc>
      </w:tr>
      <w:tr w:rsidR="00DA45F8" w:rsidRPr="00F34D75" w:rsidTr="00DA45F8">
        <w:trPr>
          <w:trHeight w:val="300"/>
        </w:trPr>
        <w:tc>
          <w:tcPr>
            <w:tcW w:w="37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2021</w:t>
            </w:r>
          </w:p>
        </w:tc>
        <w:tc>
          <w:tcPr>
            <w:tcW w:w="2068"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rPr>
                <w:rFonts w:ascii="Calibri" w:eastAsia="Times New Roman" w:hAnsi="Calibri" w:cs="Times New Roman"/>
                <w:color w:val="000000"/>
                <w:lang w:val="es-UY"/>
              </w:rPr>
            </w:pPr>
            <w:r>
              <w:rPr>
                <w:rFonts w:ascii="Calibri" w:eastAsia="Times New Roman" w:hAnsi="Calibri" w:cs="Times New Roman"/>
                <w:color w:val="000000"/>
                <w:lang w:val="es-UY"/>
              </w:rPr>
              <w:t xml:space="preserve">Fab. </w:t>
            </w:r>
            <w:r w:rsidRPr="00F34D75">
              <w:rPr>
                <w:rFonts w:ascii="Calibri" w:eastAsia="Times New Roman" w:hAnsi="Calibri" w:cs="Times New Roman"/>
                <w:color w:val="000000"/>
                <w:lang w:val="es-UY"/>
              </w:rPr>
              <w:t>pesticidas y de otros productos químicos de uso agropecuario</w:t>
            </w:r>
          </w:p>
        </w:tc>
        <w:tc>
          <w:tcPr>
            <w:tcW w:w="366"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35</w:t>
            </w:r>
          </w:p>
        </w:tc>
        <w:tc>
          <w:tcPr>
            <w:tcW w:w="393"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31</w:t>
            </w:r>
          </w:p>
        </w:tc>
        <w:tc>
          <w:tcPr>
            <w:tcW w:w="343"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30</w:t>
            </w:r>
          </w:p>
        </w:tc>
        <w:tc>
          <w:tcPr>
            <w:tcW w:w="347"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31</w:t>
            </w:r>
          </w:p>
        </w:tc>
        <w:tc>
          <w:tcPr>
            <w:tcW w:w="365"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24</w:t>
            </w:r>
          </w:p>
        </w:tc>
        <w:tc>
          <w:tcPr>
            <w:tcW w:w="366"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29</w:t>
            </w:r>
          </w:p>
        </w:tc>
        <w:tc>
          <w:tcPr>
            <w:tcW w:w="376" w:type="pct"/>
            <w:tcBorders>
              <w:top w:val="nil"/>
              <w:left w:val="nil"/>
              <w:bottom w:val="single" w:sz="4" w:space="0" w:color="auto"/>
              <w:right w:val="single" w:sz="4" w:space="0" w:color="auto"/>
            </w:tcBorders>
          </w:tcPr>
          <w:p w:rsidR="00AE624D" w:rsidRPr="00F34D75" w:rsidRDefault="00AE624D" w:rsidP="00F34D75">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10</w:t>
            </w:r>
          </w:p>
        </w:tc>
      </w:tr>
      <w:tr w:rsidR="00DA45F8" w:rsidRPr="00F34D75" w:rsidTr="00DA45F8">
        <w:trPr>
          <w:trHeight w:val="300"/>
        </w:trPr>
        <w:tc>
          <w:tcPr>
            <w:tcW w:w="376" w:type="pct"/>
            <w:tcBorders>
              <w:top w:val="single" w:sz="4" w:space="0" w:color="auto"/>
              <w:left w:val="single" w:sz="4" w:space="0" w:color="auto"/>
              <w:bottom w:val="single" w:sz="4" w:space="0" w:color="auto"/>
              <w:right w:val="nil"/>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2022</w:t>
            </w:r>
          </w:p>
        </w:tc>
        <w:tc>
          <w:tcPr>
            <w:tcW w:w="20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rPr>
                <w:rFonts w:ascii="Calibri" w:eastAsia="Times New Roman" w:hAnsi="Calibri" w:cs="Times New Roman"/>
                <w:color w:val="000000"/>
                <w:lang w:val="es-UY"/>
              </w:rPr>
            </w:pPr>
            <w:r>
              <w:rPr>
                <w:rFonts w:ascii="Calibri" w:eastAsia="Times New Roman" w:hAnsi="Calibri" w:cs="Times New Roman"/>
                <w:color w:val="000000"/>
                <w:lang w:val="es-UY"/>
              </w:rPr>
              <w:t xml:space="preserve">Fab. </w:t>
            </w:r>
            <w:r w:rsidRPr="00F34D75">
              <w:rPr>
                <w:rFonts w:ascii="Calibri" w:eastAsia="Times New Roman" w:hAnsi="Calibri" w:cs="Times New Roman"/>
                <w:color w:val="000000"/>
                <w:lang w:val="es-UY"/>
              </w:rPr>
              <w:t xml:space="preserve">pinturas, barnices y </w:t>
            </w:r>
            <w:proofErr w:type="spellStart"/>
            <w:r w:rsidRPr="00F34D75">
              <w:rPr>
                <w:rFonts w:ascii="Calibri" w:eastAsia="Times New Roman" w:hAnsi="Calibri" w:cs="Times New Roman"/>
                <w:color w:val="000000"/>
                <w:lang w:val="es-UY"/>
              </w:rPr>
              <w:t>prod</w:t>
            </w:r>
            <w:proofErr w:type="spellEnd"/>
            <w:r>
              <w:rPr>
                <w:rFonts w:ascii="Calibri" w:eastAsia="Times New Roman" w:hAnsi="Calibri" w:cs="Times New Roman"/>
                <w:color w:val="000000"/>
                <w:lang w:val="es-UY"/>
              </w:rPr>
              <w:t xml:space="preserve"> </w:t>
            </w:r>
            <w:r w:rsidRPr="00F34D75">
              <w:rPr>
                <w:rFonts w:ascii="Calibri" w:eastAsia="Times New Roman" w:hAnsi="Calibri" w:cs="Times New Roman"/>
                <w:color w:val="000000"/>
                <w:lang w:val="es-UY"/>
              </w:rPr>
              <w:t xml:space="preserve">de </w:t>
            </w:r>
            <w:proofErr w:type="spellStart"/>
            <w:r w:rsidRPr="00F34D75">
              <w:rPr>
                <w:rFonts w:ascii="Calibri" w:eastAsia="Times New Roman" w:hAnsi="Calibri" w:cs="Times New Roman"/>
                <w:color w:val="000000"/>
                <w:lang w:val="es-UY"/>
              </w:rPr>
              <w:t>revest</w:t>
            </w:r>
            <w:proofErr w:type="spellEnd"/>
            <w:r w:rsidRPr="00F34D75">
              <w:rPr>
                <w:rFonts w:ascii="Calibri" w:eastAsia="Times New Roman" w:hAnsi="Calibri" w:cs="Times New Roman"/>
                <w:color w:val="000000"/>
                <w:lang w:val="es-UY"/>
              </w:rPr>
              <w:t>, tintas de imprenta y masillas</w:t>
            </w:r>
          </w:p>
        </w:tc>
        <w:tc>
          <w:tcPr>
            <w:tcW w:w="366"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41</w:t>
            </w:r>
          </w:p>
        </w:tc>
        <w:tc>
          <w:tcPr>
            <w:tcW w:w="393"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41</w:t>
            </w:r>
          </w:p>
        </w:tc>
        <w:tc>
          <w:tcPr>
            <w:tcW w:w="343"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47</w:t>
            </w:r>
          </w:p>
        </w:tc>
        <w:tc>
          <w:tcPr>
            <w:tcW w:w="347"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47</w:t>
            </w:r>
          </w:p>
        </w:tc>
        <w:tc>
          <w:tcPr>
            <w:tcW w:w="365"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38</w:t>
            </w:r>
          </w:p>
        </w:tc>
        <w:tc>
          <w:tcPr>
            <w:tcW w:w="366"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35</w:t>
            </w:r>
          </w:p>
        </w:tc>
        <w:tc>
          <w:tcPr>
            <w:tcW w:w="376" w:type="pct"/>
            <w:tcBorders>
              <w:top w:val="nil"/>
              <w:left w:val="nil"/>
              <w:bottom w:val="single" w:sz="4" w:space="0" w:color="auto"/>
              <w:right w:val="single" w:sz="4" w:space="0" w:color="auto"/>
            </w:tcBorders>
          </w:tcPr>
          <w:p w:rsidR="00AE624D" w:rsidRPr="00F34D75" w:rsidRDefault="00AE624D" w:rsidP="00F34D75">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8</w:t>
            </w:r>
          </w:p>
        </w:tc>
      </w:tr>
      <w:tr w:rsidR="00DA45F8" w:rsidRPr="00F34D75" w:rsidTr="00DA45F8">
        <w:trPr>
          <w:trHeight w:val="300"/>
        </w:trPr>
        <w:tc>
          <w:tcPr>
            <w:tcW w:w="376" w:type="pct"/>
            <w:tcBorders>
              <w:top w:val="single" w:sz="4" w:space="0" w:color="auto"/>
              <w:left w:val="single" w:sz="4" w:space="0" w:color="auto"/>
              <w:bottom w:val="single" w:sz="4" w:space="0" w:color="auto"/>
              <w:right w:val="nil"/>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2023</w:t>
            </w:r>
          </w:p>
        </w:tc>
        <w:tc>
          <w:tcPr>
            <w:tcW w:w="20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rPr>
                <w:rFonts w:ascii="Calibri" w:eastAsia="Times New Roman" w:hAnsi="Calibri" w:cs="Times New Roman"/>
                <w:color w:val="000000"/>
                <w:lang w:val="es-UY"/>
              </w:rPr>
            </w:pPr>
            <w:r>
              <w:rPr>
                <w:rFonts w:ascii="Calibri" w:eastAsia="Times New Roman" w:hAnsi="Calibri" w:cs="Times New Roman"/>
                <w:color w:val="000000"/>
                <w:lang w:val="es-UY"/>
              </w:rPr>
              <w:t xml:space="preserve">Fab. </w:t>
            </w:r>
            <w:r w:rsidRPr="00F34D75">
              <w:rPr>
                <w:rFonts w:ascii="Calibri" w:eastAsia="Times New Roman" w:hAnsi="Calibri" w:cs="Times New Roman"/>
                <w:color w:val="000000"/>
                <w:lang w:val="es-UY"/>
              </w:rPr>
              <w:t xml:space="preserve">jabones y detergentes, perfumes </w:t>
            </w:r>
          </w:p>
        </w:tc>
        <w:tc>
          <w:tcPr>
            <w:tcW w:w="366"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23</w:t>
            </w:r>
          </w:p>
        </w:tc>
        <w:tc>
          <w:tcPr>
            <w:tcW w:w="393"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8</w:t>
            </w:r>
          </w:p>
        </w:tc>
        <w:tc>
          <w:tcPr>
            <w:tcW w:w="343"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7</w:t>
            </w:r>
          </w:p>
        </w:tc>
        <w:tc>
          <w:tcPr>
            <w:tcW w:w="347"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6</w:t>
            </w:r>
          </w:p>
        </w:tc>
        <w:tc>
          <w:tcPr>
            <w:tcW w:w="365"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7</w:t>
            </w:r>
          </w:p>
        </w:tc>
        <w:tc>
          <w:tcPr>
            <w:tcW w:w="366"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8</w:t>
            </w:r>
          </w:p>
        </w:tc>
        <w:tc>
          <w:tcPr>
            <w:tcW w:w="376" w:type="pct"/>
            <w:tcBorders>
              <w:top w:val="nil"/>
              <w:left w:val="nil"/>
              <w:bottom w:val="single" w:sz="4" w:space="0" w:color="auto"/>
              <w:right w:val="single" w:sz="4" w:space="0" w:color="auto"/>
            </w:tcBorders>
          </w:tcPr>
          <w:p w:rsidR="00AE624D" w:rsidRPr="00F34D75" w:rsidRDefault="00AE624D" w:rsidP="00F34D75">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13</w:t>
            </w:r>
          </w:p>
        </w:tc>
      </w:tr>
      <w:tr w:rsidR="00DA45F8" w:rsidRPr="00F34D75" w:rsidTr="00DA45F8">
        <w:trPr>
          <w:trHeight w:val="300"/>
        </w:trPr>
        <w:tc>
          <w:tcPr>
            <w:tcW w:w="376" w:type="pct"/>
            <w:tcBorders>
              <w:top w:val="single" w:sz="4" w:space="0" w:color="auto"/>
              <w:left w:val="single" w:sz="4" w:space="0" w:color="auto"/>
              <w:bottom w:val="single" w:sz="4" w:space="0" w:color="auto"/>
              <w:right w:val="nil"/>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2029</w:t>
            </w:r>
          </w:p>
        </w:tc>
        <w:tc>
          <w:tcPr>
            <w:tcW w:w="20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rPr>
                <w:rFonts w:ascii="Calibri" w:eastAsia="Times New Roman" w:hAnsi="Calibri" w:cs="Times New Roman"/>
                <w:color w:val="000000"/>
                <w:lang w:val="es-UY"/>
              </w:rPr>
            </w:pPr>
            <w:r>
              <w:rPr>
                <w:rFonts w:ascii="Calibri" w:eastAsia="Times New Roman" w:hAnsi="Calibri" w:cs="Times New Roman"/>
                <w:color w:val="000000"/>
                <w:lang w:val="es-UY"/>
              </w:rPr>
              <w:t xml:space="preserve">Fab. </w:t>
            </w:r>
            <w:r w:rsidRPr="00F34D75">
              <w:rPr>
                <w:rFonts w:ascii="Calibri" w:eastAsia="Times New Roman" w:hAnsi="Calibri" w:cs="Times New Roman"/>
                <w:color w:val="000000"/>
                <w:lang w:val="es-UY"/>
              </w:rPr>
              <w:t xml:space="preserve">otros productos químicos </w:t>
            </w:r>
            <w:proofErr w:type="spellStart"/>
            <w:r w:rsidRPr="00F34D75">
              <w:rPr>
                <w:rFonts w:ascii="Calibri" w:eastAsia="Times New Roman" w:hAnsi="Calibri" w:cs="Times New Roman"/>
                <w:color w:val="000000"/>
                <w:lang w:val="es-UY"/>
              </w:rPr>
              <w:t>n.c.p</w:t>
            </w:r>
            <w:proofErr w:type="spellEnd"/>
            <w:r w:rsidRPr="00F34D75">
              <w:rPr>
                <w:rFonts w:ascii="Calibri" w:eastAsia="Times New Roman" w:hAnsi="Calibri" w:cs="Times New Roman"/>
                <w:color w:val="000000"/>
                <w:lang w:val="es-UY"/>
              </w:rPr>
              <w:t>.</w:t>
            </w:r>
          </w:p>
        </w:tc>
        <w:tc>
          <w:tcPr>
            <w:tcW w:w="366"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39</w:t>
            </w:r>
          </w:p>
        </w:tc>
        <w:tc>
          <w:tcPr>
            <w:tcW w:w="393"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39</w:t>
            </w:r>
          </w:p>
        </w:tc>
        <w:tc>
          <w:tcPr>
            <w:tcW w:w="343"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42</w:t>
            </w:r>
          </w:p>
        </w:tc>
        <w:tc>
          <w:tcPr>
            <w:tcW w:w="347"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41</w:t>
            </w:r>
          </w:p>
        </w:tc>
        <w:tc>
          <w:tcPr>
            <w:tcW w:w="365"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37</w:t>
            </w:r>
          </w:p>
        </w:tc>
        <w:tc>
          <w:tcPr>
            <w:tcW w:w="366"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18</w:t>
            </w:r>
          </w:p>
        </w:tc>
        <w:tc>
          <w:tcPr>
            <w:tcW w:w="376" w:type="pct"/>
            <w:tcBorders>
              <w:top w:val="nil"/>
              <w:left w:val="nil"/>
              <w:bottom w:val="single" w:sz="4" w:space="0" w:color="auto"/>
              <w:right w:val="single" w:sz="4" w:space="0" w:color="auto"/>
            </w:tcBorders>
          </w:tcPr>
          <w:p w:rsidR="00AE624D" w:rsidRPr="00F34D75" w:rsidRDefault="00AE624D" w:rsidP="00F34D75">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21</w:t>
            </w:r>
          </w:p>
        </w:tc>
      </w:tr>
      <w:tr w:rsidR="00DA45F8" w:rsidRPr="00F34D75" w:rsidTr="00DA45F8">
        <w:trPr>
          <w:trHeight w:val="300"/>
        </w:trPr>
        <w:tc>
          <w:tcPr>
            <w:tcW w:w="376" w:type="pct"/>
            <w:tcBorders>
              <w:top w:val="single" w:sz="4" w:space="0" w:color="auto"/>
              <w:left w:val="single" w:sz="4" w:space="0" w:color="auto"/>
              <w:bottom w:val="single" w:sz="4" w:space="0" w:color="auto"/>
              <w:right w:val="nil"/>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2100</w:t>
            </w:r>
          </w:p>
        </w:tc>
        <w:tc>
          <w:tcPr>
            <w:tcW w:w="20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rPr>
                <w:rFonts w:ascii="Calibri" w:eastAsia="Times New Roman" w:hAnsi="Calibri" w:cs="Times New Roman"/>
                <w:color w:val="000000"/>
                <w:lang w:val="es-UY"/>
              </w:rPr>
            </w:pPr>
            <w:r>
              <w:rPr>
                <w:rFonts w:ascii="Calibri" w:eastAsia="Times New Roman" w:hAnsi="Calibri" w:cs="Times New Roman"/>
                <w:color w:val="000000"/>
                <w:lang w:val="es-UY"/>
              </w:rPr>
              <w:t xml:space="preserve">Fab. </w:t>
            </w:r>
            <w:r w:rsidRPr="00F34D75">
              <w:rPr>
                <w:rFonts w:ascii="Calibri" w:eastAsia="Times New Roman" w:hAnsi="Calibri" w:cs="Times New Roman"/>
                <w:color w:val="000000"/>
                <w:lang w:val="es-UY"/>
              </w:rPr>
              <w:t>productos farmacéuticos</w:t>
            </w:r>
          </w:p>
        </w:tc>
        <w:tc>
          <w:tcPr>
            <w:tcW w:w="366"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200</w:t>
            </w:r>
          </w:p>
        </w:tc>
        <w:tc>
          <w:tcPr>
            <w:tcW w:w="393"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217</w:t>
            </w:r>
          </w:p>
        </w:tc>
        <w:tc>
          <w:tcPr>
            <w:tcW w:w="343"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239</w:t>
            </w:r>
          </w:p>
        </w:tc>
        <w:tc>
          <w:tcPr>
            <w:tcW w:w="347"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225</w:t>
            </w:r>
          </w:p>
        </w:tc>
        <w:tc>
          <w:tcPr>
            <w:tcW w:w="365"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256</w:t>
            </w:r>
          </w:p>
        </w:tc>
        <w:tc>
          <w:tcPr>
            <w:tcW w:w="366"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257</w:t>
            </w:r>
          </w:p>
        </w:tc>
        <w:tc>
          <w:tcPr>
            <w:tcW w:w="376" w:type="pct"/>
            <w:tcBorders>
              <w:top w:val="nil"/>
              <w:left w:val="nil"/>
              <w:bottom w:val="single" w:sz="4" w:space="0" w:color="auto"/>
              <w:right w:val="single" w:sz="4" w:space="0" w:color="auto"/>
            </w:tcBorders>
          </w:tcPr>
          <w:p w:rsidR="00AE624D" w:rsidRPr="00F34D75" w:rsidRDefault="00AE624D" w:rsidP="00F34D75">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41</w:t>
            </w:r>
          </w:p>
        </w:tc>
      </w:tr>
      <w:tr w:rsidR="00DA45F8" w:rsidRPr="00F34D75" w:rsidTr="00DA45F8">
        <w:trPr>
          <w:trHeight w:val="300"/>
        </w:trPr>
        <w:tc>
          <w:tcPr>
            <w:tcW w:w="376" w:type="pct"/>
            <w:tcBorders>
              <w:top w:val="single" w:sz="4" w:space="0" w:color="auto"/>
              <w:left w:val="single" w:sz="4" w:space="0" w:color="auto"/>
              <w:bottom w:val="single" w:sz="4" w:space="0" w:color="auto"/>
              <w:right w:val="nil"/>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2512</w:t>
            </w:r>
          </w:p>
        </w:tc>
        <w:tc>
          <w:tcPr>
            <w:tcW w:w="20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rPr>
                <w:rFonts w:ascii="Calibri" w:eastAsia="Times New Roman" w:hAnsi="Calibri" w:cs="Times New Roman"/>
                <w:color w:val="000000"/>
                <w:lang w:val="es-UY"/>
              </w:rPr>
            </w:pPr>
            <w:r>
              <w:rPr>
                <w:rFonts w:ascii="Calibri" w:eastAsia="Times New Roman" w:hAnsi="Calibri" w:cs="Times New Roman"/>
                <w:color w:val="000000"/>
                <w:lang w:val="es-UY"/>
              </w:rPr>
              <w:t xml:space="preserve">Fab. </w:t>
            </w:r>
            <w:r w:rsidRPr="00F34D75">
              <w:rPr>
                <w:rFonts w:ascii="Calibri" w:eastAsia="Times New Roman" w:hAnsi="Calibri" w:cs="Times New Roman"/>
                <w:color w:val="000000"/>
                <w:lang w:val="es-UY"/>
              </w:rPr>
              <w:t>tanques, depósitos y recipientes de metal</w:t>
            </w:r>
          </w:p>
        </w:tc>
        <w:tc>
          <w:tcPr>
            <w:tcW w:w="366"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w:t>
            </w:r>
          </w:p>
        </w:tc>
        <w:tc>
          <w:tcPr>
            <w:tcW w:w="393"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43"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47"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65"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66"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76" w:type="pct"/>
            <w:tcBorders>
              <w:top w:val="nil"/>
              <w:left w:val="nil"/>
              <w:bottom w:val="single" w:sz="4" w:space="0" w:color="auto"/>
              <w:right w:val="single" w:sz="4" w:space="0" w:color="auto"/>
            </w:tcBorders>
          </w:tcPr>
          <w:p w:rsidR="00AE624D" w:rsidRPr="00F34D75" w:rsidRDefault="00DA45F8" w:rsidP="00F34D75">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r>
      <w:tr w:rsidR="00DA45F8" w:rsidRPr="00F34D75" w:rsidTr="00DA45F8">
        <w:trPr>
          <w:trHeight w:val="300"/>
        </w:trPr>
        <w:tc>
          <w:tcPr>
            <w:tcW w:w="376" w:type="pct"/>
            <w:tcBorders>
              <w:top w:val="single" w:sz="4" w:space="0" w:color="auto"/>
              <w:left w:val="single" w:sz="4" w:space="0" w:color="auto"/>
              <w:bottom w:val="single" w:sz="4" w:space="0" w:color="auto"/>
              <w:right w:val="nil"/>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2620</w:t>
            </w:r>
          </w:p>
        </w:tc>
        <w:tc>
          <w:tcPr>
            <w:tcW w:w="20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rPr>
                <w:rFonts w:ascii="Calibri" w:eastAsia="Times New Roman" w:hAnsi="Calibri" w:cs="Times New Roman"/>
                <w:color w:val="000000"/>
                <w:lang w:val="es-UY"/>
              </w:rPr>
            </w:pPr>
            <w:r>
              <w:rPr>
                <w:rFonts w:ascii="Calibri" w:eastAsia="Times New Roman" w:hAnsi="Calibri" w:cs="Times New Roman"/>
                <w:color w:val="000000"/>
                <w:lang w:val="es-UY"/>
              </w:rPr>
              <w:t xml:space="preserve">Fab. </w:t>
            </w:r>
            <w:r w:rsidRPr="00F34D75">
              <w:rPr>
                <w:rFonts w:ascii="Calibri" w:eastAsia="Times New Roman" w:hAnsi="Calibri" w:cs="Times New Roman"/>
                <w:color w:val="000000"/>
                <w:lang w:val="es-UY"/>
              </w:rPr>
              <w:t>computadoras y equipo periférico</w:t>
            </w:r>
          </w:p>
        </w:tc>
        <w:tc>
          <w:tcPr>
            <w:tcW w:w="366"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3</w:t>
            </w:r>
          </w:p>
        </w:tc>
        <w:tc>
          <w:tcPr>
            <w:tcW w:w="393"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3</w:t>
            </w:r>
          </w:p>
        </w:tc>
        <w:tc>
          <w:tcPr>
            <w:tcW w:w="343"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w:t>
            </w:r>
          </w:p>
        </w:tc>
        <w:tc>
          <w:tcPr>
            <w:tcW w:w="347"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w:t>
            </w:r>
          </w:p>
        </w:tc>
        <w:tc>
          <w:tcPr>
            <w:tcW w:w="365"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w:t>
            </w:r>
          </w:p>
        </w:tc>
        <w:tc>
          <w:tcPr>
            <w:tcW w:w="366"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w:t>
            </w:r>
          </w:p>
        </w:tc>
        <w:tc>
          <w:tcPr>
            <w:tcW w:w="376" w:type="pct"/>
            <w:tcBorders>
              <w:top w:val="nil"/>
              <w:left w:val="nil"/>
              <w:bottom w:val="single" w:sz="4" w:space="0" w:color="auto"/>
              <w:right w:val="single" w:sz="4" w:space="0" w:color="auto"/>
            </w:tcBorders>
          </w:tcPr>
          <w:p w:rsidR="00AE624D" w:rsidRPr="00F34D75" w:rsidRDefault="00DA45F8" w:rsidP="00F34D75">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10</w:t>
            </w:r>
          </w:p>
        </w:tc>
      </w:tr>
      <w:tr w:rsidR="00DA45F8" w:rsidRPr="00F34D75" w:rsidTr="00DA45F8">
        <w:trPr>
          <w:trHeight w:val="300"/>
        </w:trPr>
        <w:tc>
          <w:tcPr>
            <w:tcW w:w="376" w:type="pct"/>
            <w:tcBorders>
              <w:top w:val="single" w:sz="4" w:space="0" w:color="auto"/>
              <w:left w:val="single" w:sz="4" w:space="0" w:color="auto"/>
              <w:bottom w:val="single" w:sz="4" w:space="0" w:color="auto"/>
              <w:right w:val="nil"/>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2660</w:t>
            </w:r>
          </w:p>
        </w:tc>
        <w:tc>
          <w:tcPr>
            <w:tcW w:w="20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rPr>
                <w:rFonts w:ascii="Calibri" w:eastAsia="Times New Roman" w:hAnsi="Calibri" w:cs="Times New Roman"/>
                <w:color w:val="000000"/>
                <w:lang w:val="es-UY"/>
              </w:rPr>
            </w:pPr>
            <w:r>
              <w:rPr>
                <w:rFonts w:ascii="Calibri" w:eastAsia="Times New Roman" w:hAnsi="Calibri" w:cs="Times New Roman"/>
                <w:color w:val="000000"/>
                <w:lang w:val="es-UY"/>
              </w:rPr>
              <w:t xml:space="preserve">Fab. </w:t>
            </w:r>
            <w:r w:rsidRPr="00F34D75">
              <w:rPr>
                <w:rFonts w:ascii="Calibri" w:eastAsia="Times New Roman" w:hAnsi="Calibri" w:cs="Times New Roman"/>
                <w:color w:val="000000"/>
                <w:lang w:val="es-UY"/>
              </w:rPr>
              <w:t xml:space="preserve">equipos radiológicos, </w:t>
            </w:r>
            <w:proofErr w:type="spellStart"/>
            <w:r w:rsidRPr="00F34D75">
              <w:rPr>
                <w:rFonts w:ascii="Calibri" w:eastAsia="Times New Roman" w:hAnsi="Calibri" w:cs="Times New Roman"/>
                <w:color w:val="000000"/>
                <w:lang w:val="es-UY"/>
              </w:rPr>
              <w:t>electromédicos</w:t>
            </w:r>
            <w:proofErr w:type="spellEnd"/>
            <w:r w:rsidRPr="00F34D75">
              <w:rPr>
                <w:rFonts w:ascii="Calibri" w:eastAsia="Times New Roman" w:hAnsi="Calibri" w:cs="Times New Roman"/>
                <w:color w:val="000000"/>
                <w:lang w:val="es-UY"/>
              </w:rPr>
              <w:t xml:space="preserve"> y electro terapéuticos</w:t>
            </w:r>
          </w:p>
        </w:tc>
        <w:tc>
          <w:tcPr>
            <w:tcW w:w="366"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7</w:t>
            </w:r>
          </w:p>
        </w:tc>
        <w:tc>
          <w:tcPr>
            <w:tcW w:w="393"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8</w:t>
            </w:r>
          </w:p>
        </w:tc>
        <w:tc>
          <w:tcPr>
            <w:tcW w:w="343"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9</w:t>
            </w:r>
          </w:p>
        </w:tc>
        <w:tc>
          <w:tcPr>
            <w:tcW w:w="347"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42</w:t>
            </w:r>
          </w:p>
        </w:tc>
        <w:tc>
          <w:tcPr>
            <w:tcW w:w="365"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40</w:t>
            </w:r>
          </w:p>
        </w:tc>
        <w:tc>
          <w:tcPr>
            <w:tcW w:w="366"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42</w:t>
            </w:r>
          </w:p>
        </w:tc>
        <w:tc>
          <w:tcPr>
            <w:tcW w:w="376" w:type="pct"/>
            <w:tcBorders>
              <w:top w:val="nil"/>
              <w:left w:val="nil"/>
              <w:bottom w:val="single" w:sz="4" w:space="0" w:color="auto"/>
              <w:right w:val="single" w:sz="4" w:space="0" w:color="auto"/>
            </w:tcBorders>
          </w:tcPr>
          <w:p w:rsidR="00AE624D" w:rsidRPr="00F34D75" w:rsidRDefault="00DA45F8" w:rsidP="00F34D75">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6</w:t>
            </w:r>
          </w:p>
        </w:tc>
      </w:tr>
      <w:tr w:rsidR="00DA45F8" w:rsidRPr="00F34D75" w:rsidTr="00DA45F8">
        <w:trPr>
          <w:trHeight w:val="300"/>
        </w:trPr>
        <w:tc>
          <w:tcPr>
            <w:tcW w:w="376" w:type="pct"/>
            <w:tcBorders>
              <w:top w:val="single" w:sz="4" w:space="0" w:color="auto"/>
              <w:left w:val="single" w:sz="4" w:space="0" w:color="auto"/>
              <w:bottom w:val="single" w:sz="4" w:space="0" w:color="auto"/>
              <w:right w:val="nil"/>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2710</w:t>
            </w:r>
          </w:p>
        </w:tc>
        <w:tc>
          <w:tcPr>
            <w:tcW w:w="20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rPr>
                <w:rFonts w:ascii="Calibri" w:eastAsia="Times New Roman" w:hAnsi="Calibri" w:cs="Times New Roman"/>
                <w:color w:val="000000"/>
                <w:lang w:val="es-UY"/>
              </w:rPr>
            </w:pPr>
            <w:r>
              <w:rPr>
                <w:rFonts w:ascii="Calibri" w:eastAsia="Times New Roman" w:hAnsi="Calibri" w:cs="Times New Roman"/>
                <w:color w:val="000000"/>
                <w:lang w:val="es-UY"/>
              </w:rPr>
              <w:t xml:space="preserve">Fab. </w:t>
            </w:r>
            <w:r w:rsidRPr="00F34D75">
              <w:rPr>
                <w:rFonts w:ascii="Calibri" w:eastAsia="Times New Roman" w:hAnsi="Calibri" w:cs="Times New Roman"/>
                <w:color w:val="000000"/>
                <w:lang w:val="es-UY"/>
              </w:rPr>
              <w:t xml:space="preserve">motores eléctricos, generadores, </w:t>
            </w:r>
          </w:p>
        </w:tc>
        <w:tc>
          <w:tcPr>
            <w:tcW w:w="366"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15</w:t>
            </w:r>
          </w:p>
        </w:tc>
        <w:tc>
          <w:tcPr>
            <w:tcW w:w="393"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12</w:t>
            </w:r>
          </w:p>
        </w:tc>
        <w:tc>
          <w:tcPr>
            <w:tcW w:w="343"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16</w:t>
            </w:r>
          </w:p>
        </w:tc>
        <w:tc>
          <w:tcPr>
            <w:tcW w:w="347"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12</w:t>
            </w:r>
          </w:p>
        </w:tc>
        <w:tc>
          <w:tcPr>
            <w:tcW w:w="365"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6</w:t>
            </w:r>
          </w:p>
        </w:tc>
        <w:tc>
          <w:tcPr>
            <w:tcW w:w="366"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7</w:t>
            </w:r>
          </w:p>
        </w:tc>
        <w:tc>
          <w:tcPr>
            <w:tcW w:w="376" w:type="pct"/>
            <w:tcBorders>
              <w:top w:val="nil"/>
              <w:left w:val="nil"/>
              <w:bottom w:val="single" w:sz="4" w:space="0" w:color="auto"/>
              <w:right w:val="single" w:sz="4" w:space="0" w:color="auto"/>
            </w:tcBorders>
          </w:tcPr>
          <w:p w:rsidR="00AE624D" w:rsidRPr="00F34D75" w:rsidRDefault="00DA45F8" w:rsidP="00F34D75">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13</w:t>
            </w:r>
          </w:p>
        </w:tc>
      </w:tr>
      <w:tr w:rsidR="00DA45F8" w:rsidRPr="00F34D75" w:rsidTr="00DA45F8">
        <w:trPr>
          <w:trHeight w:val="300"/>
        </w:trPr>
        <w:tc>
          <w:tcPr>
            <w:tcW w:w="376" w:type="pct"/>
            <w:tcBorders>
              <w:top w:val="single" w:sz="4" w:space="0" w:color="auto"/>
              <w:left w:val="single" w:sz="4" w:space="0" w:color="auto"/>
              <w:bottom w:val="single" w:sz="4" w:space="0" w:color="auto"/>
              <w:right w:val="nil"/>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2732</w:t>
            </w:r>
          </w:p>
        </w:tc>
        <w:tc>
          <w:tcPr>
            <w:tcW w:w="20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rPr>
                <w:rFonts w:ascii="Calibri" w:eastAsia="Times New Roman" w:hAnsi="Calibri" w:cs="Times New Roman"/>
                <w:color w:val="000000"/>
                <w:lang w:val="es-UY"/>
              </w:rPr>
            </w:pPr>
            <w:r>
              <w:rPr>
                <w:rFonts w:ascii="Calibri" w:eastAsia="Times New Roman" w:hAnsi="Calibri" w:cs="Times New Roman"/>
                <w:color w:val="000000"/>
                <w:lang w:val="es-UY"/>
              </w:rPr>
              <w:t xml:space="preserve">Fab. </w:t>
            </w:r>
            <w:r w:rsidRPr="00F34D75">
              <w:rPr>
                <w:rFonts w:ascii="Calibri" w:eastAsia="Times New Roman" w:hAnsi="Calibri" w:cs="Times New Roman"/>
                <w:color w:val="000000"/>
                <w:lang w:val="es-UY"/>
              </w:rPr>
              <w:t>otros cables eléctricos y electrónicos</w:t>
            </w:r>
          </w:p>
        </w:tc>
        <w:tc>
          <w:tcPr>
            <w:tcW w:w="366"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1</w:t>
            </w:r>
          </w:p>
        </w:tc>
        <w:tc>
          <w:tcPr>
            <w:tcW w:w="393"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1</w:t>
            </w:r>
          </w:p>
        </w:tc>
        <w:tc>
          <w:tcPr>
            <w:tcW w:w="343"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1</w:t>
            </w:r>
          </w:p>
        </w:tc>
        <w:tc>
          <w:tcPr>
            <w:tcW w:w="347"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1</w:t>
            </w:r>
          </w:p>
        </w:tc>
        <w:tc>
          <w:tcPr>
            <w:tcW w:w="365"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66"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76" w:type="pct"/>
            <w:tcBorders>
              <w:top w:val="nil"/>
              <w:left w:val="nil"/>
              <w:bottom w:val="single" w:sz="4" w:space="0" w:color="auto"/>
              <w:right w:val="single" w:sz="4" w:space="0" w:color="auto"/>
            </w:tcBorders>
          </w:tcPr>
          <w:p w:rsidR="00AE624D" w:rsidRPr="00F34D75" w:rsidRDefault="00DA45F8" w:rsidP="00F34D75">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3</w:t>
            </w:r>
          </w:p>
        </w:tc>
      </w:tr>
      <w:tr w:rsidR="00DA45F8" w:rsidRPr="00F34D75" w:rsidTr="00DA45F8">
        <w:trPr>
          <w:trHeight w:val="300"/>
        </w:trPr>
        <w:tc>
          <w:tcPr>
            <w:tcW w:w="376" w:type="pct"/>
            <w:tcBorders>
              <w:top w:val="single" w:sz="4" w:space="0" w:color="auto"/>
              <w:left w:val="single" w:sz="4" w:space="0" w:color="auto"/>
              <w:bottom w:val="single" w:sz="4" w:space="0" w:color="auto"/>
              <w:right w:val="nil"/>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2733</w:t>
            </w:r>
          </w:p>
        </w:tc>
        <w:tc>
          <w:tcPr>
            <w:tcW w:w="20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rPr>
                <w:rFonts w:ascii="Calibri" w:eastAsia="Times New Roman" w:hAnsi="Calibri" w:cs="Times New Roman"/>
                <w:color w:val="000000"/>
                <w:lang w:val="es-UY"/>
              </w:rPr>
            </w:pPr>
            <w:r>
              <w:rPr>
                <w:rFonts w:ascii="Calibri" w:eastAsia="Times New Roman" w:hAnsi="Calibri" w:cs="Times New Roman"/>
                <w:color w:val="000000"/>
                <w:lang w:val="es-UY"/>
              </w:rPr>
              <w:t xml:space="preserve">Fab. </w:t>
            </w:r>
            <w:r w:rsidRPr="00F34D75">
              <w:rPr>
                <w:rFonts w:ascii="Calibri" w:eastAsia="Times New Roman" w:hAnsi="Calibri" w:cs="Times New Roman"/>
                <w:color w:val="000000"/>
                <w:lang w:val="es-UY"/>
              </w:rPr>
              <w:t>dispositivos de cableado</w:t>
            </w:r>
          </w:p>
        </w:tc>
        <w:tc>
          <w:tcPr>
            <w:tcW w:w="366"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93"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43"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47"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65"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66"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76" w:type="pct"/>
            <w:tcBorders>
              <w:top w:val="nil"/>
              <w:left w:val="nil"/>
              <w:bottom w:val="single" w:sz="4" w:space="0" w:color="auto"/>
              <w:right w:val="single" w:sz="4" w:space="0" w:color="auto"/>
            </w:tcBorders>
          </w:tcPr>
          <w:p w:rsidR="00AE624D" w:rsidRPr="00F34D75" w:rsidRDefault="00DA45F8" w:rsidP="00F34D75">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p>
        </w:tc>
      </w:tr>
      <w:tr w:rsidR="00DA45F8" w:rsidRPr="00F34D75" w:rsidTr="00DA45F8">
        <w:trPr>
          <w:trHeight w:val="300"/>
        </w:trPr>
        <w:tc>
          <w:tcPr>
            <w:tcW w:w="376" w:type="pct"/>
            <w:tcBorders>
              <w:top w:val="single" w:sz="4" w:space="0" w:color="auto"/>
              <w:left w:val="single" w:sz="4" w:space="0" w:color="auto"/>
              <w:bottom w:val="single" w:sz="4" w:space="0" w:color="auto"/>
              <w:right w:val="nil"/>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2740</w:t>
            </w:r>
          </w:p>
        </w:tc>
        <w:tc>
          <w:tcPr>
            <w:tcW w:w="20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rPr>
                <w:rFonts w:ascii="Calibri" w:eastAsia="Times New Roman" w:hAnsi="Calibri" w:cs="Times New Roman"/>
                <w:color w:val="000000"/>
                <w:lang w:val="es-UY"/>
              </w:rPr>
            </w:pPr>
            <w:r>
              <w:rPr>
                <w:rFonts w:ascii="Calibri" w:eastAsia="Times New Roman" w:hAnsi="Calibri" w:cs="Times New Roman"/>
                <w:color w:val="000000"/>
                <w:lang w:val="es-UY"/>
              </w:rPr>
              <w:t xml:space="preserve">Fab. </w:t>
            </w:r>
            <w:r w:rsidRPr="00F34D75">
              <w:rPr>
                <w:rFonts w:ascii="Calibri" w:eastAsia="Times New Roman" w:hAnsi="Calibri" w:cs="Times New Roman"/>
                <w:color w:val="000000"/>
                <w:lang w:val="es-UY"/>
              </w:rPr>
              <w:t>equipos de iluminación eléctricos</w:t>
            </w:r>
          </w:p>
        </w:tc>
        <w:tc>
          <w:tcPr>
            <w:tcW w:w="366"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1</w:t>
            </w:r>
          </w:p>
        </w:tc>
        <w:tc>
          <w:tcPr>
            <w:tcW w:w="393"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43"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47"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65"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66"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76" w:type="pct"/>
            <w:tcBorders>
              <w:top w:val="nil"/>
              <w:left w:val="nil"/>
              <w:bottom w:val="single" w:sz="4" w:space="0" w:color="auto"/>
              <w:right w:val="single" w:sz="4" w:space="0" w:color="auto"/>
            </w:tcBorders>
          </w:tcPr>
          <w:p w:rsidR="00AE624D" w:rsidRPr="00F34D75" w:rsidRDefault="00DA45F8" w:rsidP="00F34D75">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w:t>
            </w:r>
          </w:p>
        </w:tc>
      </w:tr>
      <w:tr w:rsidR="00DA45F8" w:rsidRPr="00F34D75" w:rsidTr="00DA45F8">
        <w:trPr>
          <w:trHeight w:val="300"/>
        </w:trPr>
        <w:tc>
          <w:tcPr>
            <w:tcW w:w="376" w:type="pct"/>
            <w:tcBorders>
              <w:top w:val="single" w:sz="4" w:space="0" w:color="auto"/>
              <w:left w:val="single" w:sz="4" w:space="0" w:color="auto"/>
              <w:bottom w:val="single" w:sz="4" w:space="0" w:color="auto"/>
              <w:right w:val="nil"/>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2825</w:t>
            </w:r>
          </w:p>
        </w:tc>
        <w:tc>
          <w:tcPr>
            <w:tcW w:w="20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rPr>
                <w:rFonts w:ascii="Calibri" w:eastAsia="Times New Roman" w:hAnsi="Calibri" w:cs="Times New Roman"/>
                <w:color w:val="000000"/>
                <w:lang w:val="es-UY"/>
              </w:rPr>
            </w:pPr>
            <w:r>
              <w:rPr>
                <w:rFonts w:ascii="Calibri" w:eastAsia="Times New Roman" w:hAnsi="Calibri" w:cs="Times New Roman"/>
                <w:color w:val="000000"/>
                <w:lang w:val="es-UY"/>
              </w:rPr>
              <w:t xml:space="preserve">Fab. </w:t>
            </w:r>
            <w:r w:rsidRPr="00F34D75">
              <w:rPr>
                <w:rFonts w:ascii="Calibri" w:eastAsia="Times New Roman" w:hAnsi="Calibri" w:cs="Times New Roman"/>
                <w:color w:val="000000"/>
                <w:lang w:val="es-UY"/>
              </w:rPr>
              <w:t>maquinaria para la elaboración de alimentos, bebidas y tabaco</w:t>
            </w:r>
          </w:p>
        </w:tc>
        <w:tc>
          <w:tcPr>
            <w:tcW w:w="366"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w:t>
            </w:r>
          </w:p>
        </w:tc>
        <w:tc>
          <w:tcPr>
            <w:tcW w:w="393"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w:t>
            </w:r>
          </w:p>
        </w:tc>
        <w:tc>
          <w:tcPr>
            <w:tcW w:w="343"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47"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w:t>
            </w:r>
          </w:p>
        </w:tc>
        <w:tc>
          <w:tcPr>
            <w:tcW w:w="365"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66"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1</w:t>
            </w:r>
          </w:p>
        </w:tc>
        <w:tc>
          <w:tcPr>
            <w:tcW w:w="376" w:type="pct"/>
            <w:tcBorders>
              <w:top w:val="nil"/>
              <w:left w:val="nil"/>
              <w:bottom w:val="single" w:sz="4" w:space="0" w:color="auto"/>
              <w:right w:val="single" w:sz="4" w:space="0" w:color="auto"/>
            </w:tcBorders>
          </w:tcPr>
          <w:p w:rsidR="00AE624D" w:rsidRPr="00F34D75" w:rsidRDefault="00DA45F8" w:rsidP="00F34D75">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w:t>
            </w:r>
          </w:p>
        </w:tc>
      </w:tr>
      <w:tr w:rsidR="00DA45F8" w:rsidRPr="00F34D75" w:rsidTr="00DA45F8">
        <w:trPr>
          <w:trHeight w:val="300"/>
        </w:trPr>
        <w:tc>
          <w:tcPr>
            <w:tcW w:w="376" w:type="pct"/>
            <w:tcBorders>
              <w:top w:val="single" w:sz="4" w:space="0" w:color="auto"/>
              <w:left w:val="single" w:sz="4" w:space="0" w:color="auto"/>
              <w:bottom w:val="single" w:sz="4" w:space="0" w:color="auto"/>
              <w:right w:val="nil"/>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2829</w:t>
            </w:r>
          </w:p>
        </w:tc>
        <w:tc>
          <w:tcPr>
            <w:tcW w:w="20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rPr>
                <w:rFonts w:ascii="Calibri" w:eastAsia="Times New Roman" w:hAnsi="Calibri" w:cs="Times New Roman"/>
                <w:color w:val="000000"/>
                <w:lang w:val="es-UY"/>
              </w:rPr>
            </w:pPr>
            <w:r>
              <w:rPr>
                <w:rFonts w:ascii="Calibri" w:eastAsia="Times New Roman" w:hAnsi="Calibri" w:cs="Times New Roman"/>
                <w:color w:val="000000"/>
                <w:lang w:val="es-UY"/>
              </w:rPr>
              <w:t xml:space="preserve">Fab. </w:t>
            </w:r>
            <w:r w:rsidRPr="00F34D75">
              <w:rPr>
                <w:rFonts w:ascii="Calibri" w:eastAsia="Times New Roman" w:hAnsi="Calibri" w:cs="Times New Roman"/>
                <w:color w:val="000000"/>
                <w:lang w:val="es-UY"/>
              </w:rPr>
              <w:t>otros tipos de maquinaria de uso especial</w:t>
            </w:r>
          </w:p>
        </w:tc>
        <w:tc>
          <w:tcPr>
            <w:tcW w:w="366"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1</w:t>
            </w:r>
          </w:p>
        </w:tc>
        <w:tc>
          <w:tcPr>
            <w:tcW w:w="393" w:type="pct"/>
            <w:tcBorders>
              <w:top w:val="single" w:sz="4" w:space="0" w:color="auto"/>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1</w:t>
            </w:r>
          </w:p>
        </w:tc>
        <w:tc>
          <w:tcPr>
            <w:tcW w:w="343"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3</w:t>
            </w:r>
          </w:p>
        </w:tc>
        <w:tc>
          <w:tcPr>
            <w:tcW w:w="347"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3</w:t>
            </w:r>
          </w:p>
        </w:tc>
        <w:tc>
          <w:tcPr>
            <w:tcW w:w="365"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6</w:t>
            </w:r>
          </w:p>
        </w:tc>
        <w:tc>
          <w:tcPr>
            <w:tcW w:w="366"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3</w:t>
            </w:r>
          </w:p>
        </w:tc>
        <w:tc>
          <w:tcPr>
            <w:tcW w:w="376" w:type="pct"/>
            <w:tcBorders>
              <w:top w:val="nil"/>
              <w:left w:val="nil"/>
              <w:bottom w:val="single" w:sz="4" w:space="0" w:color="auto"/>
              <w:right w:val="single" w:sz="4" w:space="0" w:color="auto"/>
            </w:tcBorders>
          </w:tcPr>
          <w:p w:rsidR="00AE624D" w:rsidRPr="00F34D75" w:rsidRDefault="00DA45F8" w:rsidP="00F34D75">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9</w:t>
            </w:r>
          </w:p>
        </w:tc>
      </w:tr>
      <w:tr w:rsidR="00DA45F8" w:rsidRPr="00F34D75" w:rsidTr="00DA45F8">
        <w:trPr>
          <w:trHeight w:val="300"/>
        </w:trPr>
        <w:tc>
          <w:tcPr>
            <w:tcW w:w="376" w:type="pct"/>
            <w:tcBorders>
              <w:top w:val="nil"/>
              <w:left w:val="single" w:sz="4" w:space="0" w:color="auto"/>
              <w:bottom w:val="single" w:sz="4" w:space="0" w:color="auto"/>
              <w:right w:val="nil"/>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3250</w:t>
            </w:r>
          </w:p>
        </w:tc>
        <w:tc>
          <w:tcPr>
            <w:tcW w:w="2068" w:type="pct"/>
            <w:tcBorders>
              <w:top w:val="nil"/>
              <w:left w:val="single" w:sz="4" w:space="0" w:color="auto"/>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rPr>
                <w:rFonts w:ascii="Calibri" w:eastAsia="Times New Roman" w:hAnsi="Calibri" w:cs="Times New Roman"/>
                <w:color w:val="000000"/>
                <w:lang w:val="es-UY"/>
              </w:rPr>
            </w:pPr>
            <w:r>
              <w:rPr>
                <w:rFonts w:ascii="Calibri" w:eastAsia="Times New Roman" w:hAnsi="Calibri" w:cs="Times New Roman"/>
                <w:color w:val="000000"/>
                <w:lang w:val="es-UY"/>
              </w:rPr>
              <w:t xml:space="preserve">Fab. </w:t>
            </w:r>
            <w:r w:rsidRPr="00F34D75">
              <w:rPr>
                <w:rFonts w:ascii="Calibri" w:eastAsia="Times New Roman" w:hAnsi="Calibri" w:cs="Times New Roman"/>
                <w:color w:val="000000"/>
                <w:lang w:val="es-UY"/>
              </w:rPr>
              <w:t>instrumentos y suministros médicos y dentales</w:t>
            </w:r>
          </w:p>
        </w:tc>
        <w:tc>
          <w:tcPr>
            <w:tcW w:w="366"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10</w:t>
            </w:r>
          </w:p>
        </w:tc>
        <w:tc>
          <w:tcPr>
            <w:tcW w:w="393"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10</w:t>
            </w:r>
          </w:p>
        </w:tc>
        <w:tc>
          <w:tcPr>
            <w:tcW w:w="343"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10</w:t>
            </w:r>
          </w:p>
        </w:tc>
        <w:tc>
          <w:tcPr>
            <w:tcW w:w="347"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8</w:t>
            </w:r>
          </w:p>
        </w:tc>
        <w:tc>
          <w:tcPr>
            <w:tcW w:w="365"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8</w:t>
            </w:r>
          </w:p>
        </w:tc>
        <w:tc>
          <w:tcPr>
            <w:tcW w:w="366"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10</w:t>
            </w:r>
          </w:p>
        </w:tc>
        <w:tc>
          <w:tcPr>
            <w:tcW w:w="376" w:type="pct"/>
            <w:tcBorders>
              <w:top w:val="nil"/>
              <w:left w:val="nil"/>
              <w:bottom w:val="single" w:sz="4" w:space="0" w:color="auto"/>
              <w:right w:val="single" w:sz="4" w:space="0" w:color="auto"/>
            </w:tcBorders>
          </w:tcPr>
          <w:p w:rsidR="00AE624D" w:rsidRPr="00F34D75" w:rsidRDefault="00DA45F8" w:rsidP="00F34D75">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7</w:t>
            </w:r>
          </w:p>
        </w:tc>
      </w:tr>
      <w:tr w:rsidR="00DA45F8" w:rsidRPr="00F34D75" w:rsidTr="00DA45F8">
        <w:trPr>
          <w:trHeight w:val="300"/>
        </w:trPr>
        <w:tc>
          <w:tcPr>
            <w:tcW w:w="376" w:type="pct"/>
            <w:tcBorders>
              <w:top w:val="nil"/>
              <w:left w:val="single" w:sz="4" w:space="0" w:color="auto"/>
              <w:bottom w:val="single" w:sz="4" w:space="0" w:color="auto"/>
              <w:right w:val="nil"/>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3822</w:t>
            </w:r>
          </w:p>
        </w:tc>
        <w:tc>
          <w:tcPr>
            <w:tcW w:w="2068" w:type="pct"/>
            <w:tcBorders>
              <w:top w:val="nil"/>
              <w:left w:val="single" w:sz="4" w:space="0" w:color="auto"/>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rPr>
                <w:rFonts w:ascii="Calibri" w:eastAsia="Times New Roman" w:hAnsi="Calibri" w:cs="Times New Roman"/>
                <w:color w:val="000000"/>
                <w:lang w:val="es-UY"/>
              </w:rPr>
            </w:pPr>
            <w:r w:rsidRPr="00F34D75">
              <w:rPr>
                <w:rFonts w:ascii="Calibri" w:eastAsia="Times New Roman" w:hAnsi="Calibri" w:cs="Times New Roman"/>
                <w:color w:val="000000"/>
                <w:lang w:val="es-UY"/>
              </w:rPr>
              <w:t>Tratamiento y eliminación de desechos peligrosos</w:t>
            </w:r>
          </w:p>
        </w:tc>
        <w:tc>
          <w:tcPr>
            <w:tcW w:w="366"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93"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43"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47"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65"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66" w:type="pct"/>
            <w:tcBorders>
              <w:top w:val="nil"/>
              <w:left w:val="nil"/>
              <w:bottom w:val="single" w:sz="4" w:space="0" w:color="auto"/>
              <w:right w:val="single" w:sz="4" w:space="0" w:color="auto"/>
            </w:tcBorders>
            <w:shd w:val="clear" w:color="auto" w:fill="auto"/>
            <w:noWrap/>
            <w:vAlign w:val="bottom"/>
            <w:hideMark/>
          </w:tcPr>
          <w:p w:rsidR="00AE624D" w:rsidRPr="00F34D75" w:rsidRDefault="00AE624D" w:rsidP="00F34D75">
            <w:pPr>
              <w:spacing w:after="0" w:line="240" w:lineRule="auto"/>
              <w:jc w:val="right"/>
              <w:rPr>
                <w:rFonts w:ascii="Calibri" w:eastAsia="Times New Roman" w:hAnsi="Calibri" w:cs="Times New Roman"/>
                <w:color w:val="000000"/>
              </w:rPr>
            </w:pPr>
            <w:r w:rsidRPr="00F34D75">
              <w:rPr>
                <w:rFonts w:ascii="Calibri" w:eastAsia="Times New Roman" w:hAnsi="Calibri" w:cs="Times New Roman"/>
                <w:color w:val="000000"/>
              </w:rPr>
              <w:t>0</w:t>
            </w:r>
          </w:p>
        </w:tc>
        <w:tc>
          <w:tcPr>
            <w:tcW w:w="376" w:type="pct"/>
            <w:tcBorders>
              <w:top w:val="nil"/>
              <w:left w:val="nil"/>
              <w:bottom w:val="single" w:sz="4" w:space="0" w:color="auto"/>
              <w:right w:val="single" w:sz="4" w:space="0" w:color="auto"/>
            </w:tcBorders>
          </w:tcPr>
          <w:p w:rsidR="00AE624D" w:rsidRPr="00F34D75" w:rsidRDefault="00DA45F8" w:rsidP="00F34D75">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p>
        </w:tc>
      </w:tr>
    </w:tbl>
    <w:p w:rsidR="00DA45F8" w:rsidRDefault="00DA45F8" w:rsidP="00DA45F8">
      <w:pPr>
        <w:spacing w:after="0"/>
        <w:jc w:val="center"/>
        <w:rPr>
          <w:lang w:val="es-UY"/>
        </w:rPr>
      </w:pPr>
      <w:r>
        <w:rPr>
          <w:lang w:val="es-UY"/>
        </w:rPr>
        <w:t>*Corresponde al promedio de empresas que exportaron más de 50 USD en cada año</w:t>
      </w:r>
    </w:p>
    <w:p w:rsidR="00F34D75" w:rsidRPr="00826F71" w:rsidRDefault="00C24265" w:rsidP="00C24265">
      <w:pPr>
        <w:jc w:val="center"/>
        <w:rPr>
          <w:lang w:val="es-UY"/>
        </w:rPr>
      </w:pPr>
      <w:r w:rsidRPr="00DA45F8">
        <w:rPr>
          <w:b/>
          <w:lang w:val="es-UY"/>
        </w:rPr>
        <w:t>Fuente</w:t>
      </w:r>
      <w:r>
        <w:rPr>
          <w:lang w:val="es-UY"/>
        </w:rPr>
        <w:t>: elaboración propia en base a datos aduaneros de exportaciones y tránsitos.</w:t>
      </w:r>
    </w:p>
    <w:p w:rsidR="00215C1F" w:rsidRPr="00215C1F" w:rsidRDefault="00215C1F" w:rsidP="00215C1F">
      <w:pPr>
        <w:pStyle w:val="ListParagraph"/>
        <w:jc w:val="both"/>
        <w:rPr>
          <w:lang w:val="es-UY"/>
        </w:rPr>
      </w:pPr>
    </w:p>
    <w:p w:rsidR="003A1123" w:rsidRDefault="003A1123" w:rsidP="00215C1F">
      <w:pPr>
        <w:pStyle w:val="ListParagraph"/>
        <w:numPr>
          <w:ilvl w:val="0"/>
          <w:numId w:val="12"/>
        </w:numPr>
        <w:jc w:val="both"/>
        <w:rPr>
          <w:lang w:val="es-UY"/>
        </w:rPr>
      </w:pPr>
      <w:r w:rsidRPr="00800607">
        <w:rPr>
          <w:lang w:val="es-UY"/>
        </w:rPr>
        <w:t xml:space="preserve">La medición </w:t>
      </w:r>
      <w:r w:rsidR="00D06BCE">
        <w:rPr>
          <w:lang w:val="es-UY"/>
        </w:rPr>
        <w:t>de los servicios intensivos en comercio</w:t>
      </w:r>
    </w:p>
    <w:p w:rsidR="00D06BCE" w:rsidRPr="00D06BCE" w:rsidRDefault="00D06BCE" w:rsidP="00D06BCE">
      <w:pPr>
        <w:jc w:val="both"/>
        <w:rPr>
          <w:lang w:val="es-UY"/>
        </w:rPr>
      </w:pPr>
      <w:r>
        <w:rPr>
          <w:lang w:val="es-UY"/>
        </w:rPr>
        <w:t xml:space="preserve">El Anexo A muestra que los segmentos de servicios intensivos en conocimiento desarrollados </w:t>
      </w:r>
      <w:r w:rsidR="00204A2F">
        <w:rPr>
          <w:lang w:val="es-UY"/>
        </w:rPr>
        <w:t xml:space="preserve">en Uruguay refieren a provisión </w:t>
      </w:r>
      <w:r>
        <w:rPr>
          <w:lang w:val="es-UY"/>
        </w:rPr>
        <w:t xml:space="preserve">de servicios de consultoría en informática </w:t>
      </w:r>
      <w:r w:rsidR="0042641C">
        <w:rPr>
          <w:lang w:val="es-UY"/>
        </w:rPr>
        <w:t xml:space="preserve">(CIIU 6201, 6202, 6311), </w:t>
      </w:r>
      <w:r w:rsidR="00204A2F">
        <w:rPr>
          <w:lang w:val="es-UY"/>
        </w:rPr>
        <w:t>servicios profesionales (</w:t>
      </w:r>
      <w:r w:rsidR="0042641C">
        <w:rPr>
          <w:lang w:val="es-UY"/>
        </w:rPr>
        <w:t xml:space="preserve">Administración de empresas (7020), Actividades de </w:t>
      </w:r>
      <w:r w:rsidR="00761126">
        <w:rPr>
          <w:lang w:val="es-UY"/>
        </w:rPr>
        <w:t xml:space="preserve">arquitectura, ingeniería y asesoramiento técnico (7110), ensayos y análisis técnicos (7120), I+D en ciencias naturales e ingeniería (7210), publicidad (7310), actividades especializadas en diseño (7410), </w:t>
      </w:r>
      <w:r w:rsidR="00204A2F">
        <w:rPr>
          <w:lang w:val="es-UY"/>
        </w:rPr>
        <w:t xml:space="preserve">actividades veterinarias (7500)) </w:t>
      </w:r>
      <w:r w:rsidR="00761126">
        <w:rPr>
          <w:lang w:val="es-UY"/>
        </w:rPr>
        <w:t xml:space="preserve"> </w:t>
      </w:r>
      <w:r w:rsidR="00204A2F">
        <w:rPr>
          <w:lang w:val="es-UY"/>
        </w:rPr>
        <w:t xml:space="preserve">y servicios relacionados con la medicina (CIIU 8610, 8620, 8690). Esta información debe ser asociada a las estadísticas disponibles de servicios. </w:t>
      </w:r>
    </w:p>
    <w:p w:rsidR="006E3EE3" w:rsidRPr="006E3EE3" w:rsidRDefault="0051480A" w:rsidP="00524967">
      <w:pPr>
        <w:jc w:val="both"/>
        <w:rPr>
          <w:i/>
          <w:u w:val="single"/>
          <w:lang w:val="es-UY"/>
        </w:rPr>
      </w:pPr>
      <w:r>
        <w:rPr>
          <w:i/>
          <w:u w:val="single"/>
          <w:lang w:val="es-UY"/>
        </w:rPr>
        <w:lastRenderedPageBreak/>
        <w:t xml:space="preserve">Estadísticas de </w:t>
      </w:r>
      <w:r w:rsidR="006E3EE3" w:rsidRPr="006E3EE3">
        <w:rPr>
          <w:i/>
          <w:u w:val="single"/>
          <w:lang w:val="es-UY"/>
        </w:rPr>
        <w:t>Balanza de Pagos</w:t>
      </w:r>
    </w:p>
    <w:p w:rsidR="003A1123" w:rsidRDefault="003A1123" w:rsidP="00524967">
      <w:pPr>
        <w:jc w:val="both"/>
        <w:rPr>
          <w:lang w:val="es-UY"/>
        </w:rPr>
      </w:pPr>
      <w:r>
        <w:rPr>
          <w:lang w:val="es-UY"/>
        </w:rPr>
        <w:t>Existen varias estimaciones diferentes de las exportaciones de servicios en Uruguay. Las estadísticas oficiales del país son elaboradas en el marco de la construcción de la Balanza de Pagos, a cargo del Departamento de Sector Externo del Área de Estadísticas Económicas del Banco Central del Uruguay. Esta área se encuentra realizando el Plan de Adecuación a Estándares Internacionales (PLAE) tanto del Sistema de Cuentas Nacionales como de la Balanza de Pagos, que incluye también la información de Inversión Directa (antiguamente llamada IED- Inversión Extra</w:t>
      </w:r>
      <w:r w:rsidR="00A00E58">
        <w:rPr>
          <w:lang w:val="es-UY"/>
        </w:rPr>
        <w:t>n</w:t>
      </w:r>
      <w:r>
        <w:rPr>
          <w:lang w:val="es-UY"/>
        </w:rPr>
        <w:t>jera Directa). Si bien está previsto que la implementación completa de las nuevas estadísticas nacionales de</w:t>
      </w:r>
      <w:r w:rsidR="0051480A">
        <w:rPr>
          <w:lang w:val="es-UY"/>
        </w:rPr>
        <w:t>,</w:t>
      </w:r>
      <w:r>
        <w:rPr>
          <w:lang w:val="es-UY"/>
        </w:rPr>
        <w:t xml:space="preserve"> entre otras cosas</w:t>
      </w:r>
      <w:r w:rsidR="0051480A">
        <w:rPr>
          <w:lang w:val="es-UY"/>
        </w:rPr>
        <w:t>,</w:t>
      </w:r>
      <w:r>
        <w:rPr>
          <w:lang w:val="es-UY"/>
        </w:rPr>
        <w:t xml:space="preserve"> el Producto Bruto Interno fi</w:t>
      </w:r>
      <w:r w:rsidR="0051480A">
        <w:rPr>
          <w:lang w:val="es-UY"/>
        </w:rPr>
        <w:t>nalicen en 2020, en 2017 dicho D</w:t>
      </w:r>
      <w:r>
        <w:rPr>
          <w:lang w:val="es-UY"/>
        </w:rPr>
        <w:t xml:space="preserve">epartamento publicó de manera preliminar nuevas estimaciones para </w:t>
      </w:r>
      <w:r w:rsidR="002203F3">
        <w:rPr>
          <w:lang w:val="es-UY"/>
        </w:rPr>
        <w:t>la Balanza de Pagos a partir de 2012 (nuevo año base de las Cuentas Nacionales), donde se incluyen las estimaciones de servicios.</w:t>
      </w:r>
      <w:r w:rsidR="002438F7">
        <w:rPr>
          <w:lang w:val="es-UY"/>
        </w:rPr>
        <w:t xml:space="preserve"> E</w:t>
      </w:r>
      <w:r w:rsidR="002203F3">
        <w:rPr>
          <w:lang w:val="es-UY"/>
        </w:rPr>
        <w:t xml:space="preserve">l siguiente cuadro muestra la nueva serie </w:t>
      </w:r>
      <w:r w:rsidR="002438F7">
        <w:rPr>
          <w:lang w:val="es-UY"/>
        </w:rPr>
        <w:t xml:space="preserve">de servicios </w:t>
      </w:r>
      <w:r w:rsidR="002203F3">
        <w:rPr>
          <w:lang w:val="es-UY"/>
        </w:rPr>
        <w:t>para los años 2012 a 2017</w:t>
      </w:r>
      <w:r w:rsidR="002438F7">
        <w:rPr>
          <w:lang w:val="es-UY"/>
        </w:rPr>
        <w:t>, exceptuando los rubros viajes, turismo y servicios del gobierno</w:t>
      </w:r>
      <w:r w:rsidR="002203F3">
        <w:rPr>
          <w:lang w:val="es-UY"/>
        </w:rPr>
        <w:t xml:space="preserve">. </w:t>
      </w:r>
    </w:p>
    <w:p w:rsidR="002203F3" w:rsidRPr="002203F3" w:rsidRDefault="002438F7" w:rsidP="002203F3">
      <w:pPr>
        <w:jc w:val="center"/>
        <w:rPr>
          <w:b/>
          <w:lang w:val="es-UY"/>
        </w:rPr>
      </w:pPr>
      <w:r>
        <w:rPr>
          <w:b/>
          <w:lang w:val="es-UY"/>
        </w:rPr>
        <w:t xml:space="preserve">Cuadro </w:t>
      </w:r>
      <w:r w:rsidR="00F12AAB">
        <w:rPr>
          <w:b/>
          <w:lang w:val="es-UY"/>
        </w:rPr>
        <w:t>3</w:t>
      </w:r>
      <w:r>
        <w:rPr>
          <w:b/>
          <w:lang w:val="es-UY"/>
        </w:rPr>
        <w:t xml:space="preserve">. </w:t>
      </w:r>
      <w:r w:rsidR="002203F3" w:rsidRPr="002203F3">
        <w:rPr>
          <w:b/>
          <w:lang w:val="es-UY"/>
        </w:rPr>
        <w:t>Exportaciones de servicios del Uruguay 2012-2017</w:t>
      </w:r>
      <w:r>
        <w:rPr>
          <w:b/>
          <w:lang w:val="es-UY"/>
        </w:rPr>
        <w:t xml:space="preserve"> según Balanza de Pagos.</w:t>
      </w:r>
    </w:p>
    <w:tbl>
      <w:tblPr>
        <w:tblW w:w="4860" w:type="pct"/>
        <w:tblLayout w:type="fixed"/>
        <w:tblLook w:val="04A0" w:firstRow="1" w:lastRow="0" w:firstColumn="1" w:lastColumn="0" w:noHBand="0" w:noVBand="1"/>
      </w:tblPr>
      <w:tblGrid>
        <w:gridCol w:w="4505"/>
        <w:gridCol w:w="791"/>
        <w:gridCol w:w="704"/>
        <w:gridCol w:w="702"/>
        <w:gridCol w:w="704"/>
        <w:gridCol w:w="878"/>
        <w:gridCol w:w="809"/>
      </w:tblGrid>
      <w:tr w:rsidR="002203F3" w:rsidRPr="002203F3" w:rsidTr="002203F3">
        <w:trPr>
          <w:trHeight w:val="300"/>
        </w:trPr>
        <w:tc>
          <w:tcPr>
            <w:tcW w:w="2477" w:type="pct"/>
            <w:tcBorders>
              <w:top w:val="nil"/>
              <w:left w:val="nil"/>
              <w:bottom w:val="nil"/>
              <w:right w:val="nil"/>
            </w:tcBorders>
            <w:shd w:val="clear" w:color="auto" w:fill="auto"/>
            <w:noWrap/>
            <w:vAlign w:val="bottom"/>
            <w:hideMark/>
          </w:tcPr>
          <w:p w:rsidR="002203F3" w:rsidRPr="002203F3" w:rsidRDefault="002203F3" w:rsidP="002203F3">
            <w:pPr>
              <w:spacing w:after="0" w:line="240" w:lineRule="auto"/>
              <w:rPr>
                <w:rFonts w:ascii="Calibri" w:eastAsia="Times New Roman" w:hAnsi="Calibri" w:cs="Times New Roman"/>
                <w:color w:val="000000"/>
                <w:lang w:val="es-UY"/>
              </w:rPr>
            </w:pPr>
          </w:p>
        </w:tc>
        <w:tc>
          <w:tcPr>
            <w:tcW w:w="4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b/>
                <w:color w:val="000000"/>
              </w:rPr>
            </w:pPr>
            <w:r w:rsidRPr="002203F3">
              <w:rPr>
                <w:rFonts w:ascii="Calibri" w:eastAsia="Times New Roman" w:hAnsi="Calibri" w:cs="Times New Roman"/>
                <w:b/>
                <w:color w:val="000000"/>
              </w:rPr>
              <w:t>2012</w:t>
            </w:r>
          </w:p>
        </w:tc>
        <w:tc>
          <w:tcPr>
            <w:tcW w:w="387" w:type="pct"/>
            <w:tcBorders>
              <w:top w:val="single" w:sz="4" w:space="0" w:color="auto"/>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b/>
                <w:color w:val="000000"/>
              </w:rPr>
            </w:pPr>
            <w:r w:rsidRPr="002203F3">
              <w:rPr>
                <w:rFonts w:ascii="Calibri" w:eastAsia="Times New Roman" w:hAnsi="Calibri" w:cs="Times New Roman"/>
                <w:b/>
                <w:color w:val="000000"/>
              </w:rPr>
              <w:t>2013</w:t>
            </w:r>
          </w:p>
        </w:tc>
        <w:tc>
          <w:tcPr>
            <w:tcW w:w="386" w:type="pct"/>
            <w:tcBorders>
              <w:top w:val="single" w:sz="4" w:space="0" w:color="auto"/>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b/>
                <w:color w:val="000000"/>
              </w:rPr>
            </w:pPr>
            <w:r w:rsidRPr="002203F3">
              <w:rPr>
                <w:rFonts w:ascii="Calibri" w:eastAsia="Times New Roman" w:hAnsi="Calibri" w:cs="Times New Roman"/>
                <w:b/>
                <w:color w:val="000000"/>
              </w:rPr>
              <w:t>2014</w:t>
            </w:r>
          </w:p>
        </w:tc>
        <w:tc>
          <w:tcPr>
            <w:tcW w:w="387" w:type="pct"/>
            <w:tcBorders>
              <w:top w:val="single" w:sz="4" w:space="0" w:color="auto"/>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b/>
                <w:color w:val="000000"/>
              </w:rPr>
            </w:pPr>
            <w:r w:rsidRPr="002203F3">
              <w:rPr>
                <w:rFonts w:ascii="Calibri" w:eastAsia="Times New Roman" w:hAnsi="Calibri" w:cs="Times New Roman"/>
                <w:b/>
                <w:color w:val="000000"/>
              </w:rPr>
              <w:t>2015</w:t>
            </w:r>
          </w:p>
        </w:tc>
        <w:tc>
          <w:tcPr>
            <w:tcW w:w="483" w:type="pct"/>
            <w:tcBorders>
              <w:top w:val="single" w:sz="4" w:space="0" w:color="auto"/>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b/>
                <w:color w:val="000000"/>
              </w:rPr>
            </w:pPr>
            <w:r w:rsidRPr="002203F3">
              <w:rPr>
                <w:rFonts w:ascii="Calibri" w:eastAsia="Times New Roman" w:hAnsi="Calibri" w:cs="Times New Roman"/>
                <w:b/>
                <w:color w:val="000000"/>
              </w:rPr>
              <w:t>2016</w:t>
            </w:r>
          </w:p>
        </w:tc>
        <w:tc>
          <w:tcPr>
            <w:tcW w:w="445" w:type="pct"/>
            <w:tcBorders>
              <w:top w:val="single" w:sz="4" w:space="0" w:color="auto"/>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b/>
                <w:color w:val="000000"/>
              </w:rPr>
            </w:pPr>
            <w:r w:rsidRPr="002203F3">
              <w:rPr>
                <w:rFonts w:ascii="Calibri" w:eastAsia="Times New Roman" w:hAnsi="Calibri" w:cs="Times New Roman"/>
                <w:b/>
                <w:color w:val="000000"/>
              </w:rPr>
              <w:t>2017</w:t>
            </w:r>
          </w:p>
        </w:tc>
      </w:tr>
      <w:tr w:rsidR="002203F3" w:rsidRPr="002203F3" w:rsidTr="002203F3">
        <w:trPr>
          <w:trHeight w:val="300"/>
        </w:trPr>
        <w:tc>
          <w:tcPr>
            <w:tcW w:w="247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rPr>
                <w:rFonts w:ascii="Calibri" w:eastAsia="Times New Roman" w:hAnsi="Calibri" w:cs="Times New Roman"/>
                <w:color w:val="000000"/>
                <w:lang w:val="es-UY"/>
              </w:rPr>
            </w:pPr>
            <w:r>
              <w:rPr>
                <w:rFonts w:ascii="Calibri" w:eastAsia="Times New Roman" w:hAnsi="Calibri" w:cs="Times New Roman"/>
                <w:color w:val="000000"/>
                <w:lang w:val="es-UY"/>
              </w:rPr>
              <w:t>Total</w:t>
            </w:r>
          </w:p>
        </w:tc>
        <w:tc>
          <w:tcPr>
            <w:tcW w:w="435"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b/>
                <w:bCs/>
                <w:color w:val="000000"/>
              </w:rPr>
            </w:pPr>
            <w:r w:rsidRPr="002203F3">
              <w:rPr>
                <w:rFonts w:ascii="Calibri" w:eastAsia="Times New Roman" w:hAnsi="Calibri" w:cs="Times New Roman"/>
                <w:b/>
                <w:bCs/>
                <w:color w:val="000000"/>
              </w:rPr>
              <w:t>1,875</w:t>
            </w:r>
          </w:p>
        </w:tc>
        <w:tc>
          <w:tcPr>
            <w:tcW w:w="387"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b/>
                <w:bCs/>
                <w:color w:val="000000"/>
              </w:rPr>
            </w:pPr>
            <w:r w:rsidRPr="002203F3">
              <w:rPr>
                <w:rFonts w:ascii="Calibri" w:eastAsia="Times New Roman" w:hAnsi="Calibri" w:cs="Times New Roman"/>
                <w:b/>
                <w:bCs/>
                <w:color w:val="000000"/>
              </w:rPr>
              <w:t>1,897</w:t>
            </w:r>
          </w:p>
        </w:tc>
        <w:tc>
          <w:tcPr>
            <w:tcW w:w="386"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b/>
                <w:bCs/>
                <w:color w:val="000000"/>
              </w:rPr>
            </w:pPr>
            <w:r w:rsidRPr="002203F3">
              <w:rPr>
                <w:rFonts w:ascii="Calibri" w:eastAsia="Times New Roman" w:hAnsi="Calibri" w:cs="Times New Roman"/>
                <w:b/>
                <w:bCs/>
                <w:color w:val="000000"/>
              </w:rPr>
              <w:t>1,848</w:t>
            </w:r>
          </w:p>
        </w:tc>
        <w:tc>
          <w:tcPr>
            <w:tcW w:w="387"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b/>
                <w:bCs/>
                <w:color w:val="000000"/>
              </w:rPr>
            </w:pPr>
            <w:r w:rsidRPr="002203F3">
              <w:rPr>
                <w:rFonts w:ascii="Calibri" w:eastAsia="Times New Roman" w:hAnsi="Calibri" w:cs="Times New Roman"/>
                <w:b/>
                <w:bCs/>
                <w:color w:val="000000"/>
              </w:rPr>
              <w:t>1,832</w:t>
            </w:r>
          </w:p>
        </w:tc>
        <w:tc>
          <w:tcPr>
            <w:tcW w:w="483"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b/>
                <w:bCs/>
                <w:color w:val="000000"/>
              </w:rPr>
            </w:pPr>
            <w:r w:rsidRPr="002203F3">
              <w:rPr>
                <w:rFonts w:ascii="Calibri" w:eastAsia="Times New Roman" w:hAnsi="Calibri" w:cs="Times New Roman"/>
                <w:b/>
                <w:bCs/>
                <w:color w:val="000000"/>
              </w:rPr>
              <w:t>1,533</w:t>
            </w:r>
          </w:p>
        </w:tc>
        <w:tc>
          <w:tcPr>
            <w:tcW w:w="445"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b/>
                <w:bCs/>
                <w:color w:val="000000"/>
              </w:rPr>
            </w:pPr>
            <w:r w:rsidRPr="002203F3">
              <w:rPr>
                <w:rFonts w:ascii="Calibri" w:eastAsia="Times New Roman" w:hAnsi="Calibri" w:cs="Times New Roman"/>
                <w:b/>
                <w:bCs/>
                <w:color w:val="000000"/>
              </w:rPr>
              <w:t>1,640</w:t>
            </w:r>
          </w:p>
        </w:tc>
      </w:tr>
      <w:tr w:rsidR="002203F3" w:rsidRPr="002203F3" w:rsidTr="002203F3">
        <w:trPr>
          <w:trHeight w:val="300"/>
        </w:trPr>
        <w:tc>
          <w:tcPr>
            <w:tcW w:w="2477" w:type="pct"/>
            <w:tcBorders>
              <w:top w:val="nil"/>
              <w:left w:val="single" w:sz="4" w:space="0" w:color="auto"/>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rPr>
                <w:rFonts w:ascii="Calibri" w:eastAsia="Times New Roman" w:hAnsi="Calibri" w:cs="Times New Roman"/>
                <w:color w:val="000000"/>
                <w:lang w:val="es-UY"/>
              </w:rPr>
            </w:pPr>
            <w:r w:rsidRPr="002203F3">
              <w:rPr>
                <w:rFonts w:ascii="Calibri" w:eastAsia="Times New Roman" w:hAnsi="Calibri" w:cs="Times New Roman"/>
                <w:color w:val="000000"/>
                <w:lang w:val="es-UY"/>
              </w:rPr>
              <w:t>Servicios de seguros y pensiones</w:t>
            </w:r>
          </w:p>
        </w:tc>
        <w:tc>
          <w:tcPr>
            <w:tcW w:w="435"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5</w:t>
            </w:r>
          </w:p>
        </w:tc>
        <w:tc>
          <w:tcPr>
            <w:tcW w:w="387"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5</w:t>
            </w:r>
          </w:p>
        </w:tc>
        <w:tc>
          <w:tcPr>
            <w:tcW w:w="386"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4</w:t>
            </w:r>
          </w:p>
        </w:tc>
        <w:tc>
          <w:tcPr>
            <w:tcW w:w="387"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10</w:t>
            </w:r>
          </w:p>
        </w:tc>
        <w:tc>
          <w:tcPr>
            <w:tcW w:w="483"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3</w:t>
            </w:r>
          </w:p>
        </w:tc>
        <w:tc>
          <w:tcPr>
            <w:tcW w:w="445"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2</w:t>
            </w:r>
          </w:p>
        </w:tc>
      </w:tr>
      <w:tr w:rsidR="002203F3" w:rsidRPr="002203F3" w:rsidTr="002203F3">
        <w:trPr>
          <w:trHeight w:val="300"/>
        </w:trPr>
        <w:tc>
          <w:tcPr>
            <w:tcW w:w="2477" w:type="pct"/>
            <w:tcBorders>
              <w:top w:val="nil"/>
              <w:left w:val="single" w:sz="4" w:space="0" w:color="auto"/>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rPr>
                <w:rFonts w:ascii="Calibri" w:eastAsia="Times New Roman" w:hAnsi="Calibri" w:cs="Times New Roman"/>
                <w:color w:val="000000"/>
              </w:rPr>
            </w:pPr>
            <w:r w:rsidRPr="002203F3">
              <w:rPr>
                <w:rFonts w:ascii="Calibri" w:eastAsia="Times New Roman" w:hAnsi="Calibri" w:cs="Times New Roman"/>
                <w:color w:val="000000"/>
              </w:rPr>
              <w:t>Servicios financieros</w:t>
            </w:r>
          </w:p>
        </w:tc>
        <w:tc>
          <w:tcPr>
            <w:tcW w:w="435"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159</w:t>
            </w:r>
          </w:p>
        </w:tc>
        <w:tc>
          <w:tcPr>
            <w:tcW w:w="387"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206</w:t>
            </w:r>
          </w:p>
        </w:tc>
        <w:tc>
          <w:tcPr>
            <w:tcW w:w="386"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194</w:t>
            </w:r>
          </w:p>
        </w:tc>
        <w:tc>
          <w:tcPr>
            <w:tcW w:w="387"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131</w:t>
            </w:r>
          </w:p>
        </w:tc>
        <w:tc>
          <w:tcPr>
            <w:tcW w:w="483"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132</w:t>
            </w:r>
          </w:p>
        </w:tc>
        <w:tc>
          <w:tcPr>
            <w:tcW w:w="445"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130</w:t>
            </w:r>
          </w:p>
        </w:tc>
      </w:tr>
      <w:tr w:rsidR="002203F3" w:rsidRPr="002203F3" w:rsidTr="002203F3">
        <w:trPr>
          <w:trHeight w:val="300"/>
        </w:trPr>
        <w:tc>
          <w:tcPr>
            <w:tcW w:w="2477" w:type="pct"/>
            <w:tcBorders>
              <w:top w:val="nil"/>
              <w:left w:val="single" w:sz="4" w:space="0" w:color="auto"/>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rPr>
                <w:rFonts w:ascii="Calibri" w:eastAsia="Times New Roman" w:hAnsi="Calibri" w:cs="Times New Roman"/>
                <w:color w:val="000000"/>
                <w:lang w:val="es-UY"/>
              </w:rPr>
            </w:pPr>
            <w:r w:rsidRPr="002203F3">
              <w:rPr>
                <w:rFonts w:ascii="Calibri" w:eastAsia="Times New Roman" w:hAnsi="Calibri" w:cs="Times New Roman"/>
                <w:color w:val="000000"/>
                <w:lang w:val="es-UY"/>
              </w:rPr>
              <w:t xml:space="preserve">Cargos por el uso de la propiedad intelectual </w:t>
            </w:r>
            <w:proofErr w:type="spellStart"/>
            <w:r w:rsidRPr="002203F3">
              <w:rPr>
                <w:rFonts w:ascii="Calibri" w:eastAsia="Times New Roman" w:hAnsi="Calibri" w:cs="Times New Roman"/>
                <w:color w:val="000000"/>
                <w:lang w:val="es-UY"/>
              </w:rPr>
              <w:t>n.i.o.p</w:t>
            </w:r>
            <w:proofErr w:type="spellEnd"/>
            <w:r w:rsidRPr="002203F3">
              <w:rPr>
                <w:rFonts w:ascii="Calibri" w:eastAsia="Times New Roman" w:hAnsi="Calibri" w:cs="Times New Roman"/>
                <w:color w:val="000000"/>
                <w:lang w:val="es-UY"/>
              </w:rPr>
              <w:t>.</w:t>
            </w:r>
          </w:p>
        </w:tc>
        <w:tc>
          <w:tcPr>
            <w:tcW w:w="435"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48</w:t>
            </w:r>
          </w:p>
        </w:tc>
        <w:tc>
          <w:tcPr>
            <w:tcW w:w="387"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41</w:t>
            </w:r>
          </w:p>
        </w:tc>
        <w:tc>
          <w:tcPr>
            <w:tcW w:w="386"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57</w:t>
            </w:r>
          </w:p>
        </w:tc>
        <w:tc>
          <w:tcPr>
            <w:tcW w:w="387"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38</w:t>
            </w:r>
          </w:p>
        </w:tc>
        <w:tc>
          <w:tcPr>
            <w:tcW w:w="483"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33</w:t>
            </w:r>
          </w:p>
        </w:tc>
        <w:tc>
          <w:tcPr>
            <w:tcW w:w="445"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35</w:t>
            </w:r>
          </w:p>
        </w:tc>
      </w:tr>
      <w:tr w:rsidR="002203F3" w:rsidRPr="002203F3" w:rsidTr="002203F3">
        <w:trPr>
          <w:trHeight w:val="300"/>
        </w:trPr>
        <w:tc>
          <w:tcPr>
            <w:tcW w:w="2477" w:type="pct"/>
            <w:tcBorders>
              <w:top w:val="nil"/>
              <w:left w:val="single" w:sz="4" w:space="0" w:color="auto"/>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 </w:t>
            </w:r>
            <w:r w:rsidRPr="002203F3">
              <w:rPr>
                <w:rFonts w:ascii="Calibri" w:eastAsia="Times New Roman" w:hAnsi="Calibri" w:cs="Times New Roman"/>
                <w:color w:val="000000"/>
              </w:rPr>
              <w:t>Servicios de telecomunicaciones</w:t>
            </w:r>
          </w:p>
        </w:tc>
        <w:tc>
          <w:tcPr>
            <w:tcW w:w="435"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140</w:t>
            </w:r>
          </w:p>
        </w:tc>
        <w:tc>
          <w:tcPr>
            <w:tcW w:w="387"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125</w:t>
            </w:r>
          </w:p>
        </w:tc>
        <w:tc>
          <w:tcPr>
            <w:tcW w:w="386"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142</w:t>
            </w:r>
          </w:p>
        </w:tc>
        <w:tc>
          <w:tcPr>
            <w:tcW w:w="387"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138</w:t>
            </w:r>
          </w:p>
        </w:tc>
        <w:tc>
          <w:tcPr>
            <w:tcW w:w="483"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189</w:t>
            </w:r>
          </w:p>
        </w:tc>
        <w:tc>
          <w:tcPr>
            <w:tcW w:w="445"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201</w:t>
            </w:r>
          </w:p>
        </w:tc>
      </w:tr>
      <w:tr w:rsidR="002203F3" w:rsidRPr="002203F3" w:rsidTr="002203F3">
        <w:trPr>
          <w:trHeight w:val="300"/>
        </w:trPr>
        <w:tc>
          <w:tcPr>
            <w:tcW w:w="2477" w:type="pct"/>
            <w:tcBorders>
              <w:top w:val="nil"/>
              <w:left w:val="single" w:sz="4" w:space="0" w:color="auto"/>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 </w:t>
            </w:r>
            <w:r w:rsidRPr="002203F3">
              <w:rPr>
                <w:rFonts w:ascii="Calibri" w:eastAsia="Times New Roman" w:hAnsi="Calibri" w:cs="Times New Roman"/>
                <w:color w:val="000000"/>
              </w:rPr>
              <w:t>Servicios informáticos</w:t>
            </w:r>
          </w:p>
        </w:tc>
        <w:tc>
          <w:tcPr>
            <w:tcW w:w="435"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101</w:t>
            </w:r>
          </w:p>
        </w:tc>
        <w:tc>
          <w:tcPr>
            <w:tcW w:w="387"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134</w:t>
            </w:r>
          </w:p>
        </w:tc>
        <w:tc>
          <w:tcPr>
            <w:tcW w:w="386"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163</w:t>
            </w:r>
          </w:p>
        </w:tc>
        <w:tc>
          <w:tcPr>
            <w:tcW w:w="387"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171</w:t>
            </w:r>
          </w:p>
        </w:tc>
        <w:tc>
          <w:tcPr>
            <w:tcW w:w="483"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165</w:t>
            </w:r>
          </w:p>
        </w:tc>
        <w:tc>
          <w:tcPr>
            <w:tcW w:w="445"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177</w:t>
            </w:r>
          </w:p>
        </w:tc>
      </w:tr>
      <w:tr w:rsidR="002203F3" w:rsidRPr="002203F3" w:rsidTr="002203F3">
        <w:trPr>
          <w:trHeight w:val="300"/>
        </w:trPr>
        <w:tc>
          <w:tcPr>
            <w:tcW w:w="2477" w:type="pct"/>
            <w:tcBorders>
              <w:top w:val="nil"/>
              <w:left w:val="single" w:sz="4" w:space="0" w:color="auto"/>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rPr>
                <w:rFonts w:ascii="Calibri" w:eastAsia="Times New Roman" w:hAnsi="Calibri" w:cs="Times New Roman"/>
                <w:color w:val="000000"/>
                <w:lang w:val="es-UY"/>
              </w:rPr>
            </w:pPr>
            <w:r w:rsidRPr="002203F3">
              <w:rPr>
                <w:rFonts w:ascii="Calibri" w:eastAsia="Times New Roman" w:hAnsi="Calibri" w:cs="Times New Roman"/>
                <w:color w:val="000000"/>
                <w:lang w:val="es-UY"/>
              </w:rPr>
              <w:t xml:space="preserve"> Servicios profesionales y de consultoría en administración de empresas</w:t>
            </w:r>
          </w:p>
        </w:tc>
        <w:tc>
          <w:tcPr>
            <w:tcW w:w="435"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1,241</w:t>
            </w:r>
          </w:p>
        </w:tc>
        <w:tc>
          <w:tcPr>
            <w:tcW w:w="387"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1,218</w:t>
            </w:r>
          </w:p>
        </w:tc>
        <w:tc>
          <w:tcPr>
            <w:tcW w:w="386"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1,112</w:t>
            </w:r>
          </w:p>
        </w:tc>
        <w:tc>
          <w:tcPr>
            <w:tcW w:w="387"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1,184</w:t>
            </w:r>
          </w:p>
        </w:tc>
        <w:tc>
          <w:tcPr>
            <w:tcW w:w="483"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884</w:t>
            </w:r>
          </w:p>
        </w:tc>
        <w:tc>
          <w:tcPr>
            <w:tcW w:w="445"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952</w:t>
            </w:r>
          </w:p>
        </w:tc>
      </w:tr>
      <w:tr w:rsidR="002203F3" w:rsidRPr="002203F3" w:rsidTr="002203F3">
        <w:trPr>
          <w:trHeight w:val="300"/>
        </w:trPr>
        <w:tc>
          <w:tcPr>
            <w:tcW w:w="2477" w:type="pct"/>
            <w:tcBorders>
              <w:top w:val="nil"/>
              <w:left w:val="single" w:sz="4" w:space="0" w:color="auto"/>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rPr>
                <w:rFonts w:ascii="Calibri" w:eastAsia="Times New Roman" w:hAnsi="Calibri" w:cs="Times New Roman"/>
                <w:color w:val="000000"/>
                <w:lang w:val="es-UY"/>
              </w:rPr>
            </w:pPr>
            <w:r w:rsidRPr="002203F3">
              <w:rPr>
                <w:rFonts w:ascii="Calibri" w:eastAsia="Times New Roman" w:hAnsi="Calibri" w:cs="Times New Roman"/>
                <w:color w:val="000000"/>
                <w:lang w:val="es-UY"/>
              </w:rPr>
              <w:t>Servicios técnicos relacionados con el comercio y otros servicios empresariales</w:t>
            </w:r>
          </w:p>
        </w:tc>
        <w:tc>
          <w:tcPr>
            <w:tcW w:w="435"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83</w:t>
            </w:r>
          </w:p>
        </w:tc>
        <w:tc>
          <w:tcPr>
            <w:tcW w:w="387"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71</w:t>
            </w:r>
          </w:p>
        </w:tc>
        <w:tc>
          <w:tcPr>
            <w:tcW w:w="386"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80</w:t>
            </w:r>
          </w:p>
        </w:tc>
        <w:tc>
          <w:tcPr>
            <w:tcW w:w="387"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78</w:t>
            </w:r>
          </w:p>
        </w:tc>
        <w:tc>
          <w:tcPr>
            <w:tcW w:w="483"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69</w:t>
            </w:r>
          </w:p>
        </w:tc>
        <w:tc>
          <w:tcPr>
            <w:tcW w:w="445"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80</w:t>
            </w:r>
          </w:p>
        </w:tc>
      </w:tr>
      <w:tr w:rsidR="002203F3" w:rsidRPr="002203F3" w:rsidTr="002203F3">
        <w:trPr>
          <w:trHeight w:val="300"/>
        </w:trPr>
        <w:tc>
          <w:tcPr>
            <w:tcW w:w="2477" w:type="pct"/>
            <w:tcBorders>
              <w:top w:val="nil"/>
              <w:left w:val="single" w:sz="4" w:space="0" w:color="auto"/>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 </w:t>
            </w:r>
            <w:r w:rsidRPr="002203F3">
              <w:rPr>
                <w:rFonts w:ascii="Calibri" w:eastAsia="Times New Roman" w:hAnsi="Calibri" w:cs="Times New Roman"/>
                <w:color w:val="000000"/>
              </w:rPr>
              <w:t>Servicios audiovisuales y conexos</w:t>
            </w:r>
          </w:p>
        </w:tc>
        <w:tc>
          <w:tcPr>
            <w:tcW w:w="435"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3</w:t>
            </w:r>
          </w:p>
        </w:tc>
        <w:tc>
          <w:tcPr>
            <w:tcW w:w="387"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5</w:t>
            </w:r>
          </w:p>
        </w:tc>
        <w:tc>
          <w:tcPr>
            <w:tcW w:w="386"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3</w:t>
            </w:r>
          </w:p>
        </w:tc>
        <w:tc>
          <w:tcPr>
            <w:tcW w:w="387"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w:t>
            </w:r>
          </w:p>
        </w:tc>
        <w:tc>
          <w:tcPr>
            <w:tcW w:w="483"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2</w:t>
            </w:r>
          </w:p>
        </w:tc>
        <w:tc>
          <w:tcPr>
            <w:tcW w:w="445"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2</w:t>
            </w:r>
          </w:p>
        </w:tc>
      </w:tr>
      <w:tr w:rsidR="002203F3" w:rsidRPr="002203F3" w:rsidTr="002203F3">
        <w:trPr>
          <w:trHeight w:val="300"/>
        </w:trPr>
        <w:tc>
          <w:tcPr>
            <w:tcW w:w="2477" w:type="pct"/>
            <w:tcBorders>
              <w:top w:val="nil"/>
              <w:left w:val="single" w:sz="4" w:space="0" w:color="auto"/>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rPr>
                <w:rFonts w:ascii="Calibri" w:eastAsia="Times New Roman" w:hAnsi="Calibri" w:cs="Times New Roman"/>
                <w:color w:val="000000"/>
                <w:lang w:val="es-UY"/>
              </w:rPr>
            </w:pPr>
            <w:r w:rsidRPr="002203F3">
              <w:rPr>
                <w:rFonts w:ascii="Calibri" w:eastAsia="Times New Roman" w:hAnsi="Calibri" w:cs="Times New Roman"/>
                <w:color w:val="000000"/>
                <w:lang w:val="es-UY"/>
              </w:rPr>
              <w:t xml:space="preserve"> Otros servicios personales culturales y recreativos</w:t>
            </w:r>
          </w:p>
        </w:tc>
        <w:tc>
          <w:tcPr>
            <w:tcW w:w="435"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96</w:t>
            </w:r>
          </w:p>
        </w:tc>
        <w:tc>
          <w:tcPr>
            <w:tcW w:w="387"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94</w:t>
            </w:r>
          </w:p>
        </w:tc>
        <w:tc>
          <w:tcPr>
            <w:tcW w:w="386"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91</w:t>
            </w:r>
          </w:p>
        </w:tc>
        <w:tc>
          <w:tcPr>
            <w:tcW w:w="387"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81</w:t>
            </w:r>
          </w:p>
        </w:tc>
        <w:tc>
          <w:tcPr>
            <w:tcW w:w="483"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57</w:t>
            </w:r>
          </w:p>
        </w:tc>
        <w:tc>
          <w:tcPr>
            <w:tcW w:w="445" w:type="pct"/>
            <w:tcBorders>
              <w:top w:val="nil"/>
              <w:left w:val="nil"/>
              <w:bottom w:val="single" w:sz="4" w:space="0" w:color="auto"/>
              <w:right w:val="single" w:sz="4" w:space="0" w:color="auto"/>
            </w:tcBorders>
            <w:shd w:val="clear" w:color="auto" w:fill="auto"/>
            <w:noWrap/>
            <w:vAlign w:val="bottom"/>
            <w:hideMark/>
          </w:tcPr>
          <w:p w:rsidR="002203F3" w:rsidRPr="002203F3" w:rsidRDefault="002203F3" w:rsidP="002203F3">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61</w:t>
            </w:r>
          </w:p>
        </w:tc>
      </w:tr>
    </w:tbl>
    <w:p w:rsidR="002203F3" w:rsidRDefault="008B2B5B" w:rsidP="008B2B5B">
      <w:pPr>
        <w:tabs>
          <w:tab w:val="left" w:pos="6180"/>
        </w:tabs>
        <w:jc w:val="center"/>
        <w:rPr>
          <w:lang w:val="es-UY"/>
        </w:rPr>
      </w:pPr>
      <w:r>
        <w:rPr>
          <w:lang w:val="es-UY"/>
        </w:rPr>
        <w:t>Fuente: Banco Central del Uruguay</w:t>
      </w:r>
    </w:p>
    <w:p w:rsidR="008B2B5B" w:rsidRDefault="008B2B5B" w:rsidP="008B2B5B">
      <w:pPr>
        <w:tabs>
          <w:tab w:val="left" w:pos="6180"/>
        </w:tabs>
        <w:jc w:val="both"/>
        <w:rPr>
          <w:lang w:val="es-UY"/>
        </w:rPr>
      </w:pPr>
      <w:r>
        <w:rPr>
          <w:lang w:val="es-UY"/>
        </w:rPr>
        <w:t xml:space="preserve">La metodología de actualización de </w:t>
      </w:r>
      <w:r w:rsidR="004A3864">
        <w:rPr>
          <w:lang w:val="es-UY"/>
        </w:rPr>
        <w:t>Balanza de Pagos indica que la información básica de este segmento es la encuesta de Grandes Empresas, que en promedio releva información para 48</w:t>
      </w:r>
      <w:r w:rsidR="007D777E">
        <w:rPr>
          <w:lang w:val="es-UY"/>
        </w:rPr>
        <w:t>9 empresas operando en Uruguay</w:t>
      </w:r>
      <w:r w:rsidR="007D777E">
        <w:rPr>
          <w:rStyle w:val="FootnoteReference"/>
          <w:lang w:val="es-UY"/>
        </w:rPr>
        <w:footnoteReference w:id="4"/>
      </w:r>
      <w:r w:rsidR="007D777E">
        <w:rPr>
          <w:lang w:val="es-UY"/>
        </w:rPr>
        <w:t xml:space="preserve">. Esta encuesta, de base trimestral, está diseñada para varios fines, no exclusivamente el relevamiento de las transacciones de servicios con el exterior. </w:t>
      </w:r>
    </w:p>
    <w:p w:rsidR="00584738" w:rsidRDefault="007D777E" w:rsidP="008B2B5B">
      <w:pPr>
        <w:tabs>
          <w:tab w:val="left" w:pos="6180"/>
        </w:tabs>
        <w:jc w:val="both"/>
        <w:rPr>
          <w:lang w:val="es-UY"/>
        </w:rPr>
      </w:pPr>
      <w:r>
        <w:rPr>
          <w:lang w:val="es-UY"/>
        </w:rPr>
        <w:lastRenderedPageBreak/>
        <w:t>Naturalmente, la definición de Servicios Intensivos en Conocimiento cruza varios rubros del cuadro indicado más arriba. Dado que el secreto estadístico con el que trabaja el Banco Central impide que se conozca</w:t>
      </w:r>
      <w:r w:rsidR="000D3B2E">
        <w:rPr>
          <w:lang w:val="es-UY"/>
        </w:rPr>
        <w:t>n</w:t>
      </w:r>
      <w:r>
        <w:rPr>
          <w:lang w:val="es-UY"/>
        </w:rPr>
        <w:t xml:space="preserve"> específicamente las empres</w:t>
      </w:r>
      <w:r w:rsidR="000D3B2E">
        <w:rPr>
          <w:lang w:val="es-UY"/>
        </w:rPr>
        <w:t>as o las actividades que incluye cada uno de los rubros mencionados más arriba, es necesario tomar algún criterio simplificado para determinar una posible línea de base. En principi</w:t>
      </w:r>
      <w:r w:rsidR="006E3EE3">
        <w:rPr>
          <w:lang w:val="es-UY"/>
        </w:rPr>
        <w:t xml:space="preserve">o, podría determinarse que </w:t>
      </w:r>
      <w:r w:rsidR="006E3EE3" w:rsidRPr="002438F7">
        <w:rPr>
          <w:u w:val="single"/>
          <w:lang w:val="es-UY"/>
        </w:rPr>
        <w:t>los Servicios de Telecomunicaciones, Informáticos, P</w:t>
      </w:r>
      <w:r w:rsidR="000D3B2E" w:rsidRPr="002438F7">
        <w:rPr>
          <w:u w:val="single"/>
          <w:lang w:val="es-UY"/>
        </w:rPr>
        <w:t xml:space="preserve">rofesionales </w:t>
      </w:r>
      <w:r w:rsidR="006E3EE3" w:rsidRPr="002438F7">
        <w:rPr>
          <w:u w:val="single"/>
          <w:lang w:val="es-UY"/>
        </w:rPr>
        <w:t xml:space="preserve">y de Consultoría </w:t>
      </w:r>
      <w:r w:rsidR="00D06BCE" w:rsidRPr="002438F7">
        <w:rPr>
          <w:u w:val="single"/>
          <w:lang w:val="es-UY"/>
        </w:rPr>
        <w:t xml:space="preserve"> y los Servicios Audiovisuales</w:t>
      </w:r>
      <w:r w:rsidR="00D06BCE">
        <w:rPr>
          <w:lang w:val="es-UY"/>
        </w:rPr>
        <w:t xml:space="preserve"> </w:t>
      </w:r>
      <w:r w:rsidR="000D3B2E">
        <w:rPr>
          <w:lang w:val="es-UY"/>
        </w:rPr>
        <w:t>serían intensivos en conocimiento, al menos en una definición que sea útil a los fines de este proyecto, que refieren al conocimiento relacionado con servicios provistos por trabajadores de las</w:t>
      </w:r>
      <w:r w:rsidR="00204A2F">
        <w:rPr>
          <w:lang w:val="es-UY"/>
        </w:rPr>
        <w:t xml:space="preserve"> tecnologías de la información. </w:t>
      </w:r>
      <w:r w:rsidR="00584738">
        <w:rPr>
          <w:lang w:val="es-UY"/>
        </w:rPr>
        <w:t>Por ejemplo, los servicios de internet tales como software de seguridad, soporte técnico de telecomunicaciones, acceso remoto</w:t>
      </w:r>
      <w:r w:rsidR="002438F7">
        <w:rPr>
          <w:lang w:val="es-UY"/>
        </w:rPr>
        <w:t xml:space="preserve"> o</w:t>
      </w:r>
      <w:r w:rsidR="00584738">
        <w:rPr>
          <w:lang w:val="es-UY"/>
        </w:rPr>
        <w:t xml:space="preserve"> </w:t>
      </w:r>
      <w:r w:rsidR="00584738" w:rsidRPr="001457C0">
        <w:rPr>
          <w:i/>
          <w:lang w:val="es-UY"/>
        </w:rPr>
        <w:t>hosting</w:t>
      </w:r>
      <w:r w:rsidR="00584738">
        <w:rPr>
          <w:lang w:val="es-UY"/>
        </w:rPr>
        <w:t xml:space="preserve"> son incluidos en telecomunicaciones. Adicionalmente, algunas empresas </w:t>
      </w:r>
      <w:r w:rsidR="001457C0">
        <w:rPr>
          <w:lang w:val="es-UY"/>
        </w:rPr>
        <w:t>del entorno TIC del Uruguay se clasifican como consult</w:t>
      </w:r>
      <w:r w:rsidR="002438F7">
        <w:rPr>
          <w:lang w:val="es-UY"/>
        </w:rPr>
        <w:t>oras en la materia</w:t>
      </w:r>
      <w:r w:rsidR="001457C0">
        <w:rPr>
          <w:lang w:val="es-UY"/>
        </w:rPr>
        <w:t xml:space="preserve"> específica</w:t>
      </w:r>
      <w:r w:rsidR="002438F7">
        <w:rPr>
          <w:lang w:val="es-UY"/>
        </w:rPr>
        <w:t xml:space="preserve"> en la que brindan servicios</w:t>
      </w:r>
      <w:r w:rsidR="001457C0">
        <w:rPr>
          <w:lang w:val="es-UY"/>
        </w:rPr>
        <w:t>: recursos humanos, gestión, soporte, etc., por lo que según la</w:t>
      </w:r>
      <w:r w:rsidR="002438F7">
        <w:rPr>
          <w:lang w:val="es-UY"/>
        </w:rPr>
        <w:t xml:space="preserve"> clasificación de balanza de pagos</w:t>
      </w:r>
      <w:r w:rsidR="001457C0">
        <w:rPr>
          <w:lang w:val="es-UY"/>
        </w:rPr>
        <w:t xml:space="preserve"> prestan servicios profesionales y de consultoría</w:t>
      </w:r>
      <w:r w:rsidR="002438F7">
        <w:rPr>
          <w:rStyle w:val="FootnoteReference"/>
          <w:lang w:val="es-UY"/>
        </w:rPr>
        <w:footnoteReference w:id="5"/>
      </w:r>
      <w:r w:rsidR="001457C0">
        <w:rPr>
          <w:lang w:val="es-UY"/>
        </w:rPr>
        <w:t xml:space="preserve">. </w:t>
      </w:r>
    </w:p>
    <w:p w:rsidR="007D777E" w:rsidRDefault="000D3B2E" w:rsidP="008B2B5B">
      <w:pPr>
        <w:tabs>
          <w:tab w:val="left" w:pos="6180"/>
        </w:tabs>
        <w:jc w:val="both"/>
        <w:rPr>
          <w:lang w:val="es-UY"/>
        </w:rPr>
      </w:pPr>
      <w:r>
        <w:rPr>
          <w:lang w:val="es-UY"/>
        </w:rPr>
        <w:t xml:space="preserve">Por otra parte, podría pensarse que los </w:t>
      </w:r>
      <w:r w:rsidR="006E3EE3">
        <w:rPr>
          <w:lang w:val="es-UY"/>
        </w:rPr>
        <w:t>S</w:t>
      </w:r>
      <w:r>
        <w:rPr>
          <w:lang w:val="es-UY"/>
        </w:rPr>
        <w:t>er</w:t>
      </w:r>
      <w:r w:rsidR="000D7539">
        <w:rPr>
          <w:lang w:val="es-UY"/>
        </w:rPr>
        <w:t xml:space="preserve">vicios </w:t>
      </w:r>
      <w:r w:rsidR="006E3EE3">
        <w:rPr>
          <w:lang w:val="es-UY"/>
        </w:rPr>
        <w:t>Financieros, de Seguros, los C</w:t>
      </w:r>
      <w:r w:rsidR="000D7539">
        <w:rPr>
          <w:lang w:val="es-UY"/>
        </w:rPr>
        <w:t>argos por el uso de</w:t>
      </w:r>
      <w:r w:rsidR="006E3EE3">
        <w:rPr>
          <w:lang w:val="es-UY"/>
        </w:rPr>
        <w:t xml:space="preserve"> la propi</w:t>
      </w:r>
      <w:r w:rsidR="00D06BCE">
        <w:rPr>
          <w:lang w:val="es-UY"/>
        </w:rPr>
        <w:t>edad intelectual, los Servicios Técnicos relacionados con el comercio</w:t>
      </w:r>
      <w:r w:rsidR="006E3EE3">
        <w:rPr>
          <w:lang w:val="es-UY"/>
        </w:rPr>
        <w:t xml:space="preserve"> </w:t>
      </w:r>
      <w:r w:rsidR="00D06BCE">
        <w:rPr>
          <w:lang w:val="es-UY"/>
        </w:rPr>
        <w:t xml:space="preserve">y otros servicios empresariales </w:t>
      </w:r>
      <w:r w:rsidR="006E3EE3">
        <w:rPr>
          <w:lang w:val="es-UY"/>
        </w:rPr>
        <w:t>y los Servicios P</w:t>
      </w:r>
      <w:r w:rsidR="000D7539">
        <w:rPr>
          <w:lang w:val="es-UY"/>
        </w:rPr>
        <w:t>ersonales</w:t>
      </w:r>
      <w:r w:rsidR="006E3EE3">
        <w:rPr>
          <w:lang w:val="es-UY"/>
        </w:rPr>
        <w:t>, Culturales y R</w:t>
      </w:r>
      <w:r w:rsidR="000D7539">
        <w:rPr>
          <w:lang w:val="es-UY"/>
        </w:rPr>
        <w:t>ecreativos no son intensivos en conocimiento relacionado con las tecnologías de la información</w:t>
      </w:r>
      <w:r w:rsidR="002438F7">
        <w:rPr>
          <w:lang w:val="es-UY"/>
        </w:rPr>
        <w:t>,</w:t>
      </w:r>
      <w:r w:rsidR="002438F7" w:rsidRPr="002438F7">
        <w:rPr>
          <w:lang w:val="es-UY"/>
        </w:rPr>
        <w:t xml:space="preserve"> </w:t>
      </w:r>
      <w:r w:rsidR="002438F7">
        <w:rPr>
          <w:lang w:val="es-UY"/>
        </w:rPr>
        <w:t>al menos los que son provistos por el país</w:t>
      </w:r>
      <w:r w:rsidR="000D7539">
        <w:rPr>
          <w:lang w:val="es-UY"/>
        </w:rPr>
        <w:t xml:space="preserve">. De esta manera, una estimación de las exportaciones de SIC con fuente en el Banco Central arrojaría </w:t>
      </w:r>
      <w:r w:rsidR="00D06BCE">
        <w:rPr>
          <w:lang w:val="es-UY"/>
        </w:rPr>
        <w:t>1332</w:t>
      </w:r>
      <w:r w:rsidR="000D7539">
        <w:rPr>
          <w:lang w:val="es-UY"/>
        </w:rPr>
        <w:t xml:space="preserve"> millones de dólares en 2017. </w:t>
      </w:r>
    </w:p>
    <w:p w:rsidR="000D7539" w:rsidRDefault="005E532B" w:rsidP="008B2B5B">
      <w:pPr>
        <w:tabs>
          <w:tab w:val="left" w:pos="6180"/>
        </w:tabs>
        <w:jc w:val="both"/>
        <w:rPr>
          <w:lang w:val="es-UY"/>
        </w:rPr>
      </w:pPr>
      <w:r>
        <w:rPr>
          <w:lang w:val="es-UY"/>
        </w:rPr>
        <w:t xml:space="preserve">Las ventajas de utilizar esta fuente está en que son oficiales, están relacionadas con las de IED (provienen de la misma fuente), tienen una publicación periódica y predecible, son estables y están construidas para estos fines, por lo que </w:t>
      </w:r>
      <w:r w:rsidR="002438F7">
        <w:rPr>
          <w:lang w:val="es-UY"/>
        </w:rPr>
        <w:t>con</w:t>
      </w:r>
      <w:r>
        <w:rPr>
          <w:lang w:val="es-UY"/>
        </w:rPr>
        <w:t>tienen preguntas especificas en la materia.  Por otro lado, esta fuente tiene sus debilidades: no se pueden desagregar, por lo que no se sabe fehacientemente qué tipo de actividades relevan, pueden tener problemas de cobertura ante nuevos y dinámicos jugadores (que son frecuentes en el segmento</w:t>
      </w:r>
      <w:r w:rsidR="006E3EE3">
        <w:rPr>
          <w:lang w:val="es-UY"/>
        </w:rPr>
        <w:t xml:space="preserve"> y es uno de los objetivos explícitos de este proyecto</w:t>
      </w:r>
      <w:r>
        <w:rPr>
          <w:lang w:val="es-UY"/>
        </w:rPr>
        <w:t xml:space="preserve">) y en principio no incluye empresas de porte mediano, que son </w:t>
      </w:r>
      <w:r w:rsidR="000466CF">
        <w:rPr>
          <w:lang w:val="es-UY"/>
        </w:rPr>
        <w:t xml:space="preserve">centrales en </w:t>
      </w:r>
      <w:r>
        <w:rPr>
          <w:lang w:val="es-UY"/>
        </w:rPr>
        <w:t xml:space="preserve">el sector. </w:t>
      </w:r>
    </w:p>
    <w:p w:rsidR="006E3EE3" w:rsidRPr="006E3EE3" w:rsidRDefault="006E3EE3" w:rsidP="006E3EE3">
      <w:pPr>
        <w:jc w:val="both"/>
        <w:rPr>
          <w:i/>
          <w:u w:val="single"/>
          <w:lang w:val="es-UY"/>
        </w:rPr>
      </w:pPr>
      <w:r>
        <w:rPr>
          <w:i/>
          <w:u w:val="single"/>
          <w:lang w:val="es-UY"/>
        </w:rPr>
        <w:t>Encuesta CUTI</w:t>
      </w:r>
    </w:p>
    <w:p w:rsidR="001D63CD" w:rsidRDefault="005E532B" w:rsidP="008B2B5B">
      <w:pPr>
        <w:tabs>
          <w:tab w:val="left" w:pos="6180"/>
        </w:tabs>
        <w:jc w:val="both"/>
        <w:rPr>
          <w:lang w:val="es-UY"/>
        </w:rPr>
      </w:pPr>
      <w:r>
        <w:rPr>
          <w:lang w:val="es-UY"/>
        </w:rPr>
        <w:t xml:space="preserve">La </w:t>
      </w:r>
      <w:r w:rsidR="006E3EE3">
        <w:rPr>
          <w:lang w:val="es-UY"/>
        </w:rPr>
        <w:t>CUTI</w:t>
      </w:r>
      <w:r>
        <w:rPr>
          <w:lang w:val="es-UY"/>
        </w:rPr>
        <w:t xml:space="preserve"> difunde anualmente entre sus socios una encuesta que realiza a </w:t>
      </w:r>
      <w:r w:rsidR="00841338">
        <w:rPr>
          <w:lang w:val="es-UY"/>
        </w:rPr>
        <w:t>las empresas socias. Dicha encuesta incluye entre otros aspectos una estimación de las ventas, distinguiendo el destino (doméstico y exterior desagregado por país), el cliente final (tamaño y sector) y el tipo de segmento que ocupa la empresa. Tradicionalmente la encuesta divide en producción de software vertical, software horizontal, consultoría (outsourcing) e Infraestructura. Si bien la encuesta excluye a los asociados que operan en otr</w:t>
      </w:r>
      <w:r w:rsidR="00022C95">
        <w:rPr>
          <w:lang w:val="es-UY"/>
        </w:rPr>
        <w:t>os segmentos, no queda claro qué</w:t>
      </w:r>
      <w:r w:rsidR="00841338">
        <w:rPr>
          <w:lang w:val="es-UY"/>
        </w:rPr>
        <w:t xml:space="preserve"> actividades son excluidas.  La empresa pretende cubrir incluso los segmentos de empresas pequeñas, pero no se expande a las empresas que no sea socias de la Cámara. Los resultados incluyen ventas de las filiales en el exterior, que conceptualmente no son exportaciones pero </w:t>
      </w:r>
      <w:r w:rsidR="000466CF">
        <w:rPr>
          <w:lang w:val="es-UY"/>
        </w:rPr>
        <w:t xml:space="preserve">por </w:t>
      </w:r>
      <w:r w:rsidR="00841338">
        <w:rPr>
          <w:lang w:val="es-UY"/>
        </w:rPr>
        <w:t xml:space="preserve">su impacto también podría ser de interés para el proyecto. El universo objeto de estudio de las empresas CUTI es de 241 empresas, y para la información de facturación se obtuvieron 96 respuestas. </w:t>
      </w:r>
    </w:p>
    <w:p w:rsidR="005E532B" w:rsidRDefault="001D63CD" w:rsidP="008B2B5B">
      <w:pPr>
        <w:tabs>
          <w:tab w:val="left" w:pos="6180"/>
        </w:tabs>
        <w:jc w:val="both"/>
        <w:rPr>
          <w:lang w:val="es-UY"/>
        </w:rPr>
      </w:pPr>
      <w:r>
        <w:rPr>
          <w:lang w:val="es-UY"/>
        </w:rPr>
        <w:lastRenderedPageBreak/>
        <w:t>La in</w:t>
      </w:r>
      <w:r w:rsidR="001D3DA4">
        <w:rPr>
          <w:lang w:val="es-UY"/>
        </w:rPr>
        <w:t>formación de CUTI estima en 371 millones las ventas al exterior de las empresas socias, pero esta cifra incluye las ventas desde filiales en el exterior</w:t>
      </w:r>
      <w:r w:rsidR="001D3DA4">
        <w:rPr>
          <w:rStyle w:val="FootnoteReference"/>
          <w:lang w:val="es-UY"/>
        </w:rPr>
        <w:footnoteReference w:id="6"/>
      </w:r>
      <w:r w:rsidR="001D3DA4">
        <w:rPr>
          <w:lang w:val="es-UY"/>
        </w:rPr>
        <w:t xml:space="preserve">. Estas ventas se descomponen en </w:t>
      </w:r>
      <w:r w:rsidR="00C12D2D">
        <w:rPr>
          <w:lang w:val="es-UY"/>
        </w:rPr>
        <w:t xml:space="preserve">41% consultoría, 37% software vertical, 20% software horizontal y solo 2% provisión de infraestructura. El sector más internacionalizado es el de software vertical, dónde las exportaciones son el triple que las ventas al mercado interno. </w:t>
      </w:r>
    </w:p>
    <w:p w:rsidR="008E1ACF" w:rsidRDefault="008E1ACF" w:rsidP="008B2B5B">
      <w:pPr>
        <w:tabs>
          <w:tab w:val="left" w:pos="6180"/>
        </w:tabs>
        <w:jc w:val="both"/>
        <w:rPr>
          <w:lang w:val="es-UY"/>
        </w:rPr>
      </w:pPr>
      <w:r>
        <w:rPr>
          <w:lang w:val="es-UY"/>
        </w:rPr>
        <w:t xml:space="preserve">El siguiente gráfico recompone la serie de ventas al exterior (incluyendo filiales) según fuente encuesta CUTI. La encuesta ha sufrido algunos cambios metodológicos en el período. </w:t>
      </w:r>
    </w:p>
    <w:p w:rsidR="008E1ACF" w:rsidRDefault="008E1ACF" w:rsidP="008B2B5B">
      <w:pPr>
        <w:tabs>
          <w:tab w:val="left" w:pos="6180"/>
        </w:tabs>
        <w:jc w:val="both"/>
        <w:rPr>
          <w:lang w:val="es-UY"/>
        </w:rPr>
      </w:pPr>
      <w:r>
        <w:rPr>
          <w:lang w:val="es-UY"/>
        </w:rPr>
        <w:t>Gráfico 1. Ventas al exterior de las empresas de Tecnologías de la Información. En millones de USD</w:t>
      </w:r>
    </w:p>
    <w:p w:rsidR="008E1ACF" w:rsidRDefault="008E1ACF" w:rsidP="008B2B5B">
      <w:pPr>
        <w:tabs>
          <w:tab w:val="left" w:pos="6180"/>
        </w:tabs>
        <w:jc w:val="both"/>
        <w:rPr>
          <w:lang w:val="es-UY"/>
        </w:rPr>
      </w:pPr>
      <w:r w:rsidRPr="008E1ACF">
        <w:rPr>
          <w:noProof/>
        </w:rPr>
        <w:drawing>
          <wp:inline distT="0" distB="0" distL="0" distR="0">
            <wp:extent cx="5734050" cy="27432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E1ACF" w:rsidRDefault="008E1ACF" w:rsidP="008B2B5B">
      <w:pPr>
        <w:tabs>
          <w:tab w:val="left" w:pos="6180"/>
        </w:tabs>
        <w:jc w:val="both"/>
        <w:rPr>
          <w:lang w:val="es-UY"/>
        </w:rPr>
      </w:pPr>
      <w:r>
        <w:rPr>
          <w:lang w:val="es-UY"/>
        </w:rPr>
        <w:t xml:space="preserve">Fuente: elaboración propia en base a varias encuestas de la CUTI e Informes de Uruguay XXI. </w:t>
      </w:r>
    </w:p>
    <w:p w:rsidR="008E1ACF" w:rsidRDefault="008E1ACF" w:rsidP="008B2B5B">
      <w:pPr>
        <w:tabs>
          <w:tab w:val="left" w:pos="6180"/>
        </w:tabs>
        <w:jc w:val="both"/>
        <w:rPr>
          <w:lang w:val="es-UY"/>
        </w:rPr>
      </w:pPr>
    </w:p>
    <w:p w:rsidR="00022C95" w:rsidRPr="006E3EE3" w:rsidRDefault="00022C95" w:rsidP="00022C95">
      <w:pPr>
        <w:jc w:val="both"/>
        <w:rPr>
          <w:i/>
          <w:u w:val="single"/>
          <w:lang w:val="es-UY"/>
        </w:rPr>
      </w:pPr>
      <w:r>
        <w:rPr>
          <w:i/>
          <w:u w:val="single"/>
          <w:lang w:val="es-UY"/>
        </w:rPr>
        <w:t>Informes de Uruguay</w:t>
      </w:r>
      <w:r w:rsidR="00810A61">
        <w:rPr>
          <w:i/>
          <w:u w:val="single"/>
          <w:lang w:val="es-UY"/>
        </w:rPr>
        <w:t xml:space="preserve"> </w:t>
      </w:r>
      <w:r>
        <w:rPr>
          <w:i/>
          <w:u w:val="single"/>
          <w:lang w:val="es-UY"/>
        </w:rPr>
        <w:t>XXI</w:t>
      </w:r>
    </w:p>
    <w:p w:rsidR="000466CF" w:rsidRDefault="009A1434" w:rsidP="00BD3DA5">
      <w:pPr>
        <w:tabs>
          <w:tab w:val="left" w:pos="6180"/>
        </w:tabs>
        <w:jc w:val="both"/>
        <w:rPr>
          <w:lang w:val="es-UY"/>
        </w:rPr>
      </w:pPr>
      <w:r>
        <w:rPr>
          <w:lang w:val="es-UY"/>
        </w:rPr>
        <w:t>El I</w:t>
      </w:r>
      <w:r w:rsidR="00C12D2D">
        <w:rPr>
          <w:lang w:val="es-UY"/>
        </w:rPr>
        <w:t>nstituto de Promoción de las Exportaciones y las Inversiones Uruguay XXI e</w:t>
      </w:r>
      <w:r w:rsidR="00022C95">
        <w:rPr>
          <w:lang w:val="es-UY"/>
        </w:rPr>
        <w:t>stimó que las exportaciones de S</w:t>
      </w:r>
      <w:r w:rsidR="00C12D2D">
        <w:rPr>
          <w:lang w:val="es-UY"/>
        </w:rPr>
        <w:t xml:space="preserve">ervicios </w:t>
      </w:r>
      <w:r w:rsidR="00022C95">
        <w:rPr>
          <w:lang w:val="es-UY"/>
        </w:rPr>
        <w:t>G</w:t>
      </w:r>
      <w:r w:rsidR="00C12D2D">
        <w:rPr>
          <w:lang w:val="es-UY"/>
        </w:rPr>
        <w:t xml:space="preserve">lobales </w:t>
      </w:r>
      <w:r w:rsidR="00885F13">
        <w:rPr>
          <w:lang w:val="es-UY"/>
        </w:rPr>
        <w:t>en 2014 habrían alcanzado los 2</w:t>
      </w:r>
      <w:r w:rsidR="00A00E58">
        <w:rPr>
          <w:lang w:val="es-UY"/>
        </w:rPr>
        <w:t>.</w:t>
      </w:r>
      <w:r w:rsidR="00885F13">
        <w:rPr>
          <w:lang w:val="es-UY"/>
        </w:rPr>
        <w:t xml:space="preserve">854 millones de dólares. </w:t>
      </w:r>
      <w:r w:rsidR="00022C95">
        <w:rPr>
          <w:lang w:val="es-UY"/>
        </w:rPr>
        <w:t xml:space="preserve">Para dicha estimación utilizó información del Área de Zonas Francas del Ministerio de Economía y Finanzas y de la Dirección General Impositiva, a nivel de cuatro dígitos de la CIIU. </w:t>
      </w:r>
      <w:r w:rsidR="00885F13">
        <w:rPr>
          <w:lang w:val="es-UY"/>
        </w:rPr>
        <w:t xml:space="preserve">Esta estimación incluye los segmentos de servicios creativos (arquitectura, ingeniería, diseño y audiovisuales), servicios financieros, TICs, servicios empresariales (profesionales, científicos y técnicos y servicios de apoyo) y comercio (trading y centros de distribución regional). </w:t>
      </w:r>
    </w:p>
    <w:p w:rsidR="00810A61" w:rsidRDefault="00810A61" w:rsidP="00BD3DA5">
      <w:pPr>
        <w:tabs>
          <w:tab w:val="left" w:pos="6180"/>
        </w:tabs>
        <w:jc w:val="both"/>
        <w:rPr>
          <w:b/>
          <w:lang w:val="es-UY"/>
        </w:rPr>
      </w:pPr>
    </w:p>
    <w:p w:rsidR="00022C95" w:rsidRPr="0035656A" w:rsidRDefault="000466CF" w:rsidP="00E10EE7">
      <w:pPr>
        <w:tabs>
          <w:tab w:val="left" w:pos="6180"/>
        </w:tabs>
        <w:jc w:val="center"/>
        <w:rPr>
          <w:b/>
          <w:lang w:val="es-UY"/>
        </w:rPr>
      </w:pPr>
      <w:r>
        <w:rPr>
          <w:b/>
          <w:lang w:val="es-UY"/>
        </w:rPr>
        <w:lastRenderedPageBreak/>
        <w:t xml:space="preserve">Cuadro </w:t>
      </w:r>
      <w:r w:rsidR="00F12AAB">
        <w:rPr>
          <w:b/>
          <w:lang w:val="es-UY"/>
        </w:rPr>
        <w:t>4</w:t>
      </w:r>
      <w:r>
        <w:rPr>
          <w:b/>
          <w:lang w:val="es-UY"/>
        </w:rPr>
        <w:t xml:space="preserve">. </w:t>
      </w:r>
      <w:r w:rsidR="00022C95" w:rsidRPr="0035656A">
        <w:rPr>
          <w:b/>
          <w:lang w:val="es-UY"/>
        </w:rPr>
        <w:t>Exportaciones de Servicios Globales</w:t>
      </w:r>
      <w:r>
        <w:rPr>
          <w:b/>
          <w:lang w:val="es-UY"/>
        </w:rPr>
        <w:t>. En millones de dólares.</w:t>
      </w:r>
      <w:r w:rsidR="0035656A" w:rsidRPr="0035656A">
        <w:rPr>
          <w:b/>
          <w:lang w:val="es-UY"/>
        </w:rPr>
        <w:t xml:space="preserve"> Año 2014.</w:t>
      </w:r>
    </w:p>
    <w:tbl>
      <w:tblPr>
        <w:tblStyle w:val="TableGrid"/>
        <w:tblW w:w="0" w:type="auto"/>
        <w:jc w:val="center"/>
        <w:tblLook w:val="04A0" w:firstRow="1" w:lastRow="0" w:firstColumn="1" w:lastColumn="0" w:noHBand="0" w:noVBand="1"/>
      </w:tblPr>
      <w:tblGrid>
        <w:gridCol w:w="4158"/>
        <w:gridCol w:w="1620"/>
      </w:tblGrid>
      <w:tr w:rsidR="00022C95" w:rsidRPr="000466CF" w:rsidTr="00E10EE7">
        <w:trPr>
          <w:jc w:val="center"/>
        </w:trPr>
        <w:tc>
          <w:tcPr>
            <w:tcW w:w="4158" w:type="dxa"/>
          </w:tcPr>
          <w:p w:rsidR="00022C95" w:rsidRPr="0035656A" w:rsidRDefault="00022C95" w:rsidP="008B2B5B">
            <w:pPr>
              <w:tabs>
                <w:tab w:val="left" w:pos="6180"/>
              </w:tabs>
              <w:jc w:val="both"/>
              <w:rPr>
                <w:b/>
                <w:lang w:val="es-UY"/>
              </w:rPr>
            </w:pPr>
            <w:r w:rsidRPr="0035656A">
              <w:rPr>
                <w:b/>
                <w:lang w:val="es-UY"/>
              </w:rPr>
              <w:t>Segmento</w:t>
            </w:r>
          </w:p>
        </w:tc>
        <w:tc>
          <w:tcPr>
            <w:tcW w:w="1620" w:type="dxa"/>
          </w:tcPr>
          <w:p w:rsidR="00022C95" w:rsidRPr="00E10EE7" w:rsidRDefault="0035656A" w:rsidP="008B2B5B">
            <w:pPr>
              <w:tabs>
                <w:tab w:val="left" w:pos="6180"/>
              </w:tabs>
              <w:jc w:val="both"/>
              <w:rPr>
                <w:b/>
                <w:lang w:val="es-UY"/>
              </w:rPr>
            </w:pPr>
            <w:r w:rsidRPr="00E10EE7">
              <w:rPr>
                <w:b/>
                <w:lang w:val="es-UY"/>
              </w:rPr>
              <w:t>Exportaciones</w:t>
            </w:r>
          </w:p>
        </w:tc>
      </w:tr>
      <w:tr w:rsidR="00022C95" w:rsidRPr="000466CF" w:rsidTr="00E10EE7">
        <w:trPr>
          <w:jc w:val="center"/>
        </w:trPr>
        <w:tc>
          <w:tcPr>
            <w:tcW w:w="4158" w:type="dxa"/>
          </w:tcPr>
          <w:p w:rsidR="00022C95" w:rsidRPr="00E10EE7" w:rsidRDefault="0035656A" w:rsidP="008B2B5B">
            <w:pPr>
              <w:tabs>
                <w:tab w:val="left" w:pos="6180"/>
              </w:tabs>
              <w:jc w:val="both"/>
              <w:rPr>
                <w:b/>
                <w:lang w:val="es-UY"/>
              </w:rPr>
            </w:pPr>
            <w:r w:rsidRPr="00E10EE7">
              <w:rPr>
                <w:b/>
                <w:lang w:val="es-UY"/>
              </w:rPr>
              <w:t>Servicios Creativos</w:t>
            </w:r>
          </w:p>
        </w:tc>
        <w:tc>
          <w:tcPr>
            <w:tcW w:w="1620" w:type="dxa"/>
          </w:tcPr>
          <w:p w:rsidR="00022C95" w:rsidRPr="00E10EE7" w:rsidRDefault="0035656A" w:rsidP="00E10EE7">
            <w:pPr>
              <w:tabs>
                <w:tab w:val="left" w:pos="6180"/>
              </w:tabs>
              <w:jc w:val="right"/>
              <w:rPr>
                <w:b/>
                <w:lang w:val="es-UY"/>
              </w:rPr>
            </w:pPr>
            <w:r w:rsidRPr="00E10EE7">
              <w:rPr>
                <w:b/>
                <w:lang w:val="es-UY"/>
              </w:rPr>
              <w:t>88</w:t>
            </w:r>
          </w:p>
        </w:tc>
      </w:tr>
      <w:tr w:rsidR="00022C95" w:rsidRPr="000466CF" w:rsidTr="00E10EE7">
        <w:trPr>
          <w:jc w:val="center"/>
        </w:trPr>
        <w:tc>
          <w:tcPr>
            <w:tcW w:w="4158" w:type="dxa"/>
          </w:tcPr>
          <w:p w:rsidR="00022C95" w:rsidRDefault="0035656A" w:rsidP="008B2B5B">
            <w:pPr>
              <w:tabs>
                <w:tab w:val="left" w:pos="6180"/>
              </w:tabs>
              <w:jc w:val="both"/>
              <w:rPr>
                <w:lang w:val="es-UY"/>
              </w:rPr>
            </w:pPr>
            <w:r>
              <w:rPr>
                <w:lang w:val="es-UY"/>
              </w:rPr>
              <w:t xml:space="preserve">     Arquitectura, Ingeniería y Diseño</w:t>
            </w:r>
          </w:p>
        </w:tc>
        <w:tc>
          <w:tcPr>
            <w:tcW w:w="1620" w:type="dxa"/>
          </w:tcPr>
          <w:p w:rsidR="00022C95" w:rsidRDefault="0035656A" w:rsidP="00E10EE7">
            <w:pPr>
              <w:tabs>
                <w:tab w:val="left" w:pos="6180"/>
              </w:tabs>
              <w:jc w:val="right"/>
              <w:rPr>
                <w:lang w:val="es-UY"/>
              </w:rPr>
            </w:pPr>
            <w:r>
              <w:rPr>
                <w:lang w:val="es-UY"/>
              </w:rPr>
              <w:t>48</w:t>
            </w:r>
          </w:p>
        </w:tc>
      </w:tr>
      <w:tr w:rsidR="00022C95" w:rsidRPr="000466CF" w:rsidTr="00E10EE7">
        <w:trPr>
          <w:jc w:val="center"/>
        </w:trPr>
        <w:tc>
          <w:tcPr>
            <w:tcW w:w="4158" w:type="dxa"/>
          </w:tcPr>
          <w:p w:rsidR="00022C95" w:rsidRDefault="0035656A" w:rsidP="008B2B5B">
            <w:pPr>
              <w:tabs>
                <w:tab w:val="left" w:pos="6180"/>
              </w:tabs>
              <w:jc w:val="both"/>
              <w:rPr>
                <w:lang w:val="es-UY"/>
              </w:rPr>
            </w:pPr>
            <w:r>
              <w:rPr>
                <w:lang w:val="es-UY"/>
              </w:rPr>
              <w:t xml:space="preserve">     Audiovisuales</w:t>
            </w:r>
          </w:p>
        </w:tc>
        <w:tc>
          <w:tcPr>
            <w:tcW w:w="1620" w:type="dxa"/>
          </w:tcPr>
          <w:p w:rsidR="00022C95" w:rsidRDefault="0035656A" w:rsidP="00E10EE7">
            <w:pPr>
              <w:tabs>
                <w:tab w:val="left" w:pos="6180"/>
              </w:tabs>
              <w:jc w:val="right"/>
              <w:rPr>
                <w:lang w:val="es-UY"/>
              </w:rPr>
            </w:pPr>
            <w:r>
              <w:rPr>
                <w:lang w:val="es-UY"/>
              </w:rPr>
              <w:t>40</w:t>
            </w:r>
          </w:p>
        </w:tc>
      </w:tr>
      <w:tr w:rsidR="00022C95" w:rsidTr="00E10EE7">
        <w:trPr>
          <w:jc w:val="center"/>
        </w:trPr>
        <w:tc>
          <w:tcPr>
            <w:tcW w:w="4158" w:type="dxa"/>
          </w:tcPr>
          <w:p w:rsidR="00022C95" w:rsidRPr="00E10EE7" w:rsidRDefault="0035656A" w:rsidP="008B2B5B">
            <w:pPr>
              <w:tabs>
                <w:tab w:val="left" w:pos="6180"/>
              </w:tabs>
              <w:jc w:val="both"/>
              <w:rPr>
                <w:b/>
                <w:lang w:val="es-UY"/>
              </w:rPr>
            </w:pPr>
            <w:r w:rsidRPr="00E10EE7">
              <w:rPr>
                <w:b/>
                <w:lang w:val="es-UY"/>
              </w:rPr>
              <w:t>Servicios Financieros</w:t>
            </w:r>
          </w:p>
        </w:tc>
        <w:tc>
          <w:tcPr>
            <w:tcW w:w="1620" w:type="dxa"/>
          </w:tcPr>
          <w:p w:rsidR="00022C95" w:rsidRPr="00E10EE7" w:rsidRDefault="00E10EE7" w:rsidP="00E10EE7">
            <w:pPr>
              <w:tabs>
                <w:tab w:val="left" w:pos="6180"/>
              </w:tabs>
              <w:jc w:val="right"/>
              <w:rPr>
                <w:b/>
                <w:lang w:val="es-UY"/>
              </w:rPr>
            </w:pPr>
            <w:r w:rsidRPr="00E10EE7">
              <w:rPr>
                <w:b/>
                <w:lang w:val="es-UY"/>
              </w:rPr>
              <w:t>486</w:t>
            </w:r>
          </w:p>
        </w:tc>
      </w:tr>
      <w:tr w:rsidR="00022C95" w:rsidTr="00E10EE7">
        <w:trPr>
          <w:jc w:val="center"/>
        </w:trPr>
        <w:tc>
          <w:tcPr>
            <w:tcW w:w="4158" w:type="dxa"/>
          </w:tcPr>
          <w:p w:rsidR="00022C95" w:rsidRPr="00E10EE7" w:rsidRDefault="0035656A" w:rsidP="008B2B5B">
            <w:pPr>
              <w:tabs>
                <w:tab w:val="left" w:pos="6180"/>
              </w:tabs>
              <w:jc w:val="both"/>
              <w:rPr>
                <w:b/>
                <w:lang w:val="es-UY"/>
              </w:rPr>
            </w:pPr>
            <w:r w:rsidRPr="00E10EE7">
              <w:rPr>
                <w:b/>
                <w:lang w:val="es-UY"/>
              </w:rPr>
              <w:t>TICs</w:t>
            </w:r>
          </w:p>
        </w:tc>
        <w:tc>
          <w:tcPr>
            <w:tcW w:w="1620" w:type="dxa"/>
          </w:tcPr>
          <w:p w:rsidR="00022C95" w:rsidRPr="00E10EE7" w:rsidRDefault="00E10EE7" w:rsidP="00E10EE7">
            <w:pPr>
              <w:tabs>
                <w:tab w:val="left" w:pos="6180"/>
              </w:tabs>
              <w:jc w:val="right"/>
              <w:rPr>
                <w:b/>
                <w:lang w:val="es-UY"/>
              </w:rPr>
            </w:pPr>
            <w:r w:rsidRPr="00E10EE7">
              <w:rPr>
                <w:b/>
                <w:lang w:val="es-UY"/>
              </w:rPr>
              <w:t>382</w:t>
            </w:r>
          </w:p>
        </w:tc>
      </w:tr>
      <w:tr w:rsidR="00022C95" w:rsidTr="00E10EE7">
        <w:trPr>
          <w:jc w:val="center"/>
        </w:trPr>
        <w:tc>
          <w:tcPr>
            <w:tcW w:w="4158" w:type="dxa"/>
          </w:tcPr>
          <w:p w:rsidR="00022C95" w:rsidRPr="00E10EE7" w:rsidRDefault="0035656A" w:rsidP="008B2B5B">
            <w:pPr>
              <w:tabs>
                <w:tab w:val="left" w:pos="6180"/>
              </w:tabs>
              <w:jc w:val="both"/>
              <w:rPr>
                <w:b/>
                <w:lang w:val="es-UY"/>
              </w:rPr>
            </w:pPr>
            <w:r w:rsidRPr="00E10EE7">
              <w:rPr>
                <w:b/>
                <w:lang w:val="es-UY"/>
              </w:rPr>
              <w:t>Servicios Empresariales</w:t>
            </w:r>
          </w:p>
        </w:tc>
        <w:tc>
          <w:tcPr>
            <w:tcW w:w="1620" w:type="dxa"/>
          </w:tcPr>
          <w:p w:rsidR="00022C95" w:rsidRPr="00E10EE7" w:rsidRDefault="00E10EE7" w:rsidP="00E10EE7">
            <w:pPr>
              <w:tabs>
                <w:tab w:val="left" w:pos="6180"/>
              </w:tabs>
              <w:jc w:val="right"/>
              <w:rPr>
                <w:b/>
                <w:lang w:val="es-UY"/>
              </w:rPr>
            </w:pPr>
            <w:r w:rsidRPr="00E10EE7">
              <w:rPr>
                <w:b/>
                <w:lang w:val="es-UY"/>
              </w:rPr>
              <w:t>1237</w:t>
            </w:r>
          </w:p>
        </w:tc>
      </w:tr>
      <w:tr w:rsidR="00022C95" w:rsidTr="00E10EE7">
        <w:trPr>
          <w:jc w:val="center"/>
        </w:trPr>
        <w:tc>
          <w:tcPr>
            <w:tcW w:w="4158" w:type="dxa"/>
          </w:tcPr>
          <w:p w:rsidR="00022C95" w:rsidRDefault="0035656A" w:rsidP="008B2B5B">
            <w:pPr>
              <w:tabs>
                <w:tab w:val="left" w:pos="6180"/>
              </w:tabs>
              <w:jc w:val="both"/>
              <w:rPr>
                <w:lang w:val="es-UY"/>
              </w:rPr>
            </w:pPr>
            <w:r>
              <w:rPr>
                <w:lang w:val="es-UY"/>
              </w:rPr>
              <w:t xml:space="preserve">     Profesionales, científicos y técnicos</w:t>
            </w:r>
          </w:p>
        </w:tc>
        <w:tc>
          <w:tcPr>
            <w:tcW w:w="1620" w:type="dxa"/>
          </w:tcPr>
          <w:p w:rsidR="00022C95" w:rsidRDefault="00E10EE7" w:rsidP="00E10EE7">
            <w:pPr>
              <w:tabs>
                <w:tab w:val="left" w:pos="6180"/>
              </w:tabs>
              <w:jc w:val="right"/>
              <w:rPr>
                <w:lang w:val="es-UY"/>
              </w:rPr>
            </w:pPr>
            <w:r>
              <w:rPr>
                <w:lang w:val="es-UY"/>
              </w:rPr>
              <w:t>521</w:t>
            </w:r>
          </w:p>
        </w:tc>
      </w:tr>
      <w:tr w:rsidR="0035656A" w:rsidTr="00E10EE7">
        <w:trPr>
          <w:jc w:val="center"/>
        </w:trPr>
        <w:tc>
          <w:tcPr>
            <w:tcW w:w="4158" w:type="dxa"/>
          </w:tcPr>
          <w:p w:rsidR="0035656A" w:rsidRDefault="0035656A" w:rsidP="008B2B5B">
            <w:pPr>
              <w:tabs>
                <w:tab w:val="left" w:pos="6180"/>
              </w:tabs>
              <w:jc w:val="both"/>
              <w:rPr>
                <w:lang w:val="es-UY"/>
              </w:rPr>
            </w:pPr>
            <w:r>
              <w:rPr>
                <w:lang w:val="es-UY"/>
              </w:rPr>
              <w:t xml:space="preserve">     Administrativos y de apoyo</w:t>
            </w:r>
          </w:p>
        </w:tc>
        <w:tc>
          <w:tcPr>
            <w:tcW w:w="1620" w:type="dxa"/>
          </w:tcPr>
          <w:p w:rsidR="0035656A" w:rsidRDefault="00E10EE7" w:rsidP="00E10EE7">
            <w:pPr>
              <w:tabs>
                <w:tab w:val="left" w:pos="6180"/>
              </w:tabs>
              <w:jc w:val="right"/>
              <w:rPr>
                <w:lang w:val="es-UY"/>
              </w:rPr>
            </w:pPr>
            <w:r>
              <w:rPr>
                <w:lang w:val="es-UY"/>
              </w:rPr>
              <w:t>716</w:t>
            </w:r>
          </w:p>
        </w:tc>
      </w:tr>
      <w:tr w:rsidR="0035656A" w:rsidTr="00E10EE7">
        <w:trPr>
          <w:jc w:val="center"/>
        </w:trPr>
        <w:tc>
          <w:tcPr>
            <w:tcW w:w="4158" w:type="dxa"/>
          </w:tcPr>
          <w:p w:rsidR="0035656A" w:rsidRPr="00E10EE7" w:rsidRDefault="0035656A" w:rsidP="008B2B5B">
            <w:pPr>
              <w:tabs>
                <w:tab w:val="left" w:pos="6180"/>
              </w:tabs>
              <w:jc w:val="both"/>
              <w:rPr>
                <w:b/>
                <w:lang w:val="es-UY"/>
              </w:rPr>
            </w:pPr>
            <w:r w:rsidRPr="00E10EE7">
              <w:rPr>
                <w:b/>
                <w:lang w:val="es-UY"/>
              </w:rPr>
              <w:t>Comercio</w:t>
            </w:r>
          </w:p>
        </w:tc>
        <w:tc>
          <w:tcPr>
            <w:tcW w:w="1620" w:type="dxa"/>
          </w:tcPr>
          <w:p w:rsidR="0035656A" w:rsidRPr="00E10EE7" w:rsidRDefault="00E10EE7" w:rsidP="00E10EE7">
            <w:pPr>
              <w:tabs>
                <w:tab w:val="left" w:pos="6180"/>
              </w:tabs>
              <w:jc w:val="right"/>
              <w:rPr>
                <w:b/>
                <w:lang w:val="es-UY"/>
              </w:rPr>
            </w:pPr>
            <w:r w:rsidRPr="00E10EE7">
              <w:rPr>
                <w:b/>
                <w:lang w:val="es-UY"/>
              </w:rPr>
              <w:t>661</w:t>
            </w:r>
          </w:p>
        </w:tc>
      </w:tr>
      <w:tr w:rsidR="0035656A" w:rsidTr="00E10EE7">
        <w:trPr>
          <w:jc w:val="center"/>
        </w:trPr>
        <w:tc>
          <w:tcPr>
            <w:tcW w:w="4158" w:type="dxa"/>
          </w:tcPr>
          <w:p w:rsidR="0035656A" w:rsidRDefault="0035656A" w:rsidP="008B2B5B">
            <w:pPr>
              <w:tabs>
                <w:tab w:val="left" w:pos="6180"/>
              </w:tabs>
              <w:jc w:val="both"/>
              <w:rPr>
                <w:lang w:val="es-UY"/>
              </w:rPr>
            </w:pPr>
            <w:r>
              <w:rPr>
                <w:lang w:val="es-UY"/>
              </w:rPr>
              <w:t xml:space="preserve">      Trading</w:t>
            </w:r>
          </w:p>
        </w:tc>
        <w:tc>
          <w:tcPr>
            <w:tcW w:w="1620" w:type="dxa"/>
          </w:tcPr>
          <w:p w:rsidR="0035656A" w:rsidRDefault="00E10EE7" w:rsidP="00E10EE7">
            <w:pPr>
              <w:tabs>
                <w:tab w:val="left" w:pos="6180"/>
              </w:tabs>
              <w:jc w:val="right"/>
              <w:rPr>
                <w:lang w:val="es-UY"/>
              </w:rPr>
            </w:pPr>
            <w:r>
              <w:rPr>
                <w:lang w:val="es-UY"/>
              </w:rPr>
              <w:t>556</w:t>
            </w:r>
          </w:p>
        </w:tc>
      </w:tr>
      <w:tr w:rsidR="0035656A" w:rsidTr="00E10EE7">
        <w:trPr>
          <w:jc w:val="center"/>
        </w:trPr>
        <w:tc>
          <w:tcPr>
            <w:tcW w:w="4158" w:type="dxa"/>
          </w:tcPr>
          <w:p w:rsidR="0035656A" w:rsidRDefault="0035656A" w:rsidP="008B2B5B">
            <w:pPr>
              <w:tabs>
                <w:tab w:val="left" w:pos="6180"/>
              </w:tabs>
              <w:jc w:val="both"/>
              <w:rPr>
                <w:lang w:val="es-UY"/>
              </w:rPr>
            </w:pPr>
            <w:r>
              <w:rPr>
                <w:lang w:val="es-UY"/>
              </w:rPr>
              <w:t xml:space="preserve">      Centros de Distribución Regional</w:t>
            </w:r>
          </w:p>
        </w:tc>
        <w:tc>
          <w:tcPr>
            <w:tcW w:w="1620" w:type="dxa"/>
          </w:tcPr>
          <w:p w:rsidR="0035656A" w:rsidRDefault="00E10EE7" w:rsidP="00E10EE7">
            <w:pPr>
              <w:tabs>
                <w:tab w:val="left" w:pos="6180"/>
              </w:tabs>
              <w:jc w:val="right"/>
              <w:rPr>
                <w:lang w:val="es-UY"/>
              </w:rPr>
            </w:pPr>
            <w:r>
              <w:rPr>
                <w:lang w:val="es-UY"/>
              </w:rPr>
              <w:t>105</w:t>
            </w:r>
          </w:p>
        </w:tc>
      </w:tr>
    </w:tbl>
    <w:p w:rsidR="00022C95" w:rsidRDefault="0035656A" w:rsidP="0035656A">
      <w:pPr>
        <w:tabs>
          <w:tab w:val="left" w:pos="6180"/>
        </w:tabs>
        <w:jc w:val="center"/>
        <w:rPr>
          <w:lang w:val="es-UY"/>
        </w:rPr>
      </w:pPr>
      <w:r w:rsidRPr="00E10EE7">
        <w:rPr>
          <w:b/>
          <w:lang w:val="es-UY"/>
        </w:rPr>
        <w:t>Fuente</w:t>
      </w:r>
      <w:r>
        <w:rPr>
          <w:lang w:val="es-UY"/>
        </w:rPr>
        <w:t xml:space="preserve">: Instituto </w:t>
      </w:r>
      <w:proofErr w:type="spellStart"/>
      <w:r>
        <w:rPr>
          <w:lang w:val="es-UY"/>
        </w:rPr>
        <w:t>UruguayXXI</w:t>
      </w:r>
      <w:proofErr w:type="spellEnd"/>
    </w:p>
    <w:p w:rsidR="007B3E9B" w:rsidRDefault="00285D36" w:rsidP="008B2B5B">
      <w:pPr>
        <w:tabs>
          <w:tab w:val="left" w:pos="6180"/>
        </w:tabs>
        <w:jc w:val="both"/>
        <w:rPr>
          <w:lang w:val="es-UY"/>
        </w:rPr>
      </w:pPr>
      <w:r>
        <w:rPr>
          <w:lang w:val="es-UY"/>
        </w:rPr>
        <w:t>Si se considerase</w:t>
      </w:r>
      <w:r w:rsidR="000466CF">
        <w:rPr>
          <w:lang w:val="es-UY"/>
        </w:rPr>
        <w:t>n solamente los servicios TICs,</w:t>
      </w:r>
      <w:r>
        <w:rPr>
          <w:lang w:val="es-UY"/>
        </w:rPr>
        <w:t xml:space="preserve"> empresariales </w:t>
      </w:r>
      <w:r w:rsidR="000466CF">
        <w:rPr>
          <w:lang w:val="es-UY"/>
        </w:rPr>
        <w:t xml:space="preserve">y creativos </w:t>
      </w:r>
      <w:r>
        <w:rPr>
          <w:lang w:val="es-UY"/>
        </w:rPr>
        <w:t xml:space="preserve">dichas </w:t>
      </w:r>
      <w:r w:rsidR="000466CF">
        <w:rPr>
          <w:lang w:val="es-UY"/>
        </w:rPr>
        <w:t>exportaciones alcanzaron los 1707</w:t>
      </w:r>
      <w:r>
        <w:rPr>
          <w:lang w:val="es-UY"/>
        </w:rPr>
        <w:t xml:space="preserve"> millones de dólares. </w:t>
      </w:r>
      <w:r w:rsidR="00022C95">
        <w:rPr>
          <w:lang w:val="es-UY"/>
        </w:rPr>
        <w:t>E</w:t>
      </w:r>
      <w:r>
        <w:rPr>
          <w:lang w:val="es-UY"/>
        </w:rPr>
        <w:t xml:space="preserve">sta cifra no está alejada </w:t>
      </w:r>
      <w:r w:rsidR="000466CF">
        <w:rPr>
          <w:lang w:val="es-UY"/>
        </w:rPr>
        <w:t>la</w:t>
      </w:r>
      <w:r>
        <w:rPr>
          <w:lang w:val="es-UY"/>
        </w:rPr>
        <w:t xml:space="preserve"> que indica el BCU para dicho año. </w:t>
      </w:r>
      <w:r w:rsidR="007B3E9B">
        <w:rPr>
          <w:lang w:val="es-UY"/>
        </w:rPr>
        <w:t xml:space="preserve">La diferencia entre ambas estimaciones podría deberse a que </w:t>
      </w:r>
      <w:proofErr w:type="spellStart"/>
      <w:r w:rsidR="007B3E9B">
        <w:rPr>
          <w:lang w:val="es-UY"/>
        </w:rPr>
        <w:t>UruguayXXI</w:t>
      </w:r>
      <w:proofErr w:type="spellEnd"/>
      <w:r w:rsidR="007B3E9B">
        <w:rPr>
          <w:lang w:val="es-UY"/>
        </w:rPr>
        <w:t xml:space="preserve"> incluye a empresas más pequeñas en la muestra. </w:t>
      </w:r>
      <w:r w:rsidR="000466CF">
        <w:rPr>
          <w:lang w:val="es-UY"/>
        </w:rPr>
        <w:t>La diferencia entre ambas fuentes es notoriamente importante en lo</w:t>
      </w:r>
      <w:r w:rsidR="0058328E">
        <w:rPr>
          <w:lang w:val="es-UY"/>
        </w:rPr>
        <w:t>s servicios audiovisuales, que prácticamente no son relevados por las estadísticas oficiales.</w:t>
      </w:r>
    </w:p>
    <w:p w:rsidR="00885F13" w:rsidRDefault="007B3E9B" w:rsidP="008B2B5B">
      <w:pPr>
        <w:tabs>
          <w:tab w:val="left" w:pos="6180"/>
        </w:tabs>
        <w:jc w:val="both"/>
        <w:rPr>
          <w:lang w:val="es-UY"/>
        </w:rPr>
      </w:pPr>
      <w:r>
        <w:rPr>
          <w:lang w:val="es-UY"/>
        </w:rPr>
        <w:t xml:space="preserve">Se podría argumentar que las empresas </w:t>
      </w:r>
      <w:r w:rsidR="000A5877">
        <w:rPr>
          <w:lang w:val="es-UY"/>
        </w:rPr>
        <w:t xml:space="preserve">de los segmentos no considerados también son intensivas en conocimiento, tal como los servicios financieros. De todas formas, estas actividades funcionan más como usuarios de los nuevos desarrollos en ciencias de la información que </w:t>
      </w:r>
      <w:r w:rsidR="0071219B">
        <w:rPr>
          <w:lang w:val="es-UY"/>
        </w:rPr>
        <w:t xml:space="preserve">como desarrolladores de estos servicios. </w:t>
      </w:r>
      <w:r w:rsidR="009A1434">
        <w:rPr>
          <w:lang w:val="es-UY"/>
        </w:rPr>
        <w:t>Sin embargo, en los segmentos de Servicios Profesionales y de Apoyo</w:t>
      </w:r>
      <w:r w:rsidR="00AE2658">
        <w:rPr>
          <w:lang w:val="es-UY"/>
        </w:rPr>
        <w:t>, donde</w:t>
      </w:r>
      <w:r w:rsidR="009A1434">
        <w:rPr>
          <w:lang w:val="es-UY"/>
        </w:rPr>
        <w:t xml:space="preserve"> buena parte de las tar</w:t>
      </w:r>
      <w:r w:rsidR="0078152B">
        <w:rPr>
          <w:lang w:val="es-UY"/>
        </w:rPr>
        <w:t xml:space="preserve">eas forman parte de </w:t>
      </w:r>
      <w:r w:rsidR="0078152B" w:rsidRPr="0078152B">
        <w:rPr>
          <w:i/>
          <w:lang w:val="es-UY"/>
        </w:rPr>
        <w:t>outsourcing</w:t>
      </w:r>
      <w:r w:rsidR="0078152B">
        <w:rPr>
          <w:lang w:val="es-UY"/>
        </w:rPr>
        <w:t xml:space="preserve">, la incorporación de actividades como las que promueve el proyecto tienen más probabilidades de aumentar la productividad del trabajo en las empresas beneficiarias. </w:t>
      </w:r>
    </w:p>
    <w:p w:rsidR="00DE3184" w:rsidRDefault="0064360E" w:rsidP="008B2B5B">
      <w:pPr>
        <w:tabs>
          <w:tab w:val="left" w:pos="6180"/>
        </w:tabs>
        <w:jc w:val="both"/>
        <w:rPr>
          <w:lang w:val="es-UY"/>
        </w:rPr>
      </w:pPr>
      <w:r>
        <w:rPr>
          <w:lang w:val="es-UY"/>
        </w:rPr>
        <w:t xml:space="preserve">Respecto al destino de las ventas, </w:t>
      </w:r>
      <w:r w:rsidR="00161A6B">
        <w:rPr>
          <w:lang w:val="es-UY"/>
        </w:rPr>
        <w:t xml:space="preserve">la información de CUTI, válida para el segmento central de las TICs, indica que en 2016 los principales destinos fueron Estados Unidos (58%), Europa (13%), Argentina (6%), Colombia y México. Para los otros segmentos, la única información </w:t>
      </w:r>
      <w:r w:rsidR="0058328E">
        <w:rPr>
          <w:lang w:val="es-UY"/>
        </w:rPr>
        <w:t>disponible</w:t>
      </w:r>
      <w:r w:rsidR="00161A6B">
        <w:rPr>
          <w:lang w:val="es-UY"/>
        </w:rPr>
        <w:t xml:space="preserve"> de los destinos exportados es la que indica el Censo de Zonas Francas para 2014: donde se destacaba el MERCOSUR (36%), resto de América Latina (23%) y Estados Unidos (21%) para los Servicios Profesionales y el MERCOSUR (76%) y Estados Unidos (11%) para los Servicios administrativos y de apoyo. </w:t>
      </w:r>
    </w:p>
    <w:p w:rsidR="0058328E" w:rsidRDefault="0058328E" w:rsidP="00C24265">
      <w:pPr>
        <w:tabs>
          <w:tab w:val="left" w:pos="6180"/>
        </w:tabs>
        <w:jc w:val="both"/>
        <w:rPr>
          <w:lang w:val="es-UY"/>
        </w:rPr>
      </w:pPr>
      <w:r>
        <w:rPr>
          <w:lang w:val="es-UY"/>
        </w:rPr>
        <w:t>En el anexo C</w:t>
      </w:r>
      <w:r w:rsidR="00C24265">
        <w:rPr>
          <w:lang w:val="es-UY"/>
        </w:rPr>
        <w:t xml:space="preserve"> se muestra un cuadro comparativo de las tres fuentes relevadas. Si bien las ventas de TICs que indica CUTI representan al corazón del sector en Uruguay, es necesario hacer los siguientes comentarios. Por un lado, representan el universo de empresas socias de la CUTI, y no necesariamente a todo el sector. Por otro lado, es posible que el criterio que tenga la encuesta para determinar si una venta es efectivamente del sector sea más </w:t>
      </w:r>
      <w:r>
        <w:rPr>
          <w:lang w:val="es-UY"/>
        </w:rPr>
        <w:t>estricto que en el resto de las fuentes.</w:t>
      </w:r>
      <w:r w:rsidR="00C24265">
        <w:rPr>
          <w:lang w:val="es-UY"/>
        </w:rPr>
        <w:t xml:space="preserve"> </w:t>
      </w:r>
    </w:p>
    <w:p w:rsidR="0058328E" w:rsidRDefault="0058328E">
      <w:pPr>
        <w:rPr>
          <w:lang w:val="es-UY"/>
        </w:rPr>
      </w:pPr>
    </w:p>
    <w:p w:rsidR="00C24265" w:rsidRDefault="0058328E" w:rsidP="00C24265">
      <w:pPr>
        <w:pStyle w:val="ListParagraph"/>
        <w:numPr>
          <w:ilvl w:val="0"/>
          <w:numId w:val="12"/>
        </w:numPr>
        <w:tabs>
          <w:tab w:val="left" w:pos="6180"/>
        </w:tabs>
        <w:jc w:val="both"/>
        <w:rPr>
          <w:lang w:val="es-UY"/>
        </w:rPr>
      </w:pPr>
      <w:r>
        <w:rPr>
          <w:lang w:val="es-UY"/>
        </w:rPr>
        <w:t>Estimación de síntesis</w:t>
      </w:r>
    </w:p>
    <w:p w:rsidR="0058328E" w:rsidRPr="00BB4B98" w:rsidRDefault="0058328E" w:rsidP="0058328E">
      <w:pPr>
        <w:tabs>
          <w:tab w:val="left" w:pos="6180"/>
        </w:tabs>
        <w:jc w:val="both"/>
        <w:rPr>
          <w:lang w:val="es-UY"/>
        </w:rPr>
      </w:pPr>
      <w:r>
        <w:rPr>
          <w:lang w:val="es-UY"/>
        </w:rPr>
        <w:lastRenderedPageBreak/>
        <w:t>El siguiente cuadro muestra la estimación de los servicios y bienes intensivos en conocimiento para el período 2012 a 2017. Se compone entonces de información de exportaciones de bienes de fuente aduanera, incluyendo información de Zonas Francas</w:t>
      </w:r>
      <w:r w:rsidR="00BB4B98">
        <w:rPr>
          <w:lang w:val="es-UY"/>
        </w:rPr>
        <w:t xml:space="preserve"> (ver anexo B)</w:t>
      </w:r>
      <w:r>
        <w:rPr>
          <w:lang w:val="es-UY"/>
        </w:rPr>
        <w:t xml:space="preserve">, e información de exportaciones </w:t>
      </w:r>
      <w:r w:rsidR="00BB4B98">
        <w:rPr>
          <w:lang w:val="es-UY"/>
        </w:rPr>
        <w:t xml:space="preserve">de los </w:t>
      </w:r>
      <w:r w:rsidR="00275A30">
        <w:rPr>
          <w:lang w:val="es-UY"/>
        </w:rPr>
        <w:t>sectores servicios</w:t>
      </w:r>
      <w:r w:rsidR="00BB4B98">
        <w:rPr>
          <w:lang w:val="es-UY"/>
        </w:rPr>
        <w:t xml:space="preserve"> de </w:t>
      </w:r>
      <w:r w:rsidR="00BB4B98" w:rsidRPr="00BB4B98">
        <w:rPr>
          <w:lang w:val="es-UY"/>
        </w:rPr>
        <w:t xml:space="preserve">Telecomunicaciones, Informáticos, Profesionales y de Consultoría </w:t>
      </w:r>
      <w:r w:rsidR="00BB4B98">
        <w:rPr>
          <w:lang w:val="es-UY"/>
        </w:rPr>
        <w:t xml:space="preserve">y </w:t>
      </w:r>
      <w:r w:rsidR="00BB4B98" w:rsidRPr="00BB4B98">
        <w:rPr>
          <w:lang w:val="es-UY"/>
        </w:rPr>
        <w:t>Audiovisuales</w:t>
      </w:r>
      <w:r w:rsidR="00BB4B98">
        <w:rPr>
          <w:lang w:val="es-UY"/>
        </w:rPr>
        <w:t xml:space="preserve">, según Balanza de Pagos. </w:t>
      </w:r>
    </w:p>
    <w:p w:rsidR="00C24265" w:rsidRPr="00C24265" w:rsidRDefault="00F12AAB" w:rsidP="00C24265">
      <w:pPr>
        <w:tabs>
          <w:tab w:val="left" w:pos="6180"/>
        </w:tabs>
        <w:jc w:val="center"/>
        <w:rPr>
          <w:b/>
          <w:lang w:val="es-UY"/>
        </w:rPr>
      </w:pPr>
      <w:r>
        <w:rPr>
          <w:b/>
          <w:lang w:val="es-UY"/>
        </w:rPr>
        <w:t xml:space="preserve">Cuadro 5. </w:t>
      </w:r>
      <w:r w:rsidR="00C24265" w:rsidRPr="00C24265">
        <w:rPr>
          <w:b/>
          <w:lang w:val="es-UY"/>
        </w:rPr>
        <w:t>Bienes y servicios intensivos en conocimiento en Uruguay</w:t>
      </w:r>
      <w:r w:rsidR="00C24265">
        <w:rPr>
          <w:b/>
          <w:lang w:val="es-UY"/>
        </w:rPr>
        <w:t xml:space="preserve"> y participación en el total</w:t>
      </w:r>
      <w:r w:rsidR="00230D13">
        <w:rPr>
          <w:b/>
          <w:lang w:val="es-UY"/>
        </w:rPr>
        <w:t>. En millones de dólares corrientes y %</w:t>
      </w:r>
    </w:p>
    <w:tbl>
      <w:tblPr>
        <w:tblW w:w="9390" w:type="dxa"/>
        <w:jc w:val="center"/>
        <w:tblCellMar>
          <w:left w:w="0" w:type="dxa"/>
          <w:right w:w="0" w:type="dxa"/>
        </w:tblCellMar>
        <w:tblLook w:val="04A0" w:firstRow="1" w:lastRow="0" w:firstColumn="1" w:lastColumn="0" w:noHBand="0" w:noVBand="1"/>
      </w:tblPr>
      <w:tblGrid>
        <w:gridCol w:w="4236"/>
        <w:gridCol w:w="859"/>
        <w:gridCol w:w="859"/>
        <w:gridCol w:w="859"/>
        <w:gridCol w:w="859"/>
        <w:gridCol w:w="859"/>
        <w:gridCol w:w="859"/>
      </w:tblGrid>
      <w:tr w:rsidR="002F3190" w:rsidRPr="00230D13" w:rsidTr="002F3190">
        <w:trPr>
          <w:trHeight w:val="300"/>
          <w:jc w:val="center"/>
        </w:trPr>
        <w:tc>
          <w:tcPr>
            <w:tcW w:w="423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30D13" w:rsidRDefault="002F3190" w:rsidP="00230D13">
            <w:pPr>
              <w:tabs>
                <w:tab w:val="left" w:pos="6180"/>
              </w:tabs>
              <w:spacing w:after="0" w:line="240" w:lineRule="auto"/>
              <w:rPr>
                <w:b/>
                <w:lang w:val="es-UY"/>
              </w:rPr>
            </w:pPr>
            <w:r w:rsidRPr="00230D13">
              <w:rPr>
                <w:b/>
                <w:lang w:val="es-UY"/>
              </w:rPr>
              <w:t>Tipo</w:t>
            </w:r>
          </w:p>
        </w:tc>
        <w:tc>
          <w:tcPr>
            <w:tcW w:w="8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30D13" w:rsidRDefault="002F3190" w:rsidP="00230D13">
            <w:pPr>
              <w:tabs>
                <w:tab w:val="left" w:pos="6180"/>
              </w:tabs>
              <w:spacing w:after="0" w:line="240" w:lineRule="auto"/>
              <w:jc w:val="center"/>
              <w:rPr>
                <w:b/>
                <w:lang w:val="es-UY"/>
              </w:rPr>
            </w:pPr>
            <w:r w:rsidRPr="00230D13">
              <w:rPr>
                <w:b/>
                <w:lang w:val="es-UY"/>
              </w:rPr>
              <w:t>2012</w:t>
            </w:r>
          </w:p>
        </w:tc>
        <w:tc>
          <w:tcPr>
            <w:tcW w:w="8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30D13" w:rsidRDefault="002F3190" w:rsidP="00230D13">
            <w:pPr>
              <w:tabs>
                <w:tab w:val="left" w:pos="6180"/>
              </w:tabs>
              <w:spacing w:after="0" w:line="240" w:lineRule="auto"/>
              <w:jc w:val="center"/>
              <w:rPr>
                <w:b/>
                <w:lang w:val="es-UY"/>
              </w:rPr>
            </w:pPr>
            <w:r w:rsidRPr="00230D13">
              <w:rPr>
                <w:b/>
                <w:lang w:val="es-UY"/>
              </w:rPr>
              <w:t>2013</w:t>
            </w:r>
          </w:p>
        </w:tc>
        <w:tc>
          <w:tcPr>
            <w:tcW w:w="8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30D13" w:rsidRDefault="002F3190" w:rsidP="00230D13">
            <w:pPr>
              <w:tabs>
                <w:tab w:val="left" w:pos="6180"/>
              </w:tabs>
              <w:spacing w:after="0" w:line="240" w:lineRule="auto"/>
              <w:jc w:val="center"/>
              <w:rPr>
                <w:b/>
                <w:lang w:val="es-UY"/>
              </w:rPr>
            </w:pPr>
            <w:r w:rsidRPr="00230D13">
              <w:rPr>
                <w:b/>
                <w:lang w:val="es-UY"/>
              </w:rPr>
              <w:t>2014</w:t>
            </w:r>
          </w:p>
        </w:tc>
        <w:tc>
          <w:tcPr>
            <w:tcW w:w="8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30D13" w:rsidRDefault="002F3190" w:rsidP="00230D13">
            <w:pPr>
              <w:tabs>
                <w:tab w:val="left" w:pos="6180"/>
              </w:tabs>
              <w:spacing w:after="0" w:line="240" w:lineRule="auto"/>
              <w:jc w:val="center"/>
              <w:rPr>
                <w:b/>
                <w:lang w:val="es-UY"/>
              </w:rPr>
            </w:pPr>
            <w:r w:rsidRPr="00230D13">
              <w:rPr>
                <w:b/>
                <w:lang w:val="es-UY"/>
              </w:rPr>
              <w:t>2015</w:t>
            </w:r>
          </w:p>
        </w:tc>
        <w:tc>
          <w:tcPr>
            <w:tcW w:w="8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30D13" w:rsidRDefault="002F3190" w:rsidP="00230D13">
            <w:pPr>
              <w:tabs>
                <w:tab w:val="left" w:pos="6180"/>
              </w:tabs>
              <w:spacing w:after="0" w:line="240" w:lineRule="auto"/>
              <w:jc w:val="center"/>
              <w:rPr>
                <w:b/>
                <w:lang w:val="es-UY"/>
              </w:rPr>
            </w:pPr>
            <w:r w:rsidRPr="00230D13">
              <w:rPr>
                <w:b/>
                <w:lang w:val="es-UY"/>
              </w:rPr>
              <w:t>2016</w:t>
            </w:r>
          </w:p>
        </w:tc>
        <w:tc>
          <w:tcPr>
            <w:tcW w:w="8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30D13" w:rsidRDefault="002F3190" w:rsidP="00230D13">
            <w:pPr>
              <w:tabs>
                <w:tab w:val="left" w:pos="6180"/>
              </w:tabs>
              <w:spacing w:after="0" w:line="240" w:lineRule="auto"/>
              <w:jc w:val="center"/>
              <w:rPr>
                <w:b/>
                <w:lang w:val="es-UY"/>
              </w:rPr>
            </w:pPr>
            <w:r w:rsidRPr="00230D13">
              <w:rPr>
                <w:b/>
                <w:lang w:val="es-UY"/>
              </w:rPr>
              <w:t>2017</w:t>
            </w:r>
          </w:p>
        </w:tc>
      </w:tr>
      <w:tr w:rsidR="002F3190" w:rsidRPr="00230D13" w:rsidTr="002F3190">
        <w:trPr>
          <w:trHeight w:val="300"/>
          <w:jc w:val="center"/>
        </w:trPr>
        <w:tc>
          <w:tcPr>
            <w:tcW w:w="0" w:type="auto"/>
            <w:gridSpan w:val="7"/>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center"/>
              <w:rPr>
                <w:b/>
                <w:lang w:val="es-UY"/>
              </w:rPr>
            </w:pPr>
            <w:r w:rsidRPr="002F3190">
              <w:rPr>
                <w:b/>
                <w:lang w:val="es-UY"/>
              </w:rPr>
              <w:t>Intensivos en Conocimiento</w:t>
            </w:r>
          </w:p>
        </w:tc>
      </w:tr>
      <w:tr w:rsidR="002F3190" w:rsidRPr="00230D13" w:rsidTr="002F319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30D13" w:rsidRDefault="002F3190" w:rsidP="002F3190">
            <w:pPr>
              <w:tabs>
                <w:tab w:val="left" w:pos="6180"/>
              </w:tabs>
              <w:spacing w:after="0" w:line="240" w:lineRule="auto"/>
              <w:jc w:val="both"/>
              <w:rPr>
                <w:rFonts w:ascii="Calibri" w:hAnsi="Calibri"/>
                <w:b/>
                <w:color w:val="000000"/>
                <w:lang w:val="es-UY"/>
              </w:rPr>
            </w:pPr>
            <w:r w:rsidRPr="002F3190">
              <w:rPr>
                <w:b/>
                <w:lang w:val="es-UY"/>
              </w:rPr>
              <w:t>Bienes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487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490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531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518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526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531</w:t>
            </w:r>
          </w:p>
        </w:tc>
      </w:tr>
      <w:tr w:rsidR="002F3190" w:rsidTr="002F319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both"/>
              <w:rPr>
                <w:b/>
                <w:lang w:val="es-UY"/>
              </w:rPr>
            </w:pPr>
            <w:r w:rsidRPr="002F3190">
              <w:rPr>
                <w:b/>
                <w:lang w:val="es-UY"/>
              </w:rPr>
              <w:t>Servicios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1,484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1,481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1,421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1,494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1,240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1,332</w:t>
            </w:r>
          </w:p>
        </w:tc>
      </w:tr>
      <w:tr w:rsidR="002F3190" w:rsidTr="002F319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both"/>
              <w:rPr>
                <w:b/>
                <w:lang w:val="es-UY"/>
              </w:rPr>
            </w:pPr>
            <w:r w:rsidRPr="002F3190">
              <w:rPr>
                <w:b/>
                <w:lang w:val="es-UY"/>
              </w:rPr>
              <w:t>Total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1,971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1,971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1,951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2,013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1,766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1,863</w:t>
            </w:r>
          </w:p>
        </w:tc>
      </w:tr>
      <w:tr w:rsidR="002F3190" w:rsidTr="002F3190">
        <w:trPr>
          <w:trHeight w:val="300"/>
          <w:jc w:val="center"/>
        </w:trPr>
        <w:tc>
          <w:tcPr>
            <w:tcW w:w="0" w:type="auto"/>
            <w:gridSpan w:val="7"/>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center"/>
              <w:rPr>
                <w:b/>
                <w:lang w:val="es-UY"/>
              </w:rPr>
            </w:pPr>
            <w:r w:rsidRPr="002F3190">
              <w:rPr>
                <w:b/>
                <w:lang w:val="es-UY"/>
              </w:rPr>
              <w:t>Todos</w:t>
            </w:r>
          </w:p>
        </w:tc>
      </w:tr>
      <w:tr w:rsidR="002F3190" w:rsidTr="002F319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both"/>
              <w:rPr>
                <w:b/>
                <w:lang w:val="es-UY"/>
              </w:rPr>
            </w:pPr>
            <w:r w:rsidRPr="002F3190">
              <w:rPr>
                <w:b/>
                <w:lang w:val="es-UY"/>
              </w:rPr>
              <w:t>Bienes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13,078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13,277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13,763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11,106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10,504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11,414</w:t>
            </w:r>
          </w:p>
        </w:tc>
      </w:tr>
      <w:tr w:rsidR="002F3190" w:rsidTr="002F319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both"/>
              <w:rPr>
                <w:b/>
                <w:lang w:val="es-UY"/>
              </w:rPr>
            </w:pPr>
            <w:r w:rsidRPr="002F3190">
              <w:rPr>
                <w:b/>
                <w:lang w:val="es-UY"/>
              </w:rPr>
              <w:t>Servicios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5,048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4,822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4,617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4,485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4,145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4,763</w:t>
            </w:r>
          </w:p>
        </w:tc>
      </w:tr>
      <w:tr w:rsidR="002F3190" w:rsidTr="002F319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both"/>
              <w:rPr>
                <w:b/>
                <w:lang w:val="es-UY"/>
              </w:rPr>
            </w:pPr>
            <w:r w:rsidRPr="002F3190">
              <w:rPr>
                <w:b/>
                <w:lang w:val="es-UY"/>
              </w:rPr>
              <w:t>Total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18,126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18,100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18,380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15,591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14,649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right"/>
              <w:rPr>
                <w:lang w:val="es-UY"/>
              </w:rPr>
            </w:pPr>
            <w:r w:rsidRPr="002F3190">
              <w:rPr>
                <w:lang w:val="es-UY"/>
              </w:rPr>
              <w:t>16,177</w:t>
            </w:r>
          </w:p>
        </w:tc>
      </w:tr>
      <w:tr w:rsidR="002F3190" w:rsidRPr="00810A61" w:rsidTr="002F3190">
        <w:trPr>
          <w:trHeight w:val="300"/>
          <w:jc w:val="center"/>
        </w:trPr>
        <w:tc>
          <w:tcPr>
            <w:tcW w:w="0" w:type="auto"/>
            <w:gridSpan w:val="7"/>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center"/>
              <w:rPr>
                <w:b/>
                <w:lang w:val="es-UY"/>
              </w:rPr>
            </w:pPr>
            <w:r w:rsidRPr="002F3190">
              <w:rPr>
                <w:b/>
                <w:lang w:val="es-UY"/>
              </w:rPr>
              <w:t>Proporción de intensivos en conocimiento en el total</w:t>
            </w:r>
          </w:p>
        </w:tc>
      </w:tr>
      <w:tr w:rsidR="002F3190" w:rsidTr="002F319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both"/>
              <w:rPr>
                <w:b/>
                <w:lang w:val="es-UY"/>
              </w:rPr>
            </w:pPr>
            <w:r w:rsidRPr="002F3190">
              <w:rPr>
                <w:b/>
                <w:lang w:val="es-UY"/>
              </w:rPr>
              <w:t>IC en Bienes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30D13">
            <w:pPr>
              <w:tabs>
                <w:tab w:val="left" w:pos="6180"/>
              </w:tabs>
              <w:spacing w:after="0" w:line="240" w:lineRule="auto"/>
              <w:jc w:val="center"/>
              <w:rPr>
                <w:lang w:val="es-UY"/>
              </w:rPr>
            </w:pPr>
            <w:r w:rsidRPr="002F3190">
              <w:rPr>
                <w:lang w:val="es-UY"/>
              </w:rPr>
              <w:t>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30D13">
            <w:pPr>
              <w:tabs>
                <w:tab w:val="left" w:pos="6180"/>
              </w:tabs>
              <w:spacing w:after="0" w:line="240" w:lineRule="auto"/>
              <w:jc w:val="center"/>
              <w:rPr>
                <w:lang w:val="es-UY"/>
              </w:rPr>
            </w:pPr>
            <w:r w:rsidRPr="002F3190">
              <w:rPr>
                <w:lang w:val="es-UY"/>
              </w:rPr>
              <w:t>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30D13">
            <w:pPr>
              <w:tabs>
                <w:tab w:val="left" w:pos="6180"/>
              </w:tabs>
              <w:spacing w:after="0" w:line="240" w:lineRule="auto"/>
              <w:jc w:val="center"/>
              <w:rPr>
                <w:lang w:val="es-UY"/>
              </w:rPr>
            </w:pPr>
            <w:r w:rsidRPr="002F3190">
              <w:rPr>
                <w:lang w:val="es-UY"/>
              </w:rPr>
              <w:t>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30D13">
            <w:pPr>
              <w:tabs>
                <w:tab w:val="left" w:pos="6180"/>
              </w:tabs>
              <w:spacing w:after="0" w:line="240" w:lineRule="auto"/>
              <w:jc w:val="center"/>
              <w:rPr>
                <w:lang w:val="es-UY"/>
              </w:rPr>
            </w:pPr>
            <w:r w:rsidRPr="002F3190">
              <w:rPr>
                <w:lang w:val="es-UY"/>
              </w:rPr>
              <w:t>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30D13">
            <w:pPr>
              <w:tabs>
                <w:tab w:val="left" w:pos="6180"/>
              </w:tabs>
              <w:spacing w:after="0" w:line="240" w:lineRule="auto"/>
              <w:jc w:val="center"/>
              <w:rPr>
                <w:lang w:val="es-UY"/>
              </w:rPr>
            </w:pPr>
            <w:r w:rsidRPr="002F3190">
              <w:rPr>
                <w:lang w:val="es-UY"/>
              </w:rPr>
              <w:t>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30D13">
            <w:pPr>
              <w:tabs>
                <w:tab w:val="left" w:pos="6180"/>
              </w:tabs>
              <w:spacing w:after="0" w:line="240" w:lineRule="auto"/>
              <w:jc w:val="center"/>
              <w:rPr>
                <w:lang w:val="es-UY"/>
              </w:rPr>
            </w:pPr>
            <w:r w:rsidRPr="002F3190">
              <w:rPr>
                <w:lang w:val="es-UY"/>
              </w:rPr>
              <w:t>5%</w:t>
            </w:r>
          </w:p>
        </w:tc>
      </w:tr>
      <w:tr w:rsidR="002F3190" w:rsidTr="002F319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both"/>
              <w:rPr>
                <w:b/>
                <w:lang w:val="es-UY"/>
              </w:rPr>
            </w:pPr>
            <w:r w:rsidRPr="002F3190">
              <w:rPr>
                <w:b/>
                <w:lang w:val="es-UY"/>
              </w:rPr>
              <w:t>IC en servicios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30D13">
            <w:pPr>
              <w:tabs>
                <w:tab w:val="left" w:pos="6180"/>
              </w:tabs>
              <w:spacing w:after="0" w:line="240" w:lineRule="auto"/>
              <w:jc w:val="center"/>
              <w:rPr>
                <w:lang w:val="es-UY"/>
              </w:rPr>
            </w:pPr>
            <w:r w:rsidRPr="002F3190">
              <w:rPr>
                <w:lang w:val="es-UY"/>
              </w:rPr>
              <w:t>29%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30D13">
            <w:pPr>
              <w:tabs>
                <w:tab w:val="left" w:pos="6180"/>
              </w:tabs>
              <w:spacing w:after="0" w:line="240" w:lineRule="auto"/>
              <w:jc w:val="center"/>
              <w:rPr>
                <w:lang w:val="es-UY"/>
              </w:rPr>
            </w:pPr>
            <w:r w:rsidRPr="002F3190">
              <w:rPr>
                <w:lang w:val="es-UY"/>
              </w:rPr>
              <w:t>31%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30D13">
            <w:pPr>
              <w:tabs>
                <w:tab w:val="left" w:pos="6180"/>
              </w:tabs>
              <w:spacing w:after="0" w:line="240" w:lineRule="auto"/>
              <w:jc w:val="center"/>
              <w:rPr>
                <w:lang w:val="es-UY"/>
              </w:rPr>
            </w:pPr>
            <w:r w:rsidRPr="002F3190">
              <w:rPr>
                <w:lang w:val="es-UY"/>
              </w:rPr>
              <w:t>31%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30D13">
            <w:pPr>
              <w:tabs>
                <w:tab w:val="left" w:pos="6180"/>
              </w:tabs>
              <w:spacing w:after="0" w:line="240" w:lineRule="auto"/>
              <w:jc w:val="center"/>
              <w:rPr>
                <w:lang w:val="es-UY"/>
              </w:rPr>
            </w:pPr>
            <w:r w:rsidRPr="002F3190">
              <w:rPr>
                <w:lang w:val="es-UY"/>
              </w:rPr>
              <w:t>33%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30D13">
            <w:pPr>
              <w:tabs>
                <w:tab w:val="left" w:pos="6180"/>
              </w:tabs>
              <w:spacing w:after="0" w:line="240" w:lineRule="auto"/>
              <w:jc w:val="center"/>
              <w:rPr>
                <w:lang w:val="es-UY"/>
              </w:rPr>
            </w:pPr>
            <w:r w:rsidRPr="002F3190">
              <w:rPr>
                <w:lang w:val="es-UY"/>
              </w:rPr>
              <w:t>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30D13">
            <w:pPr>
              <w:tabs>
                <w:tab w:val="left" w:pos="6180"/>
              </w:tabs>
              <w:spacing w:after="0" w:line="240" w:lineRule="auto"/>
              <w:jc w:val="center"/>
              <w:rPr>
                <w:lang w:val="es-UY"/>
              </w:rPr>
            </w:pPr>
            <w:r w:rsidRPr="002F3190">
              <w:rPr>
                <w:lang w:val="es-UY"/>
              </w:rPr>
              <w:t>28%</w:t>
            </w:r>
          </w:p>
        </w:tc>
      </w:tr>
      <w:tr w:rsidR="002F3190" w:rsidTr="002F319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F3190">
            <w:pPr>
              <w:tabs>
                <w:tab w:val="left" w:pos="6180"/>
              </w:tabs>
              <w:spacing w:after="0" w:line="240" w:lineRule="auto"/>
              <w:jc w:val="both"/>
              <w:rPr>
                <w:b/>
                <w:lang w:val="es-UY"/>
              </w:rPr>
            </w:pPr>
            <w:r w:rsidRPr="002F3190">
              <w:rPr>
                <w:b/>
                <w:lang w:val="es-UY"/>
              </w:rPr>
              <w:t>IC en total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30D13">
            <w:pPr>
              <w:tabs>
                <w:tab w:val="left" w:pos="6180"/>
              </w:tabs>
              <w:spacing w:after="0" w:line="240" w:lineRule="auto"/>
              <w:jc w:val="center"/>
              <w:rPr>
                <w:lang w:val="es-UY"/>
              </w:rPr>
            </w:pPr>
            <w:r w:rsidRPr="002F3190">
              <w:rPr>
                <w:lang w:val="es-UY"/>
              </w:rPr>
              <w:t>11%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30D13">
            <w:pPr>
              <w:tabs>
                <w:tab w:val="left" w:pos="6180"/>
              </w:tabs>
              <w:spacing w:after="0" w:line="240" w:lineRule="auto"/>
              <w:jc w:val="center"/>
              <w:rPr>
                <w:lang w:val="es-UY"/>
              </w:rPr>
            </w:pPr>
            <w:r w:rsidRPr="002F3190">
              <w:rPr>
                <w:lang w:val="es-UY"/>
              </w:rPr>
              <w:t>11%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30D13">
            <w:pPr>
              <w:tabs>
                <w:tab w:val="left" w:pos="6180"/>
              </w:tabs>
              <w:spacing w:after="0" w:line="240" w:lineRule="auto"/>
              <w:jc w:val="center"/>
              <w:rPr>
                <w:lang w:val="es-UY"/>
              </w:rPr>
            </w:pPr>
            <w:r w:rsidRPr="002F3190">
              <w:rPr>
                <w:lang w:val="es-UY"/>
              </w:rPr>
              <w:t>11%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30D13">
            <w:pPr>
              <w:tabs>
                <w:tab w:val="left" w:pos="6180"/>
              </w:tabs>
              <w:spacing w:after="0" w:line="240" w:lineRule="auto"/>
              <w:jc w:val="center"/>
              <w:rPr>
                <w:lang w:val="es-UY"/>
              </w:rPr>
            </w:pPr>
            <w:r w:rsidRPr="002F3190">
              <w:rPr>
                <w:lang w:val="es-UY"/>
              </w:rPr>
              <w:t>13%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30D13">
            <w:pPr>
              <w:tabs>
                <w:tab w:val="left" w:pos="6180"/>
              </w:tabs>
              <w:spacing w:after="0" w:line="240" w:lineRule="auto"/>
              <w:jc w:val="center"/>
              <w:rPr>
                <w:lang w:val="es-UY"/>
              </w:rPr>
            </w:pPr>
            <w:r w:rsidRPr="002F3190">
              <w:rPr>
                <w:lang w:val="es-UY"/>
              </w:rPr>
              <w:t>12%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190" w:rsidRPr="002F3190" w:rsidRDefault="002F3190" w:rsidP="00230D13">
            <w:pPr>
              <w:tabs>
                <w:tab w:val="left" w:pos="6180"/>
              </w:tabs>
              <w:spacing w:after="0" w:line="240" w:lineRule="auto"/>
              <w:jc w:val="center"/>
              <w:rPr>
                <w:lang w:val="es-UY"/>
              </w:rPr>
            </w:pPr>
            <w:r w:rsidRPr="002F3190">
              <w:rPr>
                <w:lang w:val="es-UY"/>
              </w:rPr>
              <w:t>12%</w:t>
            </w:r>
          </w:p>
        </w:tc>
      </w:tr>
    </w:tbl>
    <w:p w:rsidR="00C24265" w:rsidRDefault="00230D13" w:rsidP="00230D13">
      <w:pPr>
        <w:jc w:val="center"/>
        <w:rPr>
          <w:lang w:val="es-UY"/>
        </w:rPr>
      </w:pPr>
      <w:r>
        <w:rPr>
          <w:lang w:val="es-UY"/>
        </w:rPr>
        <w:t>Fuente: Elaboración propia</w:t>
      </w:r>
    </w:p>
    <w:p w:rsidR="004D49A2" w:rsidRDefault="00BB4B98">
      <w:pPr>
        <w:rPr>
          <w:lang w:val="es-UY"/>
        </w:rPr>
      </w:pPr>
      <w:r>
        <w:rPr>
          <w:lang w:val="es-UY"/>
        </w:rPr>
        <w:t xml:space="preserve">El cuadro muestra que los bienes intensivos en conocimiento son el 5% del total de bienes mientras que los servicios intensivos en conocimiento son alrededor de 30% de los servicios. </w:t>
      </w:r>
    </w:p>
    <w:p w:rsidR="004D49A2" w:rsidRDefault="004D49A2">
      <w:pPr>
        <w:rPr>
          <w:lang w:val="es-UY"/>
        </w:rPr>
      </w:pPr>
      <w:r>
        <w:rPr>
          <w:lang w:val="es-UY"/>
        </w:rPr>
        <w:br w:type="page"/>
      </w:r>
    </w:p>
    <w:p w:rsidR="002B4E7D" w:rsidRPr="004D49A2" w:rsidRDefault="004D49A2">
      <w:pPr>
        <w:rPr>
          <w:b/>
          <w:lang w:val="es-UY"/>
        </w:rPr>
      </w:pPr>
      <w:r w:rsidRPr="004D49A2">
        <w:rPr>
          <w:b/>
          <w:lang w:val="es-UY"/>
        </w:rPr>
        <w:lastRenderedPageBreak/>
        <w:t>Referencias bibliográficas</w:t>
      </w:r>
    </w:p>
    <w:p w:rsidR="00A00E58" w:rsidRDefault="00A00E58" w:rsidP="00A00E58">
      <w:pPr>
        <w:rPr>
          <w:lang w:val="es-UY"/>
        </w:rPr>
      </w:pPr>
      <w:r>
        <w:rPr>
          <w:lang w:val="es-UY"/>
        </w:rPr>
        <w:t xml:space="preserve">Área de Zonas Francas (2016)-  </w:t>
      </w:r>
      <w:r w:rsidRPr="0034316E">
        <w:rPr>
          <w:i/>
          <w:lang w:val="es-UY"/>
        </w:rPr>
        <w:t>Contribución a las exportaciones en 2014. Análisis de las exportaciones desde Zonas Francas</w:t>
      </w:r>
      <w:r>
        <w:rPr>
          <w:lang w:val="es-UY"/>
        </w:rPr>
        <w:t xml:space="preserve">. Área de Zonas Francas. Dirección General de Comercio. Ministerio de Economía y Finanzas. Octubre de 2016. </w:t>
      </w:r>
    </w:p>
    <w:p w:rsidR="004D49A2" w:rsidRDefault="004D49A2">
      <w:pPr>
        <w:rPr>
          <w:lang w:val="es-UY"/>
        </w:rPr>
      </w:pPr>
      <w:r>
        <w:rPr>
          <w:lang w:val="es-UY"/>
        </w:rPr>
        <w:t xml:space="preserve">Brun, Martin y Lalanne, </w:t>
      </w:r>
      <w:r w:rsidR="00A00E58">
        <w:rPr>
          <w:lang w:val="es-UY"/>
        </w:rPr>
        <w:t>Álvaro</w:t>
      </w:r>
      <w:r>
        <w:rPr>
          <w:lang w:val="es-UY"/>
        </w:rPr>
        <w:t xml:space="preserve"> (2017)- </w:t>
      </w:r>
      <w:r w:rsidRPr="0034316E">
        <w:rPr>
          <w:i/>
          <w:lang w:val="es-UY"/>
        </w:rPr>
        <w:t>El origen del valor en las exportaciones del Uruguay</w:t>
      </w:r>
      <w:r>
        <w:rPr>
          <w:lang w:val="es-UY"/>
        </w:rPr>
        <w:t xml:space="preserve">. Serie Estudios y Perspectivas (Montevideo) No. 28. Comisión Económica para América Latina. </w:t>
      </w:r>
    </w:p>
    <w:p w:rsidR="004D49A2" w:rsidRDefault="00A00E58">
      <w:pPr>
        <w:rPr>
          <w:lang w:val="es-UY"/>
        </w:rPr>
      </w:pPr>
      <w:r>
        <w:rPr>
          <w:lang w:val="es-UY"/>
        </w:rPr>
        <w:t xml:space="preserve">CINVE-CENIT (2014) </w:t>
      </w:r>
      <w:r w:rsidRPr="0034316E">
        <w:rPr>
          <w:i/>
          <w:lang w:val="es-UY"/>
        </w:rPr>
        <w:t>Clasificación de las exportaciones uruguayas por contenido tecnológico</w:t>
      </w:r>
      <w:r>
        <w:rPr>
          <w:lang w:val="es-UY"/>
        </w:rPr>
        <w:t xml:space="preserve">. Documento de Trabajo 02/14 del Centro de Investigaciones Económicas. Setiembre de 2014. </w:t>
      </w:r>
    </w:p>
    <w:p w:rsidR="00A00E58" w:rsidRDefault="00A00E58">
      <w:pPr>
        <w:rPr>
          <w:lang w:val="es-UY"/>
        </w:rPr>
      </w:pPr>
      <w:r w:rsidRPr="00810A61">
        <w:rPr>
          <w:lang w:val="pt-BR"/>
        </w:rPr>
        <w:t>CUTI (</w:t>
      </w:r>
      <w:proofErr w:type="gramStart"/>
      <w:r w:rsidRPr="00810A61">
        <w:rPr>
          <w:lang w:val="pt-BR"/>
        </w:rPr>
        <w:t>2017)-</w:t>
      </w:r>
      <w:proofErr w:type="gramEnd"/>
      <w:r w:rsidRPr="00810A61">
        <w:rPr>
          <w:lang w:val="pt-BR"/>
        </w:rPr>
        <w:t xml:space="preserve"> </w:t>
      </w:r>
      <w:r w:rsidRPr="00810A61">
        <w:rPr>
          <w:i/>
          <w:lang w:val="pt-BR"/>
        </w:rPr>
        <w:t>Informe anual del sector TI</w:t>
      </w:r>
      <w:r w:rsidRPr="00810A61">
        <w:rPr>
          <w:lang w:val="pt-BR"/>
        </w:rPr>
        <w:t xml:space="preserve"> 2016. </w:t>
      </w:r>
      <w:r>
        <w:rPr>
          <w:lang w:val="es-UY"/>
        </w:rPr>
        <w:t xml:space="preserve">Noviembre de 2017. </w:t>
      </w:r>
    </w:p>
    <w:p w:rsidR="004D49A2" w:rsidRDefault="00A00E58">
      <w:pPr>
        <w:rPr>
          <w:lang w:val="es-UY"/>
        </w:rPr>
      </w:pPr>
      <w:proofErr w:type="spellStart"/>
      <w:proofErr w:type="gramStart"/>
      <w:r>
        <w:rPr>
          <w:lang w:val="es-UY"/>
        </w:rPr>
        <w:t>UruguayXXI</w:t>
      </w:r>
      <w:proofErr w:type="spellEnd"/>
      <w:r>
        <w:rPr>
          <w:lang w:val="es-UY"/>
        </w:rPr>
        <w:t>(</w:t>
      </w:r>
      <w:proofErr w:type="gramEnd"/>
      <w:r>
        <w:rPr>
          <w:lang w:val="es-UY"/>
        </w:rPr>
        <w:t xml:space="preserve">2017)- </w:t>
      </w:r>
      <w:r w:rsidRPr="0034316E">
        <w:rPr>
          <w:i/>
          <w:lang w:val="es-UY"/>
        </w:rPr>
        <w:t>Servicios Globales de Exportación</w:t>
      </w:r>
      <w:r>
        <w:rPr>
          <w:lang w:val="es-UY"/>
        </w:rPr>
        <w:t xml:space="preserve">. Programa de Servicios Globales. </w:t>
      </w:r>
      <w:proofErr w:type="spellStart"/>
      <w:r>
        <w:rPr>
          <w:lang w:val="es-UY"/>
        </w:rPr>
        <w:t>UruguayXXI</w:t>
      </w:r>
      <w:proofErr w:type="spellEnd"/>
      <w:r>
        <w:rPr>
          <w:lang w:val="es-UY"/>
        </w:rPr>
        <w:t xml:space="preserve">. Febrero de 2017. </w:t>
      </w:r>
    </w:p>
    <w:p w:rsidR="00A00E58" w:rsidRDefault="004B3115">
      <w:pPr>
        <w:rPr>
          <w:lang w:val="es-UY"/>
        </w:rPr>
      </w:pPr>
      <w:r>
        <w:rPr>
          <w:lang w:val="es-UY"/>
        </w:rPr>
        <w:t xml:space="preserve">Banco Central del Uruguay. </w:t>
      </w:r>
      <w:r w:rsidRPr="0034316E">
        <w:rPr>
          <w:i/>
          <w:lang w:val="es-UY"/>
        </w:rPr>
        <w:t>Balanza de Pagos y Posición de Inversión Internacional: Metodología.</w:t>
      </w:r>
      <w:r>
        <w:rPr>
          <w:lang w:val="es-UY"/>
        </w:rPr>
        <w:t xml:space="preserve"> </w:t>
      </w:r>
      <w:r w:rsidRPr="004B3115">
        <w:rPr>
          <w:lang w:val="es-UY"/>
        </w:rPr>
        <w:t>Actualización al MBP 6ª Edición, Setiembre 2017</w:t>
      </w:r>
      <w:r>
        <w:rPr>
          <w:lang w:val="es-UY"/>
        </w:rPr>
        <w:t xml:space="preserve"> </w:t>
      </w:r>
    </w:p>
    <w:p w:rsidR="00C24265" w:rsidRDefault="00C24265">
      <w:pPr>
        <w:rPr>
          <w:b/>
          <w:lang w:val="es-UY"/>
        </w:rPr>
      </w:pPr>
      <w:r>
        <w:rPr>
          <w:b/>
          <w:lang w:val="es-UY"/>
        </w:rPr>
        <w:br w:type="page"/>
      </w:r>
    </w:p>
    <w:p w:rsidR="00DC1DCA" w:rsidRPr="00DC1DCA" w:rsidRDefault="00C24265" w:rsidP="00DC1DCA">
      <w:pPr>
        <w:jc w:val="center"/>
        <w:rPr>
          <w:b/>
          <w:lang w:val="es-UY"/>
        </w:rPr>
      </w:pPr>
      <w:r>
        <w:rPr>
          <w:b/>
          <w:lang w:val="es-UY"/>
        </w:rPr>
        <w:lastRenderedPageBreak/>
        <w:t xml:space="preserve">Anexo A- </w:t>
      </w:r>
      <w:r w:rsidR="00DC1DCA" w:rsidRPr="00DC1DCA">
        <w:rPr>
          <w:b/>
          <w:lang w:val="es-UY"/>
        </w:rPr>
        <w:t>Lista</w:t>
      </w:r>
      <w:r w:rsidR="00DC1DCA">
        <w:rPr>
          <w:b/>
          <w:lang w:val="es-UY"/>
        </w:rPr>
        <w:t>do</w:t>
      </w:r>
      <w:r w:rsidR="00DC1DCA" w:rsidRPr="00DC1DCA">
        <w:rPr>
          <w:b/>
          <w:lang w:val="es-UY"/>
        </w:rPr>
        <w:t xml:space="preserve"> de Ramas Intensivas en SBIC en Uruguay</w:t>
      </w:r>
    </w:p>
    <w:tbl>
      <w:tblPr>
        <w:tblW w:w="5000" w:type="pct"/>
        <w:tblLayout w:type="fixed"/>
        <w:tblLook w:val="04A0" w:firstRow="1" w:lastRow="0" w:firstColumn="1" w:lastColumn="0" w:noHBand="0" w:noVBand="1"/>
      </w:tblPr>
      <w:tblGrid>
        <w:gridCol w:w="720"/>
        <w:gridCol w:w="8630"/>
      </w:tblGrid>
      <w:tr w:rsidR="00DC1DCA" w:rsidRPr="004D49A2" w:rsidTr="00DC1DCA">
        <w:trPr>
          <w:trHeight w:val="300"/>
        </w:trPr>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4D49A2" w:rsidRDefault="00DC1DCA" w:rsidP="00DC1DCA">
            <w:pPr>
              <w:spacing w:after="0" w:line="240" w:lineRule="auto"/>
              <w:rPr>
                <w:rFonts w:ascii="Calibri" w:eastAsia="Times New Roman" w:hAnsi="Calibri" w:cs="Times New Roman"/>
                <w:color w:val="000000"/>
                <w:lang w:val="es-UY"/>
              </w:rPr>
            </w:pPr>
            <w:proofErr w:type="spellStart"/>
            <w:r w:rsidRPr="004D49A2">
              <w:rPr>
                <w:rFonts w:ascii="Calibri" w:eastAsia="Times New Roman" w:hAnsi="Calibri" w:cs="Times New Roman"/>
                <w:color w:val="000000"/>
                <w:lang w:val="es-UY"/>
              </w:rPr>
              <w:t>Over</w:t>
            </w:r>
            <w:proofErr w:type="spellEnd"/>
          </w:p>
        </w:tc>
        <w:tc>
          <w:tcPr>
            <w:tcW w:w="4615" w:type="pct"/>
            <w:tcBorders>
              <w:top w:val="single" w:sz="4" w:space="0" w:color="auto"/>
              <w:left w:val="nil"/>
              <w:bottom w:val="single" w:sz="4" w:space="0" w:color="auto"/>
              <w:right w:val="single" w:sz="4" w:space="0" w:color="auto"/>
            </w:tcBorders>
            <w:shd w:val="clear" w:color="auto" w:fill="auto"/>
            <w:noWrap/>
            <w:vAlign w:val="bottom"/>
            <w:hideMark/>
          </w:tcPr>
          <w:p w:rsidR="00DC1DCA" w:rsidRPr="004D49A2" w:rsidRDefault="00DC1DCA" w:rsidP="00DC1DCA">
            <w:pPr>
              <w:spacing w:after="0" w:line="240" w:lineRule="auto"/>
              <w:rPr>
                <w:rFonts w:ascii="Calibri" w:eastAsia="Times New Roman" w:hAnsi="Calibri" w:cs="Times New Roman"/>
                <w:color w:val="000000"/>
                <w:lang w:val="es-UY"/>
              </w:rPr>
            </w:pPr>
            <w:r w:rsidRPr="004D49A2">
              <w:rPr>
                <w:rFonts w:ascii="Calibri" w:eastAsia="Times New Roman" w:hAnsi="Calibri" w:cs="Times New Roman"/>
                <w:color w:val="000000"/>
                <w:lang w:val="es-UY"/>
              </w:rPr>
              <w:t>DESCRIPCION</w:t>
            </w:r>
          </w:p>
        </w:tc>
      </w:tr>
      <w:tr w:rsidR="00DC1DCA" w:rsidRPr="00810A61" w:rsidTr="00DC1DCA">
        <w:trPr>
          <w:trHeight w:val="300"/>
        </w:trPr>
        <w:tc>
          <w:tcPr>
            <w:tcW w:w="385" w:type="pct"/>
            <w:tcBorders>
              <w:top w:val="nil"/>
              <w:left w:val="single" w:sz="4" w:space="0" w:color="auto"/>
              <w:bottom w:val="single" w:sz="4" w:space="0" w:color="auto"/>
              <w:right w:val="single" w:sz="4" w:space="0" w:color="auto"/>
            </w:tcBorders>
            <w:shd w:val="clear" w:color="auto" w:fill="auto"/>
            <w:noWrap/>
            <w:vAlign w:val="bottom"/>
            <w:hideMark/>
          </w:tcPr>
          <w:p w:rsidR="00DC1DCA" w:rsidRPr="004D49A2" w:rsidRDefault="00DC1DCA" w:rsidP="00DC1DCA">
            <w:pPr>
              <w:spacing w:after="0" w:line="240" w:lineRule="auto"/>
              <w:jc w:val="right"/>
              <w:rPr>
                <w:rFonts w:ascii="Calibri" w:eastAsia="Times New Roman" w:hAnsi="Calibri" w:cs="Times New Roman"/>
                <w:color w:val="000000"/>
                <w:lang w:val="es-UY"/>
              </w:rPr>
            </w:pPr>
            <w:r w:rsidRPr="004D49A2">
              <w:rPr>
                <w:rFonts w:ascii="Calibri" w:eastAsia="Times New Roman" w:hAnsi="Calibri" w:cs="Times New Roman"/>
                <w:color w:val="000000"/>
                <w:lang w:val="es-UY"/>
              </w:rPr>
              <w:t>2011</w:t>
            </w:r>
          </w:p>
        </w:tc>
        <w:tc>
          <w:tcPr>
            <w:tcW w:w="4615" w:type="pct"/>
            <w:tcBorders>
              <w:top w:val="nil"/>
              <w:left w:val="nil"/>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lang w:val="es-UY"/>
              </w:rPr>
            </w:pPr>
            <w:r w:rsidRPr="00DC1DCA">
              <w:rPr>
                <w:rFonts w:ascii="Calibri" w:eastAsia="Times New Roman" w:hAnsi="Calibri" w:cs="Times New Roman"/>
                <w:color w:val="000000"/>
                <w:lang w:val="es-UY"/>
              </w:rPr>
              <w:t>Fabricación de sustancias químicas básicas y biocombustibles</w:t>
            </w:r>
          </w:p>
        </w:tc>
      </w:tr>
      <w:tr w:rsidR="00DC1DCA" w:rsidRPr="00810A61" w:rsidTr="00DC1DCA">
        <w:trPr>
          <w:trHeight w:val="300"/>
        </w:trPr>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2021</w:t>
            </w:r>
          </w:p>
        </w:tc>
        <w:tc>
          <w:tcPr>
            <w:tcW w:w="4615" w:type="pct"/>
            <w:tcBorders>
              <w:top w:val="single" w:sz="4" w:space="0" w:color="auto"/>
              <w:left w:val="nil"/>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lang w:val="es-UY"/>
              </w:rPr>
            </w:pPr>
            <w:r w:rsidRPr="00DC1DCA">
              <w:rPr>
                <w:rFonts w:ascii="Calibri" w:eastAsia="Times New Roman" w:hAnsi="Calibri" w:cs="Times New Roman"/>
                <w:color w:val="000000"/>
                <w:lang w:val="es-UY"/>
              </w:rPr>
              <w:t>Fabricación de pesticidas y de otros productos químicos de uso agropecuario</w:t>
            </w:r>
          </w:p>
        </w:tc>
      </w:tr>
      <w:tr w:rsidR="00DC1DCA" w:rsidRPr="00810A61" w:rsidTr="00DC1DCA">
        <w:trPr>
          <w:trHeight w:val="300"/>
        </w:trPr>
        <w:tc>
          <w:tcPr>
            <w:tcW w:w="385" w:type="pct"/>
            <w:tcBorders>
              <w:top w:val="single" w:sz="4" w:space="0" w:color="auto"/>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2022</w:t>
            </w:r>
          </w:p>
        </w:tc>
        <w:tc>
          <w:tcPr>
            <w:tcW w:w="46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lang w:val="es-UY"/>
              </w:rPr>
            </w:pPr>
            <w:r w:rsidRPr="00DC1DCA">
              <w:rPr>
                <w:rFonts w:ascii="Calibri" w:eastAsia="Times New Roman" w:hAnsi="Calibri" w:cs="Times New Roman"/>
                <w:color w:val="000000"/>
                <w:lang w:val="es-UY"/>
              </w:rPr>
              <w:t>Fabricación de pinturas, barnices y productos de revestimiento similares, tintas de imprenta y masillas</w:t>
            </w:r>
          </w:p>
        </w:tc>
      </w:tr>
      <w:tr w:rsidR="00DC1DCA" w:rsidRPr="00810A61" w:rsidTr="00DC1DCA">
        <w:trPr>
          <w:trHeight w:val="300"/>
        </w:trPr>
        <w:tc>
          <w:tcPr>
            <w:tcW w:w="385" w:type="pct"/>
            <w:tcBorders>
              <w:top w:val="single" w:sz="4" w:space="0" w:color="auto"/>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2023</w:t>
            </w:r>
          </w:p>
        </w:tc>
        <w:tc>
          <w:tcPr>
            <w:tcW w:w="46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lang w:val="es-UY"/>
              </w:rPr>
            </w:pPr>
            <w:r w:rsidRPr="00DC1DCA">
              <w:rPr>
                <w:rFonts w:ascii="Calibri" w:eastAsia="Times New Roman" w:hAnsi="Calibri" w:cs="Times New Roman"/>
                <w:color w:val="000000"/>
                <w:lang w:val="es-UY"/>
              </w:rPr>
              <w:t>Fabricación de jabones y detergentes, preparados para limpiar y pulir, perfumes y artículos de tocador</w:t>
            </w:r>
          </w:p>
        </w:tc>
      </w:tr>
      <w:tr w:rsidR="00DC1DCA" w:rsidRPr="00810A61" w:rsidTr="00DC1DCA">
        <w:trPr>
          <w:trHeight w:val="300"/>
        </w:trPr>
        <w:tc>
          <w:tcPr>
            <w:tcW w:w="385" w:type="pct"/>
            <w:tcBorders>
              <w:top w:val="single" w:sz="4" w:space="0" w:color="auto"/>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2029</w:t>
            </w:r>
          </w:p>
        </w:tc>
        <w:tc>
          <w:tcPr>
            <w:tcW w:w="46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lang w:val="es-UY"/>
              </w:rPr>
            </w:pPr>
            <w:r w:rsidRPr="00DC1DCA">
              <w:rPr>
                <w:rFonts w:ascii="Calibri" w:eastAsia="Times New Roman" w:hAnsi="Calibri" w:cs="Times New Roman"/>
                <w:color w:val="000000"/>
                <w:lang w:val="es-UY"/>
              </w:rPr>
              <w:t xml:space="preserve">Fabricación de otros productos químicos </w:t>
            </w:r>
            <w:proofErr w:type="spellStart"/>
            <w:r w:rsidRPr="00DC1DCA">
              <w:rPr>
                <w:rFonts w:ascii="Calibri" w:eastAsia="Times New Roman" w:hAnsi="Calibri" w:cs="Times New Roman"/>
                <w:color w:val="000000"/>
                <w:lang w:val="es-UY"/>
              </w:rPr>
              <w:t>n.c.p</w:t>
            </w:r>
            <w:proofErr w:type="spellEnd"/>
            <w:r w:rsidRPr="00DC1DCA">
              <w:rPr>
                <w:rFonts w:ascii="Calibri" w:eastAsia="Times New Roman" w:hAnsi="Calibri" w:cs="Times New Roman"/>
                <w:color w:val="000000"/>
                <w:lang w:val="es-UY"/>
              </w:rPr>
              <w:t>.</w:t>
            </w:r>
          </w:p>
        </w:tc>
      </w:tr>
      <w:tr w:rsidR="00DC1DCA" w:rsidRPr="00810A61" w:rsidTr="00DC1DCA">
        <w:trPr>
          <w:trHeight w:val="300"/>
        </w:trPr>
        <w:tc>
          <w:tcPr>
            <w:tcW w:w="385" w:type="pct"/>
            <w:tcBorders>
              <w:top w:val="single" w:sz="4" w:space="0" w:color="auto"/>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2100</w:t>
            </w:r>
          </w:p>
        </w:tc>
        <w:tc>
          <w:tcPr>
            <w:tcW w:w="46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lang w:val="es-UY"/>
              </w:rPr>
            </w:pPr>
            <w:r w:rsidRPr="00DC1DCA">
              <w:rPr>
                <w:rFonts w:ascii="Calibri" w:eastAsia="Times New Roman" w:hAnsi="Calibri" w:cs="Times New Roman"/>
                <w:color w:val="000000"/>
                <w:lang w:val="es-UY"/>
              </w:rPr>
              <w:t>Fabricación de productos farmacéuticos, sustancias químicas medicinales y de productos botánicos</w:t>
            </w:r>
          </w:p>
        </w:tc>
      </w:tr>
      <w:tr w:rsidR="00DC1DCA" w:rsidRPr="00810A61" w:rsidTr="00DC1DCA">
        <w:trPr>
          <w:trHeight w:val="300"/>
        </w:trPr>
        <w:tc>
          <w:tcPr>
            <w:tcW w:w="385" w:type="pct"/>
            <w:tcBorders>
              <w:top w:val="single" w:sz="4" w:space="0" w:color="auto"/>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2512</w:t>
            </w:r>
          </w:p>
        </w:tc>
        <w:tc>
          <w:tcPr>
            <w:tcW w:w="46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lang w:val="es-UY"/>
              </w:rPr>
            </w:pPr>
            <w:r w:rsidRPr="00DC1DCA">
              <w:rPr>
                <w:rFonts w:ascii="Calibri" w:eastAsia="Times New Roman" w:hAnsi="Calibri" w:cs="Times New Roman"/>
                <w:color w:val="000000"/>
                <w:lang w:val="es-UY"/>
              </w:rPr>
              <w:t>Fabricación de tanques, depósitos y recipientes de metal</w:t>
            </w:r>
          </w:p>
        </w:tc>
      </w:tr>
      <w:tr w:rsidR="00DC1DCA" w:rsidRPr="00810A61" w:rsidTr="00DC1DCA">
        <w:trPr>
          <w:trHeight w:val="300"/>
        </w:trPr>
        <w:tc>
          <w:tcPr>
            <w:tcW w:w="385" w:type="pct"/>
            <w:tcBorders>
              <w:top w:val="single" w:sz="4" w:space="0" w:color="auto"/>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2620</w:t>
            </w:r>
          </w:p>
        </w:tc>
        <w:tc>
          <w:tcPr>
            <w:tcW w:w="46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lang w:val="es-UY"/>
              </w:rPr>
            </w:pPr>
            <w:r w:rsidRPr="00DC1DCA">
              <w:rPr>
                <w:rFonts w:ascii="Calibri" w:eastAsia="Times New Roman" w:hAnsi="Calibri" w:cs="Times New Roman"/>
                <w:color w:val="000000"/>
                <w:lang w:val="es-UY"/>
              </w:rPr>
              <w:t>Fabricación de computadoras y equipo periférico</w:t>
            </w:r>
          </w:p>
        </w:tc>
      </w:tr>
      <w:tr w:rsidR="00DC1DCA" w:rsidRPr="00810A61" w:rsidTr="00DC1DCA">
        <w:trPr>
          <w:trHeight w:val="300"/>
        </w:trPr>
        <w:tc>
          <w:tcPr>
            <w:tcW w:w="385" w:type="pct"/>
            <w:tcBorders>
              <w:top w:val="single" w:sz="4" w:space="0" w:color="auto"/>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2660</w:t>
            </w:r>
          </w:p>
        </w:tc>
        <w:tc>
          <w:tcPr>
            <w:tcW w:w="46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lang w:val="es-UY"/>
              </w:rPr>
            </w:pPr>
            <w:r w:rsidRPr="00DC1DCA">
              <w:rPr>
                <w:rFonts w:ascii="Calibri" w:eastAsia="Times New Roman" w:hAnsi="Calibri" w:cs="Times New Roman"/>
                <w:color w:val="000000"/>
                <w:lang w:val="es-UY"/>
              </w:rPr>
              <w:t xml:space="preserve">Fabricación de equipos radiológicos, </w:t>
            </w:r>
            <w:proofErr w:type="spellStart"/>
            <w:r w:rsidRPr="00DC1DCA">
              <w:rPr>
                <w:rFonts w:ascii="Calibri" w:eastAsia="Times New Roman" w:hAnsi="Calibri" w:cs="Times New Roman"/>
                <w:color w:val="000000"/>
                <w:lang w:val="es-UY"/>
              </w:rPr>
              <w:t>electromédicos</w:t>
            </w:r>
            <w:proofErr w:type="spellEnd"/>
            <w:r w:rsidRPr="00DC1DCA">
              <w:rPr>
                <w:rFonts w:ascii="Calibri" w:eastAsia="Times New Roman" w:hAnsi="Calibri" w:cs="Times New Roman"/>
                <w:color w:val="000000"/>
                <w:lang w:val="es-UY"/>
              </w:rPr>
              <w:t xml:space="preserve"> y electro terapéuticos</w:t>
            </w:r>
          </w:p>
        </w:tc>
      </w:tr>
      <w:tr w:rsidR="00DC1DCA" w:rsidRPr="00810A61" w:rsidTr="00DC1DCA">
        <w:trPr>
          <w:trHeight w:val="300"/>
        </w:trPr>
        <w:tc>
          <w:tcPr>
            <w:tcW w:w="385" w:type="pct"/>
            <w:tcBorders>
              <w:top w:val="single" w:sz="4" w:space="0" w:color="auto"/>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2710</w:t>
            </w:r>
          </w:p>
        </w:tc>
        <w:tc>
          <w:tcPr>
            <w:tcW w:w="46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lang w:val="es-UY"/>
              </w:rPr>
            </w:pPr>
            <w:r w:rsidRPr="00DC1DCA">
              <w:rPr>
                <w:rFonts w:ascii="Calibri" w:eastAsia="Times New Roman" w:hAnsi="Calibri" w:cs="Times New Roman"/>
                <w:color w:val="000000"/>
                <w:lang w:val="es-UY"/>
              </w:rPr>
              <w:t>Fabricación de motores eléctricos, generadores, transformadores eléctricos, distribución de la electricidad y aparato del control.</w:t>
            </w:r>
          </w:p>
        </w:tc>
      </w:tr>
      <w:tr w:rsidR="00DC1DCA" w:rsidRPr="00810A61" w:rsidTr="00DC1DCA">
        <w:trPr>
          <w:trHeight w:val="300"/>
        </w:trPr>
        <w:tc>
          <w:tcPr>
            <w:tcW w:w="385" w:type="pct"/>
            <w:tcBorders>
              <w:top w:val="single" w:sz="4" w:space="0" w:color="auto"/>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2732</w:t>
            </w:r>
          </w:p>
        </w:tc>
        <w:tc>
          <w:tcPr>
            <w:tcW w:w="46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lang w:val="es-UY"/>
              </w:rPr>
            </w:pPr>
            <w:r w:rsidRPr="00DC1DCA">
              <w:rPr>
                <w:rFonts w:ascii="Calibri" w:eastAsia="Times New Roman" w:hAnsi="Calibri" w:cs="Times New Roman"/>
                <w:color w:val="000000"/>
                <w:lang w:val="es-UY"/>
              </w:rPr>
              <w:t>Fabricación de otros cables eléctricos y electrónicos</w:t>
            </w:r>
          </w:p>
        </w:tc>
      </w:tr>
      <w:tr w:rsidR="00DC1DCA" w:rsidRPr="00810A61" w:rsidTr="00DC1DCA">
        <w:trPr>
          <w:trHeight w:val="300"/>
        </w:trPr>
        <w:tc>
          <w:tcPr>
            <w:tcW w:w="385" w:type="pct"/>
            <w:tcBorders>
              <w:top w:val="single" w:sz="4" w:space="0" w:color="auto"/>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2733</w:t>
            </w:r>
          </w:p>
        </w:tc>
        <w:tc>
          <w:tcPr>
            <w:tcW w:w="46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lang w:val="es-UY"/>
              </w:rPr>
            </w:pPr>
            <w:r w:rsidRPr="00DC1DCA">
              <w:rPr>
                <w:rFonts w:ascii="Calibri" w:eastAsia="Times New Roman" w:hAnsi="Calibri" w:cs="Times New Roman"/>
                <w:color w:val="000000"/>
                <w:lang w:val="es-UY"/>
              </w:rPr>
              <w:t>Fabricación de dispositivos de cableado</w:t>
            </w:r>
          </w:p>
        </w:tc>
      </w:tr>
      <w:tr w:rsidR="00DC1DCA" w:rsidRPr="00810A61" w:rsidTr="00DC1DCA">
        <w:trPr>
          <w:trHeight w:val="300"/>
        </w:trPr>
        <w:tc>
          <w:tcPr>
            <w:tcW w:w="385" w:type="pct"/>
            <w:tcBorders>
              <w:top w:val="single" w:sz="4" w:space="0" w:color="auto"/>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2740</w:t>
            </w:r>
          </w:p>
        </w:tc>
        <w:tc>
          <w:tcPr>
            <w:tcW w:w="46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lang w:val="es-UY"/>
              </w:rPr>
            </w:pPr>
            <w:r w:rsidRPr="00DC1DCA">
              <w:rPr>
                <w:rFonts w:ascii="Calibri" w:eastAsia="Times New Roman" w:hAnsi="Calibri" w:cs="Times New Roman"/>
                <w:color w:val="000000"/>
                <w:lang w:val="es-UY"/>
              </w:rPr>
              <w:t>Fabricación de equipos de iluminación eléctricos</w:t>
            </w:r>
          </w:p>
        </w:tc>
      </w:tr>
      <w:tr w:rsidR="00DC1DCA" w:rsidRPr="00810A61" w:rsidTr="00DC1DCA">
        <w:trPr>
          <w:trHeight w:val="300"/>
        </w:trPr>
        <w:tc>
          <w:tcPr>
            <w:tcW w:w="385" w:type="pct"/>
            <w:tcBorders>
              <w:top w:val="single" w:sz="4" w:space="0" w:color="auto"/>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2825</w:t>
            </w:r>
          </w:p>
        </w:tc>
        <w:tc>
          <w:tcPr>
            <w:tcW w:w="46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lang w:val="es-UY"/>
              </w:rPr>
            </w:pPr>
            <w:r w:rsidRPr="00DC1DCA">
              <w:rPr>
                <w:rFonts w:ascii="Calibri" w:eastAsia="Times New Roman" w:hAnsi="Calibri" w:cs="Times New Roman"/>
                <w:color w:val="000000"/>
                <w:lang w:val="es-UY"/>
              </w:rPr>
              <w:t>Fabricación de maquinaria para la elaboración de alimentos, bebidas y tabaco</w:t>
            </w:r>
          </w:p>
        </w:tc>
      </w:tr>
      <w:tr w:rsidR="00DC1DCA" w:rsidRPr="00810A61" w:rsidTr="00DC1DCA">
        <w:trPr>
          <w:trHeight w:val="300"/>
        </w:trPr>
        <w:tc>
          <w:tcPr>
            <w:tcW w:w="385" w:type="pct"/>
            <w:tcBorders>
              <w:top w:val="single" w:sz="4" w:space="0" w:color="auto"/>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2829</w:t>
            </w:r>
          </w:p>
        </w:tc>
        <w:tc>
          <w:tcPr>
            <w:tcW w:w="46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lang w:val="es-UY"/>
              </w:rPr>
            </w:pPr>
            <w:r w:rsidRPr="00DC1DCA">
              <w:rPr>
                <w:rFonts w:ascii="Calibri" w:eastAsia="Times New Roman" w:hAnsi="Calibri" w:cs="Times New Roman"/>
                <w:color w:val="000000"/>
                <w:lang w:val="es-UY"/>
              </w:rPr>
              <w:t>Fabricación de otros tipos de maquinaria de uso especial</w:t>
            </w:r>
          </w:p>
        </w:tc>
      </w:tr>
      <w:tr w:rsidR="00DC1DCA" w:rsidRPr="00810A61" w:rsidTr="00DC1DCA">
        <w:trPr>
          <w:trHeight w:val="300"/>
        </w:trPr>
        <w:tc>
          <w:tcPr>
            <w:tcW w:w="385" w:type="pct"/>
            <w:tcBorders>
              <w:top w:val="single" w:sz="4" w:space="0" w:color="auto"/>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3250</w:t>
            </w:r>
          </w:p>
        </w:tc>
        <w:tc>
          <w:tcPr>
            <w:tcW w:w="46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lang w:val="es-UY"/>
              </w:rPr>
            </w:pPr>
            <w:r w:rsidRPr="00DC1DCA">
              <w:rPr>
                <w:rFonts w:ascii="Calibri" w:eastAsia="Times New Roman" w:hAnsi="Calibri" w:cs="Times New Roman"/>
                <w:color w:val="000000"/>
                <w:lang w:val="es-UY"/>
              </w:rPr>
              <w:t>Fabricación de instrumentos y suministros médicos y dentales</w:t>
            </w:r>
          </w:p>
        </w:tc>
      </w:tr>
      <w:tr w:rsidR="00DC1DCA" w:rsidRPr="00810A61" w:rsidTr="00DC1DCA">
        <w:trPr>
          <w:trHeight w:val="300"/>
        </w:trPr>
        <w:tc>
          <w:tcPr>
            <w:tcW w:w="385" w:type="pct"/>
            <w:tcBorders>
              <w:top w:val="single" w:sz="4" w:space="0" w:color="auto"/>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3822</w:t>
            </w:r>
          </w:p>
        </w:tc>
        <w:tc>
          <w:tcPr>
            <w:tcW w:w="46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lang w:val="es-UY"/>
              </w:rPr>
            </w:pPr>
            <w:r w:rsidRPr="00DC1DCA">
              <w:rPr>
                <w:rFonts w:ascii="Calibri" w:eastAsia="Times New Roman" w:hAnsi="Calibri" w:cs="Times New Roman"/>
                <w:color w:val="000000"/>
                <w:lang w:val="es-UY"/>
              </w:rPr>
              <w:t>Tratamiento y eliminación de desechos peligrosos</w:t>
            </w:r>
          </w:p>
        </w:tc>
      </w:tr>
      <w:tr w:rsidR="00DC1DCA" w:rsidRPr="00DC1DCA" w:rsidTr="00DC1DCA">
        <w:trPr>
          <w:trHeight w:val="300"/>
        </w:trPr>
        <w:tc>
          <w:tcPr>
            <w:tcW w:w="385" w:type="pct"/>
            <w:tcBorders>
              <w:top w:val="single" w:sz="4" w:space="0" w:color="auto"/>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6201</w:t>
            </w:r>
          </w:p>
        </w:tc>
        <w:tc>
          <w:tcPr>
            <w:tcW w:w="46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rPr>
            </w:pPr>
            <w:r w:rsidRPr="00DC1DCA">
              <w:rPr>
                <w:rFonts w:ascii="Calibri" w:eastAsia="Times New Roman" w:hAnsi="Calibri" w:cs="Times New Roman"/>
                <w:color w:val="000000"/>
              </w:rPr>
              <w:t>Actividades de programación informática</w:t>
            </w:r>
          </w:p>
        </w:tc>
      </w:tr>
      <w:tr w:rsidR="00DC1DCA" w:rsidRPr="00810A61" w:rsidTr="00DC1DCA">
        <w:trPr>
          <w:trHeight w:val="300"/>
        </w:trPr>
        <w:tc>
          <w:tcPr>
            <w:tcW w:w="385" w:type="pct"/>
            <w:tcBorders>
              <w:top w:val="single" w:sz="4" w:space="0" w:color="auto"/>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6202</w:t>
            </w:r>
          </w:p>
        </w:tc>
        <w:tc>
          <w:tcPr>
            <w:tcW w:w="46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lang w:val="es-UY"/>
              </w:rPr>
            </w:pPr>
            <w:r w:rsidRPr="00DC1DCA">
              <w:rPr>
                <w:rFonts w:ascii="Calibri" w:eastAsia="Times New Roman" w:hAnsi="Calibri" w:cs="Times New Roman"/>
                <w:color w:val="000000"/>
                <w:lang w:val="es-UY"/>
              </w:rPr>
              <w:t>Actividades de consultoría informática y actividades de administración de medios informáticos</w:t>
            </w:r>
          </w:p>
        </w:tc>
      </w:tr>
      <w:tr w:rsidR="00DC1DCA" w:rsidRPr="00810A61" w:rsidTr="00DC1DCA">
        <w:trPr>
          <w:trHeight w:val="300"/>
        </w:trPr>
        <w:tc>
          <w:tcPr>
            <w:tcW w:w="385" w:type="pct"/>
            <w:tcBorders>
              <w:top w:val="single" w:sz="4" w:space="0" w:color="auto"/>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6311</w:t>
            </w:r>
          </w:p>
        </w:tc>
        <w:tc>
          <w:tcPr>
            <w:tcW w:w="46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lang w:val="es-UY"/>
              </w:rPr>
            </w:pPr>
            <w:r w:rsidRPr="00DC1DCA">
              <w:rPr>
                <w:rFonts w:ascii="Calibri" w:eastAsia="Times New Roman" w:hAnsi="Calibri" w:cs="Times New Roman"/>
                <w:color w:val="000000"/>
                <w:lang w:val="es-UY"/>
              </w:rPr>
              <w:t>Procesamiento de datos, hospedaje y actividades conexas</w:t>
            </w:r>
          </w:p>
        </w:tc>
      </w:tr>
      <w:tr w:rsidR="00DC1DCA" w:rsidRPr="00810A61" w:rsidTr="00DC1DCA">
        <w:trPr>
          <w:trHeight w:val="300"/>
        </w:trPr>
        <w:tc>
          <w:tcPr>
            <w:tcW w:w="385" w:type="pct"/>
            <w:tcBorders>
              <w:top w:val="single" w:sz="4" w:space="0" w:color="auto"/>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7020</w:t>
            </w:r>
          </w:p>
        </w:tc>
        <w:tc>
          <w:tcPr>
            <w:tcW w:w="46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lang w:val="es-UY"/>
              </w:rPr>
            </w:pPr>
            <w:r w:rsidRPr="00DC1DCA">
              <w:rPr>
                <w:rFonts w:ascii="Calibri" w:eastAsia="Times New Roman" w:hAnsi="Calibri" w:cs="Times New Roman"/>
                <w:color w:val="000000"/>
                <w:lang w:val="es-UY"/>
              </w:rPr>
              <w:t>Actividades de administración de empresas y de consultoría sobre administración de empresas.</w:t>
            </w:r>
          </w:p>
        </w:tc>
      </w:tr>
      <w:tr w:rsidR="00DC1DCA" w:rsidRPr="004D663B" w:rsidTr="00DC1DCA">
        <w:trPr>
          <w:trHeight w:val="300"/>
        </w:trPr>
        <w:tc>
          <w:tcPr>
            <w:tcW w:w="385" w:type="pct"/>
            <w:tcBorders>
              <w:top w:val="single" w:sz="4" w:space="0" w:color="auto"/>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7110</w:t>
            </w:r>
          </w:p>
        </w:tc>
        <w:tc>
          <w:tcPr>
            <w:tcW w:w="46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lang w:val="es-UY"/>
              </w:rPr>
            </w:pPr>
            <w:r w:rsidRPr="00DC1DCA">
              <w:rPr>
                <w:rFonts w:ascii="Calibri" w:eastAsia="Times New Roman" w:hAnsi="Calibri" w:cs="Times New Roman"/>
                <w:color w:val="000000"/>
                <w:lang w:val="es-UY"/>
              </w:rPr>
              <w:t>Actividades de arquitectura e ingeniería; y actividades conexas de asesoramiento técnico</w:t>
            </w:r>
          </w:p>
        </w:tc>
      </w:tr>
      <w:tr w:rsidR="00DC1DCA" w:rsidRPr="00DC1DCA" w:rsidTr="00DC1DCA">
        <w:trPr>
          <w:trHeight w:val="300"/>
        </w:trPr>
        <w:tc>
          <w:tcPr>
            <w:tcW w:w="385" w:type="pct"/>
            <w:tcBorders>
              <w:top w:val="single" w:sz="4" w:space="0" w:color="auto"/>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7120</w:t>
            </w:r>
          </w:p>
        </w:tc>
        <w:tc>
          <w:tcPr>
            <w:tcW w:w="46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rPr>
            </w:pPr>
            <w:r w:rsidRPr="00DC1DCA">
              <w:rPr>
                <w:rFonts w:ascii="Calibri" w:eastAsia="Times New Roman" w:hAnsi="Calibri" w:cs="Times New Roman"/>
                <w:color w:val="000000"/>
              </w:rPr>
              <w:t>Ensayos y análisis técnicos</w:t>
            </w:r>
          </w:p>
        </w:tc>
      </w:tr>
      <w:tr w:rsidR="00DC1DCA" w:rsidRPr="00810A61" w:rsidTr="00DC1DCA">
        <w:trPr>
          <w:trHeight w:val="300"/>
        </w:trPr>
        <w:tc>
          <w:tcPr>
            <w:tcW w:w="385" w:type="pct"/>
            <w:tcBorders>
              <w:top w:val="single" w:sz="4" w:space="0" w:color="auto"/>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7210</w:t>
            </w:r>
          </w:p>
        </w:tc>
        <w:tc>
          <w:tcPr>
            <w:tcW w:w="46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lang w:val="es-UY"/>
              </w:rPr>
            </w:pPr>
            <w:r w:rsidRPr="00DC1DCA">
              <w:rPr>
                <w:rFonts w:ascii="Calibri" w:eastAsia="Times New Roman" w:hAnsi="Calibri" w:cs="Times New Roman"/>
                <w:color w:val="000000"/>
                <w:lang w:val="es-UY"/>
              </w:rPr>
              <w:t>Investigación y desarrollo experimental en el campo de las ciencias naturales y la ingeniería</w:t>
            </w:r>
          </w:p>
        </w:tc>
      </w:tr>
      <w:tr w:rsidR="00DC1DCA" w:rsidRPr="00DC1DCA" w:rsidTr="00DC1DCA">
        <w:trPr>
          <w:trHeight w:val="300"/>
        </w:trPr>
        <w:tc>
          <w:tcPr>
            <w:tcW w:w="385" w:type="pct"/>
            <w:tcBorders>
              <w:top w:val="single" w:sz="4" w:space="0" w:color="auto"/>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7310</w:t>
            </w:r>
          </w:p>
        </w:tc>
        <w:tc>
          <w:tcPr>
            <w:tcW w:w="46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rPr>
            </w:pPr>
            <w:r w:rsidRPr="00DC1DCA">
              <w:rPr>
                <w:rFonts w:ascii="Calibri" w:eastAsia="Times New Roman" w:hAnsi="Calibri" w:cs="Times New Roman"/>
                <w:color w:val="000000"/>
              </w:rPr>
              <w:t>Publicidad</w:t>
            </w:r>
          </w:p>
        </w:tc>
      </w:tr>
      <w:tr w:rsidR="00DC1DCA" w:rsidRPr="00DC1DCA" w:rsidTr="00DC1DCA">
        <w:trPr>
          <w:trHeight w:val="300"/>
        </w:trPr>
        <w:tc>
          <w:tcPr>
            <w:tcW w:w="385" w:type="pct"/>
            <w:tcBorders>
              <w:top w:val="single" w:sz="4" w:space="0" w:color="auto"/>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7410</w:t>
            </w:r>
          </w:p>
        </w:tc>
        <w:tc>
          <w:tcPr>
            <w:tcW w:w="46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rPr>
            </w:pPr>
            <w:r w:rsidRPr="00DC1DCA">
              <w:rPr>
                <w:rFonts w:ascii="Calibri" w:eastAsia="Times New Roman" w:hAnsi="Calibri" w:cs="Times New Roman"/>
                <w:color w:val="000000"/>
              </w:rPr>
              <w:t>Actividades especializadas en diseño</w:t>
            </w:r>
          </w:p>
        </w:tc>
      </w:tr>
      <w:tr w:rsidR="00DC1DCA" w:rsidRPr="00DC1DCA" w:rsidTr="00DC1DCA">
        <w:trPr>
          <w:trHeight w:val="300"/>
        </w:trPr>
        <w:tc>
          <w:tcPr>
            <w:tcW w:w="385" w:type="pct"/>
            <w:tcBorders>
              <w:top w:val="nil"/>
              <w:left w:val="single" w:sz="4" w:space="0" w:color="auto"/>
              <w:bottom w:val="single" w:sz="4" w:space="0" w:color="auto"/>
              <w:right w:val="nil"/>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7500</w:t>
            </w:r>
          </w:p>
        </w:tc>
        <w:tc>
          <w:tcPr>
            <w:tcW w:w="4615" w:type="pct"/>
            <w:tcBorders>
              <w:top w:val="nil"/>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rPr>
            </w:pPr>
            <w:r w:rsidRPr="00DC1DCA">
              <w:rPr>
                <w:rFonts w:ascii="Calibri" w:eastAsia="Times New Roman" w:hAnsi="Calibri" w:cs="Times New Roman"/>
                <w:color w:val="000000"/>
              </w:rPr>
              <w:t>Actividades veterinarias</w:t>
            </w:r>
          </w:p>
        </w:tc>
      </w:tr>
      <w:tr w:rsidR="00DC1DCA" w:rsidRPr="00DC1DCA" w:rsidTr="00DC1DCA">
        <w:trPr>
          <w:trHeight w:val="300"/>
        </w:trPr>
        <w:tc>
          <w:tcPr>
            <w:tcW w:w="385" w:type="pct"/>
            <w:tcBorders>
              <w:top w:val="nil"/>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8610</w:t>
            </w:r>
          </w:p>
        </w:tc>
        <w:tc>
          <w:tcPr>
            <w:tcW w:w="4615" w:type="pct"/>
            <w:tcBorders>
              <w:top w:val="nil"/>
              <w:left w:val="nil"/>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rPr>
            </w:pPr>
            <w:r w:rsidRPr="00DC1DCA">
              <w:rPr>
                <w:rFonts w:ascii="Calibri" w:eastAsia="Times New Roman" w:hAnsi="Calibri" w:cs="Times New Roman"/>
                <w:color w:val="000000"/>
              </w:rPr>
              <w:t>Actividades de hospitales</w:t>
            </w:r>
          </w:p>
        </w:tc>
      </w:tr>
      <w:tr w:rsidR="00DC1DCA" w:rsidRPr="004D663B" w:rsidTr="00DC1DCA">
        <w:trPr>
          <w:trHeight w:val="300"/>
        </w:trPr>
        <w:tc>
          <w:tcPr>
            <w:tcW w:w="385" w:type="pct"/>
            <w:tcBorders>
              <w:top w:val="nil"/>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8620</w:t>
            </w:r>
          </w:p>
        </w:tc>
        <w:tc>
          <w:tcPr>
            <w:tcW w:w="4615" w:type="pct"/>
            <w:tcBorders>
              <w:top w:val="nil"/>
              <w:left w:val="nil"/>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lang w:val="es-UY"/>
              </w:rPr>
            </w:pPr>
            <w:r w:rsidRPr="00DC1DCA">
              <w:rPr>
                <w:rFonts w:ascii="Calibri" w:eastAsia="Times New Roman" w:hAnsi="Calibri" w:cs="Times New Roman"/>
                <w:color w:val="000000"/>
                <w:lang w:val="es-UY"/>
              </w:rPr>
              <w:t>Actividades de médicos y odontólogos</w:t>
            </w:r>
          </w:p>
        </w:tc>
      </w:tr>
      <w:tr w:rsidR="00DC1DCA" w:rsidRPr="00810A61" w:rsidTr="00DC1DCA">
        <w:trPr>
          <w:trHeight w:val="300"/>
        </w:trPr>
        <w:tc>
          <w:tcPr>
            <w:tcW w:w="385" w:type="pct"/>
            <w:tcBorders>
              <w:top w:val="nil"/>
              <w:left w:val="single" w:sz="4" w:space="0" w:color="auto"/>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jc w:val="right"/>
              <w:rPr>
                <w:rFonts w:ascii="Calibri" w:eastAsia="Times New Roman" w:hAnsi="Calibri" w:cs="Times New Roman"/>
                <w:color w:val="000000"/>
              </w:rPr>
            </w:pPr>
            <w:r w:rsidRPr="00DC1DCA">
              <w:rPr>
                <w:rFonts w:ascii="Calibri" w:eastAsia="Times New Roman" w:hAnsi="Calibri" w:cs="Times New Roman"/>
                <w:color w:val="000000"/>
              </w:rPr>
              <w:t>8690</w:t>
            </w:r>
          </w:p>
        </w:tc>
        <w:tc>
          <w:tcPr>
            <w:tcW w:w="4615" w:type="pct"/>
            <w:tcBorders>
              <w:top w:val="nil"/>
              <w:left w:val="nil"/>
              <w:bottom w:val="single" w:sz="4" w:space="0" w:color="auto"/>
              <w:right w:val="single" w:sz="4" w:space="0" w:color="auto"/>
            </w:tcBorders>
            <w:shd w:val="clear" w:color="auto" w:fill="auto"/>
            <w:noWrap/>
            <w:vAlign w:val="bottom"/>
            <w:hideMark/>
          </w:tcPr>
          <w:p w:rsidR="00DC1DCA" w:rsidRPr="00DC1DCA" w:rsidRDefault="00DC1DCA" w:rsidP="00DC1DCA">
            <w:pPr>
              <w:spacing w:after="0" w:line="240" w:lineRule="auto"/>
              <w:rPr>
                <w:rFonts w:ascii="Calibri" w:eastAsia="Times New Roman" w:hAnsi="Calibri" w:cs="Times New Roman"/>
                <w:color w:val="000000"/>
                <w:lang w:val="es-UY"/>
              </w:rPr>
            </w:pPr>
            <w:r w:rsidRPr="00DC1DCA">
              <w:rPr>
                <w:rFonts w:ascii="Calibri" w:eastAsia="Times New Roman" w:hAnsi="Calibri" w:cs="Times New Roman"/>
                <w:color w:val="000000"/>
                <w:lang w:val="es-UY"/>
              </w:rPr>
              <w:t>Otras actividades relacionadas con la salud humana</w:t>
            </w:r>
          </w:p>
        </w:tc>
      </w:tr>
    </w:tbl>
    <w:p w:rsidR="0043632B" w:rsidRDefault="0043632B" w:rsidP="0043632B">
      <w:pPr>
        <w:jc w:val="both"/>
        <w:rPr>
          <w:lang w:val="es-UY"/>
        </w:rPr>
      </w:pPr>
    </w:p>
    <w:p w:rsidR="00C24265" w:rsidRDefault="00C24265">
      <w:pPr>
        <w:rPr>
          <w:lang w:val="es-UY"/>
        </w:rPr>
      </w:pPr>
      <w:r>
        <w:rPr>
          <w:lang w:val="es-UY"/>
        </w:rPr>
        <w:br w:type="page"/>
      </w:r>
    </w:p>
    <w:p w:rsidR="002B3ED2" w:rsidRDefault="002B3ED2" w:rsidP="0058328E">
      <w:pPr>
        <w:jc w:val="center"/>
        <w:rPr>
          <w:b/>
          <w:lang w:val="es-UY"/>
        </w:rPr>
        <w:sectPr w:rsidR="002B3ED2" w:rsidSect="00EF7A09">
          <w:pgSz w:w="12240" w:h="15840"/>
          <w:pgMar w:top="1440" w:right="1440" w:bottom="1440" w:left="1440" w:header="720" w:footer="720" w:gutter="0"/>
          <w:cols w:space="720"/>
          <w:docGrid w:linePitch="360"/>
        </w:sectPr>
      </w:pPr>
    </w:p>
    <w:p w:rsidR="0058328E" w:rsidRPr="00DC1DCA" w:rsidRDefault="0058328E" w:rsidP="0058328E">
      <w:pPr>
        <w:jc w:val="center"/>
        <w:rPr>
          <w:b/>
          <w:lang w:val="es-UY"/>
        </w:rPr>
      </w:pPr>
      <w:r>
        <w:rPr>
          <w:b/>
          <w:lang w:val="es-UY"/>
        </w:rPr>
        <w:lastRenderedPageBreak/>
        <w:t xml:space="preserve">Anexo B-Listado de bienes intensivos en conocimiento, según </w:t>
      </w:r>
      <w:r w:rsidR="001C3B33">
        <w:rPr>
          <w:b/>
          <w:lang w:val="es-UY"/>
        </w:rPr>
        <w:t>Sistema armonizado</w:t>
      </w:r>
    </w:p>
    <w:p w:rsidR="002B3ED2" w:rsidRDefault="002B3ED2">
      <w:pPr>
        <w:rPr>
          <w:b/>
          <w:lang w:val="es-UY"/>
        </w:rPr>
        <w:sectPr w:rsidR="002B3ED2" w:rsidSect="00EF7A09">
          <w:pgSz w:w="12240" w:h="15840"/>
          <w:pgMar w:top="1440" w:right="1440" w:bottom="1440" w:left="1440" w:header="720" w:footer="720" w:gutter="0"/>
          <w:cols w:space="720"/>
          <w:docGrid w:linePitch="360"/>
        </w:sectPr>
      </w:pPr>
      <w:r>
        <w:rPr>
          <w:b/>
          <w:lang w:val="es-UY"/>
        </w:rPr>
        <w:t xml:space="preserve">a) </w:t>
      </w:r>
      <w:proofErr w:type="spellStart"/>
      <w:r>
        <w:rPr>
          <w:b/>
          <w:lang w:val="es-UY"/>
        </w:rPr>
        <w:t>Quimicos</w:t>
      </w:r>
      <w:proofErr w:type="spellEnd"/>
    </w:p>
    <w:tbl>
      <w:tblPr>
        <w:tblW w:w="27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2025"/>
      </w:tblGrid>
      <w:tr w:rsidR="002B3ED2" w:rsidRPr="002B3ED2" w:rsidTr="002B3ED2">
        <w:trPr>
          <w:trHeight w:val="300"/>
          <w:tblHeader/>
        </w:trPr>
        <w:tc>
          <w:tcPr>
            <w:tcW w:w="735" w:type="dxa"/>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b/>
                <w:bCs/>
                <w:color w:val="000000"/>
              </w:rPr>
            </w:pPr>
            <w:r w:rsidRPr="002B3ED2">
              <w:rPr>
                <w:rFonts w:ascii="Calibri" w:eastAsia="Times New Roman" w:hAnsi="Calibri" w:cs="Times New Roman"/>
                <w:b/>
                <w:bCs/>
                <w:color w:val="000000"/>
              </w:rPr>
              <w:t>CIIU</w:t>
            </w:r>
          </w:p>
        </w:tc>
        <w:tc>
          <w:tcPr>
            <w:tcW w:w="2025" w:type="dxa"/>
            <w:shd w:val="clear" w:color="auto" w:fill="auto"/>
            <w:noWrap/>
            <w:vAlign w:val="bottom"/>
            <w:hideMark/>
          </w:tcPr>
          <w:p w:rsidR="002B3ED2" w:rsidRPr="002B3ED2" w:rsidRDefault="002B3ED2" w:rsidP="002B3ED2">
            <w:pPr>
              <w:spacing w:after="0" w:line="240" w:lineRule="auto"/>
              <w:jc w:val="center"/>
              <w:rPr>
                <w:rFonts w:ascii="Calibri" w:eastAsia="Times New Roman" w:hAnsi="Calibri" w:cs="Times New Roman"/>
                <w:b/>
                <w:bCs/>
                <w:color w:val="000000"/>
              </w:rPr>
            </w:pPr>
            <w:r w:rsidRPr="002B3ED2">
              <w:rPr>
                <w:rFonts w:ascii="Calibri" w:eastAsia="Times New Roman" w:hAnsi="Calibri" w:cs="Times New Roman"/>
                <w:b/>
                <w:bCs/>
                <w:color w:val="000000"/>
              </w:rPr>
              <w:t>HS6</w:t>
            </w:r>
          </w:p>
        </w:tc>
      </w:tr>
      <w:tr w:rsidR="002B3ED2" w:rsidRPr="002B3ED2" w:rsidTr="002B3ED2">
        <w:trPr>
          <w:trHeight w:val="300"/>
        </w:trPr>
        <w:tc>
          <w:tcPr>
            <w:tcW w:w="735" w:type="dxa"/>
            <w:vMerge w:val="restart"/>
            <w:shd w:val="clear" w:color="auto" w:fill="auto"/>
            <w:noWrap/>
            <w:vAlign w:val="bottom"/>
            <w:hideMark/>
          </w:tcPr>
          <w:p w:rsidR="002B3ED2" w:rsidRDefault="002B3ED2" w:rsidP="002B3ED2">
            <w:pPr>
              <w:spacing w:after="0" w:line="240" w:lineRule="auto"/>
              <w:jc w:val="center"/>
              <w:rPr>
                <w:rFonts w:ascii="Calibri" w:eastAsia="Times New Roman" w:hAnsi="Calibri" w:cs="Times New Roman"/>
                <w:color w:val="000000"/>
              </w:rPr>
            </w:pPr>
            <w:r w:rsidRPr="002B3ED2">
              <w:rPr>
                <w:rFonts w:ascii="Calibri" w:eastAsia="Times New Roman" w:hAnsi="Calibri" w:cs="Times New Roman"/>
                <w:color w:val="000000"/>
              </w:rPr>
              <w:t>2011</w:t>
            </w: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Pr="002B3ED2" w:rsidRDefault="002B3ED2" w:rsidP="002B3ED2">
            <w:pPr>
              <w:spacing w:after="0" w:line="240" w:lineRule="auto"/>
              <w:jc w:val="center"/>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152000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220710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250300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270720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280110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280421</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280440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280610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280700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280920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281122</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281512</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281700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282110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282300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282590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282619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282720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282739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282741</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282890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283210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283311</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283322</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283325</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283329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283340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283529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283539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283630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283650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283699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283919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283990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284290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284440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290511</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290512</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290519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290532</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290539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290544</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290545</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290549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290613</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290621</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290719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290943</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290949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291470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291512</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291539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291560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291570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291619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291631</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291639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291714</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291719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291811</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291812</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291814</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291815</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291816</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291819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291829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292090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292119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292122</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292213</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292219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292241</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292249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292390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292429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292529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292700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292910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292990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293020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293219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293299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293311</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293339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293359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293369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293379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293399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293499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320120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320210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320290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320300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320412</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320414</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320419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320500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320619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340211</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340290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350790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380290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380700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382319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382370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382600</w:t>
            </w:r>
          </w:p>
        </w:tc>
      </w:tr>
      <w:tr w:rsidR="002B3ED2" w:rsidRPr="002B3ED2" w:rsidTr="002B3ED2">
        <w:trPr>
          <w:trHeight w:val="300"/>
        </w:trPr>
        <w:tc>
          <w:tcPr>
            <w:tcW w:w="735" w:type="dxa"/>
            <w:vMerge w:val="restart"/>
            <w:shd w:val="clear" w:color="auto" w:fill="auto"/>
            <w:noWrap/>
            <w:vAlign w:val="bottom"/>
            <w:hideMark/>
          </w:tcPr>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r w:rsidRPr="002B3ED2">
              <w:rPr>
                <w:rFonts w:ascii="Calibri" w:eastAsia="Times New Roman" w:hAnsi="Calibri" w:cs="Times New Roman"/>
                <w:color w:val="000000"/>
              </w:rPr>
              <w:t>2021</w:t>
            </w:r>
          </w:p>
          <w:p w:rsidR="002B3ED2" w:rsidRDefault="002B3ED2" w:rsidP="002B3ED2">
            <w:pPr>
              <w:spacing w:after="0" w:line="240" w:lineRule="auto"/>
              <w:jc w:val="center"/>
              <w:rPr>
                <w:rFonts w:ascii="Calibri" w:eastAsia="Times New Roman" w:hAnsi="Calibri" w:cs="Times New Roman"/>
                <w:color w:val="000000"/>
              </w:rPr>
            </w:pPr>
          </w:p>
          <w:p w:rsidR="002B3ED2" w:rsidRPr="002B3ED2" w:rsidRDefault="002B3ED2" w:rsidP="002B3ED2">
            <w:pPr>
              <w:spacing w:after="0" w:line="240" w:lineRule="auto"/>
              <w:jc w:val="center"/>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380891</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380893</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380894</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380899</w:t>
            </w:r>
          </w:p>
        </w:tc>
      </w:tr>
      <w:tr w:rsidR="002B3ED2" w:rsidRPr="002B3ED2" w:rsidTr="002B3ED2">
        <w:trPr>
          <w:trHeight w:val="300"/>
        </w:trPr>
        <w:tc>
          <w:tcPr>
            <w:tcW w:w="735" w:type="dxa"/>
            <w:vMerge w:val="restart"/>
            <w:shd w:val="clear" w:color="auto" w:fill="auto"/>
            <w:noWrap/>
            <w:vAlign w:val="bottom"/>
            <w:hideMark/>
          </w:tcPr>
          <w:p w:rsidR="002B3ED2" w:rsidRDefault="002B3ED2" w:rsidP="002B3ED2">
            <w:pPr>
              <w:spacing w:after="0" w:line="240" w:lineRule="auto"/>
              <w:jc w:val="center"/>
              <w:rPr>
                <w:rFonts w:ascii="Calibri" w:eastAsia="Times New Roman" w:hAnsi="Calibri" w:cs="Times New Roman"/>
                <w:color w:val="000000"/>
              </w:rPr>
            </w:pPr>
            <w:r w:rsidRPr="002B3ED2">
              <w:rPr>
                <w:rFonts w:ascii="Calibri" w:eastAsia="Times New Roman" w:hAnsi="Calibri" w:cs="Times New Roman"/>
                <w:color w:val="000000"/>
              </w:rPr>
              <w:t>2022</w:t>
            </w: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Pr="002B3ED2" w:rsidRDefault="002B3ED2" w:rsidP="002B3ED2">
            <w:pPr>
              <w:spacing w:after="0" w:line="240" w:lineRule="auto"/>
              <w:jc w:val="center"/>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320417</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320611</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320649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320710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320810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320820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320890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320910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320990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321000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321290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321310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321390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321410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321511</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321519</w:t>
            </w:r>
          </w:p>
        </w:tc>
      </w:tr>
      <w:tr w:rsidR="002B3ED2" w:rsidRPr="002B3ED2" w:rsidTr="002B3ED2">
        <w:trPr>
          <w:trHeight w:val="300"/>
        </w:trPr>
        <w:tc>
          <w:tcPr>
            <w:tcW w:w="735" w:type="dxa"/>
            <w:vMerge w:val="restart"/>
            <w:shd w:val="clear" w:color="auto" w:fill="auto"/>
            <w:noWrap/>
            <w:vAlign w:val="bottom"/>
            <w:hideMark/>
          </w:tcPr>
          <w:p w:rsidR="002B3ED2" w:rsidRDefault="002B3ED2" w:rsidP="002B3ED2">
            <w:pPr>
              <w:spacing w:after="0" w:line="240" w:lineRule="auto"/>
              <w:jc w:val="center"/>
              <w:rPr>
                <w:rFonts w:ascii="Calibri" w:eastAsia="Times New Roman" w:hAnsi="Calibri" w:cs="Times New Roman"/>
                <w:color w:val="000000"/>
              </w:rPr>
            </w:pPr>
            <w:r w:rsidRPr="002B3ED2">
              <w:rPr>
                <w:rFonts w:ascii="Calibri" w:eastAsia="Times New Roman" w:hAnsi="Calibri" w:cs="Times New Roman"/>
                <w:color w:val="000000"/>
              </w:rPr>
              <w:t>2023</w:t>
            </w: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Pr="002B3ED2" w:rsidRDefault="002B3ED2" w:rsidP="002B3ED2">
            <w:pPr>
              <w:spacing w:after="0" w:line="240" w:lineRule="auto"/>
              <w:jc w:val="center"/>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292419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330300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330420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330430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330491</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330499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330510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330590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330710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330720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330749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330790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340120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340212</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340213</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340219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340220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340420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340490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340590</w:t>
            </w:r>
          </w:p>
        </w:tc>
      </w:tr>
      <w:tr w:rsidR="002B3ED2" w:rsidRPr="002B3ED2" w:rsidTr="002B3ED2">
        <w:trPr>
          <w:trHeight w:val="300"/>
        </w:trPr>
        <w:tc>
          <w:tcPr>
            <w:tcW w:w="735" w:type="dxa"/>
            <w:vMerge w:val="restart"/>
            <w:shd w:val="clear" w:color="auto" w:fill="auto"/>
            <w:noWrap/>
            <w:vAlign w:val="bottom"/>
            <w:hideMark/>
          </w:tcPr>
          <w:p w:rsidR="002B3ED2" w:rsidRDefault="002B3ED2" w:rsidP="002B3ED2">
            <w:pPr>
              <w:spacing w:after="0" w:line="240" w:lineRule="auto"/>
              <w:jc w:val="center"/>
              <w:rPr>
                <w:rFonts w:ascii="Calibri" w:eastAsia="Times New Roman" w:hAnsi="Calibri" w:cs="Times New Roman"/>
                <w:color w:val="000000"/>
              </w:rPr>
            </w:pPr>
            <w:r w:rsidRPr="002B3ED2">
              <w:rPr>
                <w:rFonts w:ascii="Calibri" w:eastAsia="Times New Roman" w:hAnsi="Calibri" w:cs="Times New Roman"/>
                <w:color w:val="000000"/>
              </w:rPr>
              <w:t>2029</w:t>
            </w: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Pr="002B3ED2" w:rsidRDefault="002B3ED2" w:rsidP="002B3ED2">
            <w:pPr>
              <w:spacing w:after="0" w:line="240" w:lineRule="auto"/>
              <w:jc w:val="center"/>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lastRenderedPageBreak/>
              <w:t>151800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330112</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330113</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330119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330129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330190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330290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340311</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340319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340391</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340399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340700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350290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350400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350610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350691</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350699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360410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370110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370239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370710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370790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380992</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380993</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381010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381230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381512</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382200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382440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382460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382478</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382490</w:t>
            </w:r>
          </w:p>
        </w:tc>
      </w:tr>
      <w:tr w:rsidR="002B3ED2" w:rsidRPr="002B3ED2" w:rsidTr="002B3ED2">
        <w:trPr>
          <w:trHeight w:val="300"/>
        </w:trPr>
        <w:tc>
          <w:tcPr>
            <w:tcW w:w="735" w:type="dxa"/>
            <w:vMerge w:val="restart"/>
            <w:shd w:val="clear" w:color="auto" w:fill="auto"/>
            <w:noWrap/>
            <w:vAlign w:val="bottom"/>
            <w:hideMark/>
          </w:tcPr>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Default="002B3ED2" w:rsidP="002B3ED2">
            <w:pPr>
              <w:spacing w:after="0" w:line="240" w:lineRule="auto"/>
              <w:jc w:val="center"/>
              <w:rPr>
                <w:rFonts w:ascii="Calibri" w:eastAsia="Times New Roman" w:hAnsi="Calibri" w:cs="Times New Roman"/>
                <w:color w:val="000000"/>
              </w:rPr>
            </w:pPr>
          </w:p>
          <w:p w:rsidR="002B3ED2" w:rsidRPr="002B3ED2" w:rsidRDefault="002B3ED2" w:rsidP="002B3ED2">
            <w:pPr>
              <w:spacing w:after="0" w:line="240" w:lineRule="auto"/>
              <w:jc w:val="center"/>
              <w:rPr>
                <w:rFonts w:ascii="Calibri" w:eastAsia="Times New Roman" w:hAnsi="Calibri" w:cs="Times New Roman"/>
                <w:color w:val="000000"/>
              </w:rPr>
            </w:pPr>
            <w:r w:rsidRPr="002B3ED2">
              <w:rPr>
                <w:rFonts w:ascii="Calibri" w:eastAsia="Times New Roman" w:hAnsi="Calibri" w:cs="Times New Roman"/>
                <w:color w:val="000000"/>
              </w:rPr>
              <w:t>2100</w:t>
            </w: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293621</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293622</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293623</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293624</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293625</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293627</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293628</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293629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293690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293719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293723</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293890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293930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293999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294190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300190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300210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300230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300290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300320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300339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300390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300410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300420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300431</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300432</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300439</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300440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300450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300490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300590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300610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300630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300640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300660</w:t>
            </w:r>
          </w:p>
        </w:tc>
      </w:tr>
      <w:tr w:rsidR="002B3ED2" w:rsidRPr="002B3ED2" w:rsidTr="002B3ED2">
        <w:trPr>
          <w:trHeight w:val="300"/>
        </w:trPr>
        <w:tc>
          <w:tcPr>
            <w:tcW w:w="735" w:type="dxa"/>
            <w:vMerge/>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2025" w:type="dxa"/>
            <w:shd w:val="clear" w:color="auto" w:fill="auto"/>
            <w:noWrap/>
            <w:vAlign w:val="bottom"/>
            <w:hideMark/>
          </w:tcPr>
          <w:p w:rsidR="002B3ED2" w:rsidRPr="002B3ED2" w:rsidRDefault="002B3ED2" w:rsidP="002B3ED2">
            <w:pPr>
              <w:spacing w:after="0" w:line="240" w:lineRule="auto"/>
              <w:ind w:firstLineChars="100" w:firstLine="220"/>
              <w:rPr>
                <w:rFonts w:ascii="Calibri" w:eastAsia="Times New Roman" w:hAnsi="Calibri" w:cs="Times New Roman"/>
                <w:color w:val="000000"/>
              </w:rPr>
            </w:pPr>
            <w:r w:rsidRPr="002B3ED2">
              <w:rPr>
                <w:rFonts w:ascii="Calibri" w:eastAsia="Times New Roman" w:hAnsi="Calibri" w:cs="Times New Roman"/>
                <w:color w:val="000000"/>
              </w:rPr>
              <w:t>300670</w:t>
            </w:r>
          </w:p>
        </w:tc>
      </w:tr>
    </w:tbl>
    <w:p w:rsidR="002B3ED2" w:rsidRDefault="002B3ED2">
      <w:pPr>
        <w:rPr>
          <w:b/>
          <w:lang w:val="es-UY"/>
        </w:rPr>
        <w:sectPr w:rsidR="002B3ED2" w:rsidSect="002B3ED2">
          <w:type w:val="continuous"/>
          <w:pgSz w:w="12240" w:h="15840"/>
          <w:pgMar w:top="1440" w:right="1440" w:bottom="1440" w:left="1440" w:header="720" w:footer="720" w:gutter="0"/>
          <w:cols w:num="4" w:space="720"/>
          <w:docGrid w:linePitch="360"/>
        </w:sectPr>
      </w:pPr>
    </w:p>
    <w:p w:rsidR="002B3ED2" w:rsidRDefault="002B3ED2">
      <w:pPr>
        <w:rPr>
          <w:b/>
          <w:lang w:val="es-UY"/>
        </w:rPr>
      </w:pPr>
    </w:p>
    <w:p w:rsidR="002B3ED2" w:rsidRDefault="002B3ED2">
      <w:pPr>
        <w:rPr>
          <w:b/>
          <w:lang w:val="es-UY"/>
        </w:rPr>
        <w:sectPr w:rsidR="002B3ED2" w:rsidSect="002B3ED2">
          <w:type w:val="continuous"/>
          <w:pgSz w:w="12240" w:h="15840"/>
          <w:pgMar w:top="1440" w:right="1440" w:bottom="1440" w:left="1440" w:header="720" w:footer="720" w:gutter="0"/>
          <w:cols w:space="720"/>
          <w:docGrid w:linePitch="360"/>
        </w:sectPr>
      </w:pPr>
      <w:r>
        <w:rPr>
          <w:b/>
          <w:lang w:val="es-UY"/>
        </w:rPr>
        <w:t>B) Resto</w:t>
      </w:r>
    </w:p>
    <w:tbl>
      <w:tblPr>
        <w:tblW w:w="1920" w:type="dxa"/>
        <w:tblInd w:w="93" w:type="dxa"/>
        <w:tblLook w:val="04A0" w:firstRow="1" w:lastRow="0" w:firstColumn="1" w:lastColumn="0" w:noHBand="0" w:noVBand="1"/>
      </w:tblPr>
      <w:tblGrid>
        <w:gridCol w:w="960"/>
        <w:gridCol w:w="960"/>
      </w:tblGrid>
      <w:tr w:rsidR="002B3ED2" w:rsidRPr="002B3ED2" w:rsidTr="002B3ED2">
        <w:trPr>
          <w:trHeight w:val="300"/>
          <w:tblHead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b/>
                <w:bCs/>
                <w:color w:val="000000"/>
              </w:rPr>
            </w:pPr>
            <w:r w:rsidRPr="002B3ED2">
              <w:rPr>
                <w:rFonts w:ascii="Calibri" w:eastAsia="Times New Roman" w:hAnsi="Calibri" w:cs="Times New Roman"/>
                <w:b/>
                <w:bCs/>
                <w:color w:val="000000"/>
              </w:rPr>
              <w:t>CIIU</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jc w:val="center"/>
              <w:rPr>
                <w:rFonts w:ascii="Calibri" w:eastAsia="Times New Roman" w:hAnsi="Calibri" w:cs="Times New Roman"/>
                <w:b/>
                <w:bCs/>
                <w:color w:val="000000"/>
              </w:rPr>
            </w:pPr>
            <w:r w:rsidRPr="002B3ED2">
              <w:rPr>
                <w:rFonts w:ascii="Calibri" w:eastAsia="Times New Roman" w:hAnsi="Calibri" w:cs="Times New Roman"/>
                <w:b/>
                <w:bCs/>
                <w:color w:val="000000"/>
              </w:rPr>
              <w:t>HS6</w:t>
            </w:r>
          </w:p>
        </w:tc>
      </w:tr>
      <w:tr w:rsidR="002B3ED2" w:rsidRPr="002B3ED2" w:rsidTr="002B3ED2">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jc w:val="center"/>
              <w:rPr>
                <w:rFonts w:ascii="Calibri" w:eastAsia="Times New Roman" w:hAnsi="Calibri" w:cs="Times New Roman"/>
                <w:color w:val="000000"/>
              </w:rPr>
            </w:pPr>
            <w:r w:rsidRPr="002B3ED2">
              <w:rPr>
                <w:rFonts w:ascii="Calibri" w:eastAsia="Times New Roman" w:hAnsi="Calibri" w:cs="Times New Roman"/>
                <w:color w:val="000000"/>
              </w:rPr>
              <w:t>2512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730900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731100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761100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761300</w:t>
            </w:r>
          </w:p>
        </w:tc>
      </w:tr>
      <w:tr w:rsidR="002B3ED2" w:rsidRPr="002B3ED2" w:rsidTr="002B3ED2">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jc w:val="center"/>
              <w:rPr>
                <w:rFonts w:ascii="Calibri" w:eastAsia="Times New Roman" w:hAnsi="Calibri" w:cs="Times New Roman"/>
                <w:color w:val="000000"/>
              </w:rPr>
            </w:pPr>
            <w:r w:rsidRPr="002B3ED2">
              <w:rPr>
                <w:rFonts w:ascii="Calibri" w:eastAsia="Times New Roman" w:hAnsi="Calibri" w:cs="Times New Roman"/>
                <w:color w:val="000000"/>
              </w:rPr>
              <w:t>2630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851190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851290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851711</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851712</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851770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852550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852560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852580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852910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852990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853090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853110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853190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854390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854890</w:t>
            </w:r>
          </w:p>
        </w:tc>
      </w:tr>
      <w:tr w:rsidR="002B3ED2" w:rsidRPr="002B3ED2" w:rsidTr="002B3ED2">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jc w:val="center"/>
              <w:rPr>
                <w:rFonts w:ascii="Calibri" w:eastAsia="Times New Roman" w:hAnsi="Calibri" w:cs="Times New Roman"/>
                <w:color w:val="000000"/>
              </w:rPr>
            </w:pPr>
            <w:r w:rsidRPr="002B3ED2">
              <w:rPr>
                <w:rFonts w:ascii="Calibri" w:eastAsia="Times New Roman" w:hAnsi="Calibri" w:cs="Times New Roman"/>
                <w:color w:val="000000"/>
              </w:rPr>
              <w:t>2660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901819</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902150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902190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902230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902290</w:t>
            </w:r>
          </w:p>
        </w:tc>
      </w:tr>
      <w:tr w:rsidR="002B3ED2" w:rsidRPr="002B3ED2" w:rsidTr="002B3ED2">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jc w:val="center"/>
              <w:rPr>
                <w:rFonts w:ascii="Calibri" w:eastAsia="Times New Roman" w:hAnsi="Calibri" w:cs="Times New Roman"/>
                <w:color w:val="000000"/>
              </w:rPr>
            </w:pPr>
            <w:r w:rsidRPr="002B3ED2">
              <w:rPr>
                <w:rFonts w:ascii="Calibri" w:eastAsia="Times New Roman" w:hAnsi="Calibri" w:cs="Times New Roman"/>
                <w:color w:val="000000"/>
              </w:rPr>
              <w:t>2710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850110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850120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850131</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850132</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850133</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850134</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850140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850151</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850152</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850153</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850161</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850220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850239</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850300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850421</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850422</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850431</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850433</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850434</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850440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850450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850490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853510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853530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853540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853590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853610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853620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853630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853641</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853649</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853650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853661</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853669</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853690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853710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853890</w:t>
            </w:r>
          </w:p>
        </w:tc>
      </w:tr>
      <w:tr w:rsidR="002B3ED2" w:rsidRPr="002B3ED2" w:rsidTr="002B3ED2">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jc w:val="center"/>
              <w:rPr>
                <w:rFonts w:ascii="Calibri" w:eastAsia="Times New Roman" w:hAnsi="Calibri" w:cs="Times New Roman"/>
                <w:color w:val="000000"/>
              </w:rPr>
            </w:pPr>
            <w:r w:rsidRPr="002B3ED2">
              <w:rPr>
                <w:rFonts w:ascii="Calibri" w:eastAsia="Times New Roman" w:hAnsi="Calibri" w:cs="Times New Roman"/>
                <w:color w:val="000000"/>
              </w:rPr>
              <w:t>2731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854470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900110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900130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900150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900290</w:t>
            </w:r>
          </w:p>
        </w:tc>
      </w:tr>
      <w:tr w:rsidR="002B3ED2" w:rsidRPr="002B3ED2" w:rsidTr="002B3ED2">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jc w:val="center"/>
              <w:rPr>
                <w:rFonts w:ascii="Calibri" w:eastAsia="Times New Roman" w:hAnsi="Calibri" w:cs="Times New Roman"/>
                <w:color w:val="000000"/>
              </w:rPr>
            </w:pPr>
            <w:r w:rsidRPr="002B3ED2">
              <w:rPr>
                <w:rFonts w:ascii="Calibri" w:eastAsia="Times New Roman" w:hAnsi="Calibri" w:cs="Times New Roman"/>
                <w:color w:val="000000"/>
              </w:rPr>
              <w:t>2732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854411</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854420</w:t>
            </w:r>
          </w:p>
        </w:tc>
      </w:tr>
      <w:tr w:rsidR="002B3ED2" w:rsidRPr="002B3ED2" w:rsidTr="002B3ED2">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854442</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854449</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854460</w:t>
            </w:r>
          </w:p>
        </w:tc>
      </w:tr>
      <w:tr w:rsidR="002B3ED2" w:rsidRPr="002B3ED2" w:rsidTr="002B3ED2">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jc w:val="center"/>
              <w:rPr>
                <w:rFonts w:ascii="Calibri" w:eastAsia="Times New Roman" w:hAnsi="Calibri" w:cs="Times New Roman"/>
                <w:color w:val="000000"/>
              </w:rPr>
            </w:pPr>
            <w:r w:rsidRPr="002B3ED2">
              <w:rPr>
                <w:rFonts w:ascii="Calibri" w:eastAsia="Times New Roman" w:hAnsi="Calibri" w:cs="Times New Roman"/>
                <w:color w:val="000000"/>
              </w:rPr>
              <w:t>2733</w:t>
            </w: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854690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854790</w:t>
            </w:r>
          </w:p>
        </w:tc>
      </w:tr>
      <w:tr w:rsidR="002B3ED2" w:rsidRPr="002B3ED2" w:rsidTr="002B3ED2">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jc w:val="center"/>
              <w:rPr>
                <w:rFonts w:ascii="Calibri" w:eastAsia="Times New Roman" w:hAnsi="Calibri" w:cs="Times New Roman"/>
                <w:color w:val="000000"/>
              </w:rPr>
            </w:pPr>
            <w:r w:rsidRPr="002B3ED2">
              <w:rPr>
                <w:rFonts w:ascii="Calibri" w:eastAsia="Times New Roman" w:hAnsi="Calibri" w:cs="Times New Roman"/>
                <w:color w:val="000000"/>
              </w:rPr>
              <w:t>2740</w:t>
            </w: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851110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851120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851130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851140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851150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851180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851220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851230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851240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851310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853910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853921</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853929</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853931</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853932</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853939</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853949</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940510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940520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940540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940550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940560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940599</w:t>
            </w:r>
          </w:p>
        </w:tc>
      </w:tr>
      <w:tr w:rsidR="002B3ED2" w:rsidRPr="002B3ED2" w:rsidTr="002B3ED2">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jc w:val="center"/>
              <w:rPr>
                <w:rFonts w:ascii="Calibri" w:eastAsia="Times New Roman" w:hAnsi="Calibri" w:cs="Times New Roman"/>
                <w:color w:val="000000"/>
              </w:rPr>
            </w:pPr>
            <w:r w:rsidRPr="002B3ED2">
              <w:rPr>
                <w:rFonts w:ascii="Calibri" w:eastAsia="Times New Roman" w:hAnsi="Calibri" w:cs="Times New Roman"/>
                <w:color w:val="000000"/>
              </w:rPr>
              <w:t>2825</w:t>
            </w: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841931</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843710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843780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843790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843810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843830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843850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843890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847810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847890</w:t>
            </w:r>
          </w:p>
        </w:tc>
      </w:tr>
      <w:tr w:rsidR="002B3ED2" w:rsidRPr="002B3ED2" w:rsidTr="002B3ED2">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jc w:val="center"/>
              <w:rPr>
                <w:rFonts w:ascii="Calibri" w:eastAsia="Times New Roman" w:hAnsi="Calibri" w:cs="Times New Roman"/>
                <w:color w:val="000000"/>
              </w:rPr>
            </w:pPr>
            <w:r w:rsidRPr="002B3ED2">
              <w:rPr>
                <w:rFonts w:ascii="Calibri" w:eastAsia="Times New Roman" w:hAnsi="Calibri" w:cs="Times New Roman"/>
                <w:color w:val="000000"/>
              </w:rPr>
              <w:t>2829</w:t>
            </w: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841932</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841939</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844180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844230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844316</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847720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847730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847740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847780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847790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847950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847982</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847989</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847990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850819</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850860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950890</w:t>
            </w:r>
          </w:p>
        </w:tc>
      </w:tr>
      <w:tr w:rsidR="002B3ED2" w:rsidRPr="002B3ED2" w:rsidTr="002B3ED2">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jc w:val="center"/>
              <w:rPr>
                <w:rFonts w:ascii="Calibri" w:eastAsia="Times New Roman" w:hAnsi="Calibri" w:cs="Times New Roman"/>
                <w:color w:val="000000"/>
              </w:rPr>
            </w:pPr>
            <w:r w:rsidRPr="002B3ED2">
              <w:rPr>
                <w:rFonts w:ascii="Calibri" w:eastAsia="Times New Roman" w:hAnsi="Calibri" w:cs="Times New Roman"/>
                <w:color w:val="000000"/>
              </w:rPr>
              <w:t>3250</w:t>
            </w: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900311</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900319</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900390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900410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900490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901831</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901832</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901839</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901850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901890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901910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901920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902000</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902139</w:t>
            </w:r>
          </w:p>
        </w:tc>
      </w:tr>
      <w:tr w:rsidR="002B3ED2" w:rsidRPr="002B3ED2" w:rsidTr="002B3ED2">
        <w:trPr>
          <w:trHeight w:val="300"/>
        </w:trPr>
        <w:tc>
          <w:tcPr>
            <w:tcW w:w="960" w:type="dxa"/>
            <w:vMerge/>
            <w:tcBorders>
              <w:top w:val="nil"/>
              <w:left w:val="single" w:sz="4" w:space="0" w:color="auto"/>
              <w:bottom w:val="single" w:sz="4" w:space="0" w:color="auto"/>
              <w:right w:val="single" w:sz="4" w:space="0" w:color="auto"/>
            </w:tcBorders>
            <w:vAlign w:val="center"/>
            <w:hideMark/>
          </w:tcPr>
          <w:p w:rsidR="002B3ED2" w:rsidRPr="002B3ED2" w:rsidRDefault="002B3ED2" w:rsidP="002B3ED2">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2B3ED2" w:rsidRPr="002B3ED2" w:rsidRDefault="002B3ED2" w:rsidP="002B3ED2">
            <w:pPr>
              <w:spacing w:after="0" w:line="240" w:lineRule="auto"/>
              <w:rPr>
                <w:rFonts w:ascii="Calibri" w:eastAsia="Times New Roman" w:hAnsi="Calibri" w:cs="Times New Roman"/>
                <w:color w:val="000000"/>
              </w:rPr>
            </w:pPr>
            <w:r w:rsidRPr="002B3ED2">
              <w:rPr>
                <w:rFonts w:ascii="Calibri" w:eastAsia="Times New Roman" w:hAnsi="Calibri" w:cs="Times New Roman"/>
                <w:color w:val="000000"/>
              </w:rPr>
              <w:t>940210</w:t>
            </w:r>
          </w:p>
        </w:tc>
      </w:tr>
    </w:tbl>
    <w:p w:rsidR="0058328E" w:rsidRDefault="0058328E">
      <w:pPr>
        <w:rPr>
          <w:b/>
          <w:lang w:val="es-UY"/>
        </w:rPr>
      </w:pPr>
      <w:r>
        <w:rPr>
          <w:b/>
          <w:lang w:val="es-UY"/>
        </w:rPr>
        <w:br w:type="page"/>
      </w:r>
    </w:p>
    <w:p w:rsidR="002B3ED2" w:rsidRDefault="002B3ED2" w:rsidP="00C24265">
      <w:pPr>
        <w:jc w:val="both"/>
        <w:rPr>
          <w:b/>
          <w:lang w:val="es-UY"/>
        </w:rPr>
        <w:sectPr w:rsidR="002B3ED2" w:rsidSect="002B3ED2">
          <w:type w:val="continuous"/>
          <w:pgSz w:w="12240" w:h="15840"/>
          <w:pgMar w:top="1440" w:right="1440" w:bottom="1440" w:left="1440" w:header="720" w:footer="720" w:gutter="0"/>
          <w:cols w:num="4" w:space="720"/>
          <w:docGrid w:linePitch="360"/>
        </w:sectPr>
      </w:pPr>
    </w:p>
    <w:p w:rsidR="00C24265" w:rsidRPr="00C24265" w:rsidRDefault="0058328E" w:rsidP="00C24265">
      <w:pPr>
        <w:jc w:val="both"/>
        <w:rPr>
          <w:b/>
          <w:lang w:val="es-UY"/>
        </w:rPr>
      </w:pPr>
      <w:r>
        <w:rPr>
          <w:b/>
          <w:lang w:val="es-UY"/>
        </w:rPr>
        <w:lastRenderedPageBreak/>
        <w:t>Anexo C</w:t>
      </w:r>
      <w:r w:rsidR="00C24265" w:rsidRPr="00C24265">
        <w:rPr>
          <w:b/>
          <w:lang w:val="es-UY"/>
        </w:rPr>
        <w:t>- Comparación de tres fuentes de exportaciones de servicios</w:t>
      </w:r>
    </w:p>
    <w:p w:rsidR="00C24265" w:rsidRDefault="00C24265" w:rsidP="00C24265">
      <w:pPr>
        <w:jc w:val="both"/>
        <w:rPr>
          <w:lang w:val="es-UY"/>
        </w:rPr>
      </w:pPr>
      <w:r>
        <w:rPr>
          <w:lang w:val="es-UY"/>
        </w:rPr>
        <w:t xml:space="preserve">El presente cuadro compara las tres estimaciones que hay para el segmento de servicios e intenta determinar un criterio para la determinación de una línea de base para la evaluación del proyecto desde una perspectiva global, que sea independiente de los beneficiarios del proyecto.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2"/>
        <w:gridCol w:w="969"/>
        <w:gridCol w:w="2107"/>
        <w:gridCol w:w="703"/>
        <w:gridCol w:w="2201"/>
        <w:gridCol w:w="628"/>
      </w:tblGrid>
      <w:tr w:rsidR="00C24265" w:rsidRPr="002203F3" w:rsidTr="00447648">
        <w:trPr>
          <w:trHeight w:val="300"/>
        </w:trPr>
        <w:tc>
          <w:tcPr>
            <w:tcW w:w="1984" w:type="pct"/>
            <w:gridSpan w:val="2"/>
            <w:shd w:val="clear" w:color="auto" w:fill="auto"/>
            <w:noWrap/>
            <w:vAlign w:val="bottom"/>
            <w:hideMark/>
          </w:tcPr>
          <w:p w:rsidR="00C24265" w:rsidRPr="007A30D0" w:rsidRDefault="00C24265" w:rsidP="00447648">
            <w:pPr>
              <w:spacing w:after="0" w:line="240" w:lineRule="auto"/>
              <w:rPr>
                <w:rFonts w:ascii="Calibri" w:eastAsia="Times New Roman" w:hAnsi="Calibri" w:cs="Times New Roman"/>
                <w:b/>
                <w:color w:val="000000"/>
                <w:lang w:val="es-UY"/>
              </w:rPr>
            </w:pPr>
            <w:r w:rsidRPr="007A30D0">
              <w:rPr>
                <w:b/>
                <w:lang w:val="es-UY"/>
              </w:rPr>
              <w:t xml:space="preserve"> Banco Central del Uruguay</w:t>
            </w:r>
          </w:p>
        </w:tc>
        <w:tc>
          <w:tcPr>
            <w:tcW w:w="1503" w:type="pct"/>
            <w:gridSpan w:val="2"/>
            <w:vAlign w:val="bottom"/>
          </w:tcPr>
          <w:p w:rsidR="00C24265" w:rsidRPr="007A30D0" w:rsidRDefault="00C24265" w:rsidP="00447648">
            <w:pPr>
              <w:spacing w:after="0" w:line="240" w:lineRule="auto"/>
              <w:rPr>
                <w:b/>
                <w:lang w:val="es-UY"/>
              </w:rPr>
            </w:pPr>
            <w:r>
              <w:rPr>
                <w:b/>
                <w:lang w:val="es-UY"/>
              </w:rPr>
              <w:t>Uruguay XXI</w:t>
            </w:r>
          </w:p>
        </w:tc>
        <w:tc>
          <w:tcPr>
            <w:tcW w:w="1513" w:type="pct"/>
            <w:gridSpan w:val="2"/>
          </w:tcPr>
          <w:p w:rsidR="00C24265" w:rsidRDefault="00C24265" w:rsidP="00447648">
            <w:pPr>
              <w:spacing w:after="0" w:line="240" w:lineRule="auto"/>
              <w:rPr>
                <w:b/>
                <w:lang w:val="es-UY"/>
              </w:rPr>
            </w:pPr>
            <w:r>
              <w:rPr>
                <w:b/>
                <w:lang w:val="es-UY"/>
              </w:rPr>
              <w:t>CUTI (año 2015)</w:t>
            </w:r>
          </w:p>
        </w:tc>
      </w:tr>
      <w:tr w:rsidR="00C24265" w:rsidRPr="002203F3" w:rsidTr="00447648">
        <w:trPr>
          <w:trHeight w:val="300"/>
        </w:trPr>
        <w:tc>
          <w:tcPr>
            <w:tcW w:w="1466" w:type="pct"/>
            <w:shd w:val="clear" w:color="auto" w:fill="auto"/>
            <w:noWrap/>
            <w:vAlign w:val="bottom"/>
            <w:hideMark/>
          </w:tcPr>
          <w:p w:rsidR="00C24265" w:rsidRPr="007A30D0" w:rsidRDefault="00C24265" w:rsidP="00447648">
            <w:pPr>
              <w:spacing w:after="0" w:line="240" w:lineRule="auto"/>
              <w:rPr>
                <w:rFonts w:ascii="Calibri" w:eastAsia="Times New Roman" w:hAnsi="Calibri" w:cs="Times New Roman"/>
                <w:b/>
                <w:color w:val="000000"/>
                <w:lang w:val="es-UY"/>
              </w:rPr>
            </w:pPr>
            <w:r>
              <w:rPr>
                <w:rFonts w:ascii="Calibri" w:eastAsia="Times New Roman" w:hAnsi="Calibri" w:cs="Times New Roman"/>
                <w:b/>
                <w:color w:val="000000"/>
                <w:lang w:val="es-UY"/>
              </w:rPr>
              <w:t xml:space="preserve"> </w:t>
            </w:r>
            <w:r w:rsidRPr="007A30D0">
              <w:rPr>
                <w:rFonts w:ascii="Calibri" w:eastAsia="Times New Roman" w:hAnsi="Calibri" w:cs="Times New Roman"/>
                <w:b/>
                <w:color w:val="000000"/>
                <w:lang w:val="es-UY"/>
              </w:rPr>
              <w:t>Intensivos en conocimiento TIC</w:t>
            </w:r>
          </w:p>
        </w:tc>
        <w:tc>
          <w:tcPr>
            <w:tcW w:w="518" w:type="pct"/>
            <w:vAlign w:val="bottom"/>
          </w:tcPr>
          <w:p w:rsidR="00C24265" w:rsidRPr="002203F3" w:rsidRDefault="00C24265" w:rsidP="00447648">
            <w:pPr>
              <w:spacing w:after="0" w:line="240" w:lineRule="auto"/>
              <w:jc w:val="right"/>
              <w:rPr>
                <w:rFonts w:ascii="Calibri" w:eastAsia="Times New Roman" w:hAnsi="Calibri" w:cs="Times New Roman"/>
                <w:b/>
                <w:bCs/>
                <w:color w:val="000000"/>
              </w:rPr>
            </w:pPr>
            <w:r>
              <w:rPr>
                <w:rFonts w:ascii="Calibri" w:eastAsia="Times New Roman" w:hAnsi="Calibri" w:cs="Times New Roman"/>
                <w:b/>
                <w:bCs/>
                <w:color w:val="000000"/>
              </w:rPr>
              <w:t>1421</w:t>
            </w:r>
          </w:p>
        </w:tc>
        <w:tc>
          <w:tcPr>
            <w:tcW w:w="1127" w:type="pct"/>
            <w:vAlign w:val="bottom"/>
          </w:tcPr>
          <w:p w:rsidR="00C24265" w:rsidRPr="007A30D0" w:rsidRDefault="00C24265" w:rsidP="00447648">
            <w:pPr>
              <w:spacing w:after="0" w:line="240" w:lineRule="auto"/>
              <w:rPr>
                <w:rFonts w:ascii="Calibri" w:eastAsia="Times New Roman" w:hAnsi="Calibri" w:cs="Times New Roman"/>
                <w:b/>
                <w:color w:val="000000"/>
                <w:lang w:val="es-UY"/>
              </w:rPr>
            </w:pPr>
            <w:r w:rsidRPr="007A30D0">
              <w:rPr>
                <w:rFonts w:ascii="Calibri" w:eastAsia="Times New Roman" w:hAnsi="Calibri" w:cs="Times New Roman"/>
                <w:b/>
                <w:color w:val="000000"/>
                <w:lang w:val="es-UY"/>
              </w:rPr>
              <w:t>Intensivos en conocimiento TIC</w:t>
            </w:r>
          </w:p>
        </w:tc>
        <w:tc>
          <w:tcPr>
            <w:tcW w:w="376" w:type="pct"/>
            <w:shd w:val="clear" w:color="auto" w:fill="auto"/>
            <w:noWrap/>
            <w:vAlign w:val="bottom"/>
            <w:hideMark/>
          </w:tcPr>
          <w:p w:rsidR="00C24265" w:rsidRPr="002203F3" w:rsidRDefault="00C24265" w:rsidP="00447648">
            <w:pPr>
              <w:spacing w:after="0" w:line="240" w:lineRule="auto"/>
              <w:jc w:val="right"/>
              <w:rPr>
                <w:rFonts w:ascii="Calibri" w:eastAsia="Times New Roman" w:hAnsi="Calibri" w:cs="Times New Roman"/>
                <w:b/>
                <w:bCs/>
                <w:color w:val="000000"/>
              </w:rPr>
            </w:pPr>
            <w:r>
              <w:rPr>
                <w:rFonts w:ascii="Calibri" w:eastAsia="Times New Roman" w:hAnsi="Calibri" w:cs="Times New Roman"/>
                <w:b/>
                <w:bCs/>
                <w:color w:val="000000"/>
              </w:rPr>
              <w:t>1707</w:t>
            </w:r>
          </w:p>
        </w:tc>
        <w:tc>
          <w:tcPr>
            <w:tcW w:w="1177" w:type="pct"/>
          </w:tcPr>
          <w:p w:rsidR="00C24265" w:rsidRDefault="00C24265" w:rsidP="00447648">
            <w:pPr>
              <w:spacing w:after="0" w:line="240" w:lineRule="auto"/>
              <w:jc w:val="right"/>
              <w:rPr>
                <w:rFonts w:ascii="Calibri" w:eastAsia="Times New Roman" w:hAnsi="Calibri" w:cs="Times New Roman"/>
                <w:b/>
                <w:bCs/>
                <w:color w:val="000000"/>
              </w:rPr>
            </w:pPr>
            <w:r>
              <w:rPr>
                <w:rFonts w:ascii="Calibri" w:eastAsia="Times New Roman" w:hAnsi="Calibri" w:cs="Times New Roman"/>
                <w:b/>
                <w:bCs/>
                <w:color w:val="000000"/>
              </w:rPr>
              <w:t>Ventas al exterior</w:t>
            </w:r>
          </w:p>
        </w:tc>
        <w:tc>
          <w:tcPr>
            <w:tcW w:w="336" w:type="pct"/>
          </w:tcPr>
          <w:p w:rsidR="00C24265" w:rsidRDefault="00C24265" w:rsidP="00447648">
            <w:pPr>
              <w:spacing w:after="0" w:line="240" w:lineRule="auto"/>
              <w:jc w:val="right"/>
              <w:rPr>
                <w:rFonts w:ascii="Calibri" w:eastAsia="Times New Roman" w:hAnsi="Calibri" w:cs="Times New Roman"/>
                <w:b/>
                <w:bCs/>
                <w:color w:val="000000"/>
              </w:rPr>
            </w:pPr>
            <w:r>
              <w:rPr>
                <w:rFonts w:ascii="Calibri" w:eastAsia="Times New Roman" w:hAnsi="Calibri" w:cs="Times New Roman"/>
                <w:b/>
                <w:bCs/>
                <w:color w:val="000000"/>
              </w:rPr>
              <w:t>344</w:t>
            </w:r>
          </w:p>
        </w:tc>
      </w:tr>
      <w:tr w:rsidR="00C24265" w:rsidRPr="002203F3" w:rsidTr="00447648">
        <w:trPr>
          <w:trHeight w:val="300"/>
        </w:trPr>
        <w:tc>
          <w:tcPr>
            <w:tcW w:w="1466" w:type="pct"/>
            <w:shd w:val="clear" w:color="auto" w:fill="auto"/>
            <w:noWrap/>
            <w:vAlign w:val="bottom"/>
            <w:hideMark/>
          </w:tcPr>
          <w:p w:rsidR="00C24265" w:rsidRPr="002203F3" w:rsidRDefault="00C24265" w:rsidP="00447648">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 </w:t>
            </w:r>
            <w:r w:rsidRPr="002203F3">
              <w:rPr>
                <w:rFonts w:ascii="Calibri" w:eastAsia="Times New Roman" w:hAnsi="Calibri" w:cs="Times New Roman"/>
                <w:color w:val="000000"/>
              </w:rPr>
              <w:t>Servicios de telecomunicaciones</w:t>
            </w:r>
          </w:p>
        </w:tc>
        <w:tc>
          <w:tcPr>
            <w:tcW w:w="518" w:type="pct"/>
            <w:vAlign w:val="bottom"/>
          </w:tcPr>
          <w:p w:rsidR="00C24265" w:rsidRPr="002203F3" w:rsidRDefault="00C24265" w:rsidP="00447648">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142</w:t>
            </w:r>
          </w:p>
        </w:tc>
        <w:tc>
          <w:tcPr>
            <w:tcW w:w="1127" w:type="pct"/>
            <w:vAlign w:val="bottom"/>
          </w:tcPr>
          <w:p w:rsidR="00C24265" w:rsidRPr="002203F3" w:rsidRDefault="00C24265" w:rsidP="00447648">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TICs</w:t>
            </w:r>
          </w:p>
        </w:tc>
        <w:tc>
          <w:tcPr>
            <w:tcW w:w="376" w:type="pct"/>
            <w:shd w:val="clear" w:color="auto" w:fill="auto"/>
            <w:noWrap/>
            <w:vAlign w:val="bottom"/>
            <w:hideMark/>
          </w:tcPr>
          <w:p w:rsidR="00C24265" w:rsidRPr="002203F3" w:rsidRDefault="00C24265" w:rsidP="00447648">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382</w:t>
            </w:r>
          </w:p>
        </w:tc>
        <w:tc>
          <w:tcPr>
            <w:tcW w:w="1177" w:type="pct"/>
          </w:tcPr>
          <w:p w:rsidR="00C24265" w:rsidRDefault="00C24265" w:rsidP="00447648">
            <w:pPr>
              <w:spacing w:after="0" w:line="240" w:lineRule="auto"/>
              <w:jc w:val="right"/>
              <w:rPr>
                <w:rFonts w:ascii="Calibri" w:eastAsia="Times New Roman" w:hAnsi="Calibri" w:cs="Times New Roman"/>
                <w:color w:val="000000"/>
              </w:rPr>
            </w:pPr>
            <w:proofErr w:type="spellStart"/>
            <w:r w:rsidRPr="0089163D">
              <w:rPr>
                <w:rFonts w:ascii="Calibri" w:eastAsia="Times New Roman" w:hAnsi="Calibri" w:cs="Times New Roman"/>
                <w:color w:val="000000"/>
                <w:lang w:val="es-UY"/>
              </w:rPr>
              <w:t>Exportacione</w:t>
            </w:r>
            <w:proofErr w:type="spellEnd"/>
            <w:r>
              <w:rPr>
                <w:rFonts w:ascii="Calibri" w:eastAsia="Times New Roman" w:hAnsi="Calibri" w:cs="Times New Roman"/>
                <w:color w:val="000000"/>
              </w:rPr>
              <w:t>s</w:t>
            </w:r>
          </w:p>
        </w:tc>
        <w:tc>
          <w:tcPr>
            <w:tcW w:w="336" w:type="pct"/>
          </w:tcPr>
          <w:p w:rsidR="00C24265" w:rsidRPr="0089163D" w:rsidRDefault="00C24265" w:rsidP="00447648">
            <w:pPr>
              <w:spacing w:after="0" w:line="240" w:lineRule="auto"/>
              <w:jc w:val="right"/>
              <w:rPr>
                <w:rFonts w:ascii="Calibri" w:eastAsia="Times New Roman" w:hAnsi="Calibri" w:cs="Times New Roman"/>
                <w:color w:val="000000"/>
              </w:rPr>
            </w:pPr>
            <w:r w:rsidRPr="0089163D">
              <w:rPr>
                <w:rFonts w:ascii="Calibri" w:eastAsia="Times New Roman" w:hAnsi="Calibri" w:cs="Times New Roman"/>
                <w:color w:val="000000"/>
              </w:rPr>
              <w:t>276</w:t>
            </w:r>
          </w:p>
        </w:tc>
      </w:tr>
      <w:tr w:rsidR="00C24265" w:rsidRPr="0089163D" w:rsidTr="00447648">
        <w:trPr>
          <w:trHeight w:val="300"/>
        </w:trPr>
        <w:tc>
          <w:tcPr>
            <w:tcW w:w="1466" w:type="pct"/>
            <w:shd w:val="clear" w:color="auto" w:fill="auto"/>
            <w:noWrap/>
            <w:vAlign w:val="bottom"/>
            <w:hideMark/>
          </w:tcPr>
          <w:p w:rsidR="00C24265" w:rsidRPr="002203F3" w:rsidRDefault="00C24265" w:rsidP="00447648">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 </w:t>
            </w:r>
            <w:r w:rsidRPr="002203F3">
              <w:rPr>
                <w:rFonts w:ascii="Calibri" w:eastAsia="Times New Roman" w:hAnsi="Calibri" w:cs="Times New Roman"/>
                <w:color w:val="000000"/>
              </w:rPr>
              <w:t>Servicios informáticos</w:t>
            </w:r>
          </w:p>
        </w:tc>
        <w:tc>
          <w:tcPr>
            <w:tcW w:w="518" w:type="pct"/>
            <w:vAlign w:val="bottom"/>
          </w:tcPr>
          <w:p w:rsidR="00C24265" w:rsidRPr="002203F3" w:rsidRDefault="00C24265" w:rsidP="00447648">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163</w:t>
            </w:r>
          </w:p>
        </w:tc>
        <w:tc>
          <w:tcPr>
            <w:tcW w:w="1127" w:type="pct"/>
            <w:vAlign w:val="bottom"/>
          </w:tcPr>
          <w:p w:rsidR="00C24265" w:rsidRPr="005B701A" w:rsidRDefault="00C24265" w:rsidP="00447648">
            <w:pPr>
              <w:spacing w:after="0" w:line="240" w:lineRule="auto"/>
              <w:rPr>
                <w:rFonts w:ascii="Calibri" w:eastAsia="Times New Roman" w:hAnsi="Calibri" w:cs="Times New Roman"/>
                <w:color w:val="000000"/>
                <w:lang w:val="es-UY"/>
              </w:rPr>
            </w:pPr>
            <w:r w:rsidRPr="005B701A">
              <w:rPr>
                <w:rFonts w:ascii="Calibri" w:eastAsia="Times New Roman" w:hAnsi="Calibri" w:cs="Times New Roman"/>
                <w:color w:val="000000"/>
                <w:lang w:val="es-UY"/>
              </w:rPr>
              <w:t>Servicios Profesionales científicos y t</w:t>
            </w:r>
            <w:r>
              <w:rPr>
                <w:rFonts w:ascii="Calibri" w:eastAsia="Times New Roman" w:hAnsi="Calibri" w:cs="Times New Roman"/>
                <w:color w:val="000000"/>
                <w:lang w:val="es-UY"/>
              </w:rPr>
              <w:t>écnicos</w:t>
            </w:r>
          </w:p>
        </w:tc>
        <w:tc>
          <w:tcPr>
            <w:tcW w:w="376" w:type="pct"/>
            <w:shd w:val="clear" w:color="auto" w:fill="auto"/>
            <w:noWrap/>
            <w:hideMark/>
          </w:tcPr>
          <w:p w:rsidR="00C24265" w:rsidRPr="0089163D" w:rsidRDefault="00C24265" w:rsidP="00447648">
            <w:pPr>
              <w:spacing w:after="0" w:line="240" w:lineRule="auto"/>
              <w:jc w:val="right"/>
              <w:rPr>
                <w:rFonts w:ascii="Calibri" w:eastAsia="Times New Roman" w:hAnsi="Calibri" w:cs="Times New Roman"/>
                <w:color w:val="000000"/>
              </w:rPr>
            </w:pPr>
            <w:r w:rsidRPr="0089163D">
              <w:rPr>
                <w:rFonts w:ascii="Calibri" w:eastAsia="Times New Roman" w:hAnsi="Calibri" w:cs="Times New Roman"/>
                <w:color w:val="000000"/>
              </w:rPr>
              <w:t>521</w:t>
            </w:r>
          </w:p>
        </w:tc>
        <w:tc>
          <w:tcPr>
            <w:tcW w:w="1177" w:type="pct"/>
          </w:tcPr>
          <w:p w:rsidR="00C24265" w:rsidRDefault="00C24265" w:rsidP="00447648">
            <w:pPr>
              <w:spacing w:after="0" w:line="240" w:lineRule="auto"/>
              <w:rPr>
                <w:rFonts w:ascii="Calibri" w:hAnsi="Calibri"/>
                <w:color w:val="000000"/>
                <w:lang w:val="es-UY"/>
              </w:rPr>
            </w:pPr>
            <w:r w:rsidRPr="0089163D">
              <w:rPr>
                <w:rFonts w:ascii="Calibri" w:eastAsia="Times New Roman" w:hAnsi="Calibri" w:cs="Times New Roman"/>
                <w:color w:val="000000"/>
                <w:lang w:val="es-UY"/>
              </w:rPr>
              <w:t>Desde filiales del exterior (proporción estimada según 2014)</w:t>
            </w:r>
          </w:p>
        </w:tc>
        <w:tc>
          <w:tcPr>
            <w:tcW w:w="336" w:type="pct"/>
          </w:tcPr>
          <w:p w:rsidR="00C24265" w:rsidRPr="0089163D" w:rsidRDefault="00C24265" w:rsidP="00447648">
            <w:pPr>
              <w:spacing w:after="0" w:line="240" w:lineRule="auto"/>
              <w:jc w:val="right"/>
              <w:rPr>
                <w:rFonts w:ascii="Calibri" w:eastAsia="Times New Roman" w:hAnsi="Calibri" w:cs="Times New Roman"/>
                <w:color w:val="000000"/>
              </w:rPr>
            </w:pPr>
            <w:r w:rsidRPr="0089163D">
              <w:rPr>
                <w:rFonts w:ascii="Calibri" w:eastAsia="Times New Roman" w:hAnsi="Calibri" w:cs="Times New Roman"/>
                <w:color w:val="000000"/>
              </w:rPr>
              <w:t>68</w:t>
            </w:r>
          </w:p>
        </w:tc>
      </w:tr>
      <w:tr w:rsidR="00C24265" w:rsidRPr="002203F3" w:rsidTr="00447648">
        <w:trPr>
          <w:trHeight w:val="300"/>
        </w:trPr>
        <w:tc>
          <w:tcPr>
            <w:tcW w:w="1466" w:type="pct"/>
            <w:shd w:val="clear" w:color="auto" w:fill="auto"/>
            <w:noWrap/>
            <w:vAlign w:val="bottom"/>
            <w:hideMark/>
          </w:tcPr>
          <w:p w:rsidR="00C24265" w:rsidRPr="002203F3" w:rsidRDefault="00C24265" w:rsidP="00447648">
            <w:pPr>
              <w:spacing w:after="0" w:line="240" w:lineRule="auto"/>
              <w:rPr>
                <w:rFonts w:ascii="Calibri" w:eastAsia="Times New Roman" w:hAnsi="Calibri" w:cs="Times New Roman"/>
                <w:color w:val="000000"/>
                <w:lang w:val="es-UY"/>
              </w:rPr>
            </w:pPr>
            <w:r w:rsidRPr="002203F3">
              <w:rPr>
                <w:rFonts w:ascii="Calibri" w:eastAsia="Times New Roman" w:hAnsi="Calibri" w:cs="Times New Roman"/>
                <w:color w:val="000000"/>
                <w:lang w:val="es-UY"/>
              </w:rPr>
              <w:t xml:space="preserve"> Servicios profesionales y de consultoría en administración de empresas</w:t>
            </w:r>
          </w:p>
        </w:tc>
        <w:tc>
          <w:tcPr>
            <w:tcW w:w="518" w:type="pct"/>
            <w:vAlign w:val="bottom"/>
          </w:tcPr>
          <w:p w:rsidR="00C24265" w:rsidRPr="002203F3" w:rsidRDefault="00C24265" w:rsidP="00447648">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1,112</w:t>
            </w:r>
          </w:p>
        </w:tc>
        <w:tc>
          <w:tcPr>
            <w:tcW w:w="1127" w:type="pct"/>
            <w:vAlign w:val="bottom"/>
          </w:tcPr>
          <w:p w:rsidR="00C24265" w:rsidRPr="005B701A" w:rsidRDefault="00C24265" w:rsidP="00447648">
            <w:pPr>
              <w:spacing w:after="0" w:line="240" w:lineRule="auto"/>
              <w:rPr>
                <w:rFonts w:ascii="Calibri" w:eastAsia="Times New Roman" w:hAnsi="Calibri" w:cs="Times New Roman"/>
                <w:color w:val="000000"/>
                <w:lang w:val="es-UY"/>
              </w:rPr>
            </w:pPr>
            <w:r w:rsidRPr="005B701A">
              <w:rPr>
                <w:rFonts w:ascii="Calibri" w:eastAsia="Times New Roman" w:hAnsi="Calibri" w:cs="Times New Roman"/>
                <w:color w:val="000000"/>
                <w:lang w:val="es-UY"/>
              </w:rPr>
              <w:t>Servicios administrativos y de apoyo</w:t>
            </w:r>
          </w:p>
        </w:tc>
        <w:tc>
          <w:tcPr>
            <w:tcW w:w="376" w:type="pct"/>
            <w:shd w:val="clear" w:color="auto" w:fill="auto"/>
            <w:noWrap/>
            <w:hideMark/>
          </w:tcPr>
          <w:p w:rsidR="00C24265" w:rsidRPr="0089163D" w:rsidRDefault="00C24265" w:rsidP="00447648">
            <w:pPr>
              <w:spacing w:after="0" w:line="240" w:lineRule="auto"/>
              <w:jc w:val="right"/>
              <w:rPr>
                <w:rFonts w:ascii="Calibri" w:eastAsia="Times New Roman" w:hAnsi="Calibri" w:cs="Times New Roman"/>
                <w:color w:val="000000"/>
              </w:rPr>
            </w:pPr>
            <w:r w:rsidRPr="0089163D">
              <w:rPr>
                <w:rFonts w:ascii="Calibri" w:eastAsia="Times New Roman" w:hAnsi="Calibri" w:cs="Times New Roman"/>
                <w:color w:val="000000"/>
              </w:rPr>
              <w:t>716</w:t>
            </w:r>
          </w:p>
        </w:tc>
        <w:tc>
          <w:tcPr>
            <w:tcW w:w="1177" w:type="pct"/>
          </w:tcPr>
          <w:p w:rsidR="00C24265" w:rsidRDefault="00C24265" w:rsidP="00447648">
            <w:pPr>
              <w:jc w:val="right"/>
              <w:rPr>
                <w:rFonts w:ascii="Calibri" w:hAnsi="Calibri"/>
                <w:color w:val="000000"/>
                <w:lang w:val="es-UY"/>
              </w:rPr>
            </w:pPr>
          </w:p>
        </w:tc>
        <w:tc>
          <w:tcPr>
            <w:tcW w:w="336" w:type="pct"/>
          </w:tcPr>
          <w:p w:rsidR="00C24265" w:rsidRDefault="00C24265" w:rsidP="00447648">
            <w:pPr>
              <w:jc w:val="right"/>
              <w:rPr>
                <w:rFonts w:ascii="Calibri" w:hAnsi="Calibri"/>
                <w:color w:val="000000"/>
                <w:lang w:val="es-UY"/>
              </w:rPr>
            </w:pPr>
          </w:p>
        </w:tc>
      </w:tr>
      <w:tr w:rsidR="00C24265" w:rsidRPr="005B701A" w:rsidTr="00447648">
        <w:trPr>
          <w:trHeight w:val="300"/>
        </w:trPr>
        <w:tc>
          <w:tcPr>
            <w:tcW w:w="1466" w:type="pct"/>
            <w:shd w:val="clear" w:color="auto" w:fill="auto"/>
            <w:noWrap/>
            <w:vAlign w:val="bottom"/>
            <w:hideMark/>
          </w:tcPr>
          <w:p w:rsidR="00C24265" w:rsidRPr="002203F3" w:rsidRDefault="00C24265" w:rsidP="00447648">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 </w:t>
            </w:r>
            <w:r w:rsidRPr="002203F3">
              <w:rPr>
                <w:rFonts w:ascii="Calibri" w:eastAsia="Times New Roman" w:hAnsi="Calibri" w:cs="Times New Roman"/>
                <w:color w:val="000000"/>
              </w:rPr>
              <w:t>Servicios audiovisuales y conexos</w:t>
            </w:r>
          </w:p>
        </w:tc>
        <w:tc>
          <w:tcPr>
            <w:tcW w:w="518" w:type="pct"/>
            <w:vAlign w:val="bottom"/>
          </w:tcPr>
          <w:p w:rsidR="00C24265" w:rsidRPr="002203F3" w:rsidRDefault="00C24265" w:rsidP="00447648">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3</w:t>
            </w:r>
          </w:p>
        </w:tc>
        <w:tc>
          <w:tcPr>
            <w:tcW w:w="1127" w:type="pct"/>
            <w:vAlign w:val="bottom"/>
          </w:tcPr>
          <w:p w:rsidR="00C24265" w:rsidRPr="002203F3" w:rsidRDefault="00C24265" w:rsidP="00447648">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Servicios creativos</w:t>
            </w:r>
          </w:p>
        </w:tc>
        <w:tc>
          <w:tcPr>
            <w:tcW w:w="376" w:type="pct"/>
            <w:shd w:val="clear" w:color="auto" w:fill="auto"/>
            <w:noWrap/>
            <w:vAlign w:val="bottom"/>
            <w:hideMark/>
          </w:tcPr>
          <w:p w:rsidR="00C24265" w:rsidRPr="002203F3" w:rsidRDefault="00C24265" w:rsidP="00447648">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88</w:t>
            </w:r>
          </w:p>
        </w:tc>
        <w:tc>
          <w:tcPr>
            <w:tcW w:w="1177" w:type="pct"/>
          </w:tcPr>
          <w:p w:rsidR="00C24265" w:rsidRDefault="00C24265" w:rsidP="00447648">
            <w:pPr>
              <w:jc w:val="right"/>
              <w:rPr>
                <w:rFonts w:ascii="Calibri" w:hAnsi="Calibri"/>
                <w:color w:val="000000"/>
              </w:rPr>
            </w:pPr>
          </w:p>
        </w:tc>
        <w:tc>
          <w:tcPr>
            <w:tcW w:w="336" w:type="pct"/>
          </w:tcPr>
          <w:p w:rsidR="00C24265" w:rsidRDefault="00C24265" w:rsidP="00447648">
            <w:pPr>
              <w:jc w:val="right"/>
              <w:rPr>
                <w:rFonts w:ascii="Calibri" w:hAnsi="Calibri"/>
                <w:color w:val="000000"/>
              </w:rPr>
            </w:pPr>
          </w:p>
        </w:tc>
      </w:tr>
      <w:tr w:rsidR="00C24265" w:rsidRPr="002203F3" w:rsidTr="00447648">
        <w:trPr>
          <w:trHeight w:val="300"/>
        </w:trPr>
        <w:tc>
          <w:tcPr>
            <w:tcW w:w="1466" w:type="pct"/>
            <w:shd w:val="clear" w:color="auto" w:fill="auto"/>
            <w:noWrap/>
            <w:vAlign w:val="bottom"/>
            <w:hideMark/>
          </w:tcPr>
          <w:p w:rsidR="00C24265" w:rsidRPr="007A30D0" w:rsidRDefault="00C24265" w:rsidP="00447648">
            <w:pPr>
              <w:spacing w:after="0" w:line="240" w:lineRule="auto"/>
              <w:rPr>
                <w:rFonts w:ascii="Calibri" w:eastAsia="Times New Roman" w:hAnsi="Calibri" w:cs="Times New Roman"/>
                <w:b/>
                <w:color w:val="000000"/>
                <w:lang w:val="es-UY"/>
              </w:rPr>
            </w:pPr>
            <w:r w:rsidRPr="007A30D0">
              <w:rPr>
                <w:rFonts w:ascii="Calibri" w:eastAsia="Times New Roman" w:hAnsi="Calibri" w:cs="Times New Roman"/>
                <w:b/>
                <w:color w:val="000000"/>
                <w:lang w:val="es-UY"/>
              </w:rPr>
              <w:t>Otros</w:t>
            </w:r>
          </w:p>
        </w:tc>
        <w:tc>
          <w:tcPr>
            <w:tcW w:w="518" w:type="pct"/>
            <w:vAlign w:val="bottom"/>
          </w:tcPr>
          <w:p w:rsidR="00C24265" w:rsidRPr="007A30D0" w:rsidRDefault="00C24265" w:rsidP="00447648">
            <w:pPr>
              <w:spacing w:after="0" w:line="240" w:lineRule="auto"/>
              <w:jc w:val="right"/>
              <w:rPr>
                <w:rFonts w:ascii="Calibri" w:eastAsia="Times New Roman" w:hAnsi="Calibri" w:cs="Times New Roman"/>
                <w:b/>
                <w:color w:val="000000"/>
              </w:rPr>
            </w:pPr>
            <w:r>
              <w:rPr>
                <w:rFonts w:ascii="Calibri" w:eastAsia="Times New Roman" w:hAnsi="Calibri" w:cs="Times New Roman"/>
                <w:b/>
                <w:color w:val="000000"/>
              </w:rPr>
              <w:t>426</w:t>
            </w:r>
          </w:p>
        </w:tc>
        <w:tc>
          <w:tcPr>
            <w:tcW w:w="1127" w:type="pct"/>
            <w:vAlign w:val="bottom"/>
          </w:tcPr>
          <w:p w:rsidR="00C24265" w:rsidRPr="005B701A" w:rsidRDefault="00C24265" w:rsidP="00447648">
            <w:pPr>
              <w:spacing w:after="0" w:line="240" w:lineRule="auto"/>
              <w:rPr>
                <w:rFonts w:ascii="Calibri" w:eastAsia="Times New Roman" w:hAnsi="Calibri" w:cs="Times New Roman"/>
                <w:b/>
                <w:color w:val="000000"/>
                <w:lang w:val="es-UY"/>
              </w:rPr>
            </w:pPr>
            <w:r w:rsidRPr="005B701A">
              <w:rPr>
                <w:rFonts w:ascii="Calibri" w:eastAsia="Times New Roman" w:hAnsi="Calibri" w:cs="Times New Roman"/>
                <w:b/>
                <w:color w:val="000000"/>
                <w:lang w:val="es-UY"/>
              </w:rPr>
              <w:t>Otros</w:t>
            </w:r>
            <w:r>
              <w:rPr>
                <w:rFonts w:ascii="Calibri" w:eastAsia="Times New Roman" w:hAnsi="Calibri" w:cs="Times New Roman"/>
                <w:b/>
                <w:color w:val="000000"/>
                <w:lang w:val="es-UY"/>
              </w:rPr>
              <w:t xml:space="preserve"> servicios</w:t>
            </w:r>
          </w:p>
        </w:tc>
        <w:tc>
          <w:tcPr>
            <w:tcW w:w="376" w:type="pct"/>
            <w:shd w:val="clear" w:color="auto" w:fill="auto"/>
            <w:noWrap/>
            <w:hideMark/>
          </w:tcPr>
          <w:p w:rsidR="00C24265" w:rsidRPr="005B701A" w:rsidRDefault="00C24265" w:rsidP="00447648">
            <w:pPr>
              <w:spacing w:after="0" w:line="240" w:lineRule="auto"/>
              <w:jc w:val="right"/>
              <w:rPr>
                <w:rFonts w:ascii="Calibri" w:eastAsia="Times New Roman" w:hAnsi="Calibri" w:cs="Times New Roman"/>
                <w:b/>
                <w:bCs/>
                <w:color w:val="000000"/>
              </w:rPr>
            </w:pPr>
            <w:r>
              <w:rPr>
                <w:rFonts w:ascii="Calibri" w:eastAsia="Times New Roman" w:hAnsi="Calibri" w:cs="Times New Roman"/>
                <w:b/>
                <w:bCs/>
                <w:color w:val="000000"/>
              </w:rPr>
              <w:t>486</w:t>
            </w:r>
          </w:p>
        </w:tc>
        <w:tc>
          <w:tcPr>
            <w:tcW w:w="1177" w:type="pct"/>
          </w:tcPr>
          <w:p w:rsidR="00C24265" w:rsidRPr="005B701A" w:rsidRDefault="00C24265" w:rsidP="00447648">
            <w:pPr>
              <w:spacing w:after="0" w:line="240" w:lineRule="auto"/>
              <w:jc w:val="right"/>
              <w:rPr>
                <w:rFonts w:ascii="Calibri" w:eastAsia="Times New Roman" w:hAnsi="Calibri" w:cs="Times New Roman"/>
                <w:b/>
                <w:bCs/>
                <w:color w:val="000000"/>
              </w:rPr>
            </w:pPr>
          </w:p>
        </w:tc>
        <w:tc>
          <w:tcPr>
            <w:tcW w:w="336" w:type="pct"/>
          </w:tcPr>
          <w:p w:rsidR="00C24265" w:rsidRPr="005B701A" w:rsidRDefault="00C24265" w:rsidP="00447648">
            <w:pPr>
              <w:spacing w:after="0" w:line="240" w:lineRule="auto"/>
              <w:jc w:val="right"/>
              <w:rPr>
                <w:rFonts w:ascii="Calibri" w:eastAsia="Times New Roman" w:hAnsi="Calibri" w:cs="Times New Roman"/>
                <w:b/>
                <w:bCs/>
                <w:color w:val="000000"/>
              </w:rPr>
            </w:pPr>
          </w:p>
        </w:tc>
      </w:tr>
      <w:tr w:rsidR="00C24265" w:rsidRPr="002203F3" w:rsidTr="00447648">
        <w:trPr>
          <w:trHeight w:val="300"/>
        </w:trPr>
        <w:tc>
          <w:tcPr>
            <w:tcW w:w="1466" w:type="pct"/>
            <w:shd w:val="clear" w:color="auto" w:fill="auto"/>
            <w:noWrap/>
            <w:vAlign w:val="bottom"/>
            <w:hideMark/>
          </w:tcPr>
          <w:p w:rsidR="00C24265" w:rsidRPr="002203F3" w:rsidRDefault="00C24265" w:rsidP="00447648">
            <w:pPr>
              <w:spacing w:after="0" w:line="240" w:lineRule="auto"/>
              <w:rPr>
                <w:rFonts w:ascii="Calibri" w:eastAsia="Times New Roman" w:hAnsi="Calibri" w:cs="Times New Roman"/>
                <w:color w:val="000000"/>
                <w:lang w:val="es-UY"/>
              </w:rPr>
            </w:pPr>
            <w:r w:rsidRPr="002203F3">
              <w:rPr>
                <w:rFonts w:ascii="Calibri" w:eastAsia="Times New Roman" w:hAnsi="Calibri" w:cs="Times New Roman"/>
                <w:color w:val="000000"/>
                <w:lang w:val="es-UY"/>
              </w:rPr>
              <w:t>Servicios de seguros y pensiones</w:t>
            </w:r>
          </w:p>
        </w:tc>
        <w:tc>
          <w:tcPr>
            <w:tcW w:w="518" w:type="pct"/>
            <w:vAlign w:val="bottom"/>
          </w:tcPr>
          <w:p w:rsidR="00C24265" w:rsidRPr="002203F3" w:rsidRDefault="00C24265" w:rsidP="00447648">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4</w:t>
            </w:r>
          </w:p>
        </w:tc>
        <w:tc>
          <w:tcPr>
            <w:tcW w:w="1127" w:type="pct"/>
            <w:vAlign w:val="bottom"/>
          </w:tcPr>
          <w:p w:rsidR="00C24265" w:rsidRPr="002203F3" w:rsidRDefault="00C24265" w:rsidP="00447648">
            <w:pPr>
              <w:spacing w:after="0" w:line="240" w:lineRule="auto"/>
              <w:jc w:val="right"/>
              <w:rPr>
                <w:rFonts w:ascii="Calibri" w:eastAsia="Times New Roman" w:hAnsi="Calibri" w:cs="Times New Roman"/>
                <w:color w:val="000000"/>
              </w:rPr>
            </w:pPr>
          </w:p>
        </w:tc>
        <w:tc>
          <w:tcPr>
            <w:tcW w:w="376" w:type="pct"/>
            <w:shd w:val="clear" w:color="auto" w:fill="auto"/>
            <w:noWrap/>
            <w:vAlign w:val="bottom"/>
            <w:hideMark/>
          </w:tcPr>
          <w:p w:rsidR="00C24265" w:rsidRPr="002203F3" w:rsidRDefault="00C24265" w:rsidP="00447648">
            <w:pPr>
              <w:spacing w:after="0" w:line="240" w:lineRule="auto"/>
              <w:jc w:val="right"/>
              <w:rPr>
                <w:rFonts w:ascii="Calibri" w:eastAsia="Times New Roman" w:hAnsi="Calibri" w:cs="Times New Roman"/>
                <w:color w:val="000000"/>
              </w:rPr>
            </w:pPr>
          </w:p>
        </w:tc>
        <w:tc>
          <w:tcPr>
            <w:tcW w:w="1177" w:type="pct"/>
          </w:tcPr>
          <w:p w:rsidR="00C24265" w:rsidRDefault="00C24265" w:rsidP="00447648">
            <w:pPr>
              <w:spacing w:after="0" w:line="240" w:lineRule="auto"/>
              <w:jc w:val="right"/>
              <w:rPr>
                <w:rFonts w:ascii="Calibri" w:eastAsia="Times New Roman" w:hAnsi="Calibri" w:cs="Times New Roman"/>
                <w:color w:val="000000"/>
              </w:rPr>
            </w:pPr>
          </w:p>
        </w:tc>
        <w:tc>
          <w:tcPr>
            <w:tcW w:w="336" w:type="pct"/>
          </w:tcPr>
          <w:p w:rsidR="00C24265" w:rsidRDefault="00C24265" w:rsidP="00447648">
            <w:pPr>
              <w:spacing w:after="0" w:line="240" w:lineRule="auto"/>
              <w:jc w:val="right"/>
              <w:rPr>
                <w:rFonts w:ascii="Calibri" w:eastAsia="Times New Roman" w:hAnsi="Calibri" w:cs="Times New Roman"/>
                <w:color w:val="000000"/>
              </w:rPr>
            </w:pPr>
          </w:p>
        </w:tc>
      </w:tr>
      <w:tr w:rsidR="00C24265" w:rsidRPr="002203F3" w:rsidTr="00447648">
        <w:trPr>
          <w:trHeight w:val="300"/>
        </w:trPr>
        <w:tc>
          <w:tcPr>
            <w:tcW w:w="1466" w:type="pct"/>
            <w:shd w:val="clear" w:color="auto" w:fill="auto"/>
            <w:noWrap/>
            <w:vAlign w:val="bottom"/>
            <w:hideMark/>
          </w:tcPr>
          <w:p w:rsidR="00C24265" w:rsidRPr="002203F3" w:rsidRDefault="00C24265" w:rsidP="00447648">
            <w:pPr>
              <w:spacing w:after="0" w:line="240" w:lineRule="auto"/>
              <w:rPr>
                <w:rFonts w:ascii="Calibri" w:eastAsia="Times New Roman" w:hAnsi="Calibri" w:cs="Times New Roman"/>
                <w:color w:val="000000"/>
              </w:rPr>
            </w:pPr>
            <w:r w:rsidRPr="002203F3">
              <w:rPr>
                <w:rFonts w:ascii="Calibri" w:eastAsia="Times New Roman" w:hAnsi="Calibri" w:cs="Times New Roman"/>
                <w:color w:val="000000"/>
              </w:rPr>
              <w:t>Servicios financieros</w:t>
            </w:r>
          </w:p>
        </w:tc>
        <w:tc>
          <w:tcPr>
            <w:tcW w:w="518" w:type="pct"/>
            <w:vAlign w:val="bottom"/>
          </w:tcPr>
          <w:p w:rsidR="00C24265" w:rsidRPr="002203F3" w:rsidRDefault="00C24265" w:rsidP="00447648">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194</w:t>
            </w:r>
          </w:p>
        </w:tc>
        <w:tc>
          <w:tcPr>
            <w:tcW w:w="1127" w:type="pct"/>
            <w:vAlign w:val="bottom"/>
          </w:tcPr>
          <w:p w:rsidR="00C24265" w:rsidRPr="002203F3" w:rsidRDefault="00C24265" w:rsidP="00447648">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Servicios financieros</w:t>
            </w:r>
          </w:p>
        </w:tc>
        <w:tc>
          <w:tcPr>
            <w:tcW w:w="376" w:type="pct"/>
            <w:shd w:val="clear" w:color="auto" w:fill="auto"/>
            <w:noWrap/>
            <w:vAlign w:val="bottom"/>
            <w:hideMark/>
          </w:tcPr>
          <w:p w:rsidR="00C24265" w:rsidRPr="002203F3" w:rsidRDefault="00C24265" w:rsidP="00447648">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486</w:t>
            </w:r>
          </w:p>
        </w:tc>
        <w:tc>
          <w:tcPr>
            <w:tcW w:w="1177" w:type="pct"/>
          </w:tcPr>
          <w:p w:rsidR="00C24265" w:rsidRDefault="00C24265" w:rsidP="00447648">
            <w:pPr>
              <w:spacing w:after="0" w:line="240" w:lineRule="auto"/>
              <w:jc w:val="right"/>
              <w:rPr>
                <w:rFonts w:ascii="Calibri" w:eastAsia="Times New Roman" w:hAnsi="Calibri" w:cs="Times New Roman"/>
                <w:color w:val="000000"/>
              </w:rPr>
            </w:pPr>
          </w:p>
        </w:tc>
        <w:tc>
          <w:tcPr>
            <w:tcW w:w="336" w:type="pct"/>
          </w:tcPr>
          <w:p w:rsidR="00C24265" w:rsidRDefault="00C24265" w:rsidP="00447648">
            <w:pPr>
              <w:spacing w:after="0" w:line="240" w:lineRule="auto"/>
              <w:jc w:val="right"/>
              <w:rPr>
                <w:rFonts w:ascii="Calibri" w:eastAsia="Times New Roman" w:hAnsi="Calibri" w:cs="Times New Roman"/>
                <w:color w:val="000000"/>
              </w:rPr>
            </w:pPr>
          </w:p>
        </w:tc>
      </w:tr>
      <w:tr w:rsidR="00C24265" w:rsidRPr="002203F3" w:rsidTr="00447648">
        <w:trPr>
          <w:trHeight w:val="300"/>
        </w:trPr>
        <w:tc>
          <w:tcPr>
            <w:tcW w:w="1466" w:type="pct"/>
            <w:shd w:val="clear" w:color="auto" w:fill="auto"/>
            <w:noWrap/>
            <w:vAlign w:val="bottom"/>
            <w:hideMark/>
          </w:tcPr>
          <w:p w:rsidR="00C24265" w:rsidRPr="002203F3" w:rsidRDefault="00C24265" w:rsidP="00447648">
            <w:pPr>
              <w:spacing w:after="0" w:line="240" w:lineRule="auto"/>
              <w:rPr>
                <w:rFonts w:ascii="Calibri" w:eastAsia="Times New Roman" w:hAnsi="Calibri" w:cs="Times New Roman"/>
                <w:color w:val="000000"/>
                <w:lang w:val="es-UY"/>
              </w:rPr>
            </w:pPr>
            <w:r w:rsidRPr="002203F3">
              <w:rPr>
                <w:rFonts w:ascii="Calibri" w:eastAsia="Times New Roman" w:hAnsi="Calibri" w:cs="Times New Roman"/>
                <w:color w:val="000000"/>
                <w:lang w:val="es-UY"/>
              </w:rPr>
              <w:t xml:space="preserve">Cargos por el uso de la propiedad intelectual </w:t>
            </w:r>
            <w:proofErr w:type="spellStart"/>
            <w:r w:rsidRPr="002203F3">
              <w:rPr>
                <w:rFonts w:ascii="Calibri" w:eastAsia="Times New Roman" w:hAnsi="Calibri" w:cs="Times New Roman"/>
                <w:color w:val="000000"/>
                <w:lang w:val="es-UY"/>
              </w:rPr>
              <w:t>n.i.o.p</w:t>
            </w:r>
            <w:proofErr w:type="spellEnd"/>
            <w:r w:rsidRPr="002203F3">
              <w:rPr>
                <w:rFonts w:ascii="Calibri" w:eastAsia="Times New Roman" w:hAnsi="Calibri" w:cs="Times New Roman"/>
                <w:color w:val="000000"/>
                <w:lang w:val="es-UY"/>
              </w:rPr>
              <w:t>.</w:t>
            </w:r>
          </w:p>
        </w:tc>
        <w:tc>
          <w:tcPr>
            <w:tcW w:w="518" w:type="pct"/>
            <w:vAlign w:val="bottom"/>
          </w:tcPr>
          <w:p w:rsidR="00C24265" w:rsidRPr="002203F3" w:rsidRDefault="00C24265" w:rsidP="00447648">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57</w:t>
            </w:r>
          </w:p>
        </w:tc>
        <w:tc>
          <w:tcPr>
            <w:tcW w:w="1127" w:type="pct"/>
            <w:vAlign w:val="bottom"/>
          </w:tcPr>
          <w:p w:rsidR="00C24265" w:rsidRPr="005B701A" w:rsidRDefault="00C24265" w:rsidP="00447648">
            <w:pPr>
              <w:spacing w:after="0" w:line="240" w:lineRule="auto"/>
              <w:jc w:val="right"/>
              <w:rPr>
                <w:rFonts w:ascii="Calibri" w:eastAsia="Times New Roman" w:hAnsi="Calibri" w:cs="Times New Roman"/>
                <w:b/>
                <w:color w:val="000000"/>
              </w:rPr>
            </w:pPr>
            <w:r w:rsidRPr="005B701A">
              <w:rPr>
                <w:rFonts w:ascii="Calibri" w:eastAsia="Times New Roman" w:hAnsi="Calibri" w:cs="Times New Roman"/>
                <w:b/>
                <w:color w:val="000000"/>
              </w:rPr>
              <w:t>No necesariamente servicios</w:t>
            </w:r>
          </w:p>
        </w:tc>
        <w:tc>
          <w:tcPr>
            <w:tcW w:w="376" w:type="pct"/>
            <w:shd w:val="clear" w:color="auto" w:fill="auto"/>
            <w:noWrap/>
            <w:vAlign w:val="bottom"/>
            <w:hideMark/>
          </w:tcPr>
          <w:p w:rsidR="00C24265" w:rsidRPr="0089163D" w:rsidRDefault="00C24265" w:rsidP="00447648">
            <w:pPr>
              <w:spacing w:after="0" w:line="240" w:lineRule="auto"/>
              <w:jc w:val="right"/>
              <w:rPr>
                <w:rFonts w:ascii="Calibri" w:eastAsia="Times New Roman" w:hAnsi="Calibri" w:cs="Times New Roman"/>
                <w:b/>
                <w:color w:val="000000"/>
              </w:rPr>
            </w:pPr>
            <w:r w:rsidRPr="0089163D">
              <w:rPr>
                <w:rFonts w:ascii="Calibri" w:eastAsia="Times New Roman" w:hAnsi="Calibri" w:cs="Times New Roman"/>
                <w:b/>
                <w:color w:val="000000"/>
              </w:rPr>
              <w:t>661</w:t>
            </w:r>
          </w:p>
        </w:tc>
        <w:tc>
          <w:tcPr>
            <w:tcW w:w="1177" w:type="pct"/>
          </w:tcPr>
          <w:p w:rsidR="00C24265" w:rsidRDefault="00C24265" w:rsidP="00447648">
            <w:pPr>
              <w:spacing w:after="0" w:line="240" w:lineRule="auto"/>
              <w:jc w:val="right"/>
              <w:rPr>
                <w:rFonts w:ascii="Calibri" w:eastAsia="Times New Roman" w:hAnsi="Calibri" w:cs="Times New Roman"/>
                <w:color w:val="000000"/>
              </w:rPr>
            </w:pPr>
          </w:p>
        </w:tc>
        <w:tc>
          <w:tcPr>
            <w:tcW w:w="336" w:type="pct"/>
          </w:tcPr>
          <w:p w:rsidR="00C24265" w:rsidRDefault="00C24265" w:rsidP="00447648">
            <w:pPr>
              <w:spacing w:after="0" w:line="240" w:lineRule="auto"/>
              <w:jc w:val="right"/>
              <w:rPr>
                <w:rFonts w:ascii="Calibri" w:eastAsia="Times New Roman" w:hAnsi="Calibri" w:cs="Times New Roman"/>
                <w:color w:val="000000"/>
              </w:rPr>
            </w:pPr>
          </w:p>
        </w:tc>
      </w:tr>
      <w:tr w:rsidR="00C24265" w:rsidRPr="002203F3" w:rsidTr="00447648">
        <w:trPr>
          <w:trHeight w:val="300"/>
        </w:trPr>
        <w:tc>
          <w:tcPr>
            <w:tcW w:w="1466" w:type="pct"/>
            <w:shd w:val="clear" w:color="auto" w:fill="auto"/>
            <w:noWrap/>
            <w:vAlign w:val="bottom"/>
            <w:hideMark/>
          </w:tcPr>
          <w:p w:rsidR="00C24265" w:rsidRPr="002203F3" w:rsidRDefault="00C24265" w:rsidP="00447648">
            <w:pPr>
              <w:spacing w:after="0" w:line="240" w:lineRule="auto"/>
              <w:rPr>
                <w:rFonts w:ascii="Calibri" w:eastAsia="Times New Roman" w:hAnsi="Calibri" w:cs="Times New Roman"/>
                <w:color w:val="000000"/>
                <w:lang w:val="es-UY"/>
              </w:rPr>
            </w:pPr>
            <w:r w:rsidRPr="002203F3">
              <w:rPr>
                <w:rFonts w:ascii="Calibri" w:eastAsia="Times New Roman" w:hAnsi="Calibri" w:cs="Times New Roman"/>
                <w:color w:val="000000"/>
                <w:lang w:val="es-UY"/>
              </w:rPr>
              <w:t>Servicios técnicos relacionados con el comercio y otros servicios empresariales</w:t>
            </w:r>
          </w:p>
        </w:tc>
        <w:tc>
          <w:tcPr>
            <w:tcW w:w="518" w:type="pct"/>
            <w:vAlign w:val="bottom"/>
          </w:tcPr>
          <w:p w:rsidR="00C24265" w:rsidRPr="002203F3" w:rsidRDefault="00C24265" w:rsidP="00447648">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80</w:t>
            </w:r>
          </w:p>
        </w:tc>
        <w:tc>
          <w:tcPr>
            <w:tcW w:w="1127" w:type="pct"/>
          </w:tcPr>
          <w:p w:rsidR="00C24265" w:rsidRDefault="00C24265" w:rsidP="00447648">
            <w:pPr>
              <w:jc w:val="both"/>
              <w:rPr>
                <w:rFonts w:ascii="Calibri" w:hAnsi="Calibri"/>
                <w:color w:val="000000"/>
              </w:rPr>
            </w:pPr>
            <w:r>
              <w:rPr>
                <w:rFonts w:ascii="Calibri" w:hAnsi="Calibri"/>
                <w:color w:val="000000"/>
                <w:lang w:val="es-UY"/>
              </w:rPr>
              <w:t xml:space="preserve">      Trading</w:t>
            </w:r>
          </w:p>
        </w:tc>
        <w:tc>
          <w:tcPr>
            <w:tcW w:w="376" w:type="pct"/>
            <w:shd w:val="clear" w:color="auto" w:fill="auto"/>
            <w:noWrap/>
            <w:vAlign w:val="bottom"/>
            <w:hideMark/>
          </w:tcPr>
          <w:p w:rsidR="00C24265" w:rsidRPr="002203F3" w:rsidRDefault="00C24265" w:rsidP="00447648">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556</w:t>
            </w:r>
          </w:p>
        </w:tc>
        <w:tc>
          <w:tcPr>
            <w:tcW w:w="1177" w:type="pct"/>
          </w:tcPr>
          <w:p w:rsidR="00C24265" w:rsidRDefault="00C24265" w:rsidP="00447648">
            <w:pPr>
              <w:spacing w:after="0" w:line="240" w:lineRule="auto"/>
              <w:jc w:val="right"/>
              <w:rPr>
                <w:rFonts w:ascii="Calibri" w:eastAsia="Times New Roman" w:hAnsi="Calibri" w:cs="Times New Roman"/>
                <w:color w:val="000000"/>
              </w:rPr>
            </w:pPr>
          </w:p>
        </w:tc>
        <w:tc>
          <w:tcPr>
            <w:tcW w:w="336" w:type="pct"/>
          </w:tcPr>
          <w:p w:rsidR="00C24265" w:rsidRDefault="00C24265" w:rsidP="00447648">
            <w:pPr>
              <w:spacing w:after="0" w:line="240" w:lineRule="auto"/>
              <w:jc w:val="right"/>
              <w:rPr>
                <w:rFonts w:ascii="Calibri" w:eastAsia="Times New Roman" w:hAnsi="Calibri" w:cs="Times New Roman"/>
                <w:color w:val="000000"/>
              </w:rPr>
            </w:pPr>
          </w:p>
        </w:tc>
      </w:tr>
      <w:tr w:rsidR="00C24265" w:rsidRPr="002203F3" w:rsidTr="00447648">
        <w:trPr>
          <w:trHeight w:val="300"/>
        </w:trPr>
        <w:tc>
          <w:tcPr>
            <w:tcW w:w="1466" w:type="pct"/>
            <w:shd w:val="clear" w:color="auto" w:fill="auto"/>
            <w:noWrap/>
            <w:vAlign w:val="bottom"/>
            <w:hideMark/>
          </w:tcPr>
          <w:p w:rsidR="00C24265" w:rsidRPr="002203F3" w:rsidRDefault="00C24265" w:rsidP="00447648">
            <w:pPr>
              <w:spacing w:after="0" w:line="240" w:lineRule="auto"/>
              <w:rPr>
                <w:rFonts w:ascii="Calibri" w:eastAsia="Times New Roman" w:hAnsi="Calibri" w:cs="Times New Roman"/>
                <w:color w:val="000000"/>
                <w:lang w:val="es-UY"/>
              </w:rPr>
            </w:pPr>
            <w:r w:rsidRPr="002203F3">
              <w:rPr>
                <w:rFonts w:ascii="Calibri" w:eastAsia="Times New Roman" w:hAnsi="Calibri" w:cs="Times New Roman"/>
                <w:color w:val="000000"/>
                <w:lang w:val="es-UY"/>
              </w:rPr>
              <w:t xml:space="preserve"> Otros servicios personales culturales y recreativos</w:t>
            </w:r>
          </w:p>
        </w:tc>
        <w:tc>
          <w:tcPr>
            <w:tcW w:w="518" w:type="pct"/>
            <w:vAlign w:val="bottom"/>
          </w:tcPr>
          <w:p w:rsidR="00C24265" w:rsidRPr="002203F3" w:rsidRDefault="00C24265" w:rsidP="00447648">
            <w:pPr>
              <w:spacing w:after="0" w:line="240" w:lineRule="auto"/>
              <w:jc w:val="right"/>
              <w:rPr>
                <w:rFonts w:ascii="Calibri" w:eastAsia="Times New Roman" w:hAnsi="Calibri" w:cs="Times New Roman"/>
                <w:color w:val="000000"/>
              </w:rPr>
            </w:pPr>
            <w:r w:rsidRPr="002203F3">
              <w:rPr>
                <w:rFonts w:ascii="Calibri" w:eastAsia="Times New Roman" w:hAnsi="Calibri" w:cs="Times New Roman"/>
                <w:color w:val="000000"/>
              </w:rPr>
              <w:t>91</w:t>
            </w:r>
          </w:p>
        </w:tc>
        <w:tc>
          <w:tcPr>
            <w:tcW w:w="1127" w:type="pct"/>
          </w:tcPr>
          <w:p w:rsidR="00C24265" w:rsidRDefault="00C24265" w:rsidP="00447648">
            <w:pPr>
              <w:jc w:val="both"/>
              <w:rPr>
                <w:rFonts w:ascii="Calibri" w:hAnsi="Calibri"/>
                <w:color w:val="000000"/>
              </w:rPr>
            </w:pPr>
            <w:r>
              <w:rPr>
                <w:rFonts w:ascii="Calibri" w:hAnsi="Calibri"/>
                <w:color w:val="000000"/>
                <w:lang w:val="es-UY"/>
              </w:rPr>
              <w:t xml:space="preserve">      Centros de Distribución Regional</w:t>
            </w:r>
          </w:p>
        </w:tc>
        <w:tc>
          <w:tcPr>
            <w:tcW w:w="376" w:type="pct"/>
            <w:shd w:val="clear" w:color="auto" w:fill="auto"/>
            <w:noWrap/>
            <w:vAlign w:val="bottom"/>
            <w:hideMark/>
          </w:tcPr>
          <w:p w:rsidR="00C24265" w:rsidRPr="002203F3" w:rsidRDefault="00C24265" w:rsidP="00447648">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105</w:t>
            </w:r>
          </w:p>
        </w:tc>
        <w:tc>
          <w:tcPr>
            <w:tcW w:w="1177" w:type="pct"/>
          </w:tcPr>
          <w:p w:rsidR="00C24265" w:rsidRDefault="00C24265" w:rsidP="00447648">
            <w:pPr>
              <w:spacing w:after="0" w:line="240" w:lineRule="auto"/>
              <w:jc w:val="right"/>
              <w:rPr>
                <w:rFonts w:ascii="Calibri" w:eastAsia="Times New Roman" w:hAnsi="Calibri" w:cs="Times New Roman"/>
                <w:color w:val="000000"/>
              </w:rPr>
            </w:pPr>
          </w:p>
        </w:tc>
        <w:tc>
          <w:tcPr>
            <w:tcW w:w="336" w:type="pct"/>
          </w:tcPr>
          <w:p w:rsidR="00C24265" w:rsidRDefault="00C24265" w:rsidP="00447648">
            <w:pPr>
              <w:spacing w:after="0" w:line="240" w:lineRule="auto"/>
              <w:jc w:val="right"/>
              <w:rPr>
                <w:rFonts w:ascii="Calibri" w:eastAsia="Times New Roman" w:hAnsi="Calibri" w:cs="Times New Roman"/>
                <w:color w:val="000000"/>
              </w:rPr>
            </w:pPr>
          </w:p>
        </w:tc>
      </w:tr>
    </w:tbl>
    <w:p w:rsidR="00C24265" w:rsidRDefault="00C24265" w:rsidP="00C24265">
      <w:pPr>
        <w:jc w:val="both"/>
        <w:rPr>
          <w:lang w:val="es-UY"/>
        </w:rPr>
      </w:pPr>
    </w:p>
    <w:p w:rsidR="00C24265" w:rsidRPr="009F3B0C" w:rsidRDefault="00C24265" w:rsidP="00C24265">
      <w:pPr>
        <w:jc w:val="both"/>
        <w:rPr>
          <w:lang w:val="es-UY"/>
        </w:rPr>
      </w:pPr>
      <w:r>
        <w:rPr>
          <w:lang w:val="es-UY"/>
        </w:rPr>
        <w:t xml:space="preserve">Para la información de CUTI se utiliza la encuesta de 2015 en vez de 2014 porque estos resultados han sido corregidos respecto de versiones anteriores, y probablemente los de 2014 con la metodología actual arroje mayores ventas. </w:t>
      </w:r>
    </w:p>
    <w:p w:rsidR="00DC1DCA" w:rsidRPr="0043632B" w:rsidRDefault="00DC1DCA" w:rsidP="0043632B">
      <w:pPr>
        <w:jc w:val="both"/>
        <w:rPr>
          <w:lang w:val="es-UY"/>
        </w:rPr>
      </w:pPr>
    </w:p>
    <w:sectPr w:rsidR="00DC1DCA" w:rsidRPr="0043632B" w:rsidSect="002B3ED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7EA7" w:rsidRDefault="00B77EA7" w:rsidP="007D777E">
      <w:pPr>
        <w:spacing w:after="0" w:line="240" w:lineRule="auto"/>
      </w:pPr>
      <w:r>
        <w:separator/>
      </w:r>
    </w:p>
  </w:endnote>
  <w:endnote w:type="continuationSeparator" w:id="0">
    <w:p w:rsidR="00B77EA7" w:rsidRDefault="00B77EA7" w:rsidP="007D77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7EA7" w:rsidRDefault="00B77EA7" w:rsidP="007D777E">
      <w:pPr>
        <w:spacing w:after="0" w:line="240" w:lineRule="auto"/>
      </w:pPr>
      <w:r>
        <w:separator/>
      </w:r>
    </w:p>
  </w:footnote>
  <w:footnote w:type="continuationSeparator" w:id="0">
    <w:p w:rsidR="00B77EA7" w:rsidRDefault="00B77EA7" w:rsidP="007D777E">
      <w:pPr>
        <w:spacing w:after="0" w:line="240" w:lineRule="auto"/>
      </w:pPr>
      <w:r>
        <w:continuationSeparator/>
      </w:r>
    </w:p>
  </w:footnote>
  <w:footnote w:id="1">
    <w:p w:rsidR="004D663B" w:rsidRPr="00A724EA" w:rsidRDefault="004D663B">
      <w:pPr>
        <w:pStyle w:val="FootnoteText"/>
        <w:rPr>
          <w:lang w:val="es-UY"/>
        </w:rPr>
      </w:pPr>
      <w:r>
        <w:rPr>
          <w:rStyle w:val="FootnoteReference"/>
        </w:rPr>
        <w:footnoteRef/>
      </w:r>
      <w:r w:rsidRPr="00A724EA">
        <w:rPr>
          <w:lang w:val="es-UY"/>
        </w:rPr>
        <w:t xml:space="preserve"> Clasificación Industrial Internacional Uniforme</w:t>
      </w:r>
    </w:p>
  </w:footnote>
  <w:footnote w:id="2">
    <w:p w:rsidR="004D663B" w:rsidRPr="00A7798A" w:rsidRDefault="004D663B" w:rsidP="00F175B6">
      <w:pPr>
        <w:pStyle w:val="FootnoteText"/>
        <w:rPr>
          <w:lang w:val="es-UY"/>
        </w:rPr>
      </w:pPr>
      <w:r>
        <w:rPr>
          <w:rStyle w:val="FootnoteReference"/>
        </w:rPr>
        <w:footnoteRef/>
      </w:r>
      <w:r w:rsidRPr="00A7798A">
        <w:rPr>
          <w:lang w:val="es-UY"/>
        </w:rPr>
        <w:t xml:space="preserve"> </w:t>
      </w:r>
      <w:r>
        <w:rPr>
          <w:lang w:val="es-UY"/>
        </w:rPr>
        <w:t>Integrado por Nueva Zelanda, Estonia, Canadá, Israel, Reino Unido, Corea del Sur y Uruguay</w:t>
      </w:r>
    </w:p>
  </w:footnote>
  <w:footnote w:id="3">
    <w:p w:rsidR="004D663B" w:rsidRPr="00DC1DCA" w:rsidRDefault="004D663B">
      <w:pPr>
        <w:pStyle w:val="FootnoteText"/>
        <w:rPr>
          <w:lang w:val="es-UY"/>
        </w:rPr>
      </w:pPr>
      <w:r>
        <w:rPr>
          <w:rStyle w:val="FootnoteReference"/>
        </w:rPr>
        <w:footnoteRef/>
      </w:r>
      <w:r w:rsidRPr="00DC1DCA">
        <w:rPr>
          <w:lang w:val="es-UY"/>
        </w:rPr>
        <w:t xml:space="preserve"> </w:t>
      </w:r>
      <w:r>
        <w:rPr>
          <w:lang w:val="es-UY"/>
        </w:rPr>
        <w:t>Para esto se utilizó la última Encuesta Anual de Actividades Económicas disponible.</w:t>
      </w:r>
    </w:p>
  </w:footnote>
  <w:footnote w:id="4">
    <w:p w:rsidR="004D663B" w:rsidRPr="007D777E" w:rsidRDefault="004D663B">
      <w:pPr>
        <w:pStyle w:val="FootnoteText"/>
        <w:rPr>
          <w:lang w:val="es-UY"/>
        </w:rPr>
      </w:pPr>
      <w:r>
        <w:rPr>
          <w:rStyle w:val="FootnoteReference"/>
        </w:rPr>
        <w:footnoteRef/>
      </w:r>
      <w:r w:rsidRPr="007D777E">
        <w:rPr>
          <w:lang w:val="es-UY"/>
        </w:rPr>
        <w:t xml:space="preserve"> </w:t>
      </w:r>
      <w:r>
        <w:rPr>
          <w:lang w:val="es-UY"/>
        </w:rPr>
        <w:t>La DSE del AEE del BCU indica que para la revisión de la balanza de pagos se realizó un considerable esfuerzo de mejora de la cobertura. Si bien la DSE recurrió a información de la Encuesta Anual de Actividades Económicas y del Censo de Zonas Francas que realiza el Instituto Nacional de Estadística (INE) para mejorar la muestra, las estimaciones de estas fuentes no se incluyen de forma directa. En otros factores, hay razones de oportunidad que los hacen inconvenientes, porque se publican con varios años de retraso.</w:t>
      </w:r>
    </w:p>
  </w:footnote>
  <w:footnote w:id="5">
    <w:p w:rsidR="004D663B" w:rsidRPr="002438F7" w:rsidRDefault="004D663B">
      <w:pPr>
        <w:pStyle w:val="FootnoteText"/>
      </w:pPr>
      <w:r>
        <w:rPr>
          <w:rStyle w:val="FootnoteReference"/>
        </w:rPr>
        <w:footnoteRef/>
      </w:r>
      <w:r w:rsidRPr="002438F7">
        <w:t xml:space="preserve"> </w:t>
      </w:r>
      <w:r>
        <w:t xml:space="preserve">Los datos de balanza de pagos se publican con una apertura nacional basada en la EBOPS (Extended Balance of </w:t>
      </w:r>
      <w:proofErr w:type="spellStart"/>
      <w:r>
        <w:t>Payments</w:t>
      </w:r>
      <w:proofErr w:type="spellEnd"/>
      <w:r>
        <w:t xml:space="preserve"> Service </w:t>
      </w:r>
      <w:proofErr w:type="spellStart"/>
      <w:r>
        <w:t>Classification</w:t>
      </w:r>
      <w:proofErr w:type="spellEnd"/>
      <w:r>
        <w:t>). La oficina UNSTATS publica tablas de correspondencia entre la EBOPS y la CPC.</w:t>
      </w:r>
    </w:p>
  </w:footnote>
  <w:footnote w:id="6">
    <w:p w:rsidR="004D663B" w:rsidRPr="001D3DA4" w:rsidRDefault="004D663B">
      <w:pPr>
        <w:pStyle w:val="FootnoteText"/>
        <w:rPr>
          <w:lang w:val="es-UY"/>
        </w:rPr>
      </w:pPr>
      <w:r>
        <w:rPr>
          <w:rStyle w:val="FootnoteReference"/>
        </w:rPr>
        <w:footnoteRef/>
      </w:r>
      <w:r w:rsidRPr="001D3DA4">
        <w:rPr>
          <w:lang w:val="es-UY"/>
        </w:rPr>
        <w:t xml:space="preserve"> </w:t>
      </w:r>
      <w:r>
        <w:rPr>
          <w:lang w:val="es-UY"/>
        </w:rPr>
        <w:t xml:space="preserve">La última versión de la encuesta no discrimina las ventas externas según si se realizaron por filiales en el exterior o por empresas domésticas, pero versiones anteriores ubicaban a las ventas desde el exterior en el 20% del total.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C1DB7"/>
    <w:multiLevelType w:val="hybridMultilevel"/>
    <w:tmpl w:val="4D423BCE"/>
    <w:lvl w:ilvl="0" w:tplc="87542D18">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11C56C7A"/>
    <w:multiLevelType w:val="hybridMultilevel"/>
    <w:tmpl w:val="5CFEE7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D0692C"/>
    <w:multiLevelType w:val="hybridMultilevel"/>
    <w:tmpl w:val="2F76497C"/>
    <w:lvl w:ilvl="0" w:tplc="494C62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6471FA6"/>
    <w:multiLevelType w:val="hybridMultilevel"/>
    <w:tmpl w:val="C4DA52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004EE3"/>
    <w:multiLevelType w:val="hybridMultilevel"/>
    <w:tmpl w:val="A99C6378"/>
    <w:lvl w:ilvl="0" w:tplc="4F700226">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D04ACD"/>
    <w:multiLevelType w:val="hybridMultilevel"/>
    <w:tmpl w:val="F860FEF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E226460"/>
    <w:multiLevelType w:val="hybridMultilevel"/>
    <w:tmpl w:val="54B2A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D34B11"/>
    <w:multiLevelType w:val="hybridMultilevel"/>
    <w:tmpl w:val="DF2ACB7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1376826"/>
    <w:multiLevelType w:val="hybridMultilevel"/>
    <w:tmpl w:val="94A2A102"/>
    <w:lvl w:ilvl="0" w:tplc="CC546D88">
      <w:start w:val="2"/>
      <w:numFmt w:val="upperRoman"/>
      <w:lvlText w:val="%1-"/>
      <w:lvlJc w:val="left"/>
      <w:pPr>
        <w:ind w:left="1440" w:hanging="72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15:restartNumberingAfterBreak="0">
    <w:nsid w:val="5C894E8A"/>
    <w:multiLevelType w:val="hybridMultilevel"/>
    <w:tmpl w:val="4022E3CE"/>
    <w:lvl w:ilvl="0" w:tplc="CAD876E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A4A6383"/>
    <w:multiLevelType w:val="hybridMultilevel"/>
    <w:tmpl w:val="8D1E3A02"/>
    <w:lvl w:ilvl="0" w:tplc="23329C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3712FA"/>
    <w:multiLevelType w:val="hybridMultilevel"/>
    <w:tmpl w:val="5CFEE7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10"/>
  </w:num>
  <w:num w:numId="4">
    <w:abstractNumId w:val="4"/>
  </w:num>
  <w:num w:numId="5">
    <w:abstractNumId w:val="6"/>
  </w:num>
  <w:num w:numId="6">
    <w:abstractNumId w:val="2"/>
  </w:num>
  <w:num w:numId="7">
    <w:abstractNumId w:val="3"/>
  </w:num>
  <w:num w:numId="8">
    <w:abstractNumId w:val="1"/>
  </w:num>
  <w:num w:numId="9">
    <w:abstractNumId w:val="0"/>
  </w:num>
  <w:num w:numId="10">
    <w:abstractNumId w:val="5"/>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967"/>
    <w:rsid w:val="00001790"/>
    <w:rsid w:val="00007DF8"/>
    <w:rsid w:val="0001550C"/>
    <w:rsid w:val="00022C95"/>
    <w:rsid w:val="00023DAD"/>
    <w:rsid w:val="000466CF"/>
    <w:rsid w:val="000504AF"/>
    <w:rsid w:val="00063801"/>
    <w:rsid w:val="00064EED"/>
    <w:rsid w:val="000772C0"/>
    <w:rsid w:val="000A5877"/>
    <w:rsid w:val="000A5E72"/>
    <w:rsid w:val="000B54BC"/>
    <w:rsid w:val="000D3B2E"/>
    <w:rsid w:val="000D7539"/>
    <w:rsid w:val="000D7EFD"/>
    <w:rsid w:val="000E50A0"/>
    <w:rsid w:val="001052F9"/>
    <w:rsid w:val="00125D3A"/>
    <w:rsid w:val="001330CC"/>
    <w:rsid w:val="001457C0"/>
    <w:rsid w:val="00147ED8"/>
    <w:rsid w:val="00161A6B"/>
    <w:rsid w:val="00172937"/>
    <w:rsid w:val="00174E6E"/>
    <w:rsid w:val="001958E8"/>
    <w:rsid w:val="001B0845"/>
    <w:rsid w:val="001C3B33"/>
    <w:rsid w:val="001C5662"/>
    <w:rsid w:val="001D3DA4"/>
    <w:rsid w:val="001D63CD"/>
    <w:rsid w:val="00202FC9"/>
    <w:rsid w:val="00204A2F"/>
    <w:rsid w:val="00215C1F"/>
    <w:rsid w:val="002203F3"/>
    <w:rsid w:val="0022049E"/>
    <w:rsid w:val="00223E41"/>
    <w:rsid w:val="00230D13"/>
    <w:rsid w:val="0023734A"/>
    <w:rsid w:val="002438F7"/>
    <w:rsid w:val="00275A30"/>
    <w:rsid w:val="00276BF8"/>
    <w:rsid w:val="002851F1"/>
    <w:rsid w:val="00285D36"/>
    <w:rsid w:val="00297517"/>
    <w:rsid w:val="002A08E8"/>
    <w:rsid w:val="002A2E17"/>
    <w:rsid w:val="002B3ED2"/>
    <w:rsid w:val="002B4E7D"/>
    <w:rsid w:val="002C0760"/>
    <w:rsid w:val="002D3A9E"/>
    <w:rsid w:val="002E02DB"/>
    <w:rsid w:val="002F3190"/>
    <w:rsid w:val="002F3360"/>
    <w:rsid w:val="00300A36"/>
    <w:rsid w:val="00334152"/>
    <w:rsid w:val="0034316E"/>
    <w:rsid w:val="0035656A"/>
    <w:rsid w:val="00383588"/>
    <w:rsid w:val="003A1123"/>
    <w:rsid w:val="003C124C"/>
    <w:rsid w:val="003E74B7"/>
    <w:rsid w:val="003F3881"/>
    <w:rsid w:val="003F4A8C"/>
    <w:rsid w:val="00415FF7"/>
    <w:rsid w:val="00425E33"/>
    <w:rsid w:val="0042641C"/>
    <w:rsid w:val="0043632B"/>
    <w:rsid w:val="00447648"/>
    <w:rsid w:val="00454F6C"/>
    <w:rsid w:val="00460A00"/>
    <w:rsid w:val="004658C4"/>
    <w:rsid w:val="00496E68"/>
    <w:rsid w:val="004A067D"/>
    <w:rsid w:val="004A3864"/>
    <w:rsid w:val="004B3115"/>
    <w:rsid w:val="004B61BB"/>
    <w:rsid w:val="004C5E9E"/>
    <w:rsid w:val="004D1046"/>
    <w:rsid w:val="004D49A2"/>
    <w:rsid w:val="004D663B"/>
    <w:rsid w:val="004F63EC"/>
    <w:rsid w:val="00502DEB"/>
    <w:rsid w:val="0051480A"/>
    <w:rsid w:val="00524967"/>
    <w:rsid w:val="0058328E"/>
    <w:rsid w:val="00584738"/>
    <w:rsid w:val="00586F16"/>
    <w:rsid w:val="00595F4E"/>
    <w:rsid w:val="005B48FD"/>
    <w:rsid w:val="005B701A"/>
    <w:rsid w:val="005C0486"/>
    <w:rsid w:val="005D207A"/>
    <w:rsid w:val="005E532B"/>
    <w:rsid w:val="005F2D5B"/>
    <w:rsid w:val="00613404"/>
    <w:rsid w:val="0064360E"/>
    <w:rsid w:val="00646D2E"/>
    <w:rsid w:val="00672865"/>
    <w:rsid w:val="00684EC9"/>
    <w:rsid w:val="006858B0"/>
    <w:rsid w:val="006D4CAA"/>
    <w:rsid w:val="006D66B2"/>
    <w:rsid w:val="006E3EE3"/>
    <w:rsid w:val="006F3331"/>
    <w:rsid w:val="0071219B"/>
    <w:rsid w:val="007547DD"/>
    <w:rsid w:val="00757170"/>
    <w:rsid w:val="00761126"/>
    <w:rsid w:val="00764438"/>
    <w:rsid w:val="0078152B"/>
    <w:rsid w:val="00782BFA"/>
    <w:rsid w:val="00792223"/>
    <w:rsid w:val="007A30D0"/>
    <w:rsid w:val="007B3E9B"/>
    <w:rsid w:val="007D777E"/>
    <w:rsid w:val="007F2F1D"/>
    <w:rsid w:val="00800607"/>
    <w:rsid w:val="00810A61"/>
    <w:rsid w:val="00815609"/>
    <w:rsid w:val="00817E32"/>
    <w:rsid w:val="00826F71"/>
    <w:rsid w:val="00830964"/>
    <w:rsid w:val="00841338"/>
    <w:rsid w:val="00885F13"/>
    <w:rsid w:val="0089163D"/>
    <w:rsid w:val="008A37EE"/>
    <w:rsid w:val="008B14C3"/>
    <w:rsid w:val="008B2B5B"/>
    <w:rsid w:val="008D2475"/>
    <w:rsid w:val="008E1ACF"/>
    <w:rsid w:val="00956CA3"/>
    <w:rsid w:val="00971158"/>
    <w:rsid w:val="0097405E"/>
    <w:rsid w:val="009935C5"/>
    <w:rsid w:val="009A1434"/>
    <w:rsid w:val="009C426E"/>
    <w:rsid w:val="009F3B0C"/>
    <w:rsid w:val="00A00E58"/>
    <w:rsid w:val="00A11AA2"/>
    <w:rsid w:val="00A27A81"/>
    <w:rsid w:val="00A37865"/>
    <w:rsid w:val="00A46A31"/>
    <w:rsid w:val="00A5245F"/>
    <w:rsid w:val="00A724EA"/>
    <w:rsid w:val="00A7798A"/>
    <w:rsid w:val="00AB2058"/>
    <w:rsid w:val="00AD517A"/>
    <w:rsid w:val="00AE2658"/>
    <w:rsid w:val="00AE624D"/>
    <w:rsid w:val="00AF2A13"/>
    <w:rsid w:val="00B12AB2"/>
    <w:rsid w:val="00B23488"/>
    <w:rsid w:val="00B338DE"/>
    <w:rsid w:val="00B42AE0"/>
    <w:rsid w:val="00B567E5"/>
    <w:rsid w:val="00B77EA7"/>
    <w:rsid w:val="00B95C85"/>
    <w:rsid w:val="00B97BDF"/>
    <w:rsid w:val="00BA5849"/>
    <w:rsid w:val="00BB327E"/>
    <w:rsid w:val="00BB4B98"/>
    <w:rsid w:val="00BD34D4"/>
    <w:rsid w:val="00BD3DA5"/>
    <w:rsid w:val="00BE680E"/>
    <w:rsid w:val="00C12D2D"/>
    <w:rsid w:val="00C13670"/>
    <w:rsid w:val="00C17234"/>
    <w:rsid w:val="00C24265"/>
    <w:rsid w:val="00C43C51"/>
    <w:rsid w:val="00C51AC4"/>
    <w:rsid w:val="00C56439"/>
    <w:rsid w:val="00C61805"/>
    <w:rsid w:val="00CA7237"/>
    <w:rsid w:val="00CC0E17"/>
    <w:rsid w:val="00CC2067"/>
    <w:rsid w:val="00CC244B"/>
    <w:rsid w:val="00CC3004"/>
    <w:rsid w:val="00D06BCE"/>
    <w:rsid w:val="00D12B33"/>
    <w:rsid w:val="00D2577C"/>
    <w:rsid w:val="00D3443D"/>
    <w:rsid w:val="00D44236"/>
    <w:rsid w:val="00D703D7"/>
    <w:rsid w:val="00D74A45"/>
    <w:rsid w:val="00DA45F8"/>
    <w:rsid w:val="00DB5622"/>
    <w:rsid w:val="00DC1DCA"/>
    <w:rsid w:val="00DD0ADC"/>
    <w:rsid w:val="00DE0AC5"/>
    <w:rsid w:val="00DE3184"/>
    <w:rsid w:val="00DF5476"/>
    <w:rsid w:val="00E01BAE"/>
    <w:rsid w:val="00E10EE7"/>
    <w:rsid w:val="00E17022"/>
    <w:rsid w:val="00E2475E"/>
    <w:rsid w:val="00E743F9"/>
    <w:rsid w:val="00E744FE"/>
    <w:rsid w:val="00E7508D"/>
    <w:rsid w:val="00E81693"/>
    <w:rsid w:val="00E84B9A"/>
    <w:rsid w:val="00ED0627"/>
    <w:rsid w:val="00EF7A09"/>
    <w:rsid w:val="00F02C69"/>
    <w:rsid w:val="00F034A7"/>
    <w:rsid w:val="00F12AAB"/>
    <w:rsid w:val="00F15AC3"/>
    <w:rsid w:val="00F16CF8"/>
    <w:rsid w:val="00F175B6"/>
    <w:rsid w:val="00F34D75"/>
    <w:rsid w:val="00F52B2B"/>
    <w:rsid w:val="00F82036"/>
    <w:rsid w:val="00F84A57"/>
    <w:rsid w:val="00FC5417"/>
    <w:rsid w:val="00FC695C"/>
    <w:rsid w:val="00FC6DB4"/>
    <w:rsid w:val="00FC7D67"/>
    <w:rsid w:val="00FD0880"/>
    <w:rsid w:val="00FD1179"/>
    <w:rsid w:val="00FD42E6"/>
    <w:rsid w:val="00FD5B72"/>
    <w:rsid w:val="00FE6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C24C9"/>
  <w15:docId w15:val="{DFB08DD7-46B9-498C-857B-A11DA5E0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4967"/>
    <w:pPr>
      <w:ind w:left="720"/>
      <w:contextualSpacing/>
    </w:pPr>
  </w:style>
  <w:style w:type="paragraph" w:styleId="FootnoteText">
    <w:name w:val="footnote text"/>
    <w:basedOn w:val="Normal"/>
    <w:link w:val="FootnoteTextChar"/>
    <w:uiPriority w:val="99"/>
    <w:semiHidden/>
    <w:unhideWhenUsed/>
    <w:rsid w:val="007D77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D777E"/>
    <w:rPr>
      <w:sz w:val="20"/>
      <w:szCs w:val="20"/>
    </w:rPr>
  </w:style>
  <w:style w:type="character" w:styleId="FootnoteReference">
    <w:name w:val="footnote reference"/>
    <w:basedOn w:val="DefaultParagraphFont"/>
    <w:uiPriority w:val="99"/>
    <w:semiHidden/>
    <w:unhideWhenUsed/>
    <w:rsid w:val="007D777E"/>
    <w:rPr>
      <w:vertAlign w:val="superscript"/>
    </w:rPr>
  </w:style>
  <w:style w:type="table" w:styleId="TableGrid">
    <w:name w:val="Table Grid"/>
    <w:basedOn w:val="TableNormal"/>
    <w:uiPriority w:val="59"/>
    <w:rsid w:val="00F034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1A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A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05178">
      <w:bodyDiv w:val="1"/>
      <w:marLeft w:val="0"/>
      <w:marRight w:val="0"/>
      <w:marTop w:val="0"/>
      <w:marBottom w:val="0"/>
      <w:divBdr>
        <w:top w:val="none" w:sz="0" w:space="0" w:color="auto"/>
        <w:left w:val="none" w:sz="0" w:space="0" w:color="auto"/>
        <w:bottom w:val="none" w:sz="0" w:space="0" w:color="auto"/>
        <w:right w:val="none" w:sz="0" w:space="0" w:color="auto"/>
      </w:divBdr>
    </w:div>
    <w:div w:id="149948144">
      <w:bodyDiv w:val="1"/>
      <w:marLeft w:val="0"/>
      <w:marRight w:val="0"/>
      <w:marTop w:val="0"/>
      <w:marBottom w:val="0"/>
      <w:divBdr>
        <w:top w:val="none" w:sz="0" w:space="0" w:color="auto"/>
        <w:left w:val="none" w:sz="0" w:space="0" w:color="auto"/>
        <w:bottom w:val="none" w:sz="0" w:space="0" w:color="auto"/>
        <w:right w:val="none" w:sz="0" w:space="0" w:color="auto"/>
      </w:divBdr>
    </w:div>
    <w:div w:id="237402224">
      <w:bodyDiv w:val="1"/>
      <w:marLeft w:val="0"/>
      <w:marRight w:val="0"/>
      <w:marTop w:val="0"/>
      <w:marBottom w:val="0"/>
      <w:divBdr>
        <w:top w:val="none" w:sz="0" w:space="0" w:color="auto"/>
        <w:left w:val="none" w:sz="0" w:space="0" w:color="auto"/>
        <w:bottom w:val="none" w:sz="0" w:space="0" w:color="auto"/>
        <w:right w:val="none" w:sz="0" w:space="0" w:color="auto"/>
      </w:divBdr>
    </w:div>
    <w:div w:id="389497046">
      <w:bodyDiv w:val="1"/>
      <w:marLeft w:val="0"/>
      <w:marRight w:val="0"/>
      <w:marTop w:val="0"/>
      <w:marBottom w:val="0"/>
      <w:divBdr>
        <w:top w:val="none" w:sz="0" w:space="0" w:color="auto"/>
        <w:left w:val="none" w:sz="0" w:space="0" w:color="auto"/>
        <w:bottom w:val="none" w:sz="0" w:space="0" w:color="auto"/>
        <w:right w:val="none" w:sz="0" w:space="0" w:color="auto"/>
      </w:divBdr>
    </w:div>
    <w:div w:id="1304046482">
      <w:bodyDiv w:val="1"/>
      <w:marLeft w:val="0"/>
      <w:marRight w:val="0"/>
      <w:marTop w:val="0"/>
      <w:marBottom w:val="0"/>
      <w:divBdr>
        <w:top w:val="none" w:sz="0" w:space="0" w:color="auto"/>
        <w:left w:val="none" w:sz="0" w:space="0" w:color="auto"/>
        <w:bottom w:val="none" w:sz="0" w:space="0" w:color="auto"/>
        <w:right w:val="none" w:sz="0" w:space="0" w:color="auto"/>
      </w:divBdr>
    </w:div>
    <w:div w:id="1370257840">
      <w:bodyDiv w:val="1"/>
      <w:marLeft w:val="0"/>
      <w:marRight w:val="0"/>
      <w:marTop w:val="0"/>
      <w:marBottom w:val="0"/>
      <w:divBdr>
        <w:top w:val="none" w:sz="0" w:space="0" w:color="auto"/>
        <w:left w:val="none" w:sz="0" w:space="0" w:color="auto"/>
        <w:bottom w:val="none" w:sz="0" w:space="0" w:color="auto"/>
        <w:right w:val="none" w:sz="0" w:space="0" w:color="auto"/>
      </w:divBdr>
    </w:div>
    <w:div w:id="1462460614">
      <w:bodyDiv w:val="1"/>
      <w:marLeft w:val="0"/>
      <w:marRight w:val="0"/>
      <w:marTop w:val="0"/>
      <w:marBottom w:val="0"/>
      <w:divBdr>
        <w:top w:val="none" w:sz="0" w:space="0" w:color="auto"/>
        <w:left w:val="none" w:sz="0" w:space="0" w:color="auto"/>
        <w:bottom w:val="none" w:sz="0" w:space="0" w:color="auto"/>
        <w:right w:val="none" w:sz="0" w:space="0" w:color="auto"/>
      </w:divBdr>
    </w:div>
    <w:div w:id="1524900292">
      <w:bodyDiv w:val="1"/>
      <w:marLeft w:val="0"/>
      <w:marRight w:val="0"/>
      <w:marTop w:val="0"/>
      <w:marBottom w:val="0"/>
      <w:divBdr>
        <w:top w:val="none" w:sz="0" w:space="0" w:color="auto"/>
        <w:left w:val="none" w:sz="0" w:space="0" w:color="auto"/>
        <w:bottom w:val="none" w:sz="0" w:space="0" w:color="auto"/>
        <w:right w:val="none" w:sz="0" w:space="0" w:color="auto"/>
      </w:divBdr>
    </w:div>
    <w:div w:id="1727223148">
      <w:bodyDiv w:val="1"/>
      <w:marLeft w:val="0"/>
      <w:marRight w:val="0"/>
      <w:marTop w:val="0"/>
      <w:marBottom w:val="0"/>
      <w:divBdr>
        <w:top w:val="none" w:sz="0" w:space="0" w:color="auto"/>
        <w:left w:val="none" w:sz="0" w:space="0" w:color="auto"/>
        <w:bottom w:val="none" w:sz="0" w:space="0" w:color="auto"/>
        <w:right w:val="none" w:sz="0" w:space="0" w:color="auto"/>
      </w:divBdr>
    </w:div>
    <w:div w:id="1734542293">
      <w:bodyDiv w:val="1"/>
      <w:marLeft w:val="0"/>
      <w:marRight w:val="0"/>
      <w:marTop w:val="0"/>
      <w:marBottom w:val="0"/>
      <w:divBdr>
        <w:top w:val="none" w:sz="0" w:space="0" w:color="auto"/>
        <w:left w:val="none" w:sz="0" w:space="0" w:color="auto"/>
        <w:bottom w:val="none" w:sz="0" w:space="0" w:color="auto"/>
        <w:right w:val="none" w:sz="0" w:space="0" w:color="auto"/>
      </w:divBdr>
    </w:div>
    <w:div w:id="1758205229">
      <w:bodyDiv w:val="1"/>
      <w:marLeft w:val="0"/>
      <w:marRight w:val="0"/>
      <w:marTop w:val="0"/>
      <w:marBottom w:val="0"/>
      <w:divBdr>
        <w:top w:val="none" w:sz="0" w:space="0" w:color="auto"/>
        <w:left w:val="none" w:sz="0" w:space="0" w:color="auto"/>
        <w:bottom w:val="none" w:sz="0" w:space="0" w:color="auto"/>
        <w:right w:val="none" w:sz="0" w:space="0" w:color="auto"/>
      </w:divBdr>
    </w:div>
    <w:div w:id="1869759132">
      <w:bodyDiv w:val="1"/>
      <w:marLeft w:val="0"/>
      <w:marRight w:val="0"/>
      <w:marTop w:val="0"/>
      <w:marBottom w:val="0"/>
      <w:divBdr>
        <w:top w:val="none" w:sz="0" w:space="0" w:color="auto"/>
        <w:left w:val="none" w:sz="0" w:space="0" w:color="auto"/>
        <w:bottom w:val="none" w:sz="0" w:space="0" w:color="auto"/>
        <w:right w:val="none" w:sz="0" w:space="0" w:color="auto"/>
      </w:divBdr>
    </w:div>
    <w:div w:id="208942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ustomXml" Target="../customXml/item4.xml"/><Relationship Id="rId18" Type="http://schemas.openxmlformats.org/officeDocument/2006/relationships/customXml" Target="../customXml/item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1"/>
          <c:order val="0"/>
          <c:marker>
            <c:symbol val="none"/>
          </c:marker>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Sheet1!$B$4:$B$15</c:f>
              <c:numCache>
                <c:formatCode>General</c:formatCode>
                <c:ptCount val="12"/>
                <c:pt idx="0">
                  <c:v>2005</c:v>
                </c:pt>
                <c:pt idx="1">
                  <c:v>2006</c:v>
                </c:pt>
                <c:pt idx="2">
                  <c:v>2007</c:v>
                </c:pt>
                <c:pt idx="3">
                  <c:v>2008</c:v>
                </c:pt>
                <c:pt idx="4">
                  <c:v>2009</c:v>
                </c:pt>
                <c:pt idx="5">
                  <c:v>2010</c:v>
                </c:pt>
                <c:pt idx="6">
                  <c:v>2011</c:v>
                </c:pt>
                <c:pt idx="7">
                  <c:v>2012</c:v>
                </c:pt>
                <c:pt idx="8">
                  <c:v>2013</c:v>
                </c:pt>
                <c:pt idx="9">
                  <c:v>2014</c:v>
                </c:pt>
                <c:pt idx="10">
                  <c:v>2015</c:v>
                </c:pt>
                <c:pt idx="11">
                  <c:v>2016</c:v>
                </c:pt>
              </c:numCache>
            </c:numRef>
          </c:cat>
          <c:val>
            <c:numRef>
              <c:f>Sheet1!$C$4:$C$15</c:f>
              <c:numCache>
                <c:formatCode>General</c:formatCode>
                <c:ptCount val="12"/>
                <c:pt idx="0">
                  <c:v>104</c:v>
                </c:pt>
                <c:pt idx="1">
                  <c:v>151</c:v>
                </c:pt>
                <c:pt idx="2">
                  <c:v>188</c:v>
                </c:pt>
                <c:pt idx="3">
                  <c:v>219</c:v>
                </c:pt>
                <c:pt idx="4">
                  <c:v>207</c:v>
                </c:pt>
                <c:pt idx="5">
                  <c:v>225</c:v>
                </c:pt>
                <c:pt idx="6">
                  <c:v>265</c:v>
                </c:pt>
                <c:pt idx="7">
                  <c:v>275</c:v>
                </c:pt>
                <c:pt idx="8">
                  <c:v>314</c:v>
                </c:pt>
                <c:pt idx="9">
                  <c:v>284</c:v>
                </c:pt>
                <c:pt idx="10">
                  <c:v>344</c:v>
                </c:pt>
                <c:pt idx="11">
                  <c:v>379</c:v>
                </c:pt>
              </c:numCache>
            </c:numRef>
          </c:val>
          <c:smooth val="0"/>
          <c:extLst>
            <c:ext xmlns:c16="http://schemas.microsoft.com/office/drawing/2014/chart" uri="{C3380CC4-5D6E-409C-BE32-E72D297353CC}">
              <c16:uniqueId val="{00000000-4692-40DC-A9E2-CCF9C6D304A4}"/>
            </c:ext>
          </c:extLst>
        </c:ser>
        <c:dLbls>
          <c:showLegendKey val="0"/>
          <c:showVal val="0"/>
          <c:showCatName val="0"/>
          <c:showSerName val="0"/>
          <c:showPercent val="0"/>
          <c:showBubbleSize val="0"/>
        </c:dLbls>
        <c:smooth val="0"/>
        <c:axId val="162814976"/>
        <c:axId val="162829056"/>
      </c:lineChart>
      <c:catAx>
        <c:axId val="162814976"/>
        <c:scaling>
          <c:orientation val="minMax"/>
        </c:scaling>
        <c:delete val="0"/>
        <c:axPos val="b"/>
        <c:numFmt formatCode="General" sourceLinked="1"/>
        <c:majorTickMark val="out"/>
        <c:minorTickMark val="none"/>
        <c:tickLblPos val="nextTo"/>
        <c:crossAx val="162829056"/>
        <c:crosses val="autoZero"/>
        <c:auto val="1"/>
        <c:lblAlgn val="ctr"/>
        <c:lblOffset val="100"/>
        <c:noMultiLvlLbl val="0"/>
      </c:catAx>
      <c:valAx>
        <c:axId val="162829056"/>
        <c:scaling>
          <c:orientation val="minMax"/>
        </c:scaling>
        <c:delete val="0"/>
        <c:axPos val="l"/>
        <c:majorGridlines/>
        <c:numFmt formatCode="General" sourceLinked="1"/>
        <c:majorTickMark val="out"/>
        <c:minorTickMark val="none"/>
        <c:tickLblPos val="nextTo"/>
        <c:crossAx val="16281497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12.xml><?xml version="1.0" encoding="utf-8"?>
<?mso-contentType ?>
<FormUrls xmlns="http://schemas.microsoft.com/sharepoint/v3/contenttype/forms/url">
  <Display>_catalogs/masterpage/ECMForms/OperationsCT/View.aspx</Display>
  <Edit>_catalogs/masterpage/ECMForms/OperationsCT/Edit.aspx</Edit>
</FormUrls>
</file>

<file path=customXml/item13.xml><?xml version="1.0" encoding="utf-8"?>
<?mso-contentType ?>
<FormUrls xmlns="http://schemas.microsoft.com/sharepoint/v3/contenttype/forms/url">
  <Display>_catalogs/masterpage/ECMForms/OperationsCT/View.aspx</Display>
  <Edit>_catalogs/masterpage/ECMForms/OperationsCT/Edit.aspx</Edit>
</FormUrls>
</file>

<file path=customXml/item14.xml><?xml version="1.0" encoding="utf-8"?>
<?mso-contentType ?>
<FormUrls xmlns="http://schemas.microsoft.com/sharepoint/v3/contenttype/forms/url">
  <Display>_catalogs/masterpage/ECMForms/OperationsCT/View.aspx</Display>
  <Edit>_catalogs/masterpage/ECMForms/OperationsCT/Edit.aspx</Edit>
</FormUrls>
</file>

<file path=customXml/item15.xml><?xml version="1.0" encoding="utf-8"?>
<?mso-contentType ?>
<FormUrls xmlns="http://schemas.microsoft.com/sharepoint/v3/contenttype/forms/url">
  <Display>_catalogs/masterpage/ECMForms/OperationsCT/View.aspx</Display>
  <Edit>_catalogs/masterpage/ECMForms/OperationsCT/Edit.aspx</Edit>
</FormUrls>
</file>

<file path=customXml/item16.xml><?xml version="1.0" encoding="utf-8"?>
<?mso-contentType ?>
<FormUrls xmlns="http://schemas.microsoft.com/sharepoint/v3/contenttype/forms/url">
  <Display>_catalogs/masterpage/ECMForms/OperationsCT/View.aspx</Display>
  <Edit>_catalogs/masterpage/ECMForms/OperationsCT/Edit.aspx</Edit>
</FormUrls>
</file>

<file path=customXml/item1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4CC7BE51EA1E0143ADD168B92B2F4FA1" ma:contentTypeVersion="228" ma:contentTypeDescription="The base project type from which other project content types inherit their information." ma:contentTypeScope="" ma:versionID="d8bf3c82d52c0d947de6ba298472e510">
  <xsd:schema xmlns:xsd="http://www.w3.org/2001/XMLSchema" xmlns:xs="http://www.w3.org/2001/XMLSchema" xmlns:p="http://schemas.microsoft.com/office/2006/metadata/properties" xmlns:ns2="cdc7663a-08f0-4737-9e8c-148ce897a09c" targetNamespace="http://schemas.microsoft.com/office/2006/metadata/properties" ma:root="true" ma:fieldsID="6d6b13f7071dc4324cdce7e2e38e892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UR-L1150"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IDBDocs_x0020_Number xmlns="cdc7663a-08f0-4737-9e8c-148ce897a09c" xsi:nil="true"/>
    <Division_x0020_or_x0020_Unit xmlns="cdc7663a-08f0-4737-9e8c-148ce897a09c">INT/TIN</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Rospide, Maria De La Paz</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EXPORT AND INVESTMENT PROMOTION</TermName>
          <TermId xmlns="http://schemas.microsoft.com/office/infopath/2007/PartnerControls">a3c6a1c6-fb9e-4c31-b143-db9fb3847e9e</TermId>
        </TermInfo>
      </Term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104</Value>
      <Value>103</Value>
      <Value>32</Value>
      <Value>3</Value>
      <Value>30</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UR-L1150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TRADE</TermName>
          <TermId xmlns="http://schemas.microsoft.com/office/infopath/2007/PartnerControls">4f84c989-30b4-4e40-b7c1-3021a996f7c5</TermId>
        </TermInfo>
      </Terms>
    </nddeef1749674d76abdbe4b239a70bc6>
    <Record_x0020_Number xmlns="cdc7663a-08f0-4737-9e8c-148ce897a09c">R0002450602</Record_x0020_Number>
    <_dlc_DocId xmlns="cdc7663a-08f0-4737-9e8c-148ce897a09c">EZSHARE-1922773778-19</_dlc_DocId>
    <_dlc_DocIdUrl xmlns="cdc7663a-08f0-4737-9e8c-148ce897a09c">
      <Url>https://idbg.sharepoint.com/teams/EZ-UR-LON/UR-L1150/_layouts/15/DocIdRedir.aspx?ID=EZSHARE-1922773778-19</Url>
      <Description>EZSHARE-1922773778-19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4CC7BE51EA1E0143ADD168B92B2F4FA1" ma:contentTypeVersion="252" ma:contentTypeDescription="The base project type from which other project content types inherit their information." ma:contentTypeScope="" ma:versionID="a74f1f793b6ec214371b8630f075dc2b">
  <xsd:schema xmlns:xsd="http://www.w3.org/2001/XMLSchema" xmlns:xs="http://www.w3.org/2001/XMLSchema" xmlns:p="http://schemas.microsoft.com/office/2006/metadata/properties" xmlns:ns2="cdc7663a-08f0-4737-9e8c-148ce897a09c" targetNamespace="http://schemas.microsoft.com/office/2006/metadata/properties" ma:root="true" ma:fieldsID="6d6b13f7071dc4324cdce7e2e38e892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UR-L1150"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B9F905EDB695A4694B900954C0B144C" ma:contentTypeVersion="568" ma:contentTypeDescription="A content type to manage public (operations) IDB documents" ma:contentTypeScope="" ma:versionID="aebd3c7fea9f8b0919ca7f9f4eb7075b">
  <xsd:schema xmlns:xsd="http://www.w3.org/2001/XMLSchema" xmlns:xs="http://www.w3.org/2001/XMLSchema" xmlns:p="http://schemas.microsoft.com/office/2006/metadata/properties" xmlns:ns2="cdc7663a-08f0-4737-9e8c-148ce897a09c" targetNamespace="http://schemas.microsoft.com/office/2006/metadata/properties" ma:root="true" ma:fieldsID="3a5554d447de6dbfda44b12d445dc43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UR-L115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5C92F1-4F50-4EC5-9C1A-D78475C63EDE}">
  <ds:schemaRefs>
    <ds:schemaRef ds:uri="http://schemas.openxmlformats.org/officeDocument/2006/bibliography"/>
  </ds:schemaRefs>
</ds:datastoreItem>
</file>

<file path=customXml/itemProps10.xml><?xml version="1.0" encoding="utf-8"?>
<ds:datastoreItem xmlns:ds="http://schemas.openxmlformats.org/officeDocument/2006/customXml" ds:itemID="{4C8AB441-2382-4F8A-B7E0-8FF346D1DB0B}"/>
</file>

<file path=customXml/itemProps11.xml><?xml version="1.0" encoding="utf-8"?>
<ds:datastoreItem xmlns:ds="http://schemas.openxmlformats.org/officeDocument/2006/customXml" ds:itemID="{399033C7-E38D-453A-929B-FD21BA6B6FB5}"/>
</file>

<file path=customXml/itemProps12.xml><?xml version="1.0" encoding="utf-8"?>
<ds:datastoreItem xmlns:ds="http://schemas.openxmlformats.org/officeDocument/2006/customXml" ds:itemID="{17DDFABA-CD1D-4636-B4B6-EB02D6F12608}"/>
</file>

<file path=customXml/itemProps13.xml><?xml version="1.0" encoding="utf-8"?>
<ds:datastoreItem xmlns:ds="http://schemas.openxmlformats.org/officeDocument/2006/customXml" ds:itemID="{3596A3B8-8702-45A3-86DD-23CFFA1D791D}"/>
</file>

<file path=customXml/itemProps14.xml><?xml version="1.0" encoding="utf-8"?>
<ds:datastoreItem xmlns:ds="http://schemas.openxmlformats.org/officeDocument/2006/customXml" ds:itemID="{8B4258E9-AA51-4BBF-B919-5237656A2315}"/>
</file>

<file path=customXml/itemProps15.xml><?xml version="1.0" encoding="utf-8"?>
<ds:datastoreItem xmlns:ds="http://schemas.openxmlformats.org/officeDocument/2006/customXml" ds:itemID="{416E4E32-A6A2-4866-A99C-D7323EECD1AF}"/>
</file>

<file path=customXml/itemProps16.xml><?xml version="1.0" encoding="utf-8"?>
<ds:datastoreItem xmlns:ds="http://schemas.openxmlformats.org/officeDocument/2006/customXml" ds:itemID="{1BDF3E8A-8D26-412F-8F77-C677467AC084}"/>
</file>

<file path=customXml/itemProps17.xml><?xml version="1.0" encoding="utf-8"?>
<ds:datastoreItem xmlns:ds="http://schemas.openxmlformats.org/officeDocument/2006/customXml" ds:itemID="{4A81DF75-DA9E-4AAE-AB8A-4F9C3F792F03}"/>
</file>

<file path=customXml/itemProps2.xml><?xml version="1.0" encoding="utf-8"?>
<ds:datastoreItem xmlns:ds="http://schemas.openxmlformats.org/officeDocument/2006/customXml" ds:itemID="{537E8AFB-107E-43FA-8384-ED410DBA8B2C}"/>
</file>

<file path=customXml/itemProps3.xml><?xml version="1.0" encoding="utf-8"?>
<ds:datastoreItem xmlns:ds="http://schemas.openxmlformats.org/officeDocument/2006/customXml" ds:itemID="{1456BBDA-50E7-40B0-8571-44FDB0C16074}"/>
</file>

<file path=customXml/itemProps4.xml><?xml version="1.0" encoding="utf-8"?>
<ds:datastoreItem xmlns:ds="http://schemas.openxmlformats.org/officeDocument/2006/customXml" ds:itemID="{C0FF4A4F-2C61-4393-8FCF-8165D06D6DBF}"/>
</file>

<file path=customXml/itemProps5.xml><?xml version="1.0" encoding="utf-8"?>
<ds:datastoreItem xmlns:ds="http://schemas.openxmlformats.org/officeDocument/2006/customXml" ds:itemID="{7EC096A4-19F7-4BD1-944A-7BCA265973E8}"/>
</file>

<file path=customXml/itemProps6.xml><?xml version="1.0" encoding="utf-8"?>
<ds:datastoreItem xmlns:ds="http://schemas.openxmlformats.org/officeDocument/2006/customXml" ds:itemID="{8F626190-9086-4EA0-85C6-EA82A2547146}"/>
</file>

<file path=customXml/itemProps7.xml><?xml version="1.0" encoding="utf-8"?>
<ds:datastoreItem xmlns:ds="http://schemas.openxmlformats.org/officeDocument/2006/customXml" ds:itemID="{9D3BB801-7545-44B9-90B9-54BAD974E8A4}"/>
</file>

<file path=customXml/itemProps8.xml><?xml version="1.0" encoding="utf-8"?>
<ds:datastoreItem xmlns:ds="http://schemas.openxmlformats.org/officeDocument/2006/customXml" ds:itemID="{D8E0A81D-CE7F-4C2A-A0B0-3FDA8CE0F84B}"/>
</file>

<file path=customXml/itemProps9.xml><?xml version="1.0" encoding="utf-8"?>
<ds:datastoreItem xmlns:ds="http://schemas.openxmlformats.org/officeDocument/2006/customXml" ds:itemID="{35E7B225-AC10-4410-BEAA-60AA68C9561F}"/>
</file>

<file path=docProps/app.xml><?xml version="1.0" encoding="utf-8"?>
<Properties xmlns="http://schemas.openxmlformats.org/officeDocument/2006/extended-properties" xmlns:vt="http://schemas.openxmlformats.org/officeDocument/2006/docPropsVTypes">
  <Template>Normal.dotm</Template>
  <TotalTime>5</TotalTime>
  <Pages>20</Pages>
  <Words>6471</Words>
  <Characters>36885</Characters>
  <Application>Microsoft Office Word</Application>
  <DocSecurity>0</DocSecurity>
  <Lines>307</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MASTER8000</dc:creator>
  <cp:keywords/>
  <cp:lastModifiedBy>Rospide, Maria De La Paz</cp:lastModifiedBy>
  <cp:revision>3</cp:revision>
  <cp:lastPrinted>2018-06-22T15:35:00Z</cp:lastPrinted>
  <dcterms:created xsi:type="dcterms:W3CDTF">2018-07-18T13:10:00Z</dcterms:created>
  <dcterms:modified xsi:type="dcterms:W3CDTF">2018-07-20T00:55:00Z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104;#EXPORT AND INVESTMENT PROMOTION|a3c6a1c6-fb9e-4c31-b143-db9fb3847e9e</vt:lpwstr>
  </property>
  <property fmtid="{D5CDD505-2E9C-101B-9397-08002B2CF9AE}" pid="7" name="Fund IDB">
    <vt:lpwstr>30;#ORC|c028a4b2-ad8b-4cf4-9cac-a2ae6a778e23</vt:lpwstr>
  </property>
  <property fmtid="{D5CDD505-2E9C-101B-9397-08002B2CF9AE}" pid="8" name="Country">
    <vt:lpwstr>32;#Uruguay|5d9b6fdd-d595-4446-a0eb-c14b465f6d0e</vt:lpwstr>
  </property>
  <property fmtid="{D5CDD505-2E9C-101B-9397-08002B2CF9AE}" pid="9" name="Sector IDB">
    <vt:lpwstr>103;#TRADE|4f84c989-30b4-4e40-b7c1-3021a996f7c5</vt:lpwstr>
  </property>
  <property fmtid="{D5CDD505-2E9C-101B-9397-08002B2CF9AE}" pid="10" name="Function Operations IDB">
    <vt:lpwstr>3;#Project Administration|751f71fd-1433-4702-a2db-ff12a4e45594</vt:lpwstr>
  </property>
  <property fmtid="{D5CDD505-2E9C-101B-9397-08002B2CF9AE}" pid="11" name="_dlc_DocIdItemGuid">
    <vt:lpwstr>f37c901a-a2f5-440b-b410-e3f3366a4664</vt:lpwstr>
  </property>
  <property fmtid="{D5CDD505-2E9C-101B-9397-08002B2CF9AE}" pid="12" name="Disclosure Activity">
    <vt:lpwstr>Loan Proposal</vt:lpwstr>
  </property>
  <property fmtid="{D5CDD505-2E9C-101B-9397-08002B2CF9AE}" pid="13" name="ContentTypeId">
    <vt:lpwstr>0x0101001A458A224826124E8B45B1D613300CFC00DB9F905EDB695A4694B900954C0B144C</vt:lpwstr>
  </property>
</Properties>
</file>