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E3887" w14:textId="77777777" w:rsidR="00685FEE" w:rsidRDefault="00685FEE" w:rsidP="49C50549">
      <w:pPr>
        <w:pStyle w:val="Heading1"/>
        <w:numPr>
          <w:ilvl w:val="0"/>
          <w:numId w:val="0"/>
        </w:numPr>
        <w:ind w:left="432"/>
        <w:jc w:val="center"/>
        <w:rPr>
          <w:rFonts w:cs="Arial"/>
        </w:rPr>
      </w:pPr>
    </w:p>
    <w:p w14:paraId="6659162C" w14:textId="77777777" w:rsidR="00A27784" w:rsidRPr="00285977" w:rsidRDefault="49C50549" w:rsidP="49C50549">
      <w:pPr>
        <w:pStyle w:val="Heading1"/>
        <w:numPr>
          <w:ilvl w:val="0"/>
          <w:numId w:val="0"/>
        </w:numPr>
        <w:ind w:left="432"/>
        <w:jc w:val="center"/>
        <w:rPr>
          <w:rFonts w:cs="Arial"/>
          <w:b w:val="0"/>
        </w:rPr>
      </w:pPr>
      <w:r w:rsidRPr="49C50549">
        <w:rPr>
          <w:rFonts w:cs="Arial"/>
        </w:rPr>
        <w:t>TERMS OF REFERENCE</w:t>
      </w:r>
    </w:p>
    <w:p w14:paraId="460C69A6" w14:textId="645AB174" w:rsidR="00561AF9" w:rsidRPr="00561AF9" w:rsidRDefault="49C50549" w:rsidP="49C50549">
      <w:pPr>
        <w:jc w:val="both"/>
        <w:rPr>
          <w:rFonts w:cs="Arial"/>
          <w:b/>
          <w:bCs/>
          <w:sz w:val="22"/>
          <w:szCs w:val="22"/>
        </w:rPr>
      </w:pPr>
      <w:r w:rsidRPr="49C50549">
        <w:rPr>
          <w:rFonts w:cs="Arial"/>
          <w:b/>
          <w:bCs/>
          <w:sz w:val="22"/>
          <w:szCs w:val="22"/>
        </w:rPr>
        <w:t>The Bahamas</w:t>
      </w:r>
    </w:p>
    <w:p w14:paraId="653DE669" w14:textId="77777777" w:rsidR="00561AF9" w:rsidRPr="00561AF9" w:rsidRDefault="00561AF9" w:rsidP="00561AF9">
      <w:pPr>
        <w:jc w:val="both"/>
        <w:rPr>
          <w:rFonts w:cs="Arial"/>
          <w:b/>
          <w:bCs/>
          <w:sz w:val="22"/>
          <w:szCs w:val="22"/>
        </w:rPr>
      </w:pPr>
    </w:p>
    <w:p w14:paraId="12BD3392" w14:textId="77777777" w:rsidR="00561AF9" w:rsidRPr="00561AF9" w:rsidRDefault="49C50549" w:rsidP="49C50549">
      <w:pPr>
        <w:jc w:val="both"/>
        <w:rPr>
          <w:rFonts w:cs="Arial"/>
          <w:b/>
          <w:bCs/>
          <w:sz w:val="22"/>
          <w:szCs w:val="22"/>
        </w:rPr>
      </w:pPr>
      <w:r w:rsidRPr="49C50549">
        <w:rPr>
          <w:rFonts w:cs="Arial"/>
          <w:b/>
          <w:bCs/>
          <w:sz w:val="22"/>
          <w:szCs w:val="22"/>
        </w:rPr>
        <w:t>INE/ENE</w:t>
      </w:r>
    </w:p>
    <w:p w14:paraId="13693469" w14:textId="77777777" w:rsidR="00561AF9" w:rsidRDefault="00561AF9" w:rsidP="006B304D">
      <w:pPr>
        <w:jc w:val="center"/>
        <w:rPr>
          <w:rFonts w:cs="Arial"/>
          <w:b/>
          <w:color w:val="000000" w:themeColor="text1"/>
        </w:rPr>
      </w:pPr>
    </w:p>
    <w:p w14:paraId="6659162F" w14:textId="1E94799C" w:rsidR="008644F0" w:rsidRPr="00285977" w:rsidRDefault="203E827B" w:rsidP="203E827B">
      <w:pPr>
        <w:rPr>
          <w:rFonts w:ascii="Arial Bold" w:hAnsi="Arial Bold" w:cs="Arial"/>
          <w:b/>
          <w:bCs/>
          <w:caps/>
          <w:color w:val="000000" w:themeColor="text1"/>
        </w:rPr>
      </w:pPr>
      <w:r w:rsidRPr="203E827B">
        <w:rPr>
          <w:rFonts w:ascii="Arial Bold" w:hAnsi="Arial Bold" w:cs="Arial"/>
          <w:b/>
          <w:bCs/>
          <w:caps/>
          <w:color w:val="000000" w:themeColor="text1"/>
        </w:rPr>
        <w:t>Consultancy Services: TECHNICAL SUPPORT on</w:t>
      </w:r>
      <w:r w:rsidR="00BB54B0">
        <w:rPr>
          <w:rFonts w:ascii="Arial Bold" w:hAnsi="Arial Bold" w:cs="Arial"/>
          <w:b/>
          <w:bCs/>
          <w:caps/>
          <w:color w:val="000000" w:themeColor="text1"/>
        </w:rPr>
        <w:t xml:space="preserve"> RENEWABLE ENERGY &amp; </w:t>
      </w:r>
      <w:r w:rsidRPr="203E827B">
        <w:rPr>
          <w:rFonts w:ascii="Arial Bold" w:hAnsi="Arial Bold" w:cs="Arial"/>
          <w:b/>
          <w:bCs/>
          <w:caps/>
          <w:color w:val="000000" w:themeColor="text1"/>
        </w:rPr>
        <w:t xml:space="preserve">ENERGY Planning for the </w:t>
      </w:r>
      <w:r w:rsidR="00BB54B0">
        <w:rPr>
          <w:rFonts w:ascii="Arial Bold" w:hAnsi="Arial Bold" w:cs="Arial"/>
          <w:b/>
          <w:bCs/>
          <w:caps/>
          <w:color w:val="000000" w:themeColor="text1"/>
        </w:rPr>
        <w:t>GOVERNMENT OF THE BAHAMAS</w:t>
      </w:r>
    </w:p>
    <w:p w14:paraId="056D6A2E" w14:textId="20289996" w:rsidR="005972FF" w:rsidRPr="00285977" w:rsidRDefault="49C50549" w:rsidP="49C50549">
      <w:pPr>
        <w:pStyle w:val="BodyText"/>
        <w:rPr>
          <w:rFonts w:cs="Arial"/>
          <w:b/>
          <w:bCs/>
          <w:color w:val="000000" w:themeColor="text1"/>
        </w:rPr>
      </w:pPr>
      <w:r w:rsidRPr="49C50549">
        <w:rPr>
          <w:rFonts w:cs="Arial"/>
          <w:b/>
          <w:bCs/>
          <w:color w:val="000000" w:themeColor="text1"/>
        </w:rPr>
        <w:t>BH-T1064</w:t>
      </w:r>
    </w:p>
    <w:p w14:paraId="4C0B4B62" w14:textId="77777777" w:rsidR="0096031D" w:rsidRDefault="49C50549" w:rsidP="49C50549">
      <w:pPr>
        <w:tabs>
          <w:tab w:val="left" w:pos="7080"/>
        </w:tabs>
        <w:rPr>
          <w:rFonts w:cs="Arial"/>
          <w:b/>
          <w:bCs/>
          <w:color w:val="000000" w:themeColor="text1"/>
        </w:rPr>
      </w:pPr>
      <w:r w:rsidRPr="49C50549">
        <w:rPr>
          <w:rFonts w:cs="Arial"/>
          <w:b/>
          <w:bCs/>
          <w:color w:val="000000" w:themeColor="text1"/>
        </w:rPr>
        <w:t>Supporting Renewable Energy within the Implementation of the Electricity Act in The Bahamas</w:t>
      </w:r>
    </w:p>
    <w:p w14:paraId="52E1D511" w14:textId="77777777" w:rsidR="0096031D" w:rsidRDefault="0096031D" w:rsidP="0096031D">
      <w:pPr>
        <w:tabs>
          <w:tab w:val="left" w:pos="7080"/>
        </w:tabs>
        <w:rPr>
          <w:rFonts w:eastAsiaTheme="minorHAnsi"/>
          <w:b/>
        </w:rPr>
      </w:pPr>
    </w:p>
    <w:p w14:paraId="5AA6EADA" w14:textId="3CB7DC5F" w:rsidR="0096031D" w:rsidRDefault="49C50549" w:rsidP="49C50549">
      <w:pPr>
        <w:pStyle w:val="Heading1"/>
        <w:rPr>
          <w:rFonts w:eastAsiaTheme="minorEastAsia"/>
        </w:rPr>
      </w:pPr>
      <w:r w:rsidRPr="49C50549">
        <w:rPr>
          <w:rFonts w:eastAsiaTheme="minorEastAsia"/>
        </w:rPr>
        <w:t>Background and Justification</w:t>
      </w:r>
    </w:p>
    <w:p w14:paraId="35E2288C" w14:textId="77777777" w:rsidR="00653496" w:rsidRPr="00881DE3" w:rsidRDefault="00653496" w:rsidP="00127534">
      <w:pPr>
        <w:pStyle w:val="Heading2"/>
      </w:pPr>
      <w:r w:rsidRPr="00860D76">
        <w:t>The Bahamas, a small open archipelagic economy</w:t>
      </w:r>
      <w:r>
        <w:t xml:space="preserve">, </w:t>
      </w:r>
      <w:r w:rsidRPr="00860D76">
        <w:t xml:space="preserve">has continued to experience </w:t>
      </w:r>
      <w:r>
        <w:t xml:space="preserve">low </w:t>
      </w:r>
      <w:r w:rsidRPr="00860D76">
        <w:t>growth rates</w:t>
      </w:r>
      <w:r>
        <w:t xml:space="preserve"> </w:t>
      </w:r>
      <w:r w:rsidRPr="00860D76">
        <w:t>and rising debt levels since the global financial crisis. Fiscal deficits</w:t>
      </w:r>
      <w:r>
        <w:rPr>
          <w:rStyle w:val="FootnoteReference"/>
          <w:rFonts w:cs="Arial"/>
        </w:rPr>
        <w:footnoteReference w:id="2"/>
      </w:r>
      <w:r w:rsidRPr="00860D76">
        <w:t xml:space="preserve"> and national debt levels are deteriorating,</w:t>
      </w:r>
      <w:r>
        <w:t xml:space="preserve"> and f</w:t>
      </w:r>
      <w:r w:rsidRPr="00FC3EB9">
        <w:t>oreign direct investments have declined.</w:t>
      </w:r>
      <w:r>
        <w:rPr>
          <w:rStyle w:val="FootnoteReference"/>
          <w:rFonts w:cs="Arial"/>
        </w:rPr>
        <w:footnoteReference w:id="3"/>
      </w:r>
      <w:r w:rsidRPr="00FC3EB9">
        <w:t xml:space="preserve"> </w:t>
      </w:r>
      <w:r>
        <w:t xml:space="preserve"> Together with an old power generation infrastructure, The Bahamas suffers from a high fuel import bill (7% of GDP), high electricity prices</w:t>
      </w:r>
      <w:r w:rsidRPr="00881DE3">
        <w:rPr>
          <w:rStyle w:val="FootnoteReference"/>
          <w:rFonts w:cs="Arial"/>
        </w:rPr>
        <w:footnoteReference w:id="4"/>
      </w:r>
      <w:r>
        <w:t xml:space="preserve"> as well as a large and financially challenged utility – Bahamas Power and Light (BPL) - which experiences frequent power outages,</w:t>
      </w:r>
      <w:r>
        <w:rPr>
          <w:rStyle w:val="FootnoteReference"/>
          <w:rFonts w:cs="Arial"/>
        </w:rPr>
        <w:footnoteReference w:id="5"/>
      </w:r>
      <w:r>
        <w:t xml:space="preserve"> and elevated system losses.  V</w:t>
      </w:r>
      <w:r w:rsidRPr="007547EF">
        <w:t>olatile oil prices ha</w:t>
      </w:r>
      <w:r>
        <w:t>ve</w:t>
      </w:r>
      <w:r w:rsidRPr="007547EF">
        <w:t xml:space="preserve"> contributed to making electricity tariffs among the highest in the Caribbean</w:t>
      </w:r>
      <w:r w:rsidRPr="00881DE3">
        <w:rPr>
          <w:rStyle w:val="FootnoteReference"/>
          <w:rFonts w:cs="Arial"/>
        </w:rPr>
        <w:footnoteReference w:id="6"/>
      </w:r>
      <w:r w:rsidRPr="007547EF">
        <w:t xml:space="preserve">. </w:t>
      </w:r>
    </w:p>
    <w:p w14:paraId="403A501C" w14:textId="229E0677" w:rsidR="00653496" w:rsidRDefault="00653496" w:rsidP="00127534">
      <w:pPr>
        <w:pStyle w:val="Heading2"/>
      </w:pPr>
      <w:r>
        <w:t>Simultaneously, at the global level after</w:t>
      </w:r>
      <w:r w:rsidRPr="0066302C">
        <w:t xml:space="preserve"> years of steady cost decline for solar</w:t>
      </w:r>
      <w:r>
        <w:t xml:space="preserve"> </w:t>
      </w:r>
      <w:r w:rsidRPr="0066302C">
        <w:t>and wind technologies, renewable power is</w:t>
      </w:r>
      <w:r>
        <w:t xml:space="preserve"> </w:t>
      </w:r>
      <w:r w:rsidRPr="0066302C">
        <w:t>becoming an increasingly competitive way to</w:t>
      </w:r>
      <w:r>
        <w:t xml:space="preserve"> </w:t>
      </w:r>
      <w:r w:rsidRPr="0066302C">
        <w:t>meet new generation needs.</w:t>
      </w:r>
      <w:r>
        <w:t xml:space="preserve"> </w:t>
      </w:r>
      <w:r w:rsidRPr="00FD46B2">
        <w:t>The global weighted average</w:t>
      </w:r>
      <w:r>
        <w:t xml:space="preserve"> </w:t>
      </w:r>
      <w:r w:rsidRPr="00FD46B2">
        <w:t>levelized cost of electricity (LCOE) of utility</w:t>
      </w:r>
      <w:r>
        <w:t>-</w:t>
      </w:r>
      <w:r w:rsidRPr="00FD46B2">
        <w:t>scale</w:t>
      </w:r>
      <w:r>
        <w:t xml:space="preserve"> </w:t>
      </w:r>
      <w:r w:rsidRPr="00FD46B2">
        <w:t>solar PV has fallen 73% since 2010, to</w:t>
      </w:r>
      <w:r>
        <w:t xml:space="preserve"> </w:t>
      </w:r>
      <w:r w:rsidRPr="00FD46B2">
        <w:t>USD 0.10/kWh for new projects commissioned</w:t>
      </w:r>
      <w:r>
        <w:t xml:space="preserve"> </w:t>
      </w:r>
      <w:r w:rsidRPr="00FD46B2">
        <w:t>in 2017</w:t>
      </w:r>
      <w:r>
        <w:t>.</w:t>
      </w:r>
      <w:r>
        <w:rPr>
          <w:rStyle w:val="FootnoteReference"/>
          <w:rFonts w:cs="Arial"/>
        </w:rPr>
        <w:footnoteReference w:id="7"/>
      </w:r>
      <w:r>
        <w:t xml:space="preserve"> However, The Bahamas ranks lowest in the region for renewable energy (RE) penetration in its generation mix despite possessing ample RE resources with Global Horizontal Irradiation (GHI) averaging over 2100kWh/m2 and expected photovoltaic (PV) output of about 1700 kWh/</w:t>
      </w:r>
      <w:proofErr w:type="spellStart"/>
      <w:r>
        <w:t>KWp</w:t>
      </w:r>
      <w:proofErr w:type="spellEnd"/>
      <w:r>
        <w:t>.</w:t>
      </w:r>
      <w:r>
        <w:rPr>
          <w:rStyle w:val="FootnoteReference"/>
          <w:rFonts w:cs="Arial"/>
        </w:rPr>
        <w:footnoteReference w:id="8"/>
      </w:r>
      <w:r>
        <w:t xml:space="preserve"> A</w:t>
      </w:r>
      <w:r w:rsidRPr="00575482">
        <w:t xml:space="preserve">ccelerating the transition to a renewables-based </w:t>
      </w:r>
      <w:r w:rsidRPr="00575482">
        <w:lastRenderedPageBreak/>
        <w:t>energy system represents a unique opportunity</w:t>
      </w:r>
      <w:r>
        <w:t xml:space="preserve"> for The Bahamas and other Caribbean countries </w:t>
      </w:r>
      <w:r w:rsidRPr="00575482">
        <w:t>to meet climate goals while fueling economic growth, creating new employment opportunities and</w:t>
      </w:r>
      <w:r>
        <w:t xml:space="preserve"> </w:t>
      </w:r>
      <w:r w:rsidRPr="00575482">
        <w:t>enhancing human welfare.</w:t>
      </w:r>
      <w:r>
        <w:rPr>
          <w:rStyle w:val="FootnoteReference"/>
          <w:rFonts w:cs="Arial"/>
        </w:rPr>
        <w:footnoteReference w:id="9"/>
      </w:r>
      <w:r w:rsidRPr="00575482">
        <w:t xml:space="preserve"> </w:t>
      </w:r>
    </w:p>
    <w:p w14:paraId="1820266E" w14:textId="6D38A10E" w:rsidR="00653496" w:rsidRDefault="00653496" w:rsidP="00127534">
      <w:pPr>
        <w:pStyle w:val="Heading2"/>
      </w:pPr>
      <w:r w:rsidRPr="004E7B47">
        <w:t>To begin to address these challenges and opportunities, the National Energy Policy 2013-2033 (NEP) in The Bahamas established in 2014 as a core objective the increasing inclusion of sustainable RE sources into the generation mix to approximately 30% by 2033.  The NEP acknowledges that renewables resources such as wind, solar, waste-to-energy and biomass are indigenous to The Bahamas and if developed adequately, can provide cleaner, and in the long term, affordable alternatives to fossil fuels.  In 2015, the Electricity Act (EA) of 1956 was repealed to allow for RE utility-scale as well as self-generation. Section 25 of the Electricity Act provides that the public electricity supplier (BPL) should develop and submit for the Regulator’s (URCA) approval, a time-bound Plan for the introduction of sustainable RE technologies into the electricity supply system and an annual report of the accomplishments made against the approved Plan.</w:t>
      </w:r>
    </w:p>
    <w:p w14:paraId="246EFECA" w14:textId="1D1F45A2" w:rsidR="00653496" w:rsidRDefault="00653496" w:rsidP="00127534">
      <w:pPr>
        <w:pStyle w:val="Heading2"/>
      </w:pPr>
      <w:r w:rsidRPr="00E157C8">
        <w:t xml:space="preserve">In recent years, there have been enquiries by commercial entities which are seeking to pursue RE self-generation projects of capacity </w:t>
      </w:r>
      <w:r>
        <w:t>of 1MW or more</w:t>
      </w:r>
      <w:r w:rsidRPr="27560F19">
        <w:t>,</w:t>
      </w:r>
      <w:r w:rsidRPr="000A1AB8">
        <w:rPr>
          <w:rStyle w:val="FootnoteReference"/>
        </w:rPr>
        <w:footnoteReference w:id="10"/>
      </w:r>
      <w:r w:rsidRPr="27560F19">
        <w:t xml:space="preserve"> </w:t>
      </w:r>
      <w:r w:rsidRPr="000A1AB8">
        <w:t>selling</w:t>
      </w:r>
      <w:r w:rsidRPr="004E7B47">
        <w:t xml:space="preserve"> excess energy to BPL for use in its system.  </w:t>
      </w:r>
      <w:r>
        <w:t xml:space="preserve"> </w:t>
      </w:r>
      <w:r w:rsidRPr="004E7B47">
        <w:t>In April 2016, BPL submitted its Renewable Energy Plan (REP) to URCA seeking to fulfil the requirements of section 25(2) of the EA. URCA considered that BPL’s REP had merit with respect to segmenting the REP into two components-  “Small-scale</w:t>
      </w:r>
      <w:r w:rsidRPr="27560F19">
        <w:t>”</w:t>
      </w:r>
      <w:r>
        <w:rPr>
          <w:rStyle w:val="FootnoteReference"/>
        </w:rPr>
        <w:footnoteReference w:id="11"/>
      </w:r>
      <w:r w:rsidRPr="27560F19">
        <w:t xml:space="preserve"> </w:t>
      </w:r>
      <w:r w:rsidRPr="004E7B47">
        <w:t xml:space="preserve">and “utility-scale” generation – </w:t>
      </w:r>
      <w:r w:rsidR="00581897">
        <w:t>however the initial plan which focused on the S</w:t>
      </w:r>
      <w:r w:rsidR="00CC4560">
        <w:t xml:space="preserve">mall </w:t>
      </w:r>
      <w:r w:rsidR="00581897">
        <w:t>S</w:t>
      </w:r>
      <w:r w:rsidR="00CC4560">
        <w:t xml:space="preserve">cale </w:t>
      </w:r>
      <w:r w:rsidR="00581897">
        <w:t>R</w:t>
      </w:r>
      <w:r w:rsidR="00CC4560">
        <w:t xml:space="preserve">enewable </w:t>
      </w:r>
      <w:r w:rsidR="00581897">
        <w:t>G</w:t>
      </w:r>
      <w:r w:rsidR="00CC4560">
        <w:t>eneration</w:t>
      </w:r>
      <w:r w:rsidR="00581897">
        <w:t xml:space="preserve"> program </w:t>
      </w:r>
      <w:r>
        <w:t>did</w:t>
      </w:r>
      <w:r w:rsidRPr="004E7B47">
        <w:t xml:space="preserve"> not </w:t>
      </w:r>
      <w:r w:rsidR="00581897">
        <w:t xml:space="preserve">fully </w:t>
      </w:r>
      <w:r w:rsidRPr="004E7B47">
        <w:t>meet the NEP nor the objective</w:t>
      </w:r>
      <w:r>
        <w:t>s</w:t>
      </w:r>
      <w:r w:rsidRPr="004E7B47">
        <w:t xml:space="preserve"> of the EA as it did not facilitate Independent Power Producers (IPPs), lacking an outline of internal planning processes or provisions for additional energy to the grid by these third-party providers.</w:t>
      </w:r>
      <w:r w:rsidRPr="27560F19">
        <w:t xml:space="preserve"> </w:t>
      </w:r>
    </w:p>
    <w:p w14:paraId="6998ABD7" w14:textId="2ED3A99D" w:rsidR="00653496" w:rsidRPr="00653496" w:rsidRDefault="00653496" w:rsidP="00127534">
      <w:pPr>
        <w:pStyle w:val="Heading2"/>
      </w:pPr>
      <w:r w:rsidRPr="00B73E6D">
        <w:t>Essen</w:t>
      </w:r>
      <w:r>
        <w:t>tially, m</w:t>
      </w:r>
      <w:r w:rsidRPr="00B73E6D">
        <w:t>arket governance and regulatory related</w:t>
      </w:r>
      <w:r>
        <w:t xml:space="preserve"> </w:t>
      </w:r>
      <w:r w:rsidRPr="00B73E6D">
        <w:t>challenges continue to be among the hindrances to the implementation</w:t>
      </w:r>
      <w:r>
        <w:t xml:space="preserve"> </w:t>
      </w:r>
      <w:r w:rsidRPr="00B73E6D">
        <w:t xml:space="preserve">of several energy projects, especially with respect to </w:t>
      </w:r>
      <w:r>
        <w:t>RE</w:t>
      </w:r>
      <w:r w:rsidRPr="00B73E6D">
        <w:t xml:space="preserve"> and</w:t>
      </w:r>
      <w:r>
        <w:t xml:space="preserve"> </w:t>
      </w:r>
      <w:r w:rsidRPr="00B73E6D">
        <w:t xml:space="preserve">private sector participation. </w:t>
      </w:r>
      <w:r>
        <w:t xml:space="preserve">At present there is no comprehensive framework for distributed and utility-scale renewable energy that </w:t>
      </w:r>
      <w:r w:rsidRPr="00365534">
        <w:t>reflect</w:t>
      </w:r>
      <w:r>
        <w:t>s</w:t>
      </w:r>
      <w:r w:rsidRPr="00365534">
        <w:t xml:space="preserve"> </w:t>
      </w:r>
      <w:r>
        <w:t xml:space="preserve">local </w:t>
      </w:r>
      <w:r w:rsidRPr="00365534">
        <w:t>technical</w:t>
      </w:r>
      <w:r>
        <w:t>, legal</w:t>
      </w:r>
      <w:r w:rsidRPr="00365534">
        <w:t xml:space="preserve"> and </w:t>
      </w:r>
      <w:r>
        <w:t xml:space="preserve">economic conditions. </w:t>
      </w:r>
      <w:r w:rsidR="00DE64C3">
        <w:t xml:space="preserve"> A</w:t>
      </w:r>
      <w:r w:rsidR="00DF302F">
        <w:t>n</w:t>
      </w:r>
      <w:r>
        <w:t xml:space="preserve"> </w:t>
      </w:r>
      <w:r w:rsidR="00AF58B4">
        <w:t>offtake</w:t>
      </w:r>
      <w:r w:rsidRPr="00365534">
        <w:t xml:space="preserve"> agreement standard</w:t>
      </w:r>
      <w:r>
        <w:t xml:space="preserve"> will be needed for </w:t>
      </w:r>
      <w:r w:rsidR="00A326F9">
        <w:t xml:space="preserve">medium and </w:t>
      </w:r>
      <w:r>
        <w:t>utility-scale solar, laying out the conditions</w:t>
      </w:r>
      <w:r w:rsidRPr="00365534">
        <w:t xml:space="preserve"> and obligations of the </w:t>
      </w:r>
      <w:r>
        <w:t xml:space="preserve">electricity </w:t>
      </w:r>
      <w:r w:rsidRPr="00365534">
        <w:t xml:space="preserve">off-taker, to provide investors with certainty regarding the return on their </w:t>
      </w:r>
      <w:r>
        <w:t xml:space="preserve">investment. </w:t>
      </w:r>
      <w:r w:rsidR="00DE64C3">
        <w:t>S</w:t>
      </w:r>
      <w:r>
        <w:t>takeholders</w:t>
      </w:r>
      <w:r w:rsidR="00DE64C3">
        <w:t xml:space="preserve"> need to understand the</w:t>
      </w:r>
      <w:r>
        <w:t xml:space="preserve"> reference price ceilings that could be used for competitive tender processes for utility-scale solar. </w:t>
      </w:r>
      <w:r w:rsidR="00581897">
        <w:t xml:space="preserve">One of the issues at </w:t>
      </w:r>
      <w:r>
        <w:t xml:space="preserve">the heart of the challenge is the fact the value of solar PV on the distributed generation (DG) </w:t>
      </w:r>
      <w:r w:rsidRPr="00881DE3">
        <w:t xml:space="preserve">level is not fully understood by </w:t>
      </w:r>
      <w:r w:rsidR="00581897">
        <w:t xml:space="preserve">all </w:t>
      </w:r>
      <w:r w:rsidRPr="00881DE3">
        <w:lastRenderedPageBreak/>
        <w:t xml:space="preserve">energy stakeholders. </w:t>
      </w:r>
      <w:r w:rsidRPr="00B73E6D">
        <w:t>Th</w:t>
      </w:r>
      <w:r>
        <w:t>is is</w:t>
      </w:r>
      <w:r w:rsidRPr="00B73E6D">
        <w:t xml:space="preserve"> in part leading to prolonged</w:t>
      </w:r>
      <w:r>
        <w:t xml:space="preserve"> implementation of RE</w:t>
      </w:r>
      <w:r w:rsidRPr="00B73E6D">
        <w:t xml:space="preserve"> projects</w:t>
      </w:r>
      <w:r>
        <w:t xml:space="preserve"> and stalled financial closure for others. A study of this nature will enable Government </w:t>
      </w:r>
      <w:r w:rsidRPr="00881DE3">
        <w:t>to participate</w:t>
      </w:r>
      <w:r>
        <w:t xml:space="preserve"> </w:t>
      </w:r>
      <w:r w:rsidRPr="00881DE3">
        <w:t xml:space="preserve">and contribute </w:t>
      </w:r>
      <w:r>
        <w:t>to</w:t>
      </w:r>
      <w:r w:rsidRPr="00881DE3">
        <w:t xml:space="preserve"> the policy and regulatory discussion on the RE Plan.</w:t>
      </w:r>
    </w:p>
    <w:p w14:paraId="21055271" w14:textId="704A99BC" w:rsidR="00653496" w:rsidRDefault="00653496" w:rsidP="00127534">
      <w:pPr>
        <w:pStyle w:val="Heading2"/>
        <w:rPr>
          <w:szCs w:val="22"/>
        </w:rPr>
      </w:pPr>
      <w:r>
        <w:rPr>
          <w:szCs w:val="22"/>
        </w:rPr>
        <w:t>Recognizing this challenge, in May 2</w:t>
      </w:r>
      <w:r w:rsidRPr="00762B68">
        <w:rPr>
          <w:szCs w:val="22"/>
        </w:rPr>
        <w:t>018 the</w:t>
      </w:r>
      <w:r>
        <w:rPr>
          <w:szCs w:val="22"/>
        </w:rPr>
        <w:t xml:space="preserve"> Government of The Bahamas (</w:t>
      </w:r>
      <w:proofErr w:type="spellStart"/>
      <w:r w:rsidRPr="00762B68">
        <w:rPr>
          <w:szCs w:val="22"/>
        </w:rPr>
        <w:t>G</w:t>
      </w:r>
      <w:r w:rsidR="00DF302F">
        <w:rPr>
          <w:szCs w:val="22"/>
        </w:rPr>
        <w:t>o</w:t>
      </w:r>
      <w:r w:rsidRPr="00762B68">
        <w:rPr>
          <w:szCs w:val="22"/>
        </w:rPr>
        <w:t>BH</w:t>
      </w:r>
      <w:proofErr w:type="spellEnd"/>
      <w:r>
        <w:rPr>
          <w:szCs w:val="22"/>
        </w:rPr>
        <w:t>)</w:t>
      </w:r>
      <w:r w:rsidRPr="00762B68">
        <w:rPr>
          <w:szCs w:val="22"/>
        </w:rPr>
        <w:t xml:space="preserve"> l</w:t>
      </w:r>
      <w:r>
        <w:rPr>
          <w:szCs w:val="22"/>
        </w:rPr>
        <w:t>a</w:t>
      </w:r>
      <w:r w:rsidRPr="00762B68">
        <w:rPr>
          <w:szCs w:val="22"/>
        </w:rPr>
        <w:t xml:space="preserve">unched the </w:t>
      </w:r>
      <w:r>
        <w:rPr>
          <w:szCs w:val="22"/>
        </w:rPr>
        <w:t>Prime Minister’s Delivery Unit (</w:t>
      </w:r>
      <w:r w:rsidRPr="00762B68">
        <w:rPr>
          <w:szCs w:val="22"/>
        </w:rPr>
        <w:t>PMDU</w:t>
      </w:r>
      <w:r>
        <w:rPr>
          <w:szCs w:val="22"/>
        </w:rPr>
        <w:t>)</w:t>
      </w:r>
      <w:r w:rsidRPr="00762B68">
        <w:rPr>
          <w:szCs w:val="22"/>
        </w:rPr>
        <w:t xml:space="preserve"> with the objective </w:t>
      </w:r>
      <w:r>
        <w:rPr>
          <w:szCs w:val="22"/>
        </w:rPr>
        <w:t xml:space="preserve">of </w:t>
      </w:r>
      <w:r w:rsidRPr="00762B68">
        <w:rPr>
          <w:szCs w:val="22"/>
        </w:rPr>
        <w:t xml:space="preserve">advancing reforms in </w:t>
      </w:r>
      <w:r>
        <w:rPr>
          <w:szCs w:val="22"/>
        </w:rPr>
        <w:t xml:space="preserve">key areas, serving </w:t>
      </w:r>
      <w:r w:rsidRPr="00762B68">
        <w:rPr>
          <w:szCs w:val="22"/>
        </w:rPr>
        <w:t xml:space="preserve">as a facilitator, providing ongoing support and challenge to ministries and agencies </w:t>
      </w:r>
      <w:r>
        <w:rPr>
          <w:szCs w:val="22"/>
        </w:rPr>
        <w:t>to keep a</w:t>
      </w:r>
      <w:r w:rsidRPr="00762B68">
        <w:rPr>
          <w:szCs w:val="22"/>
        </w:rPr>
        <w:t xml:space="preserve"> constant focus on delivery. </w:t>
      </w:r>
      <w:r>
        <w:rPr>
          <w:szCs w:val="22"/>
        </w:rPr>
        <w:t xml:space="preserve">Energy Reform is one such area and the PMDU will have a central </w:t>
      </w:r>
      <w:r w:rsidRPr="00762B68">
        <w:rPr>
          <w:szCs w:val="22"/>
        </w:rPr>
        <w:t xml:space="preserve">role in coordinating across </w:t>
      </w:r>
      <w:r>
        <w:rPr>
          <w:szCs w:val="22"/>
        </w:rPr>
        <w:t xml:space="preserve">public and private stakeholders </w:t>
      </w:r>
      <w:r w:rsidRPr="00762B68">
        <w:rPr>
          <w:szCs w:val="22"/>
        </w:rPr>
        <w:t xml:space="preserve">to ensure challenges are identified and addressed in a timely and rigorous way. </w:t>
      </w:r>
      <w:r>
        <w:rPr>
          <w:szCs w:val="22"/>
        </w:rPr>
        <w:t>Working with stakeholders to define a road-map for reaching critical RE goals is key short-term objective and the PMDU is keen to strengthen its capacity do so as well as that of key energy stakeholders within Government on energy planning, standardization, certification and building public awareness. Having an independent analysis of the economic and societal value of solar PV at the DG level will not only enable stakeholders to have an appreciation of the wider benefits and costs to The Bahamas, but it will also help to cement collaboration between stakeholders and provide inputs to the definition of a</w:t>
      </w:r>
      <w:r w:rsidR="00DF302F">
        <w:rPr>
          <w:szCs w:val="22"/>
        </w:rPr>
        <w:t>n</w:t>
      </w:r>
      <w:r>
        <w:rPr>
          <w:szCs w:val="22"/>
        </w:rPr>
        <w:t xml:space="preserve"> </w:t>
      </w:r>
      <w:r w:rsidR="00DF302F">
        <w:rPr>
          <w:szCs w:val="22"/>
        </w:rPr>
        <w:t>offtake</w:t>
      </w:r>
      <w:r>
        <w:rPr>
          <w:szCs w:val="22"/>
        </w:rPr>
        <w:t xml:space="preserve"> framework for utility-scale RE. </w:t>
      </w:r>
    </w:p>
    <w:p w14:paraId="6659163B" w14:textId="77777777" w:rsidR="00A27784" w:rsidRPr="00285977" w:rsidRDefault="49C50549" w:rsidP="49C50549">
      <w:pPr>
        <w:pStyle w:val="Heading1"/>
        <w:rPr>
          <w:rFonts w:eastAsiaTheme="minorEastAsia"/>
        </w:rPr>
      </w:pPr>
      <w:r w:rsidRPr="49C50549">
        <w:rPr>
          <w:rFonts w:eastAsiaTheme="minorEastAsia"/>
        </w:rPr>
        <w:t>Objectives</w:t>
      </w:r>
    </w:p>
    <w:p w14:paraId="0D3B4215" w14:textId="2FCBE4CA" w:rsidR="004729A2" w:rsidRPr="00903F5B" w:rsidRDefault="203E827B" w:rsidP="00903F5B">
      <w:pPr>
        <w:pStyle w:val="Heading2"/>
      </w:pPr>
      <w:r>
        <w:t xml:space="preserve">The general objective of the Technical Cooperation (TC) BH-T1064 is to support </w:t>
      </w:r>
      <w:proofErr w:type="spellStart"/>
      <w:r>
        <w:t>GoBH</w:t>
      </w:r>
      <w:proofErr w:type="spellEnd"/>
      <w:r>
        <w:t xml:space="preserve"> in adding RE to the generation mix by facilitating key </w:t>
      </w:r>
      <w:r w:rsidR="00653496">
        <w:t xml:space="preserve">information relevant to </w:t>
      </w:r>
      <w:r>
        <w:t xml:space="preserve">investment and interconnection agreements between key stakeholders.  The specific objective of this </w:t>
      </w:r>
      <w:r w:rsidR="008C44E5">
        <w:t>TC</w:t>
      </w:r>
      <w:r>
        <w:t xml:space="preserve"> is to provide the PMDU with </w:t>
      </w:r>
      <w:r w:rsidR="009E2BFC">
        <w:rPr>
          <w:szCs w:val="22"/>
        </w:rPr>
        <w:t>(i) technical expertise</w:t>
      </w:r>
      <w:r w:rsidR="00653496">
        <w:rPr>
          <w:szCs w:val="22"/>
        </w:rPr>
        <w:t xml:space="preserve"> related</w:t>
      </w:r>
      <w:r w:rsidR="009E2BFC">
        <w:rPr>
          <w:szCs w:val="22"/>
        </w:rPr>
        <w:t xml:space="preserve"> to energy planning and investments as part of the RE roadma</w:t>
      </w:r>
      <w:r w:rsidR="009E2BFC" w:rsidRPr="00A50544">
        <w:rPr>
          <w:szCs w:val="22"/>
        </w:rPr>
        <w:t>p</w:t>
      </w:r>
      <w:r w:rsidR="009E2BFC">
        <w:rPr>
          <w:szCs w:val="22"/>
        </w:rPr>
        <w:t>,</w:t>
      </w:r>
      <w:r w:rsidR="009E2BFC" w:rsidRPr="00A50544">
        <w:rPr>
          <w:szCs w:val="22"/>
        </w:rPr>
        <w:t xml:space="preserve"> </w:t>
      </w:r>
      <w:r w:rsidR="009E2BFC">
        <w:rPr>
          <w:szCs w:val="22"/>
        </w:rPr>
        <w:t>(</w:t>
      </w:r>
      <w:r w:rsidR="009E2BFC" w:rsidRPr="00230CC4">
        <w:rPr>
          <w:szCs w:val="22"/>
        </w:rPr>
        <w:t xml:space="preserve">ii) </w:t>
      </w:r>
      <w:r w:rsidR="00875C95">
        <w:rPr>
          <w:szCs w:val="22"/>
        </w:rPr>
        <w:t>an analysis</w:t>
      </w:r>
      <w:r w:rsidR="009E2BFC">
        <w:rPr>
          <w:szCs w:val="22"/>
        </w:rPr>
        <w:t xml:space="preserve"> of the value of solar PV at the distribution level that provides inputs to </w:t>
      </w:r>
      <w:r w:rsidR="00AB48D2">
        <w:rPr>
          <w:szCs w:val="22"/>
        </w:rPr>
        <w:t xml:space="preserve">a </w:t>
      </w:r>
      <w:r w:rsidR="0015084D">
        <w:rPr>
          <w:szCs w:val="22"/>
        </w:rPr>
        <w:t xml:space="preserve">small to </w:t>
      </w:r>
      <w:r w:rsidR="00875C95">
        <w:rPr>
          <w:szCs w:val="22"/>
        </w:rPr>
        <w:t>medium-scale</w:t>
      </w:r>
      <w:r w:rsidR="0015084D">
        <w:rPr>
          <w:szCs w:val="22"/>
        </w:rPr>
        <w:t xml:space="preserve"> (less than 5MW facilities</w:t>
      </w:r>
      <w:r w:rsidR="00796C22">
        <w:rPr>
          <w:rStyle w:val="FootnoteReference"/>
          <w:szCs w:val="22"/>
        </w:rPr>
        <w:footnoteReference w:id="12"/>
      </w:r>
      <w:r w:rsidR="0015084D">
        <w:rPr>
          <w:szCs w:val="22"/>
        </w:rPr>
        <w:t>)</w:t>
      </w:r>
      <w:r w:rsidR="00875C95">
        <w:rPr>
          <w:szCs w:val="22"/>
        </w:rPr>
        <w:t xml:space="preserve"> </w:t>
      </w:r>
      <w:r w:rsidR="00AF58B4">
        <w:rPr>
          <w:szCs w:val="22"/>
        </w:rPr>
        <w:t>offtake</w:t>
      </w:r>
      <w:r w:rsidR="009E2BFC">
        <w:rPr>
          <w:szCs w:val="22"/>
        </w:rPr>
        <w:t xml:space="preserve"> framework and </w:t>
      </w:r>
      <w:r w:rsidR="009E2BFC" w:rsidRPr="00230CC4">
        <w:rPr>
          <w:szCs w:val="22"/>
        </w:rPr>
        <w:t>(i</w:t>
      </w:r>
      <w:r w:rsidR="009E2BFC">
        <w:rPr>
          <w:szCs w:val="22"/>
        </w:rPr>
        <w:t>ii) support to stakeholder forums to improve awareness of roles and responsibilities of key stakeholders on</w:t>
      </w:r>
      <w:r w:rsidR="009E2BFC" w:rsidRPr="00230CC4">
        <w:rPr>
          <w:szCs w:val="22"/>
        </w:rPr>
        <w:t xml:space="preserve"> </w:t>
      </w:r>
      <w:r w:rsidR="009E2BFC">
        <w:rPr>
          <w:szCs w:val="22"/>
        </w:rPr>
        <w:t>RE implementation.</w:t>
      </w:r>
    </w:p>
    <w:p w14:paraId="6659163F" w14:textId="77777777" w:rsidR="00A27784" w:rsidRPr="00285977" w:rsidRDefault="49C50549" w:rsidP="49C50549">
      <w:pPr>
        <w:pStyle w:val="Heading1"/>
        <w:rPr>
          <w:rFonts w:eastAsiaTheme="minorEastAsia"/>
        </w:rPr>
      </w:pPr>
      <w:r w:rsidRPr="49C50549">
        <w:rPr>
          <w:rFonts w:eastAsiaTheme="minorEastAsia"/>
        </w:rPr>
        <w:t>Scope of Services</w:t>
      </w:r>
    </w:p>
    <w:p w14:paraId="7D2D2FD4" w14:textId="64A5E455" w:rsidR="00FD4F9F" w:rsidRDefault="203E827B" w:rsidP="203E827B">
      <w:pPr>
        <w:pStyle w:val="Heading2"/>
        <w:rPr>
          <w:rFonts w:eastAsiaTheme="minorEastAsia"/>
        </w:rPr>
      </w:pPr>
      <w:r w:rsidRPr="203E827B">
        <w:rPr>
          <w:rFonts w:eastAsiaTheme="minorEastAsia"/>
        </w:rPr>
        <w:t xml:space="preserve">The consulting firm will develop an </w:t>
      </w:r>
      <w:r w:rsidR="00CC7660">
        <w:rPr>
          <w:rFonts w:cs="Arial"/>
        </w:rPr>
        <w:t>independent assessment of the overall costs (e.g. possible back up generation</w:t>
      </w:r>
      <w:r w:rsidR="00AB48D2">
        <w:rPr>
          <w:rFonts w:cs="Arial"/>
        </w:rPr>
        <w:t xml:space="preserve"> and/or energy storage</w:t>
      </w:r>
      <w:r w:rsidR="00CC7660">
        <w:rPr>
          <w:rFonts w:cs="Arial"/>
        </w:rPr>
        <w:t xml:space="preserve"> needs, interconnection, grid modernization etc.) and overall benefits (e.g. air quality, emission reductions, electricity loss reduction, investment deferral, better integration of electric mobility etc.) to The Bahamas of increasing solar PV at the distributed generation level. The aim will be for this report to provide a </w:t>
      </w:r>
      <w:r w:rsidR="00CC7660" w:rsidRPr="00A50544">
        <w:rPr>
          <w:rFonts w:cs="Arial"/>
        </w:rPr>
        <w:t xml:space="preserve">more accurate overall economic </w:t>
      </w:r>
      <w:r w:rsidR="00CC7660">
        <w:rPr>
          <w:rFonts w:cs="Arial"/>
        </w:rPr>
        <w:t xml:space="preserve">and societal </w:t>
      </w:r>
      <w:r w:rsidR="00CC7660" w:rsidRPr="00A50544">
        <w:rPr>
          <w:rFonts w:cs="Arial"/>
        </w:rPr>
        <w:t xml:space="preserve">value of this </w:t>
      </w:r>
      <w:r w:rsidR="00CC7660">
        <w:rPr>
          <w:rFonts w:cs="Arial"/>
        </w:rPr>
        <w:t xml:space="preserve">indigenous </w:t>
      </w:r>
      <w:r w:rsidR="00C47716">
        <w:rPr>
          <w:rFonts w:cs="Arial"/>
        </w:rPr>
        <w:t>RE</w:t>
      </w:r>
      <w:r w:rsidR="00CC7660">
        <w:rPr>
          <w:rFonts w:cs="Arial"/>
        </w:rPr>
        <w:t xml:space="preserve"> source </w:t>
      </w:r>
      <w:r w:rsidR="00CC7660" w:rsidRPr="00A50544">
        <w:rPr>
          <w:rFonts w:cs="Arial"/>
        </w:rPr>
        <w:t xml:space="preserve">and therefore to provide the </w:t>
      </w:r>
      <w:r w:rsidR="00CC7660">
        <w:rPr>
          <w:rFonts w:cs="Arial"/>
        </w:rPr>
        <w:t xml:space="preserve">technical </w:t>
      </w:r>
      <w:r w:rsidR="00CC7660" w:rsidRPr="00A50544">
        <w:rPr>
          <w:rFonts w:cs="Arial"/>
        </w:rPr>
        <w:t xml:space="preserve">basis for an agreed </w:t>
      </w:r>
      <w:r w:rsidR="00CC7660">
        <w:rPr>
          <w:rFonts w:cs="Arial"/>
        </w:rPr>
        <w:t>offtake</w:t>
      </w:r>
      <w:r w:rsidR="00CC7660" w:rsidRPr="00A50544">
        <w:rPr>
          <w:rFonts w:cs="Arial"/>
        </w:rPr>
        <w:t xml:space="preserve"> framework for these investments.</w:t>
      </w:r>
      <w:r w:rsidR="00CC7660">
        <w:rPr>
          <w:rFonts w:cs="Arial"/>
        </w:rPr>
        <w:t xml:space="preserve">  The report will also help to inform as to the true costs and benefits of solar PV investments in </w:t>
      </w:r>
      <w:r w:rsidR="00CC7660" w:rsidRPr="00A50544">
        <w:rPr>
          <w:rFonts w:cs="Arial"/>
        </w:rPr>
        <w:t>The Bahamas, sensitizing energy stakeholders to the technical, economic, and financial aspects</w:t>
      </w:r>
      <w:r w:rsidR="00CC7660">
        <w:rPr>
          <w:rFonts w:cs="Arial"/>
        </w:rPr>
        <w:t xml:space="preserve">. </w:t>
      </w:r>
      <w:r w:rsidRPr="203E827B">
        <w:rPr>
          <w:rFonts w:eastAsiaTheme="minorEastAsia"/>
        </w:rPr>
        <w:t xml:space="preserve"> As such, close collaboration and interaction with Utility, Regulator and government entities responsible for energy will be required.</w:t>
      </w:r>
    </w:p>
    <w:p w14:paraId="3E7A71BC" w14:textId="12AEC2F7" w:rsidR="00FD4F9F" w:rsidRPr="00FD4F9F" w:rsidRDefault="203E827B" w:rsidP="203E827B">
      <w:pPr>
        <w:pStyle w:val="Heading2"/>
        <w:rPr>
          <w:rFonts w:eastAsiaTheme="minorEastAsia"/>
        </w:rPr>
      </w:pPr>
      <w:r w:rsidRPr="203E827B">
        <w:rPr>
          <w:rFonts w:eastAsiaTheme="minorEastAsia"/>
        </w:rPr>
        <w:t>The consulting firm will also designate a senior specialist</w:t>
      </w:r>
      <w:r w:rsidR="00A962C7">
        <w:rPr>
          <w:rFonts w:eastAsiaTheme="minorEastAsia"/>
        </w:rPr>
        <w:t xml:space="preserve"> – a point person - </w:t>
      </w:r>
      <w:r w:rsidRPr="203E827B">
        <w:rPr>
          <w:rFonts w:eastAsiaTheme="minorEastAsia"/>
        </w:rPr>
        <w:t xml:space="preserve">to provide technical support to the PMDU and IDB, coordinate the </w:t>
      </w:r>
      <w:r w:rsidR="00CC7660">
        <w:rPr>
          <w:rFonts w:eastAsiaTheme="minorEastAsia"/>
        </w:rPr>
        <w:t xml:space="preserve">delivery of the </w:t>
      </w:r>
      <w:r w:rsidR="00A962C7">
        <w:rPr>
          <w:rFonts w:eastAsiaTheme="minorEastAsia"/>
        </w:rPr>
        <w:t xml:space="preserve">PMDU </w:t>
      </w:r>
      <w:r w:rsidRPr="203E827B">
        <w:rPr>
          <w:rFonts w:eastAsiaTheme="minorEastAsia"/>
        </w:rPr>
        <w:t xml:space="preserve">RE </w:t>
      </w:r>
      <w:r w:rsidR="00DF302F">
        <w:rPr>
          <w:rFonts w:eastAsiaTheme="minorEastAsia"/>
        </w:rPr>
        <w:t>Roadmap as</w:t>
      </w:r>
      <w:r w:rsidR="007F0A1F">
        <w:rPr>
          <w:rFonts w:cs="Arial"/>
        </w:rPr>
        <w:t xml:space="preserve"> well as technical support to develop and implement key energy priorities that strengthen coordinated energy planning in The Bahamas. This will include issues such</w:t>
      </w:r>
      <w:r w:rsidR="00B760D0">
        <w:rPr>
          <w:rFonts w:cs="Arial"/>
        </w:rPr>
        <w:t xml:space="preserve"> as</w:t>
      </w:r>
      <w:r w:rsidR="00B760D0" w:rsidDel="00B760D0">
        <w:rPr>
          <w:rFonts w:cs="Arial"/>
        </w:rPr>
        <w:t xml:space="preserve"> </w:t>
      </w:r>
      <w:r w:rsidR="007F0A1F">
        <w:rPr>
          <w:rFonts w:cs="Arial"/>
        </w:rPr>
        <w:t>guidelines on EE and RE equipment standards; certification for RE and EE installers</w:t>
      </w:r>
      <w:r w:rsidR="00B760D0">
        <w:rPr>
          <w:rFonts w:cs="Arial"/>
        </w:rPr>
        <w:t>;</w:t>
      </w:r>
      <w:r w:rsidR="007F0A1F">
        <w:rPr>
          <w:rFonts w:cs="Arial"/>
        </w:rPr>
        <w:t xml:space="preserve"> </w:t>
      </w:r>
      <w:r w:rsidR="00B760D0">
        <w:rPr>
          <w:rFonts w:cs="Arial"/>
        </w:rPr>
        <w:t xml:space="preserve">improvements to the transportation sector to reduce the use of fossil fuels </w:t>
      </w:r>
      <w:r w:rsidR="007F0A1F">
        <w:rPr>
          <w:rFonts w:cs="Arial"/>
        </w:rPr>
        <w:t xml:space="preserve">and rolling out public education and awareness campaigns on the value of </w:t>
      </w:r>
      <w:r w:rsidR="00303848">
        <w:rPr>
          <w:rFonts w:cs="Arial"/>
        </w:rPr>
        <w:t xml:space="preserve">RE </w:t>
      </w:r>
      <w:r w:rsidR="00E07734">
        <w:rPr>
          <w:rFonts w:cs="Arial"/>
        </w:rPr>
        <w:t>in The Bahamas</w:t>
      </w:r>
      <w:r w:rsidR="007F0A1F">
        <w:rPr>
          <w:rFonts w:cs="Arial"/>
        </w:rPr>
        <w:t>.</w:t>
      </w:r>
      <w:r w:rsidRPr="203E827B">
        <w:rPr>
          <w:rFonts w:eastAsiaTheme="minorEastAsia"/>
        </w:rPr>
        <w:t xml:space="preserve"> </w:t>
      </w:r>
      <w:r w:rsidR="00A962C7">
        <w:rPr>
          <w:rFonts w:eastAsiaTheme="minorEastAsia"/>
        </w:rPr>
        <w:t xml:space="preserve">The point person will need to be the focal point but draw </w:t>
      </w:r>
      <w:r w:rsidR="00AB48D2">
        <w:rPr>
          <w:rFonts w:eastAsiaTheme="minorEastAsia"/>
        </w:rPr>
        <w:t>and interact</w:t>
      </w:r>
      <w:r w:rsidR="00A962C7">
        <w:rPr>
          <w:rFonts w:eastAsiaTheme="minorEastAsia"/>
        </w:rPr>
        <w:t xml:space="preserve"> with a technical team within the consulting firm.</w:t>
      </w:r>
    </w:p>
    <w:p w14:paraId="66591644" w14:textId="0FDED555" w:rsidR="00A27784" w:rsidRPr="00903F5B" w:rsidRDefault="49C50549" w:rsidP="49C50549">
      <w:pPr>
        <w:pStyle w:val="Heading1"/>
        <w:rPr>
          <w:rFonts w:eastAsiaTheme="minorEastAsia"/>
        </w:rPr>
      </w:pPr>
      <w:r w:rsidRPr="49C50549">
        <w:rPr>
          <w:rFonts w:eastAsiaTheme="minorEastAsia"/>
        </w:rPr>
        <w:t>Key Activities</w:t>
      </w:r>
    </w:p>
    <w:p w14:paraId="2613008A" w14:textId="5C4F9A9A" w:rsidR="00FD4F9F" w:rsidRPr="00FD4F9F" w:rsidRDefault="203E827B" w:rsidP="203E827B">
      <w:pPr>
        <w:pStyle w:val="Heading2"/>
        <w:rPr>
          <w:rFonts w:eastAsiaTheme="minorEastAsia"/>
          <w:b/>
          <w:bCs/>
        </w:rPr>
      </w:pPr>
      <w:r w:rsidRPr="203E827B">
        <w:rPr>
          <w:rFonts w:eastAsiaTheme="minorEastAsia"/>
          <w:b/>
          <w:bCs/>
        </w:rPr>
        <w:t xml:space="preserve">Activity A- </w:t>
      </w:r>
      <w:r w:rsidRPr="203E827B">
        <w:rPr>
          <w:rFonts w:eastAsiaTheme="minorEastAsia"/>
        </w:rPr>
        <w:t xml:space="preserve">Development of </w:t>
      </w:r>
      <w:r w:rsidR="007F0A1F">
        <w:rPr>
          <w:rFonts w:eastAsiaTheme="minorEastAsia"/>
        </w:rPr>
        <w:t xml:space="preserve">an Assessment on the Value of Solar PV to </w:t>
      </w:r>
      <w:r w:rsidR="00494B91">
        <w:rPr>
          <w:rFonts w:eastAsiaTheme="minorEastAsia"/>
        </w:rPr>
        <w:t>T</w:t>
      </w:r>
      <w:r w:rsidR="007F0A1F">
        <w:rPr>
          <w:rFonts w:eastAsiaTheme="minorEastAsia"/>
        </w:rPr>
        <w:t>he Bahamas at the distributed generation level.</w:t>
      </w:r>
      <w:r w:rsidRPr="203E827B">
        <w:rPr>
          <w:rFonts w:eastAsiaTheme="minorEastAsia"/>
        </w:rPr>
        <w:t xml:space="preserve"> </w:t>
      </w:r>
    </w:p>
    <w:p w14:paraId="4E7112CF" w14:textId="74EAE1A8" w:rsidR="00903F5B" w:rsidRDefault="49C50549" w:rsidP="49C50549">
      <w:pPr>
        <w:pStyle w:val="Heading2"/>
        <w:numPr>
          <w:ilvl w:val="1"/>
          <w:numId w:val="0"/>
        </w:numPr>
        <w:ind w:left="576"/>
        <w:rPr>
          <w:rFonts w:eastAsiaTheme="minorEastAsia"/>
        </w:rPr>
      </w:pPr>
      <w:r w:rsidRPr="49C50549">
        <w:rPr>
          <w:rFonts w:eastAsiaTheme="minorEastAsia"/>
        </w:rPr>
        <w:t xml:space="preserve">Under the supervision of the Team Leader or the </w:t>
      </w:r>
      <w:r w:rsidR="000C7BB7" w:rsidRPr="49C50549">
        <w:rPr>
          <w:rFonts w:eastAsiaTheme="minorEastAsia"/>
        </w:rPr>
        <w:t>design</w:t>
      </w:r>
      <w:r w:rsidR="000C7BB7">
        <w:rPr>
          <w:rFonts w:eastAsiaTheme="minorEastAsia"/>
        </w:rPr>
        <w:t>ated</w:t>
      </w:r>
      <w:r w:rsidR="000C7BB7" w:rsidRPr="49C50549">
        <w:rPr>
          <w:rFonts w:eastAsiaTheme="minorEastAsia"/>
        </w:rPr>
        <w:t xml:space="preserve"> </w:t>
      </w:r>
      <w:r w:rsidRPr="49C50549">
        <w:rPr>
          <w:rFonts w:eastAsiaTheme="minorEastAsia"/>
        </w:rPr>
        <w:t>Consultancy Manager, the consultancy assessment will include, but will not be limited to the following:</w:t>
      </w:r>
    </w:p>
    <w:p w14:paraId="104E5617" w14:textId="60FF4ADC" w:rsidR="001376B7" w:rsidRDefault="49C50549" w:rsidP="49C50549">
      <w:pPr>
        <w:pStyle w:val="ListParagraph"/>
        <w:numPr>
          <w:ilvl w:val="0"/>
          <w:numId w:val="5"/>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 xml:space="preserve">Overview of the current law and regulation for </w:t>
      </w:r>
      <w:r w:rsidR="00C54B0D">
        <w:rPr>
          <w:rFonts w:ascii="Arial" w:eastAsiaTheme="minorEastAsia" w:hAnsi="Arial" w:cs="Arial"/>
          <w:color w:val="000000" w:themeColor="text1"/>
          <w:sz w:val="22"/>
          <w:szCs w:val="22"/>
        </w:rPr>
        <w:t>distributed</w:t>
      </w:r>
      <w:r w:rsidRPr="49C50549">
        <w:rPr>
          <w:rFonts w:ascii="Arial" w:eastAsiaTheme="minorEastAsia" w:hAnsi="Arial" w:cs="Arial"/>
          <w:color w:val="000000" w:themeColor="text1"/>
          <w:sz w:val="22"/>
          <w:szCs w:val="22"/>
        </w:rPr>
        <w:t xml:space="preserve"> RE integration.</w:t>
      </w:r>
    </w:p>
    <w:p w14:paraId="28497AB0" w14:textId="3CE7B3FC" w:rsidR="001376B7" w:rsidRDefault="49C50549" w:rsidP="49C50549">
      <w:pPr>
        <w:pStyle w:val="ListParagraph"/>
        <w:numPr>
          <w:ilvl w:val="0"/>
          <w:numId w:val="5"/>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 xml:space="preserve">Analysis of available solar resource potential and main areas </w:t>
      </w:r>
      <w:r w:rsidR="007F0A1F">
        <w:rPr>
          <w:rFonts w:ascii="Arial" w:eastAsiaTheme="minorEastAsia" w:hAnsi="Arial" w:cs="Arial"/>
          <w:color w:val="000000" w:themeColor="text1"/>
          <w:sz w:val="22"/>
          <w:szCs w:val="22"/>
        </w:rPr>
        <w:t>for</w:t>
      </w:r>
      <w:r w:rsidRPr="49C50549">
        <w:rPr>
          <w:rFonts w:ascii="Arial" w:eastAsiaTheme="minorEastAsia" w:hAnsi="Arial" w:cs="Arial"/>
          <w:color w:val="000000" w:themeColor="text1"/>
          <w:sz w:val="22"/>
          <w:szCs w:val="22"/>
        </w:rPr>
        <w:t xml:space="preserve"> PV </w:t>
      </w:r>
      <w:r w:rsidR="007F0A1F">
        <w:rPr>
          <w:rFonts w:ascii="Arial" w:eastAsiaTheme="minorEastAsia" w:hAnsi="Arial" w:cs="Arial"/>
          <w:color w:val="000000" w:themeColor="text1"/>
          <w:sz w:val="22"/>
          <w:szCs w:val="22"/>
        </w:rPr>
        <w:t xml:space="preserve">distributed </w:t>
      </w:r>
      <w:r w:rsidRPr="49C50549">
        <w:rPr>
          <w:rFonts w:ascii="Arial" w:eastAsiaTheme="minorEastAsia" w:hAnsi="Arial" w:cs="Arial"/>
          <w:color w:val="000000" w:themeColor="text1"/>
          <w:sz w:val="22"/>
          <w:szCs w:val="22"/>
        </w:rPr>
        <w:t>projects opportunities</w:t>
      </w:r>
    </w:p>
    <w:p w14:paraId="22732F62" w14:textId="38964033" w:rsidR="007F0A1F" w:rsidRDefault="007F0A1F" w:rsidP="49C50549">
      <w:pPr>
        <w:pStyle w:val="ListParagraph"/>
        <w:numPr>
          <w:ilvl w:val="0"/>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 xml:space="preserve">Analysis </w:t>
      </w:r>
      <w:r w:rsidR="00FF373D">
        <w:rPr>
          <w:rFonts w:ascii="Arial" w:eastAsiaTheme="minorEastAsia" w:hAnsi="Arial" w:cs="Arial"/>
          <w:color w:val="000000" w:themeColor="text1"/>
          <w:sz w:val="22"/>
          <w:szCs w:val="22"/>
        </w:rPr>
        <w:t>of the overall costs of installing distributed PV generation including but not limited to:</w:t>
      </w:r>
    </w:p>
    <w:p w14:paraId="3208BFCD" w14:textId="18008050"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PV equipment costs and installation</w:t>
      </w:r>
    </w:p>
    <w:p w14:paraId="28F93356" w14:textId="52A21EF1"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Requirement of facilities adaptation</w:t>
      </w:r>
    </w:p>
    <w:p w14:paraId="3089F3B8" w14:textId="307DC0D8"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Interconnection costs</w:t>
      </w:r>
    </w:p>
    <w:p w14:paraId="635BEA4B" w14:textId="2ABCB9DA"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 xml:space="preserve">Back up generation </w:t>
      </w:r>
      <w:r w:rsidR="008E6D4D">
        <w:rPr>
          <w:rFonts w:ascii="Arial" w:eastAsiaTheme="minorEastAsia" w:hAnsi="Arial" w:cs="Arial"/>
          <w:color w:val="000000" w:themeColor="text1"/>
          <w:sz w:val="22"/>
          <w:szCs w:val="22"/>
        </w:rPr>
        <w:t xml:space="preserve">and/or energy storage </w:t>
      </w:r>
      <w:r>
        <w:rPr>
          <w:rFonts w:ascii="Arial" w:eastAsiaTheme="minorEastAsia" w:hAnsi="Arial" w:cs="Arial"/>
          <w:color w:val="000000" w:themeColor="text1"/>
          <w:sz w:val="22"/>
          <w:szCs w:val="22"/>
        </w:rPr>
        <w:t>needs</w:t>
      </w:r>
    </w:p>
    <w:p w14:paraId="4782CC3C" w14:textId="435ADA65"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Grid modernization</w:t>
      </w:r>
    </w:p>
    <w:p w14:paraId="0F791C1A" w14:textId="44DD2E12" w:rsidR="00C54B0D" w:rsidRDefault="00C54B0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Grid stability</w:t>
      </w:r>
      <w:r w:rsidR="009D7AF1">
        <w:rPr>
          <w:rFonts w:ascii="Arial" w:eastAsiaTheme="minorEastAsia" w:hAnsi="Arial" w:cs="Arial"/>
          <w:color w:val="000000" w:themeColor="text1"/>
          <w:sz w:val="22"/>
          <w:szCs w:val="22"/>
        </w:rPr>
        <w:t xml:space="preserve"> and congestion</w:t>
      </w:r>
      <w:r>
        <w:rPr>
          <w:rFonts w:ascii="Arial" w:eastAsiaTheme="minorEastAsia" w:hAnsi="Arial" w:cs="Arial"/>
          <w:color w:val="000000" w:themeColor="text1"/>
          <w:sz w:val="22"/>
          <w:szCs w:val="22"/>
        </w:rPr>
        <w:t xml:space="preserve"> costs</w:t>
      </w:r>
    </w:p>
    <w:p w14:paraId="743D3197" w14:textId="15E7C97F" w:rsidR="006757A7" w:rsidRDefault="006757A7"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System maintenance</w:t>
      </w:r>
    </w:p>
    <w:p w14:paraId="55F5755B" w14:textId="1BAE6D00" w:rsidR="00FF373D" w:rsidRDefault="00FF373D" w:rsidP="00FF373D">
      <w:pPr>
        <w:pStyle w:val="ListParagraph"/>
        <w:numPr>
          <w:ilvl w:val="0"/>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Analysis of the overall benefits of installing distributed PV generation including but not limited to:</w:t>
      </w:r>
    </w:p>
    <w:p w14:paraId="0F5920E7" w14:textId="11382460"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Electricity loss reduction</w:t>
      </w:r>
    </w:p>
    <w:p w14:paraId="31D83B49" w14:textId="044B8DEA"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Air quality improvement and emission reductions</w:t>
      </w:r>
    </w:p>
    <w:p w14:paraId="618FF637" w14:textId="120C1261"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 xml:space="preserve">Investment deferral </w:t>
      </w:r>
    </w:p>
    <w:p w14:paraId="406D91F8" w14:textId="0D984F54"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Better integration of electric mobility</w:t>
      </w:r>
    </w:p>
    <w:p w14:paraId="2727F114" w14:textId="02DBD95D" w:rsidR="00FF373D" w:rsidRDefault="00FF373D"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Fossil fuels savings</w:t>
      </w:r>
    </w:p>
    <w:p w14:paraId="472E7E08" w14:textId="347DE853" w:rsidR="00C54B0D" w:rsidRDefault="009D7AF1" w:rsidP="00FF373D">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Social and local economic development (jobs and knowledge creation)</w:t>
      </w:r>
    </w:p>
    <w:p w14:paraId="7C03F505" w14:textId="34B19FCF" w:rsidR="009D7AF1" w:rsidRPr="00127534" w:rsidRDefault="009D7AF1" w:rsidP="009D7AF1">
      <w:pPr>
        <w:pStyle w:val="ListParagraph"/>
        <w:numPr>
          <w:ilvl w:val="1"/>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Grid stability and congestion benefits</w:t>
      </w:r>
    </w:p>
    <w:p w14:paraId="5117623B" w14:textId="720DB098" w:rsidR="00FF373D" w:rsidRPr="00127534" w:rsidRDefault="00FF373D" w:rsidP="00DF302F">
      <w:pPr>
        <w:pStyle w:val="ListParagraph"/>
        <w:spacing w:line="276" w:lineRule="auto"/>
        <w:ind w:left="1440"/>
        <w:jc w:val="both"/>
        <w:rPr>
          <w:rFonts w:ascii="Arial" w:eastAsiaTheme="minorEastAsia" w:hAnsi="Arial" w:cs="Arial"/>
          <w:color w:val="000000" w:themeColor="text1"/>
          <w:sz w:val="22"/>
          <w:szCs w:val="22"/>
        </w:rPr>
      </w:pPr>
    </w:p>
    <w:p w14:paraId="2CF758C4" w14:textId="6A8F2704" w:rsidR="001376B7" w:rsidRDefault="49C50549" w:rsidP="49C50549">
      <w:pPr>
        <w:pStyle w:val="ListParagraph"/>
        <w:numPr>
          <w:ilvl w:val="0"/>
          <w:numId w:val="5"/>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 xml:space="preserve">Development of </w:t>
      </w:r>
      <w:r w:rsidR="008E6D4D">
        <w:rPr>
          <w:rFonts w:ascii="Arial" w:eastAsiaTheme="minorEastAsia" w:hAnsi="Arial" w:cs="Arial"/>
          <w:color w:val="000000" w:themeColor="text1"/>
          <w:sz w:val="22"/>
          <w:szCs w:val="22"/>
        </w:rPr>
        <w:t>c</w:t>
      </w:r>
      <w:r w:rsidR="008E6D4D" w:rsidRPr="49C50549">
        <w:rPr>
          <w:rFonts w:ascii="Arial" w:eastAsiaTheme="minorEastAsia" w:hAnsi="Arial" w:cs="Arial"/>
          <w:color w:val="000000" w:themeColor="text1"/>
          <w:sz w:val="22"/>
          <w:szCs w:val="22"/>
        </w:rPr>
        <w:t>ost</w:t>
      </w:r>
      <w:r w:rsidRPr="49C50549">
        <w:rPr>
          <w:rFonts w:ascii="Arial" w:eastAsiaTheme="minorEastAsia" w:hAnsi="Arial" w:cs="Arial"/>
          <w:color w:val="000000" w:themeColor="text1"/>
          <w:sz w:val="22"/>
          <w:szCs w:val="22"/>
        </w:rPr>
        <w:t>-</w:t>
      </w:r>
      <w:r w:rsidR="008E6D4D">
        <w:rPr>
          <w:rFonts w:ascii="Arial" w:eastAsiaTheme="minorEastAsia" w:hAnsi="Arial" w:cs="Arial"/>
          <w:color w:val="000000" w:themeColor="text1"/>
          <w:sz w:val="22"/>
          <w:szCs w:val="22"/>
        </w:rPr>
        <w:t>b</w:t>
      </w:r>
      <w:r w:rsidR="008E6D4D" w:rsidRPr="49C50549">
        <w:rPr>
          <w:rFonts w:ascii="Arial" w:eastAsiaTheme="minorEastAsia" w:hAnsi="Arial" w:cs="Arial"/>
          <w:color w:val="000000" w:themeColor="text1"/>
          <w:sz w:val="22"/>
          <w:szCs w:val="22"/>
        </w:rPr>
        <w:t xml:space="preserve">enefit </w:t>
      </w:r>
      <w:r w:rsidRPr="49C50549">
        <w:rPr>
          <w:rFonts w:ascii="Arial" w:eastAsiaTheme="minorEastAsia" w:hAnsi="Arial" w:cs="Arial"/>
          <w:color w:val="000000" w:themeColor="text1"/>
          <w:sz w:val="22"/>
          <w:szCs w:val="22"/>
        </w:rPr>
        <w:t>analysis considering lifecycle</w:t>
      </w:r>
      <w:r w:rsidR="00F6719D">
        <w:rPr>
          <w:rFonts w:ascii="Arial" w:eastAsiaTheme="minorEastAsia" w:hAnsi="Arial" w:cs="Arial"/>
          <w:color w:val="000000" w:themeColor="text1"/>
          <w:sz w:val="22"/>
          <w:szCs w:val="22"/>
        </w:rPr>
        <w:t xml:space="preserve"> PV</w:t>
      </w:r>
      <w:r w:rsidRPr="49C50549">
        <w:rPr>
          <w:rFonts w:ascii="Arial" w:eastAsiaTheme="minorEastAsia" w:hAnsi="Arial" w:cs="Arial"/>
          <w:color w:val="000000" w:themeColor="text1"/>
          <w:sz w:val="22"/>
          <w:szCs w:val="22"/>
        </w:rPr>
        <w:t xml:space="preserve"> </w:t>
      </w:r>
      <w:r w:rsidR="00DF302F" w:rsidRPr="49C50549">
        <w:rPr>
          <w:rFonts w:ascii="Arial" w:eastAsiaTheme="minorEastAsia" w:hAnsi="Arial" w:cs="Arial"/>
          <w:color w:val="000000" w:themeColor="text1"/>
          <w:sz w:val="22"/>
          <w:szCs w:val="22"/>
        </w:rPr>
        <w:t xml:space="preserve">generation </w:t>
      </w:r>
      <w:r w:rsidR="00DF302F">
        <w:rPr>
          <w:rFonts w:ascii="Arial" w:eastAsiaTheme="minorEastAsia" w:hAnsi="Arial" w:cs="Arial"/>
          <w:color w:val="000000" w:themeColor="text1"/>
          <w:sz w:val="22"/>
          <w:szCs w:val="22"/>
        </w:rPr>
        <w:t>up</w:t>
      </w:r>
      <w:r w:rsidR="00F6719D">
        <w:rPr>
          <w:rFonts w:ascii="Arial" w:eastAsiaTheme="minorEastAsia" w:hAnsi="Arial" w:cs="Arial"/>
          <w:color w:val="000000" w:themeColor="text1"/>
          <w:sz w:val="22"/>
          <w:szCs w:val="22"/>
        </w:rPr>
        <w:t xml:space="preserve"> to 5MW </w:t>
      </w:r>
      <w:r w:rsidRPr="49C50549">
        <w:rPr>
          <w:rFonts w:ascii="Arial" w:eastAsiaTheme="minorEastAsia" w:hAnsi="Arial" w:cs="Arial"/>
          <w:color w:val="000000" w:themeColor="text1"/>
          <w:sz w:val="22"/>
          <w:szCs w:val="22"/>
        </w:rPr>
        <w:t>costs and externalities (including grid stability costs).</w:t>
      </w:r>
    </w:p>
    <w:p w14:paraId="28E64B14" w14:textId="4EBA578A" w:rsidR="00AB7DDF" w:rsidRDefault="00AB7DDF" w:rsidP="49C50549">
      <w:pPr>
        <w:pStyle w:val="ListParagraph"/>
        <w:numPr>
          <w:ilvl w:val="0"/>
          <w:numId w:val="5"/>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Provision of analysis</w:t>
      </w:r>
      <w:r w:rsidR="00F6719D">
        <w:rPr>
          <w:rFonts w:ascii="Arial" w:eastAsiaTheme="minorEastAsia" w:hAnsi="Arial" w:cs="Arial"/>
          <w:color w:val="000000" w:themeColor="text1"/>
          <w:sz w:val="22"/>
          <w:szCs w:val="22"/>
        </w:rPr>
        <w:t xml:space="preserve"> worksheets</w:t>
      </w:r>
      <w:r>
        <w:rPr>
          <w:rFonts w:ascii="Arial" w:eastAsiaTheme="minorEastAsia" w:hAnsi="Arial" w:cs="Arial"/>
          <w:color w:val="000000" w:themeColor="text1"/>
          <w:sz w:val="22"/>
          <w:szCs w:val="22"/>
        </w:rPr>
        <w:t xml:space="preserve"> based upon nonproprietary tools that are commercially available.</w:t>
      </w:r>
    </w:p>
    <w:p w14:paraId="0FA0BA15" w14:textId="77777777" w:rsidR="00AB7DDF" w:rsidRDefault="00AB7DDF" w:rsidP="49C50549">
      <w:pPr>
        <w:pStyle w:val="ListParagraph"/>
        <w:numPr>
          <w:ilvl w:val="0"/>
          <w:numId w:val="5"/>
        </w:numPr>
        <w:spacing w:line="276" w:lineRule="auto"/>
        <w:jc w:val="both"/>
        <w:rPr>
          <w:rFonts w:ascii="Arial" w:eastAsiaTheme="minorEastAsia" w:hAnsi="Arial" w:cs="Arial"/>
          <w:color w:val="000000" w:themeColor="text1"/>
          <w:sz w:val="22"/>
          <w:szCs w:val="22"/>
        </w:rPr>
      </w:pPr>
    </w:p>
    <w:p w14:paraId="27543F52" w14:textId="6C488813" w:rsidR="00DE70BF" w:rsidRDefault="203E827B" w:rsidP="203E827B">
      <w:pPr>
        <w:pStyle w:val="Heading2"/>
        <w:numPr>
          <w:ilvl w:val="1"/>
          <w:numId w:val="0"/>
        </w:numPr>
        <w:ind w:left="576"/>
        <w:rPr>
          <w:rFonts w:eastAsiaTheme="minorEastAsia"/>
        </w:rPr>
      </w:pPr>
      <w:r w:rsidRPr="203E827B">
        <w:rPr>
          <w:rFonts w:eastAsiaTheme="minorEastAsia"/>
        </w:rPr>
        <w:t xml:space="preserve">The Consulting firm should coordinate and work in close collaboration with existing or parallel technical analyses undertaken by the Utility, Regulator, Attorney General, and government entities responsible for energy. </w:t>
      </w:r>
    </w:p>
    <w:p w14:paraId="4324F6C8" w14:textId="147F5AAE" w:rsidR="00FD4F9F" w:rsidRPr="00FD4F9F" w:rsidRDefault="49C50549" w:rsidP="49C50549">
      <w:pPr>
        <w:pStyle w:val="Heading2"/>
        <w:rPr>
          <w:rFonts w:eastAsiaTheme="minorEastAsia"/>
          <w:b/>
          <w:bCs/>
        </w:rPr>
      </w:pPr>
      <w:r w:rsidRPr="49C50549">
        <w:rPr>
          <w:rFonts w:eastAsiaTheme="minorEastAsia"/>
          <w:b/>
          <w:bCs/>
        </w:rPr>
        <w:t xml:space="preserve">Activity B- </w:t>
      </w:r>
      <w:r w:rsidR="00E07734">
        <w:rPr>
          <w:rFonts w:eastAsiaTheme="minorEastAsia"/>
        </w:rPr>
        <w:t xml:space="preserve">Supervision of the Report on the Value of Solar </w:t>
      </w:r>
      <w:r w:rsidR="00C54B0D">
        <w:rPr>
          <w:rFonts w:eastAsiaTheme="minorEastAsia"/>
        </w:rPr>
        <w:t xml:space="preserve">PV </w:t>
      </w:r>
      <w:r w:rsidR="00E07734">
        <w:rPr>
          <w:rFonts w:eastAsiaTheme="minorEastAsia"/>
        </w:rPr>
        <w:t xml:space="preserve">to The Bahamas at the distributed generation level and </w:t>
      </w:r>
      <w:r w:rsidRPr="49C50549">
        <w:rPr>
          <w:rFonts w:eastAsiaTheme="minorEastAsia"/>
        </w:rPr>
        <w:t xml:space="preserve">support to the Prime Minister’s Delivery Unit on energy </w:t>
      </w:r>
      <w:r w:rsidR="00C54B0D" w:rsidRPr="49C50549">
        <w:rPr>
          <w:rFonts w:eastAsiaTheme="minorEastAsia"/>
        </w:rPr>
        <w:t>p</w:t>
      </w:r>
      <w:r w:rsidR="00C54B0D">
        <w:rPr>
          <w:rFonts w:eastAsiaTheme="minorEastAsia"/>
        </w:rPr>
        <w:t xml:space="preserve">riorities. </w:t>
      </w:r>
    </w:p>
    <w:p w14:paraId="7CE4ADBE" w14:textId="402429AB" w:rsidR="00C57DCD" w:rsidRDefault="49C50549" w:rsidP="49C50549">
      <w:pPr>
        <w:pStyle w:val="Heading2"/>
        <w:rPr>
          <w:rFonts w:eastAsiaTheme="minorEastAsia"/>
        </w:rPr>
      </w:pPr>
      <w:r w:rsidRPr="49C50549">
        <w:rPr>
          <w:rFonts w:eastAsiaTheme="minorEastAsia"/>
        </w:rPr>
        <w:t>Under the supervision of the Team Leader, the designated senior specialist consultant activities will include, but will not be limited to the following:</w:t>
      </w:r>
    </w:p>
    <w:p w14:paraId="16A95519" w14:textId="74C67C48" w:rsidR="00C57DCD" w:rsidRDefault="49C50549" w:rsidP="00C54B0D">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Coordinate, supervise and advise on the execution of the</w:t>
      </w:r>
      <w:r w:rsidR="00C54B0D" w:rsidRPr="00C54B0D">
        <w:t xml:space="preserve"> </w:t>
      </w:r>
      <w:r w:rsidR="00C54B0D" w:rsidRPr="00C54B0D">
        <w:rPr>
          <w:rFonts w:ascii="Arial" w:eastAsiaTheme="minorEastAsia" w:hAnsi="Arial" w:cs="Arial"/>
          <w:color w:val="000000" w:themeColor="text1"/>
          <w:sz w:val="22"/>
          <w:szCs w:val="22"/>
        </w:rPr>
        <w:t>distributed solar PV Cost-Benefits analysis</w:t>
      </w:r>
      <w:r w:rsidRPr="49C50549">
        <w:rPr>
          <w:rFonts w:ascii="Arial" w:eastAsiaTheme="minorEastAsia" w:hAnsi="Arial" w:cs="Arial"/>
          <w:color w:val="000000" w:themeColor="text1"/>
          <w:sz w:val="22"/>
          <w:szCs w:val="22"/>
        </w:rPr>
        <w:t xml:space="preserve">. </w:t>
      </w:r>
    </w:p>
    <w:p w14:paraId="3FE8B166" w14:textId="59A3BBBF" w:rsidR="003740F6" w:rsidRPr="003740F6" w:rsidRDefault="49C50549" w:rsidP="00E07734">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 xml:space="preserve">Create a Technical Advisory Committee that will review the </w:t>
      </w:r>
      <w:r w:rsidR="00E07734" w:rsidRPr="00E07734">
        <w:rPr>
          <w:rFonts w:ascii="Arial" w:eastAsiaTheme="minorEastAsia" w:hAnsi="Arial" w:cs="Arial"/>
          <w:color w:val="000000" w:themeColor="text1"/>
          <w:sz w:val="22"/>
          <w:szCs w:val="22"/>
        </w:rPr>
        <w:t>Report on the Value of Solar PV to The Bahamas at the distributed generation level</w:t>
      </w:r>
      <w:r w:rsidR="00E07734">
        <w:rPr>
          <w:rFonts w:ascii="Arial" w:eastAsiaTheme="minorEastAsia" w:hAnsi="Arial" w:cs="Arial"/>
          <w:color w:val="000000" w:themeColor="text1"/>
          <w:sz w:val="22"/>
          <w:szCs w:val="22"/>
        </w:rPr>
        <w:t>.</w:t>
      </w:r>
      <w:r w:rsidR="00E07734" w:rsidRPr="00E07734" w:rsidDel="00E07734">
        <w:rPr>
          <w:rFonts w:ascii="Arial" w:eastAsiaTheme="minorEastAsia" w:hAnsi="Arial" w:cs="Arial"/>
          <w:color w:val="000000" w:themeColor="text1"/>
          <w:sz w:val="22"/>
          <w:szCs w:val="22"/>
        </w:rPr>
        <w:t xml:space="preserve"> </w:t>
      </w:r>
    </w:p>
    <w:p w14:paraId="7932555A" w14:textId="6D25D7C9" w:rsidR="00C57DCD" w:rsidRDefault="49C50549" w:rsidP="00E07734">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 xml:space="preserve">Lead the feedback and suggestions for the </w:t>
      </w:r>
      <w:r w:rsidR="00E07734" w:rsidRPr="00E07734">
        <w:rPr>
          <w:rFonts w:ascii="Arial" w:eastAsiaTheme="minorEastAsia" w:hAnsi="Arial" w:cs="Arial"/>
          <w:color w:val="000000" w:themeColor="text1"/>
          <w:sz w:val="22"/>
          <w:szCs w:val="22"/>
        </w:rPr>
        <w:t>Report on the Value of Solar PV to The Bahamas at the distributed generation level</w:t>
      </w:r>
      <w:r w:rsidRPr="49C50549">
        <w:rPr>
          <w:rFonts w:ascii="Arial" w:eastAsiaTheme="minorEastAsia" w:hAnsi="Arial" w:cs="Arial"/>
          <w:color w:val="000000" w:themeColor="text1"/>
          <w:sz w:val="22"/>
          <w:szCs w:val="22"/>
        </w:rPr>
        <w:t>.</w:t>
      </w:r>
    </w:p>
    <w:p w14:paraId="1B016385" w14:textId="69DC04B2" w:rsidR="00C57DCD" w:rsidRDefault="49C50549" w:rsidP="49C50549">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Review and understand current law and regulations</w:t>
      </w:r>
      <w:r w:rsidR="009D7AF1">
        <w:rPr>
          <w:rFonts w:ascii="Arial" w:eastAsiaTheme="minorEastAsia" w:hAnsi="Arial" w:cs="Arial"/>
          <w:color w:val="000000" w:themeColor="text1"/>
          <w:sz w:val="22"/>
          <w:szCs w:val="22"/>
        </w:rPr>
        <w:t xml:space="preserve"> on distributed generation</w:t>
      </w:r>
      <w:r w:rsidRPr="49C50549">
        <w:rPr>
          <w:rFonts w:ascii="Arial" w:eastAsiaTheme="minorEastAsia" w:hAnsi="Arial" w:cs="Arial"/>
          <w:color w:val="000000" w:themeColor="text1"/>
          <w:sz w:val="22"/>
          <w:szCs w:val="22"/>
        </w:rPr>
        <w:t xml:space="preserve">. </w:t>
      </w:r>
    </w:p>
    <w:p w14:paraId="1F53A8AE" w14:textId="38AD134E" w:rsidR="00C57DCD" w:rsidRDefault="49C50549" w:rsidP="49C50549">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 xml:space="preserve">Engage with relevant industry stakeholders to understand their views and concerns regarding </w:t>
      </w:r>
      <w:r w:rsidR="009D7AF1">
        <w:rPr>
          <w:rFonts w:ascii="Arial" w:eastAsiaTheme="minorEastAsia" w:hAnsi="Arial" w:cs="Arial"/>
          <w:color w:val="000000" w:themeColor="text1"/>
          <w:sz w:val="22"/>
          <w:szCs w:val="22"/>
        </w:rPr>
        <w:t>distributed generation integration</w:t>
      </w:r>
      <w:r w:rsidRPr="49C50549">
        <w:rPr>
          <w:rFonts w:ascii="Arial" w:eastAsiaTheme="minorEastAsia" w:hAnsi="Arial" w:cs="Arial"/>
          <w:color w:val="000000" w:themeColor="text1"/>
          <w:sz w:val="22"/>
          <w:szCs w:val="22"/>
        </w:rPr>
        <w:t>.</w:t>
      </w:r>
    </w:p>
    <w:p w14:paraId="677ADA00" w14:textId="3E5200D7" w:rsidR="00C57DCD" w:rsidRDefault="49C50549" w:rsidP="49C50549">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Engage with</w:t>
      </w:r>
      <w:r w:rsidR="008E6D4D">
        <w:rPr>
          <w:rFonts w:ascii="Arial" w:eastAsiaTheme="minorEastAsia" w:hAnsi="Arial" w:cs="Arial"/>
          <w:color w:val="000000" w:themeColor="text1"/>
          <w:sz w:val="22"/>
          <w:szCs w:val="22"/>
        </w:rPr>
        <w:t xml:space="preserve"> the Ministry of Environment and Housing, </w:t>
      </w:r>
      <w:r w:rsidRPr="49C50549">
        <w:rPr>
          <w:rFonts w:ascii="Arial" w:eastAsiaTheme="minorEastAsia" w:hAnsi="Arial" w:cs="Arial"/>
          <w:color w:val="000000" w:themeColor="text1"/>
          <w:sz w:val="22"/>
          <w:szCs w:val="22"/>
        </w:rPr>
        <w:t xml:space="preserve">URCA, Ministry of Works, BPL, and others to </w:t>
      </w:r>
      <w:r w:rsidR="009D7AF1">
        <w:rPr>
          <w:rFonts w:ascii="Arial" w:eastAsiaTheme="minorEastAsia" w:hAnsi="Arial" w:cs="Arial"/>
          <w:color w:val="000000" w:themeColor="text1"/>
          <w:sz w:val="22"/>
          <w:szCs w:val="22"/>
        </w:rPr>
        <w:t>help</w:t>
      </w:r>
      <w:r w:rsidR="009D7AF1" w:rsidRPr="49C50549">
        <w:rPr>
          <w:rFonts w:ascii="Arial" w:eastAsiaTheme="minorEastAsia" w:hAnsi="Arial" w:cs="Arial"/>
          <w:color w:val="000000" w:themeColor="text1"/>
          <w:sz w:val="22"/>
          <w:szCs w:val="22"/>
        </w:rPr>
        <w:t xml:space="preserve"> </w:t>
      </w:r>
      <w:r w:rsidRPr="49C50549">
        <w:rPr>
          <w:rFonts w:ascii="Arial" w:eastAsiaTheme="minorEastAsia" w:hAnsi="Arial" w:cs="Arial"/>
          <w:color w:val="000000" w:themeColor="text1"/>
          <w:sz w:val="22"/>
          <w:szCs w:val="22"/>
        </w:rPr>
        <w:t xml:space="preserve">the </w:t>
      </w:r>
      <w:r w:rsidR="009D7AF1" w:rsidRPr="49C50549">
        <w:rPr>
          <w:rFonts w:ascii="Arial" w:eastAsiaTheme="minorEastAsia" w:hAnsi="Arial" w:cs="Arial"/>
          <w:color w:val="000000" w:themeColor="text1"/>
          <w:sz w:val="22"/>
          <w:szCs w:val="22"/>
        </w:rPr>
        <w:t>alignm</w:t>
      </w:r>
      <w:r w:rsidR="009D7AF1">
        <w:rPr>
          <w:rFonts w:ascii="Arial" w:eastAsiaTheme="minorEastAsia" w:hAnsi="Arial" w:cs="Arial"/>
          <w:color w:val="000000" w:themeColor="text1"/>
          <w:sz w:val="22"/>
          <w:szCs w:val="22"/>
        </w:rPr>
        <w:t>ent</w:t>
      </w:r>
      <w:r w:rsidRPr="49C50549">
        <w:rPr>
          <w:rFonts w:ascii="Arial" w:eastAsiaTheme="minorEastAsia" w:hAnsi="Arial" w:cs="Arial"/>
          <w:color w:val="000000" w:themeColor="text1"/>
          <w:sz w:val="22"/>
          <w:szCs w:val="22"/>
        </w:rPr>
        <w:t xml:space="preserve"> </w:t>
      </w:r>
      <w:r w:rsidR="00F6719D">
        <w:rPr>
          <w:rFonts w:ascii="Arial" w:eastAsiaTheme="minorEastAsia" w:hAnsi="Arial" w:cs="Arial"/>
          <w:color w:val="000000" w:themeColor="text1"/>
          <w:sz w:val="22"/>
          <w:szCs w:val="22"/>
        </w:rPr>
        <w:t>and coordination with</w:t>
      </w:r>
      <w:r w:rsidRPr="49C50549">
        <w:rPr>
          <w:rFonts w:ascii="Arial" w:eastAsiaTheme="minorEastAsia" w:hAnsi="Arial" w:cs="Arial"/>
          <w:color w:val="000000" w:themeColor="text1"/>
          <w:sz w:val="22"/>
          <w:szCs w:val="22"/>
        </w:rPr>
        <w:t xml:space="preserve"> the technical studies being or already executed by these entities.</w:t>
      </w:r>
    </w:p>
    <w:p w14:paraId="70B13A8C" w14:textId="42746573" w:rsidR="00C57DCD" w:rsidRDefault="49C50549" w:rsidP="00E07734">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Provide the legal and technical support to the PMDU to review and coordinate the energy reform key priorities that strengthen coordinated energy planning. This may include issues such as</w:t>
      </w:r>
      <w:r w:rsidR="00E07734" w:rsidRPr="00E07734">
        <w:t xml:space="preserve"> </w:t>
      </w:r>
      <w:r w:rsidR="00E07734" w:rsidRPr="00E07734">
        <w:rPr>
          <w:rFonts w:ascii="Arial" w:eastAsiaTheme="minorEastAsia" w:hAnsi="Arial" w:cs="Arial"/>
          <w:color w:val="000000" w:themeColor="text1"/>
          <w:sz w:val="22"/>
          <w:szCs w:val="22"/>
        </w:rPr>
        <w:t>improvements to the transportation sector to reduce the use of fossil fuels</w:t>
      </w:r>
      <w:r w:rsidR="00E07734">
        <w:rPr>
          <w:rFonts w:ascii="Arial" w:eastAsiaTheme="minorEastAsia" w:hAnsi="Arial" w:cs="Arial"/>
          <w:color w:val="000000" w:themeColor="text1"/>
          <w:sz w:val="22"/>
          <w:szCs w:val="22"/>
        </w:rPr>
        <w:t>;</w:t>
      </w:r>
      <w:r w:rsidRPr="49C50549">
        <w:rPr>
          <w:rFonts w:ascii="Arial" w:eastAsiaTheme="minorEastAsia" w:hAnsi="Arial" w:cs="Arial"/>
          <w:color w:val="000000" w:themeColor="text1"/>
          <w:sz w:val="22"/>
          <w:szCs w:val="22"/>
        </w:rPr>
        <w:t xml:space="preserve"> integrated energy planning</w:t>
      </w:r>
      <w:r w:rsidR="004048BF">
        <w:rPr>
          <w:rFonts w:ascii="Arial" w:eastAsiaTheme="minorEastAsia" w:hAnsi="Arial" w:cs="Arial"/>
          <w:color w:val="000000" w:themeColor="text1"/>
          <w:sz w:val="22"/>
          <w:szCs w:val="22"/>
        </w:rPr>
        <w:t xml:space="preserve"> as part of the Energy Road Map</w:t>
      </w:r>
      <w:r w:rsidRPr="49C50549">
        <w:rPr>
          <w:rFonts w:ascii="Arial" w:eastAsiaTheme="minorEastAsia" w:hAnsi="Arial" w:cs="Arial"/>
          <w:color w:val="000000" w:themeColor="text1"/>
          <w:sz w:val="22"/>
          <w:szCs w:val="22"/>
        </w:rPr>
        <w:t xml:space="preserve">; governance of the energy sector; guidelines on EE and RE equipment standards; certification for RE and EE installers; access to commercial financing and grant funding for RE and EE initiatives and rolling out public education and awareness campaigns, between others. </w:t>
      </w:r>
    </w:p>
    <w:p w14:paraId="5A2013A7" w14:textId="6AF71E4E" w:rsidR="00C57DCD" w:rsidRPr="00611DF2" w:rsidRDefault="203E827B" w:rsidP="203E827B">
      <w:pPr>
        <w:pStyle w:val="ListParagraph"/>
        <w:numPr>
          <w:ilvl w:val="0"/>
          <w:numId w:val="21"/>
        </w:numPr>
        <w:jc w:val="both"/>
        <w:rPr>
          <w:rFonts w:ascii="Arial" w:eastAsiaTheme="minorEastAsia" w:hAnsi="Arial" w:cs="Arial"/>
          <w:color w:val="000000" w:themeColor="text1"/>
          <w:sz w:val="22"/>
          <w:szCs w:val="22"/>
        </w:rPr>
      </w:pPr>
      <w:r w:rsidRPr="203E827B">
        <w:rPr>
          <w:rFonts w:ascii="Arial" w:eastAsiaTheme="minorEastAsia" w:hAnsi="Arial" w:cs="Arial"/>
          <w:color w:val="000000" w:themeColor="text1"/>
          <w:sz w:val="22"/>
          <w:szCs w:val="22"/>
        </w:rPr>
        <w:t xml:space="preserve">Assist IDB and </w:t>
      </w:r>
      <w:r w:rsidR="008E6D4D" w:rsidRPr="203E827B">
        <w:rPr>
          <w:rFonts w:ascii="Arial" w:eastAsiaTheme="minorEastAsia" w:hAnsi="Arial" w:cs="Arial"/>
          <w:color w:val="000000" w:themeColor="text1"/>
          <w:sz w:val="22"/>
          <w:szCs w:val="22"/>
        </w:rPr>
        <w:t>PM</w:t>
      </w:r>
      <w:r w:rsidR="008E6D4D">
        <w:rPr>
          <w:rFonts w:ascii="Arial" w:eastAsiaTheme="minorEastAsia" w:hAnsi="Arial" w:cs="Arial"/>
          <w:color w:val="000000" w:themeColor="text1"/>
          <w:sz w:val="22"/>
          <w:szCs w:val="22"/>
        </w:rPr>
        <w:t>DU</w:t>
      </w:r>
      <w:r w:rsidR="008E6D4D" w:rsidRPr="203E827B">
        <w:rPr>
          <w:rFonts w:ascii="Arial" w:eastAsiaTheme="minorEastAsia" w:hAnsi="Arial" w:cs="Arial"/>
          <w:color w:val="000000" w:themeColor="text1"/>
          <w:sz w:val="22"/>
          <w:szCs w:val="22"/>
        </w:rPr>
        <w:t xml:space="preserve"> </w:t>
      </w:r>
      <w:r w:rsidRPr="203E827B">
        <w:rPr>
          <w:rFonts w:ascii="Arial" w:eastAsiaTheme="minorEastAsia" w:hAnsi="Arial" w:cs="Arial"/>
          <w:color w:val="000000" w:themeColor="text1"/>
          <w:sz w:val="22"/>
          <w:szCs w:val="22"/>
        </w:rPr>
        <w:t xml:space="preserve">in maintaining an inter-institutional dialogue with the actors involved in the Energy Sector. The activities will include advisory support to </w:t>
      </w:r>
      <w:r w:rsidR="002B019B">
        <w:rPr>
          <w:rFonts w:ascii="Arial" w:eastAsiaTheme="minorEastAsia" w:hAnsi="Arial" w:cs="Arial"/>
          <w:color w:val="000000" w:themeColor="text1"/>
          <w:sz w:val="22"/>
          <w:szCs w:val="22"/>
        </w:rPr>
        <w:t xml:space="preserve">key energy actors via the </w:t>
      </w:r>
      <w:r w:rsidRPr="203E827B">
        <w:rPr>
          <w:rFonts w:ascii="Arial" w:eastAsiaTheme="minorEastAsia" w:hAnsi="Arial" w:cs="Arial"/>
          <w:color w:val="000000" w:themeColor="text1"/>
          <w:sz w:val="22"/>
          <w:szCs w:val="22"/>
        </w:rPr>
        <w:t xml:space="preserve">PMDU and IDB on energy planning and suitable actions to advance the renewable energy agenda in The Bahamas.  </w:t>
      </w:r>
    </w:p>
    <w:p w14:paraId="1B9EE52E" w14:textId="5706ECC1" w:rsidR="00C57DCD" w:rsidRDefault="203E827B" w:rsidP="203E827B">
      <w:pPr>
        <w:pStyle w:val="ListParagraph"/>
        <w:numPr>
          <w:ilvl w:val="0"/>
          <w:numId w:val="21"/>
        </w:numPr>
        <w:spacing w:line="276" w:lineRule="auto"/>
        <w:jc w:val="both"/>
        <w:rPr>
          <w:rFonts w:ascii="Arial" w:eastAsiaTheme="minorEastAsia" w:hAnsi="Arial" w:cs="Arial"/>
          <w:color w:val="000000" w:themeColor="text1"/>
          <w:sz w:val="22"/>
          <w:szCs w:val="22"/>
        </w:rPr>
      </w:pPr>
      <w:r w:rsidRPr="203E827B">
        <w:rPr>
          <w:rFonts w:ascii="Arial" w:eastAsiaTheme="minorEastAsia" w:hAnsi="Arial" w:cs="Arial"/>
          <w:color w:val="000000" w:themeColor="text1"/>
          <w:sz w:val="22"/>
          <w:szCs w:val="22"/>
        </w:rPr>
        <w:t xml:space="preserve">Engage with energy stakeholders to promote awareness of roles and responsibilities as defined in the EA and NEP on RE implementation. </w:t>
      </w:r>
    </w:p>
    <w:p w14:paraId="39CAE4B0" w14:textId="25528D40" w:rsidR="00C57DCD" w:rsidRDefault="49C50549" w:rsidP="49C50549">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 xml:space="preserve">Advise and recommend </w:t>
      </w:r>
      <w:r w:rsidR="002B019B">
        <w:rPr>
          <w:rFonts w:ascii="Arial" w:eastAsiaTheme="minorEastAsia" w:hAnsi="Arial" w:cs="Arial"/>
          <w:color w:val="000000" w:themeColor="text1"/>
          <w:sz w:val="22"/>
          <w:szCs w:val="22"/>
        </w:rPr>
        <w:t>to key energy actors via the</w:t>
      </w:r>
      <w:r w:rsidRPr="49C50549">
        <w:rPr>
          <w:rFonts w:ascii="Arial" w:eastAsiaTheme="minorEastAsia" w:hAnsi="Arial" w:cs="Arial"/>
          <w:color w:val="000000" w:themeColor="text1"/>
          <w:sz w:val="22"/>
          <w:szCs w:val="22"/>
        </w:rPr>
        <w:t xml:space="preserve"> PMDU on the actions to be taken for implementing the EA and NEP.</w:t>
      </w:r>
    </w:p>
    <w:p w14:paraId="37B3F8A6" w14:textId="77777777" w:rsidR="00C57DCD" w:rsidRDefault="49C50549" w:rsidP="49C50549">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Review and make comments for all the TORs, reports/products prepared by the individual consultants and/or consulting firms contracted under the energy planning area.</w:t>
      </w:r>
    </w:p>
    <w:p w14:paraId="0E56C170" w14:textId="35AE36A8" w:rsidR="00C57DCD" w:rsidRPr="00611DF2" w:rsidRDefault="49C50549" w:rsidP="49C50549">
      <w:pPr>
        <w:pStyle w:val="ListParagraph"/>
        <w:numPr>
          <w:ilvl w:val="0"/>
          <w:numId w:val="21"/>
        </w:numPr>
        <w:spacing w:line="276" w:lineRule="auto"/>
        <w:jc w:val="both"/>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Prepare monthly progress reports for the IDB</w:t>
      </w:r>
      <w:r w:rsidR="000C7BB7">
        <w:rPr>
          <w:rFonts w:ascii="Arial" w:eastAsiaTheme="minorEastAsia" w:hAnsi="Arial" w:cs="Arial"/>
          <w:color w:val="000000" w:themeColor="text1"/>
          <w:sz w:val="22"/>
          <w:szCs w:val="22"/>
        </w:rPr>
        <w:t>,</w:t>
      </w:r>
      <w:r w:rsidRPr="49C50549">
        <w:rPr>
          <w:rFonts w:ascii="Arial" w:eastAsiaTheme="minorEastAsia" w:hAnsi="Arial" w:cs="Arial"/>
          <w:color w:val="000000" w:themeColor="text1"/>
          <w:sz w:val="22"/>
          <w:szCs w:val="22"/>
        </w:rPr>
        <w:t xml:space="preserve"> </w:t>
      </w:r>
      <w:r w:rsidR="002B019B" w:rsidRPr="49C50549">
        <w:rPr>
          <w:rFonts w:ascii="Arial" w:eastAsiaTheme="minorEastAsia" w:hAnsi="Arial" w:cs="Arial"/>
          <w:color w:val="000000" w:themeColor="text1"/>
          <w:sz w:val="22"/>
          <w:szCs w:val="22"/>
        </w:rPr>
        <w:t>PM</w:t>
      </w:r>
      <w:r w:rsidR="002B019B">
        <w:rPr>
          <w:rFonts w:ascii="Arial" w:eastAsiaTheme="minorEastAsia" w:hAnsi="Arial" w:cs="Arial"/>
          <w:color w:val="000000" w:themeColor="text1"/>
          <w:sz w:val="22"/>
          <w:szCs w:val="22"/>
        </w:rPr>
        <w:t>DU</w:t>
      </w:r>
      <w:r w:rsidR="000C7BB7">
        <w:rPr>
          <w:rFonts w:ascii="Arial" w:eastAsiaTheme="minorEastAsia" w:hAnsi="Arial" w:cs="Arial"/>
          <w:color w:val="000000" w:themeColor="text1"/>
          <w:sz w:val="22"/>
          <w:szCs w:val="22"/>
        </w:rPr>
        <w:t>, and other key energy actors as appropriate</w:t>
      </w:r>
      <w:r w:rsidRPr="49C50549">
        <w:rPr>
          <w:rFonts w:ascii="Arial" w:eastAsiaTheme="minorEastAsia" w:hAnsi="Arial" w:cs="Arial"/>
          <w:color w:val="000000" w:themeColor="text1"/>
          <w:sz w:val="22"/>
          <w:szCs w:val="22"/>
        </w:rPr>
        <w:t>.</w:t>
      </w:r>
    </w:p>
    <w:p w14:paraId="3147A3F4" w14:textId="77738D31" w:rsidR="00C57DCD" w:rsidRDefault="009D7AF1" w:rsidP="49C50549">
      <w:pPr>
        <w:pStyle w:val="ListParagraph"/>
        <w:numPr>
          <w:ilvl w:val="0"/>
          <w:numId w:val="21"/>
        </w:numPr>
        <w:spacing w:line="276" w:lineRule="auto"/>
        <w:jc w:val="both"/>
        <w:rPr>
          <w:rFonts w:ascii="Arial" w:eastAsiaTheme="minorEastAsia" w:hAnsi="Arial" w:cs="Arial"/>
          <w:color w:val="000000" w:themeColor="text1"/>
          <w:sz w:val="22"/>
          <w:szCs w:val="22"/>
        </w:rPr>
      </w:pPr>
      <w:r>
        <w:rPr>
          <w:rFonts w:ascii="Arial" w:eastAsiaTheme="minorEastAsia" w:hAnsi="Arial" w:cs="Arial"/>
          <w:color w:val="000000" w:themeColor="text1"/>
          <w:sz w:val="22"/>
          <w:szCs w:val="22"/>
        </w:rPr>
        <w:t>Lead</w:t>
      </w:r>
      <w:r w:rsidRPr="49C50549">
        <w:rPr>
          <w:rFonts w:ascii="Arial" w:eastAsiaTheme="minorEastAsia" w:hAnsi="Arial" w:cs="Arial"/>
          <w:color w:val="000000" w:themeColor="text1"/>
          <w:sz w:val="22"/>
          <w:szCs w:val="22"/>
        </w:rPr>
        <w:t xml:space="preserve"> </w:t>
      </w:r>
      <w:r w:rsidR="49C50549" w:rsidRPr="49C50549">
        <w:rPr>
          <w:rFonts w:ascii="Arial" w:eastAsiaTheme="minorEastAsia" w:hAnsi="Arial" w:cs="Arial"/>
          <w:color w:val="000000" w:themeColor="text1"/>
          <w:sz w:val="22"/>
          <w:szCs w:val="22"/>
        </w:rPr>
        <w:t xml:space="preserve">the organization of workshops, seminars, conferences and other energy related events to strengthen coordination, </w:t>
      </w:r>
      <w:r w:rsidR="002B019B">
        <w:rPr>
          <w:rFonts w:ascii="Arial" w:eastAsiaTheme="minorEastAsia" w:hAnsi="Arial" w:cs="Arial"/>
          <w:color w:val="000000" w:themeColor="text1"/>
          <w:sz w:val="22"/>
          <w:szCs w:val="22"/>
        </w:rPr>
        <w:t>collaboration</w:t>
      </w:r>
      <w:r w:rsidR="49C50549" w:rsidRPr="49C50549">
        <w:rPr>
          <w:rFonts w:ascii="Arial" w:eastAsiaTheme="minorEastAsia" w:hAnsi="Arial" w:cs="Arial"/>
          <w:color w:val="000000" w:themeColor="text1"/>
          <w:sz w:val="22"/>
          <w:szCs w:val="22"/>
        </w:rPr>
        <w:t xml:space="preserve"> and consensus among key energy stakeholders.</w:t>
      </w:r>
    </w:p>
    <w:p w14:paraId="24699F4F" w14:textId="05763831" w:rsidR="00C57DCD" w:rsidRPr="00611DF2" w:rsidRDefault="49C50549" w:rsidP="49C50549">
      <w:pPr>
        <w:pStyle w:val="ListParagraph"/>
        <w:numPr>
          <w:ilvl w:val="0"/>
          <w:numId w:val="21"/>
        </w:numPr>
        <w:rPr>
          <w:rFonts w:ascii="Arial" w:eastAsiaTheme="minorEastAsia" w:hAnsi="Arial" w:cs="Arial"/>
          <w:color w:val="000000" w:themeColor="text1"/>
          <w:sz w:val="22"/>
          <w:szCs w:val="22"/>
        </w:rPr>
      </w:pPr>
      <w:r w:rsidRPr="49C50549">
        <w:rPr>
          <w:rFonts w:ascii="Arial" w:eastAsiaTheme="minorEastAsia" w:hAnsi="Arial" w:cs="Arial"/>
          <w:color w:val="000000" w:themeColor="text1"/>
          <w:sz w:val="22"/>
          <w:szCs w:val="22"/>
        </w:rPr>
        <w:t>Support the IDB on the development of the mid-term review of the Technical Cooperation.</w:t>
      </w:r>
    </w:p>
    <w:p w14:paraId="0311611C" w14:textId="6F178D8A" w:rsidR="00C57DCD" w:rsidRPr="00D32A57" w:rsidRDefault="49C50549" w:rsidP="49C50549">
      <w:pPr>
        <w:pStyle w:val="Heading2"/>
        <w:numPr>
          <w:ilvl w:val="1"/>
          <w:numId w:val="0"/>
        </w:numPr>
        <w:ind w:left="576"/>
        <w:rPr>
          <w:rFonts w:eastAsiaTheme="minorEastAsia"/>
          <w:b/>
          <w:bCs/>
          <w:u w:val="single"/>
        </w:rPr>
      </w:pPr>
      <w:r w:rsidRPr="49C50549">
        <w:rPr>
          <w:rFonts w:eastAsiaTheme="minorEastAsia"/>
        </w:rPr>
        <w:t xml:space="preserve">The consultant will be based in the Office of the PMDU and should coordinate and work in close collaboration with the Unit. </w:t>
      </w:r>
    </w:p>
    <w:p w14:paraId="1AE50961" w14:textId="77777777" w:rsidR="00FD4F9F" w:rsidRPr="00FD4F9F" w:rsidRDefault="00FD4F9F" w:rsidP="00FD4F9F">
      <w:pPr>
        <w:rPr>
          <w:rFonts w:eastAsiaTheme="minorHAnsi"/>
        </w:rPr>
      </w:pPr>
    </w:p>
    <w:p w14:paraId="66591648" w14:textId="27594D38" w:rsidR="00A27784" w:rsidRPr="00903F5B" w:rsidRDefault="49C50549" w:rsidP="49C50549">
      <w:pPr>
        <w:pStyle w:val="Heading1"/>
        <w:spacing w:line="276" w:lineRule="auto"/>
        <w:ind w:left="360"/>
        <w:contextualSpacing/>
        <w:rPr>
          <w:rFonts w:eastAsiaTheme="minorEastAsia" w:cs="Arial"/>
        </w:rPr>
      </w:pPr>
      <w:r w:rsidRPr="49C50549">
        <w:rPr>
          <w:rFonts w:eastAsiaTheme="minorEastAsia"/>
        </w:rPr>
        <w:t>Expected Outcome and Deliverables</w:t>
      </w:r>
    </w:p>
    <w:p w14:paraId="4384B3F7" w14:textId="5CB93D6E" w:rsidR="003740F6" w:rsidRPr="00F1687E" w:rsidRDefault="49C50549" w:rsidP="49C50549">
      <w:pPr>
        <w:pStyle w:val="Heading2"/>
        <w:rPr>
          <w:rFonts w:eastAsiaTheme="minorEastAsia"/>
        </w:rPr>
      </w:pPr>
      <w:r w:rsidRPr="00F1687E">
        <w:rPr>
          <w:rFonts w:eastAsiaTheme="minorEastAsia"/>
        </w:rPr>
        <w:t xml:space="preserve">The output of Activity A will be the delivery of a report with </w:t>
      </w:r>
      <w:r w:rsidR="009D7AF1" w:rsidRPr="00F1687E">
        <w:rPr>
          <w:rFonts w:eastAsiaTheme="minorEastAsia"/>
        </w:rPr>
        <w:t>the results of the Cost-Benefit a</w:t>
      </w:r>
      <w:r w:rsidR="009D7AF1" w:rsidRPr="00455277">
        <w:rPr>
          <w:rFonts w:eastAsiaTheme="minorEastAsia"/>
        </w:rPr>
        <w:t>nalysis for distributed solar PV</w:t>
      </w:r>
      <w:r w:rsidRPr="00455277">
        <w:rPr>
          <w:rFonts w:eastAsiaTheme="minorEastAsia"/>
        </w:rPr>
        <w:t xml:space="preserve">. The report should expand on the topics listed in section 4. </w:t>
      </w:r>
      <w:r w:rsidR="00C64BE1" w:rsidRPr="00F1687E">
        <w:rPr>
          <w:rFonts w:eastAsiaTheme="minorEastAsia"/>
        </w:rPr>
        <w:t>U</w:t>
      </w:r>
      <w:r w:rsidR="00BE0664" w:rsidRPr="00F1687E">
        <w:rPr>
          <w:rFonts w:eastAsiaTheme="minorEastAsia"/>
        </w:rPr>
        <w:t xml:space="preserve">pdatable </w:t>
      </w:r>
      <w:r w:rsidR="00C64BE1" w:rsidRPr="00F1687E">
        <w:rPr>
          <w:rFonts w:eastAsiaTheme="minorEastAsia"/>
        </w:rPr>
        <w:t>(</w:t>
      </w:r>
      <w:r w:rsidR="000658BF" w:rsidRPr="00F1687E">
        <w:rPr>
          <w:rFonts w:eastAsiaTheme="minorEastAsia"/>
        </w:rPr>
        <w:t xml:space="preserve">Non-proprietary software or </w:t>
      </w:r>
      <w:r w:rsidR="00C64BE1" w:rsidRPr="00F1687E">
        <w:rPr>
          <w:rFonts w:eastAsiaTheme="minorEastAsia"/>
        </w:rPr>
        <w:t xml:space="preserve">Microsoft Excel Spreadsheet) </w:t>
      </w:r>
      <w:r w:rsidR="0059231C" w:rsidRPr="00F1687E">
        <w:rPr>
          <w:rFonts w:eastAsiaTheme="minorEastAsia"/>
        </w:rPr>
        <w:t>worksheet</w:t>
      </w:r>
      <w:r w:rsidR="00BE0664" w:rsidRPr="00455277">
        <w:rPr>
          <w:rFonts w:eastAsiaTheme="minorEastAsia"/>
        </w:rPr>
        <w:t xml:space="preserve"> </w:t>
      </w:r>
      <w:r w:rsidR="00C64BE1" w:rsidRPr="00455277">
        <w:rPr>
          <w:rFonts w:eastAsiaTheme="minorEastAsia"/>
        </w:rPr>
        <w:t>(with manual instructions)</w:t>
      </w:r>
      <w:r w:rsidR="002B019B" w:rsidRPr="00455277">
        <w:rPr>
          <w:rFonts w:eastAsiaTheme="minorEastAsia"/>
        </w:rPr>
        <w:t xml:space="preserve"> </w:t>
      </w:r>
      <w:r w:rsidR="00BE0664" w:rsidRPr="00455277">
        <w:rPr>
          <w:rFonts w:eastAsiaTheme="minorEastAsia"/>
        </w:rPr>
        <w:t>to be used by the key stakeholders (BPL, MOE</w:t>
      </w:r>
      <w:r w:rsidR="00AB7DDF" w:rsidRPr="00455277">
        <w:rPr>
          <w:rFonts w:eastAsiaTheme="minorEastAsia"/>
        </w:rPr>
        <w:t>&amp;H</w:t>
      </w:r>
      <w:r w:rsidR="00BE0664" w:rsidRPr="00455277">
        <w:rPr>
          <w:rFonts w:eastAsiaTheme="minorEastAsia"/>
        </w:rPr>
        <w:t xml:space="preserve"> and URCA) </w:t>
      </w:r>
      <w:proofErr w:type="gramStart"/>
      <w:r w:rsidR="00AB7DDF" w:rsidRPr="00455277">
        <w:rPr>
          <w:rFonts w:eastAsiaTheme="minorEastAsia"/>
        </w:rPr>
        <w:t xml:space="preserve">so as </w:t>
      </w:r>
      <w:r w:rsidR="00BE0664" w:rsidRPr="00455277">
        <w:rPr>
          <w:rFonts w:eastAsiaTheme="minorEastAsia"/>
        </w:rPr>
        <w:t>to</w:t>
      </w:r>
      <w:proofErr w:type="gramEnd"/>
      <w:r w:rsidR="005E4737" w:rsidRPr="00455277">
        <w:rPr>
          <w:rFonts w:eastAsiaTheme="minorEastAsia"/>
        </w:rPr>
        <w:t xml:space="preserve"> make it possible to</w:t>
      </w:r>
      <w:r w:rsidR="00BE0664" w:rsidRPr="00455277">
        <w:rPr>
          <w:rFonts w:eastAsiaTheme="minorEastAsia"/>
        </w:rPr>
        <w:t xml:space="preserve"> continually update </w:t>
      </w:r>
      <w:r w:rsidR="0059231C" w:rsidRPr="00455277">
        <w:rPr>
          <w:rFonts w:eastAsiaTheme="minorEastAsia"/>
        </w:rPr>
        <w:t>it</w:t>
      </w:r>
      <w:r w:rsidR="00AB7DDF" w:rsidRPr="00455277">
        <w:rPr>
          <w:rFonts w:eastAsiaTheme="minorEastAsia"/>
        </w:rPr>
        <w:t xml:space="preserve"> as the prevailing environment changes</w:t>
      </w:r>
      <w:r w:rsidR="00455277">
        <w:rPr>
          <w:rFonts w:eastAsiaTheme="minorEastAsia"/>
        </w:rPr>
        <w:t xml:space="preserve"> should be delivered</w:t>
      </w:r>
      <w:r w:rsidR="00AB7DDF" w:rsidRPr="00F1687E">
        <w:rPr>
          <w:rFonts w:eastAsiaTheme="minorEastAsia"/>
        </w:rPr>
        <w:t xml:space="preserve">. </w:t>
      </w:r>
      <w:r w:rsidR="00BE0664" w:rsidRPr="00F1687E">
        <w:rPr>
          <w:rFonts w:eastAsiaTheme="minorEastAsia"/>
        </w:rPr>
        <w:t xml:space="preserve"> </w:t>
      </w:r>
    </w:p>
    <w:p w14:paraId="6A0C9FBF" w14:textId="066C6C84" w:rsidR="00AB7DDF" w:rsidRDefault="49C50549" w:rsidP="00AB7DDF">
      <w:pPr>
        <w:pStyle w:val="Heading2"/>
        <w:rPr>
          <w:rFonts w:eastAsiaTheme="minorEastAsia"/>
        </w:rPr>
      </w:pPr>
      <w:r w:rsidRPr="49C50549">
        <w:rPr>
          <w:rFonts w:eastAsiaTheme="minorEastAsia"/>
        </w:rPr>
        <w:t>For Activity B, the consultant will prepare reports every three months with the activities performed and results achieved</w:t>
      </w:r>
      <w:r w:rsidR="00063A45">
        <w:rPr>
          <w:rFonts w:eastAsiaTheme="minorEastAsia"/>
        </w:rPr>
        <w:t xml:space="preserve"> and will organize dissemination events that will conclude with the event execution.  </w:t>
      </w:r>
    </w:p>
    <w:p w14:paraId="088BB689" w14:textId="69EA27B2" w:rsidR="00AB7DDF" w:rsidRPr="00DF302F" w:rsidRDefault="00455277" w:rsidP="00F1687E">
      <w:pPr>
        <w:pStyle w:val="Heading2"/>
        <w:rPr>
          <w:rFonts w:eastAsiaTheme="minorEastAsia"/>
        </w:rPr>
      </w:pPr>
      <w:r>
        <w:rPr>
          <w:rFonts w:eastAsiaTheme="minorEastAsia"/>
        </w:rPr>
        <w:t>A</w:t>
      </w:r>
      <w:r w:rsidR="00AB7DDF" w:rsidRPr="00AB7DDF">
        <w:rPr>
          <w:rFonts w:eastAsiaTheme="minorEastAsia"/>
        </w:rPr>
        <w:t xml:space="preserve"> workshop for key stakeholder representatives (BPL, MOE&amp;H, URCA, MOW) on the results</w:t>
      </w:r>
      <w:r w:rsidR="00C64BE1">
        <w:rPr>
          <w:rFonts w:eastAsiaTheme="minorEastAsia"/>
        </w:rPr>
        <w:t xml:space="preserve"> and deliverables</w:t>
      </w:r>
      <w:r w:rsidR="00AB7DDF" w:rsidRPr="00AB7DDF">
        <w:rPr>
          <w:rFonts w:eastAsiaTheme="minorEastAsia"/>
        </w:rPr>
        <w:t xml:space="preserve"> of the consultancy inclusive of train</w:t>
      </w:r>
      <w:r w:rsidR="00C64BE1">
        <w:rPr>
          <w:rFonts w:eastAsiaTheme="minorEastAsia"/>
        </w:rPr>
        <w:t>in</w:t>
      </w:r>
      <w:r w:rsidR="00AB7DDF" w:rsidRPr="00AB7DDF">
        <w:rPr>
          <w:rFonts w:eastAsiaTheme="minorEastAsia"/>
        </w:rPr>
        <w:t xml:space="preserve">g on the use and updating of the various </w:t>
      </w:r>
      <w:r>
        <w:rPr>
          <w:rFonts w:eastAsiaTheme="minorEastAsia"/>
        </w:rPr>
        <w:t>worksheets</w:t>
      </w:r>
      <w:r w:rsidR="00AB7DDF" w:rsidRPr="00AB7DDF">
        <w:rPr>
          <w:rFonts w:eastAsiaTheme="minorEastAsia"/>
        </w:rPr>
        <w:t xml:space="preserve"> developed</w:t>
      </w:r>
      <w:r>
        <w:rPr>
          <w:rFonts w:eastAsiaTheme="minorEastAsia"/>
        </w:rPr>
        <w:t xml:space="preserve"> should be executed</w:t>
      </w:r>
      <w:r w:rsidR="00AB7DDF" w:rsidRPr="00AB7DDF">
        <w:rPr>
          <w:rFonts w:eastAsiaTheme="minorEastAsia"/>
        </w:rPr>
        <w:t>.</w:t>
      </w:r>
    </w:p>
    <w:p w14:paraId="6659164C" w14:textId="77777777" w:rsidR="0066187B" w:rsidRPr="00285977" w:rsidRDefault="0066187B" w:rsidP="0066187B">
      <w:pPr>
        <w:pStyle w:val="ListParagraph"/>
        <w:rPr>
          <w:rFonts w:ascii="Arial" w:eastAsiaTheme="minorHAnsi" w:hAnsi="Arial" w:cs="Arial"/>
          <w:sz w:val="22"/>
          <w:szCs w:val="22"/>
        </w:rPr>
      </w:pPr>
    </w:p>
    <w:p w14:paraId="6659164D" w14:textId="2B271B02" w:rsidR="00A27784" w:rsidRPr="00285977" w:rsidRDefault="49C50549" w:rsidP="49C50549">
      <w:pPr>
        <w:pStyle w:val="Heading1"/>
        <w:rPr>
          <w:rFonts w:eastAsiaTheme="minorEastAsia"/>
        </w:rPr>
      </w:pPr>
      <w:r w:rsidRPr="49C50549">
        <w:rPr>
          <w:rFonts w:eastAsiaTheme="minorEastAsia"/>
        </w:rPr>
        <w:t>Project Schedule, Milestones and Reporting Requirements</w:t>
      </w:r>
    </w:p>
    <w:p w14:paraId="6659164E" w14:textId="6B72E861" w:rsidR="00A27784" w:rsidRDefault="00A27784" w:rsidP="00A27784">
      <w:pPr>
        <w:spacing w:line="276" w:lineRule="auto"/>
        <w:ind w:left="360"/>
        <w:contextualSpacing/>
        <w:rPr>
          <w:rFonts w:eastAsiaTheme="minorHAnsi" w:cs="Arial"/>
          <w:b/>
          <w:sz w:val="22"/>
          <w:szCs w:val="22"/>
          <w:u w:val="single"/>
        </w:rPr>
      </w:pPr>
    </w:p>
    <w:p w14:paraId="4BFE0A88" w14:textId="76DE548E" w:rsidR="00BD7894" w:rsidRPr="00BD7894" w:rsidRDefault="49C50549" w:rsidP="49C50549">
      <w:pPr>
        <w:spacing w:line="276" w:lineRule="auto"/>
        <w:contextualSpacing/>
        <w:jc w:val="both"/>
        <w:rPr>
          <w:rFonts w:eastAsiaTheme="minorEastAsia" w:cs="Arial"/>
          <w:b/>
          <w:bCs/>
          <w:color w:val="000000" w:themeColor="text1"/>
          <w:sz w:val="22"/>
          <w:szCs w:val="22"/>
        </w:rPr>
      </w:pPr>
      <w:r w:rsidRPr="49C50549">
        <w:rPr>
          <w:rFonts w:eastAsiaTheme="minorEastAsia" w:cs="Arial"/>
          <w:b/>
          <w:bCs/>
          <w:color w:val="000000" w:themeColor="text1"/>
          <w:sz w:val="22"/>
          <w:szCs w:val="22"/>
        </w:rPr>
        <w:t>6.1 Activity A</w:t>
      </w:r>
    </w:p>
    <w:p w14:paraId="124F90BC" w14:textId="77777777" w:rsidR="00BD7894" w:rsidRDefault="00BD7894" w:rsidP="00000C7D">
      <w:pPr>
        <w:spacing w:line="276" w:lineRule="auto"/>
        <w:ind w:left="360"/>
        <w:contextualSpacing/>
        <w:jc w:val="both"/>
        <w:rPr>
          <w:rFonts w:eastAsiaTheme="minorHAnsi" w:cs="Arial"/>
          <w:i/>
          <w:color w:val="000000" w:themeColor="text1"/>
          <w:sz w:val="22"/>
          <w:szCs w:val="22"/>
        </w:rPr>
      </w:pPr>
    </w:p>
    <w:p w14:paraId="65627964" w14:textId="10D8BB25" w:rsidR="00536F81" w:rsidRDefault="4A7F0516" w:rsidP="4A7F0516">
      <w:pPr>
        <w:spacing w:line="276" w:lineRule="auto"/>
        <w:ind w:left="360"/>
        <w:contextualSpacing/>
        <w:jc w:val="both"/>
        <w:rPr>
          <w:rFonts w:eastAsiaTheme="minorEastAsia" w:cs="Arial"/>
          <w:color w:val="000000" w:themeColor="text1"/>
          <w:sz w:val="22"/>
          <w:szCs w:val="22"/>
        </w:rPr>
      </w:pPr>
      <w:r w:rsidRPr="4A7F0516">
        <w:rPr>
          <w:rFonts w:eastAsiaTheme="minorEastAsia" w:cs="Arial"/>
          <w:i/>
          <w:iCs/>
          <w:color w:val="000000" w:themeColor="text1"/>
          <w:sz w:val="22"/>
          <w:szCs w:val="22"/>
        </w:rPr>
        <w:t>Inception Report</w:t>
      </w:r>
      <w:r w:rsidRPr="4A7F0516">
        <w:rPr>
          <w:rFonts w:eastAsiaTheme="minorEastAsia" w:cs="Arial"/>
          <w:color w:val="000000" w:themeColor="text1"/>
          <w:sz w:val="22"/>
          <w:szCs w:val="22"/>
        </w:rPr>
        <w:t>: The report will include a detailed work plan, methodology, schedule of activities and timeframe for the presentation of deliverables considered. (30 calendar days from the contract signature)</w:t>
      </w:r>
    </w:p>
    <w:p w14:paraId="00DE9A66" w14:textId="77777777" w:rsidR="00536F81" w:rsidRDefault="00536F81" w:rsidP="00000C7D">
      <w:pPr>
        <w:spacing w:line="276" w:lineRule="auto"/>
        <w:ind w:left="360"/>
        <w:contextualSpacing/>
        <w:jc w:val="both"/>
        <w:rPr>
          <w:rFonts w:eastAsiaTheme="minorHAnsi" w:cs="Arial"/>
          <w:color w:val="000000" w:themeColor="text1"/>
          <w:sz w:val="22"/>
          <w:szCs w:val="22"/>
        </w:rPr>
      </w:pPr>
    </w:p>
    <w:p w14:paraId="099F47D5" w14:textId="512D0588" w:rsidR="00536F81" w:rsidRDefault="09593B3F" w:rsidP="09593B3F">
      <w:pPr>
        <w:spacing w:line="276" w:lineRule="auto"/>
        <w:ind w:left="360"/>
        <w:contextualSpacing/>
        <w:jc w:val="both"/>
        <w:rPr>
          <w:rFonts w:eastAsiaTheme="minorEastAsia" w:cs="Arial"/>
          <w:color w:val="000000" w:themeColor="text1"/>
          <w:sz w:val="22"/>
          <w:szCs w:val="22"/>
        </w:rPr>
      </w:pPr>
      <w:r w:rsidRPr="09593B3F">
        <w:rPr>
          <w:rFonts w:eastAsiaTheme="minorEastAsia" w:cs="Arial"/>
          <w:i/>
          <w:iCs/>
          <w:color w:val="000000" w:themeColor="text1"/>
          <w:sz w:val="22"/>
          <w:szCs w:val="22"/>
        </w:rPr>
        <w:t>First Draft Cost-Benefit analysis report:</w:t>
      </w:r>
      <w:r w:rsidRPr="09593B3F">
        <w:rPr>
          <w:rFonts w:eastAsiaTheme="minorEastAsia" w:cs="Arial"/>
          <w:color w:val="000000" w:themeColor="text1"/>
          <w:sz w:val="22"/>
          <w:szCs w:val="22"/>
        </w:rPr>
        <w:t xml:space="preserve"> The report should include the results of all the activities performed during the consultancy and should address all the activities in the objectives of the TORs. The report should clearly explain assumptions made, and perspective, source and methodology used for the development of the analysis with preliminary models (180 calendar days from Inception Report approval)</w:t>
      </w:r>
    </w:p>
    <w:p w14:paraId="2DB367BC" w14:textId="569F6D63" w:rsidR="003740F6" w:rsidRDefault="003740F6" w:rsidP="00000C7D">
      <w:pPr>
        <w:spacing w:line="276" w:lineRule="auto"/>
        <w:ind w:left="360"/>
        <w:contextualSpacing/>
        <w:jc w:val="both"/>
        <w:rPr>
          <w:rFonts w:eastAsiaTheme="minorHAnsi" w:cs="Arial"/>
          <w:color w:val="000000" w:themeColor="text1"/>
          <w:sz w:val="22"/>
          <w:szCs w:val="22"/>
        </w:rPr>
      </w:pPr>
    </w:p>
    <w:p w14:paraId="1DE789D3" w14:textId="473A1DEE" w:rsidR="003740F6" w:rsidRDefault="2BAC0561" w:rsidP="2BAC0561">
      <w:pPr>
        <w:spacing w:line="276" w:lineRule="auto"/>
        <w:ind w:left="360"/>
        <w:contextualSpacing/>
        <w:jc w:val="both"/>
        <w:rPr>
          <w:rFonts w:eastAsiaTheme="minorEastAsia" w:cs="Arial"/>
          <w:color w:val="000000" w:themeColor="text1"/>
          <w:sz w:val="22"/>
          <w:szCs w:val="22"/>
        </w:rPr>
      </w:pPr>
      <w:r w:rsidRPr="2BAC0561">
        <w:rPr>
          <w:rFonts w:eastAsiaTheme="minorEastAsia" w:cs="Arial"/>
          <w:i/>
          <w:iCs/>
          <w:color w:val="000000" w:themeColor="text1"/>
          <w:sz w:val="22"/>
          <w:szCs w:val="22"/>
        </w:rPr>
        <w:t>Second Draft Cost-Benefit analysis report:</w:t>
      </w:r>
      <w:r w:rsidRPr="2BAC0561">
        <w:rPr>
          <w:rFonts w:eastAsiaTheme="minorEastAsia" w:cs="Arial"/>
          <w:color w:val="000000" w:themeColor="text1"/>
          <w:sz w:val="22"/>
          <w:szCs w:val="22"/>
        </w:rPr>
        <w:t xml:space="preserve"> The report should include the results of all the activities performed during the consultancy and should address all the activities in the objectives of the TORs with updated/refined models. (90 calendar days from inception report approval)</w:t>
      </w:r>
    </w:p>
    <w:p w14:paraId="06947B73" w14:textId="77777777" w:rsidR="00536F81" w:rsidRDefault="00536F81" w:rsidP="00000C7D">
      <w:pPr>
        <w:spacing w:line="276" w:lineRule="auto"/>
        <w:ind w:left="360"/>
        <w:contextualSpacing/>
        <w:jc w:val="both"/>
        <w:rPr>
          <w:rFonts w:eastAsiaTheme="minorHAnsi" w:cs="Arial"/>
          <w:color w:val="000000" w:themeColor="text1"/>
          <w:sz w:val="22"/>
          <w:szCs w:val="22"/>
        </w:rPr>
      </w:pPr>
    </w:p>
    <w:p w14:paraId="5CAF310F" w14:textId="1B9B000A" w:rsidR="005E4737" w:rsidRDefault="2BAC0561" w:rsidP="2BAC0561">
      <w:pPr>
        <w:spacing w:line="276" w:lineRule="auto"/>
        <w:ind w:left="360"/>
        <w:contextualSpacing/>
        <w:jc w:val="both"/>
        <w:rPr>
          <w:rFonts w:eastAsiaTheme="minorEastAsia" w:cs="Arial"/>
          <w:color w:val="000000" w:themeColor="text1"/>
          <w:sz w:val="22"/>
          <w:szCs w:val="22"/>
        </w:rPr>
      </w:pPr>
      <w:r w:rsidRPr="2BAC0561">
        <w:rPr>
          <w:rFonts w:eastAsiaTheme="minorEastAsia" w:cs="Arial"/>
          <w:i/>
          <w:iCs/>
          <w:color w:val="000000" w:themeColor="text1"/>
          <w:sz w:val="22"/>
          <w:szCs w:val="22"/>
        </w:rPr>
        <w:t>Final Cost-Benefit analysis report</w:t>
      </w:r>
      <w:r w:rsidRPr="2BAC0561">
        <w:rPr>
          <w:rFonts w:eastAsiaTheme="minorEastAsia" w:cs="Arial"/>
          <w:color w:val="000000" w:themeColor="text1"/>
          <w:sz w:val="22"/>
          <w:szCs w:val="22"/>
        </w:rPr>
        <w:t xml:space="preserve">: The report should include the results of all the activities performed during the consultancy and should address all the activities in the objectives of the TORs. This report will follow a validation with IDB. (30 calendar days from the submission of IDB Second Draft comments). </w:t>
      </w:r>
    </w:p>
    <w:p w14:paraId="58F78D95" w14:textId="77777777" w:rsidR="002B019B" w:rsidRDefault="002B019B" w:rsidP="49C50549">
      <w:pPr>
        <w:spacing w:line="276" w:lineRule="auto"/>
        <w:ind w:left="360"/>
        <w:contextualSpacing/>
        <w:jc w:val="both"/>
        <w:rPr>
          <w:rFonts w:eastAsiaTheme="minorEastAsia" w:cs="Arial"/>
          <w:color w:val="000000" w:themeColor="text1"/>
          <w:sz w:val="22"/>
          <w:szCs w:val="22"/>
        </w:rPr>
      </w:pPr>
    </w:p>
    <w:p w14:paraId="573C9BB6" w14:textId="00DBA2CA" w:rsidR="00536F81" w:rsidRDefault="00455277" w:rsidP="49C50549">
      <w:pPr>
        <w:spacing w:line="276" w:lineRule="auto"/>
        <w:ind w:left="360"/>
        <w:contextualSpacing/>
        <w:jc w:val="both"/>
        <w:rPr>
          <w:rFonts w:eastAsiaTheme="minorEastAsia" w:cs="Arial"/>
          <w:color w:val="000000" w:themeColor="text1"/>
          <w:sz w:val="22"/>
          <w:szCs w:val="22"/>
        </w:rPr>
      </w:pPr>
      <w:r>
        <w:rPr>
          <w:rFonts w:eastAsiaTheme="minorHAnsi" w:cs="Arial"/>
          <w:i/>
          <w:color w:val="000000" w:themeColor="text1"/>
          <w:sz w:val="22"/>
          <w:szCs w:val="22"/>
        </w:rPr>
        <w:t xml:space="preserve">Findings dissemination: </w:t>
      </w:r>
      <w:r w:rsidR="005E4737">
        <w:rPr>
          <w:rFonts w:eastAsiaTheme="minorEastAsia" w:cs="Arial"/>
          <w:color w:val="000000" w:themeColor="text1"/>
          <w:sz w:val="22"/>
          <w:szCs w:val="22"/>
        </w:rPr>
        <w:t>Education and training workshop for GOB key stakeholders on process</w:t>
      </w:r>
      <w:r>
        <w:rPr>
          <w:rFonts w:eastAsiaTheme="minorEastAsia" w:cs="Arial"/>
          <w:color w:val="000000" w:themeColor="text1"/>
          <w:sz w:val="22"/>
          <w:szCs w:val="22"/>
        </w:rPr>
        <w:t xml:space="preserve">, </w:t>
      </w:r>
      <w:r w:rsidR="0059231C">
        <w:rPr>
          <w:rFonts w:eastAsiaTheme="minorEastAsia" w:cs="Arial"/>
          <w:color w:val="000000" w:themeColor="text1"/>
          <w:sz w:val="22"/>
          <w:szCs w:val="22"/>
        </w:rPr>
        <w:t>findings</w:t>
      </w:r>
      <w:r>
        <w:rPr>
          <w:rFonts w:eastAsiaTheme="minorEastAsia" w:cs="Arial"/>
          <w:color w:val="000000" w:themeColor="text1"/>
          <w:sz w:val="22"/>
          <w:szCs w:val="22"/>
        </w:rPr>
        <w:t>, conclusions, recommendations and</w:t>
      </w:r>
      <w:r w:rsidR="005E4737">
        <w:rPr>
          <w:rFonts w:eastAsiaTheme="minorEastAsia" w:cs="Arial"/>
          <w:color w:val="000000" w:themeColor="text1"/>
          <w:sz w:val="22"/>
          <w:szCs w:val="22"/>
        </w:rPr>
        <w:t xml:space="preserve"> handover of the </w:t>
      </w:r>
      <w:r w:rsidR="0059231C">
        <w:rPr>
          <w:rFonts w:eastAsiaTheme="minorEastAsia" w:cs="Arial"/>
          <w:color w:val="000000" w:themeColor="text1"/>
          <w:sz w:val="22"/>
          <w:szCs w:val="22"/>
        </w:rPr>
        <w:t>worksheets</w:t>
      </w:r>
      <w:r w:rsidR="005E4737">
        <w:rPr>
          <w:rFonts w:eastAsiaTheme="minorEastAsia" w:cs="Arial"/>
          <w:color w:val="000000" w:themeColor="text1"/>
          <w:sz w:val="22"/>
          <w:szCs w:val="22"/>
        </w:rPr>
        <w:t>.</w:t>
      </w:r>
      <w:r w:rsidRPr="00455277">
        <w:rPr>
          <w:rFonts w:eastAsiaTheme="minorEastAsia" w:cs="Arial"/>
          <w:color w:val="000000" w:themeColor="text1"/>
          <w:sz w:val="22"/>
          <w:szCs w:val="22"/>
        </w:rPr>
        <w:t xml:space="preserve"> </w:t>
      </w:r>
    </w:p>
    <w:p w14:paraId="45846C21" w14:textId="21A28B1B" w:rsidR="00DE70BF" w:rsidRDefault="00DE70BF" w:rsidP="00000C7D">
      <w:pPr>
        <w:spacing w:line="276" w:lineRule="auto"/>
        <w:ind w:left="360"/>
        <w:contextualSpacing/>
        <w:jc w:val="both"/>
        <w:rPr>
          <w:rFonts w:eastAsiaTheme="minorHAnsi" w:cs="Arial"/>
          <w:color w:val="000000" w:themeColor="text1"/>
          <w:sz w:val="22"/>
          <w:szCs w:val="22"/>
        </w:rPr>
      </w:pPr>
    </w:p>
    <w:p w14:paraId="21CE8FA3" w14:textId="77777777" w:rsidR="000A759C" w:rsidRDefault="000A759C" w:rsidP="000A759C">
      <w:pPr>
        <w:spacing w:line="276" w:lineRule="auto"/>
        <w:ind w:left="360"/>
        <w:contextualSpacing/>
        <w:jc w:val="both"/>
        <w:rPr>
          <w:rFonts w:eastAsiaTheme="minorEastAsia" w:cs="Arial"/>
          <w:color w:val="000000" w:themeColor="text1"/>
          <w:sz w:val="22"/>
          <w:szCs w:val="22"/>
        </w:rPr>
      </w:pPr>
      <w:r w:rsidRPr="49C50549">
        <w:rPr>
          <w:rFonts w:eastAsiaTheme="minorEastAsia" w:cs="Arial"/>
          <w:color w:val="000000" w:themeColor="text1"/>
          <w:sz w:val="22"/>
          <w:szCs w:val="22"/>
        </w:rPr>
        <w:t xml:space="preserve">The report should be written in English. The consultant company and Senior Specialist should submit all documents in editable format and provide the spreadsheets used. Every report must be submitted to the Bank in one electronic file. Report should include cover, main document, and all annexes. (Zip files won’t be accepted as final reports). </w:t>
      </w:r>
    </w:p>
    <w:p w14:paraId="54AD9233" w14:textId="77777777" w:rsidR="000A759C" w:rsidRDefault="000A759C" w:rsidP="00000C7D">
      <w:pPr>
        <w:spacing w:line="276" w:lineRule="auto"/>
        <w:ind w:left="360"/>
        <w:contextualSpacing/>
        <w:jc w:val="both"/>
        <w:rPr>
          <w:rFonts w:eastAsiaTheme="minorHAnsi" w:cs="Arial"/>
          <w:color w:val="000000" w:themeColor="text1"/>
          <w:sz w:val="22"/>
          <w:szCs w:val="22"/>
        </w:rPr>
      </w:pPr>
    </w:p>
    <w:p w14:paraId="210AC6DB" w14:textId="517F5D8B" w:rsidR="00565276" w:rsidRPr="00BD7894" w:rsidRDefault="00565276" w:rsidP="00565276">
      <w:pPr>
        <w:spacing w:line="276" w:lineRule="auto"/>
        <w:contextualSpacing/>
        <w:jc w:val="both"/>
        <w:rPr>
          <w:rFonts w:eastAsiaTheme="minorEastAsia" w:cs="Arial"/>
          <w:b/>
          <w:bCs/>
          <w:color w:val="000000" w:themeColor="text1"/>
          <w:sz w:val="22"/>
          <w:szCs w:val="22"/>
        </w:rPr>
      </w:pPr>
      <w:r w:rsidRPr="49C50549">
        <w:rPr>
          <w:rFonts w:eastAsiaTheme="minorEastAsia" w:cs="Arial"/>
          <w:b/>
          <w:bCs/>
          <w:color w:val="000000" w:themeColor="text1"/>
          <w:sz w:val="22"/>
          <w:szCs w:val="22"/>
        </w:rPr>
        <w:t>6.</w:t>
      </w:r>
      <w:r>
        <w:rPr>
          <w:rFonts w:eastAsiaTheme="minorEastAsia" w:cs="Arial"/>
          <w:b/>
          <w:bCs/>
          <w:color w:val="000000" w:themeColor="text1"/>
          <w:sz w:val="22"/>
          <w:szCs w:val="22"/>
        </w:rPr>
        <w:t>2</w:t>
      </w:r>
      <w:r w:rsidRPr="49C50549">
        <w:rPr>
          <w:rFonts w:eastAsiaTheme="minorEastAsia" w:cs="Arial"/>
          <w:b/>
          <w:bCs/>
          <w:color w:val="000000" w:themeColor="text1"/>
          <w:sz w:val="22"/>
          <w:szCs w:val="22"/>
        </w:rPr>
        <w:t xml:space="preserve"> Activity</w:t>
      </w:r>
      <w:r>
        <w:rPr>
          <w:rFonts w:eastAsiaTheme="minorEastAsia" w:cs="Arial"/>
          <w:b/>
          <w:bCs/>
          <w:color w:val="000000" w:themeColor="text1"/>
          <w:sz w:val="22"/>
          <w:szCs w:val="22"/>
        </w:rPr>
        <w:t xml:space="preserve"> B</w:t>
      </w:r>
    </w:p>
    <w:p w14:paraId="357B7AE7" w14:textId="77777777" w:rsidR="00565276" w:rsidRDefault="00565276" w:rsidP="00565276">
      <w:pPr>
        <w:spacing w:line="276" w:lineRule="auto"/>
        <w:ind w:left="360"/>
        <w:contextualSpacing/>
        <w:jc w:val="both"/>
        <w:rPr>
          <w:rFonts w:eastAsiaTheme="minorHAnsi" w:cs="Arial"/>
          <w:i/>
          <w:color w:val="000000" w:themeColor="text1"/>
          <w:sz w:val="22"/>
          <w:szCs w:val="22"/>
        </w:rPr>
      </w:pPr>
    </w:p>
    <w:p w14:paraId="5D26C45C" w14:textId="6DDC36CF" w:rsidR="00565276" w:rsidRDefault="00565276" w:rsidP="00565276">
      <w:pPr>
        <w:spacing w:line="276" w:lineRule="auto"/>
        <w:ind w:left="360"/>
        <w:contextualSpacing/>
        <w:jc w:val="both"/>
        <w:rPr>
          <w:rFonts w:eastAsiaTheme="minorEastAsia" w:cs="Arial"/>
          <w:color w:val="000000" w:themeColor="text1"/>
          <w:sz w:val="22"/>
          <w:szCs w:val="22"/>
        </w:rPr>
      </w:pPr>
      <w:r w:rsidRPr="49C50549">
        <w:rPr>
          <w:rFonts w:eastAsiaTheme="minorEastAsia" w:cs="Arial"/>
          <w:i/>
          <w:iCs/>
          <w:color w:val="000000" w:themeColor="text1"/>
          <w:sz w:val="22"/>
          <w:szCs w:val="22"/>
        </w:rPr>
        <w:t>Inception Report</w:t>
      </w:r>
      <w:r w:rsidRPr="49C50549">
        <w:rPr>
          <w:rFonts w:eastAsiaTheme="minorEastAsia" w:cs="Arial"/>
          <w:color w:val="000000" w:themeColor="text1"/>
          <w:sz w:val="22"/>
          <w:szCs w:val="22"/>
        </w:rPr>
        <w:t>: The report will include a detailed work plan, methodology, schedule of activities and timeframe for the presentation of deliverables considered. (10 calendar days from the contract signature)</w:t>
      </w:r>
    </w:p>
    <w:p w14:paraId="0ED12560" w14:textId="08938B40" w:rsidR="00565276" w:rsidRDefault="00565276" w:rsidP="00000C7D">
      <w:pPr>
        <w:spacing w:line="276" w:lineRule="auto"/>
        <w:ind w:left="360"/>
        <w:contextualSpacing/>
        <w:jc w:val="both"/>
        <w:rPr>
          <w:rFonts w:eastAsiaTheme="minorHAnsi" w:cs="Arial"/>
          <w:color w:val="000000" w:themeColor="text1"/>
          <w:sz w:val="22"/>
          <w:szCs w:val="22"/>
        </w:rPr>
      </w:pPr>
    </w:p>
    <w:p w14:paraId="5F2EA7AA" w14:textId="5657D029" w:rsidR="00565276" w:rsidRDefault="0059231C" w:rsidP="00565276">
      <w:pPr>
        <w:spacing w:line="276" w:lineRule="auto"/>
        <w:ind w:left="360"/>
        <w:contextualSpacing/>
        <w:jc w:val="both"/>
        <w:rPr>
          <w:rFonts w:eastAsiaTheme="minorEastAsia" w:cs="Arial"/>
          <w:color w:val="000000" w:themeColor="text1"/>
          <w:sz w:val="22"/>
          <w:szCs w:val="22"/>
        </w:rPr>
      </w:pPr>
      <w:r>
        <w:rPr>
          <w:rFonts w:eastAsiaTheme="minorEastAsia" w:cs="Arial"/>
          <w:i/>
          <w:iCs/>
          <w:color w:val="000000" w:themeColor="text1"/>
          <w:sz w:val="22"/>
          <w:szCs w:val="22"/>
        </w:rPr>
        <w:t>Workplan Progress</w:t>
      </w:r>
      <w:r w:rsidR="00565276">
        <w:rPr>
          <w:rFonts w:eastAsiaTheme="minorEastAsia" w:cs="Arial"/>
          <w:i/>
          <w:iCs/>
          <w:color w:val="000000" w:themeColor="text1"/>
          <w:sz w:val="22"/>
          <w:szCs w:val="22"/>
        </w:rPr>
        <w:t xml:space="preserve"> </w:t>
      </w:r>
      <w:r w:rsidR="00565276" w:rsidRPr="49C50549">
        <w:rPr>
          <w:rFonts w:eastAsiaTheme="minorEastAsia" w:cs="Arial"/>
          <w:i/>
          <w:iCs/>
          <w:color w:val="000000" w:themeColor="text1"/>
          <w:sz w:val="22"/>
          <w:szCs w:val="22"/>
        </w:rPr>
        <w:t>Report</w:t>
      </w:r>
      <w:r w:rsidR="00565276">
        <w:rPr>
          <w:rFonts w:eastAsiaTheme="minorEastAsia" w:cs="Arial"/>
          <w:i/>
          <w:iCs/>
          <w:color w:val="000000" w:themeColor="text1"/>
          <w:sz w:val="22"/>
          <w:szCs w:val="22"/>
        </w:rPr>
        <w:t>s</w:t>
      </w:r>
      <w:r w:rsidR="00565276" w:rsidRPr="49C50549">
        <w:rPr>
          <w:rFonts w:eastAsiaTheme="minorEastAsia" w:cs="Arial"/>
          <w:color w:val="000000" w:themeColor="text1"/>
          <w:sz w:val="22"/>
          <w:szCs w:val="22"/>
        </w:rPr>
        <w:t>: The report</w:t>
      </w:r>
      <w:r w:rsidR="00565276">
        <w:rPr>
          <w:rFonts w:eastAsiaTheme="minorEastAsia" w:cs="Arial"/>
          <w:color w:val="000000" w:themeColor="text1"/>
          <w:sz w:val="22"/>
          <w:szCs w:val="22"/>
        </w:rPr>
        <w:t>s will be delivered every three months and</w:t>
      </w:r>
      <w:r w:rsidR="00565276" w:rsidRPr="49C50549">
        <w:rPr>
          <w:rFonts w:eastAsiaTheme="minorEastAsia" w:cs="Arial"/>
          <w:color w:val="000000" w:themeColor="text1"/>
          <w:sz w:val="22"/>
          <w:szCs w:val="22"/>
        </w:rPr>
        <w:t xml:space="preserve"> will include </w:t>
      </w:r>
      <w:r w:rsidR="00565276">
        <w:rPr>
          <w:rFonts w:eastAsiaTheme="minorEastAsia" w:cs="Arial"/>
          <w:color w:val="000000" w:themeColor="text1"/>
          <w:sz w:val="22"/>
          <w:szCs w:val="22"/>
        </w:rPr>
        <w:t>the advances established in section 4</w:t>
      </w:r>
      <w:r w:rsidR="00F1687E">
        <w:rPr>
          <w:rFonts w:eastAsiaTheme="minorEastAsia" w:cs="Arial"/>
          <w:color w:val="000000" w:themeColor="text1"/>
          <w:sz w:val="22"/>
          <w:szCs w:val="22"/>
        </w:rPr>
        <w:t xml:space="preserve"> (special consideration should be given to points 7, 9 and 10 of clause 4.3)</w:t>
      </w:r>
    </w:p>
    <w:p w14:paraId="3259212B" w14:textId="77777777" w:rsidR="00565276" w:rsidRDefault="00565276" w:rsidP="00000C7D">
      <w:pPr>
        <w:spacing w:line="276" w:lineRule="auto"/>
        <w:ind w:left="360"/>
        <w:contextualSpacing/>
        <w:jc w:val="both"/>
        <w:rPr>
          <w:rFonts w:eastAsiaTheme="minorHAnsi" w:cs="Arial"/>
          <w:color w:val="000000" w:themeColor="text1"/>
          <w:sz w:val="22"/>
          <w:szCs w:val="22"/>
        </w:rPr>
      </w:pPr>
    </w:p>
    <w:p w14:paraId="43F9FAD2" w14:textId="51E54261" w:rsidR="00063A45" w:rsidRDefault="000A759C" w:rsidP="00000C7D">
      <w:pPr>
        <w:spacing w:line="276" w:lineRule="auto"/>
        <w:ind w:left="360"/>
        <w:contextualSpacing/>
        <w:jc w:val="both"/>
        <w:rPr>
          <w:rFonts w:eastAsiaTheme="minorHAnsi" w:cs="Arial"/>
          <w:color w:val="000000" w:themeColor="text1"/>
          <w:sz w:val="22"/>
          <w:szCs w:val="22"/>
        </w:rPr>
      </w:pPr>
      <w:r>
        <w:rPr>
          <w:rFonts w:eastAsiaTheme="minorHAnsi" w:cs="Arial"/>
          <w:i/>
          <w:color w:val="000000" w:themeColor="text1"/>
          <w:sz w:val="22"/>
          <w:szCs w:val="22"/>
        </w:rPr>
        <w:t xml:space="preserve">Dissemination event executed: </w:t>
      </w:r>
      <w:r w:rsidR="00063A45">
        <w:rPr>
          <w:rFonts w:eastAsiaTheme="minorHAnsi" w:cs="Arial"/>
          <w:color w:val="000000" w:themeColor="text1"/>
          <w:sz w:val="22"/>
          <w:szCs w:val="22"/>
        </w:rPr>
        <w:t>Dissemination event successfully executed</w:t>
      </w:r>
    </w:p>
    <w:p w14:paraId="7ED8F28E" w14:textId="77777777" w:rsidR="00063A45" w:rsidRDefault="00063A45" w:rsidP="00000C7D">
      <w:pPr>
        <w:spacing w:line="276" w:lineRule="auto"/>
        <w:ind w:left="360"/>
        <w:contextualSpacing/>
        <w:jc w:val="both"/>
        <w:rPr>
          <w:rFonts w:eastAsiaTheme="minorHAnsi" w:cs="Arial"/>
          <w:color w:val="000000" w:themeColor="text1"/>
          <w:sz w:val="22"/>
          <w:szCs w:val="22"/>
        </w:rPr>
      </w:pPr>
    </w:p>
    <w:p w14:paraId="7EEABF2C" w14:textId="0C245DF4" w:rsidR="00DE70BF" w:rsidRDefault="49C50549" w:rsidP="49C50549">
      <w:pPr>
        <w:spacing w:line="276" w:lineRule="auto"/>
        <w:ind w:left="360"/>
        <w:contextualSpacing/>
        <w:jc w:val="both"/>
        <w:rPr>
          <w:rFonts w:eastAsiaTheme="minorEastAsia" w:cs="Arial"/>
          <w:color w:val="000000" w:themeColor="text1"/>
          <w:sz w:val="22"/>
          <w:szCs w:val="22"/>
        </w:rPr>
      </w:pPr>
      <w:r w:rsidRPr="49C50549">
        <w:rPr>
          <w:rFonts w:eastAsiaTheme="minorEastAsia" w:cs="Arial"/>
          <w:color w:val="000000" w:themeColor="text1"/>
          <w:sz w:val="22"/>
          <w:szCs w:val="22"/>
        </w:rPr>
        <w:t xml:space="preserve">The report should be written in English. The consultant company and Senior Specialist should submit all documents in editable format and provide the spreadsheets used. Every report must be submitted to the Bank in one electronic file. Report should include cover, main document, and all annexes. (Zip files won’t be accepted as final reports). </w:t>
      </w:r>
    </w:p>
    <w:p w14:paraId="04846491" w14:textId="77777777" w:rsidR="00BD7894" w:rsidRPr="00536F81" w:rsidRDefault="00BD7894" w:rsidP="00000C7D">
      <w:pPr>
        <w:spacing w:line="276" w:lineRule="auto"/>
        <w:ind w:left="360"/>
        <w:contextualSpacing/>
        <w:jc w:val="both"/>
        <w:rPr>
          <w:rFonts w:eastAsiaTheme="minorHAnsi" w:cs="Arial"/>
          <w:color w:val="000000" w:themeColor="text1"/>
          <w:sz w:val="22"/>
          <w:szCs w:val="22"/>
        </w:rPr>
      </w:pPr>
    </w:p>
    <w:p w14:paraId="66591655" w14:textId="77777777" w:rsidR="00A27784" w:rsidRPr="00285977" w:rsidRDefault="49C50549" w:rsidP="49C50549">
      <w:pPr>
        <w:pStyle w:val="Heading1"/>
        <w:rPr>
          <w:rFonts w:eastAsiaTheme="minorEastAsia"/>
        </w:rPr>
      </w:pPr>
      <w:r w:rsidRPr="49C50549">
        <w:rPr>
          <w:rFonts w:eastAsiaTheme="minorEastAsia"/>
        </w:rPr>
        <w:t>Acceptance Criteria</w:t>
      </w:r>
    </w:p>
    <w:p w14:paraId="565A15EA" w14:textId="16342B53" w:rsidR="00885FEC" w:rsidRPr="00536F81" w:rsidRDefault="49C50549" w:rsidP="49C50549">
      <w:pPr>
        <w:pStyle w:val="Heading2"/>
        <w:rPr>
          <w:rFonts w:eastAsiaTheme="minorEastAsia"/>
        </w:rPr>
      </w:pPr>
      <w:r w:rsidRPr="49C50549">
        <w:rPr>
          <w:rFonts w:eastAsiaTheme="minorEastAsia"/>
        </w:rPr>
        <w:t xml:space="preserve">The IDB will submit a written notice after the reports </w:t>
      </w:r>
      <w:r w:rsidR="005E4737">
        <w:rPr>
          <w:rFonts w:eastAsiaTheme="minorEastAsia"/>
        </w:rPr>
        <w:t xml:space="preserve">and models </w:t>
      </w:r>
      <w:r w:rsidRPr="49C50549">
        <w:rPr>
          <w:rFonts w:eastAsiaTheme="minorEastAsia"/>
        </w:rPr>
        <w:t xml:space="preserve">are submitted and presented by the consultant and all the observations have been corrected. </w:t>
      </w:r>
    </w:p>
    <w:p w14:paraId="6659165D" w14:textId="77777777" w:rsidR="00A27784" w:rsidRPr="00285977" w:rsidRDefault="49C50549" w:rsidP="49C50549">
      <w:pPr>
        <w:pStyle w:val="Heading1"/>
        <w:rPr>
          <w:rFonts w:eastAsiaTheme="minorEastAsia"/>
        </w:rPr>
      </w:pPr>
      <w:r w:rsidRPr="49C50549">
        <w:rPr>
          <w:rFonts w:eastAsiaTheme="minorEastAsia"/>
        </w:rPr>
        <w:t xml:space="preserve"> Supervision and Reporting</w:t>
      </w:r>
    </w:p>
    <w:p w14:paraId="212DA382" w14:textId="46C65375" w:rsidR="00A14C91" w:rsidRDefault="49C50549" w:rsidP="49C50549">
      <w:pPr>
        <w:pStyle w:val="Heading2"/>
        <w:rPr>
          <w:rFonts w:eastAsiaTheme="minorEastAsia"/>
        </w:rPr>
      </w:pPr>
      <w:r w:rsidRPr="49C50549">
        <w:rPr>
          <w:rFonts w:eastAsiaTheme="minorEastAsia"/>
        </w:rPr>
        <w:t xml:space="preserve">The coordination of this consultancy will be supervised by Malaika Masson (ENE/CJA): </w:t>
      </w:r>
      <w:hyperlink r:id="rId14">
        <w:r w:rsidRPr="49C50549">
          <w:rPr>
            <w:rStyle w:val="Hyperlink"/>
            <w:rFonts w:cs="Arial"/>
          </w:rPr>
          <w:t>malaikac@iadb.org</w:t>
        </w:r>
      </w:hyperlink>
      <w:r w:rsidRPr="49C50549">
        <w:rPr>
          <w:rFonts w:eastAsiaTheme="minorEastAsia"/>
        </w:rPr>
        <w:t xml:space="preserve">, Senior Regional Energy Specialist.   </w:t>
      </w:r>
    </w:p>
    <w:p w14:paraId="66591662" w14:textId="7E54A40F" w:rsidR="00A27784" w:rsidRPr="00A14C91" w:rsidRDefault="49C50549" w:rsidP="49C50549">
      <w:pPr>
        <w:pStyle w:val="Heading1"/>
        <w:rPr>
          <w:rFonts w:eastAsiaTheme="minorEastAsia"/>
        </w:rPr>
      </w:pPr>
      <w:r w:rsidRPr="49C50549">
        <w:rPr>
          <w:rFonts w:eastAsiaTheme="minorEastAsia"/>
        </w:rPr>
        <w:t>Schedule of Payments</w:t>
      </w:r>
    </w:p>
    <w:p w14:paraId="400CC306" w14:textId="77777777" w:rsidR="00A14C91" w:rsidRDefault="00A14C91" w:rsidP="00A14C91">
      <w:pPr>
        <w:spacing w:line="276" w:lineRule="auto"/>
        <w:jc w:val="both"/>
        <w:rPr>
          <w:rFonts w:cs="Arial"/>
          <w:bCs/>
          <w:sz w:val="22"/>
          <w:szCs w:val="22"/>
        </w:rPr>
      </w:pPr>
    </w:p>
    <w:p w14:paraId="6941969D" w14:textId="6A35204C" w:rsidR="00A14C91" w:rsidRDefault="49C50549" w:rsidP="49C50549">
      <w:pPr>
        <w:spacing w:line="276" w:lineRule="auto"/>
        <w:ind w:left="360"/>
        <w:contextualSpacing/>
        <w:rPr>
          <w:rFonts w:eastAsiaTheme="minorEastAsia" w:cs="Arial"/>
          <w:color w:val="000000" w:themeColor="text1"/>
          <w:sz w:val="22"/>
          <w:szCs w:val="22"/>
        </w:rPr>
      </w:pPr>
      <w:r w:rsidRPr="49C50549">
        <w:rPr>
          <w:rFonts w:eastAsiaTheme="minorEastAsia" w:cs="Arial"/>
          <w:color w:val="000000" w:themeColor="text1"/>
          <w:sz w:val="22"/>
          <w:szCs w:val="22"/>
        </w:rPr>
        <w:t>Payments for the consulting services will be specified in the Contract, using the concept of lump sum, and will be made based on the above deliverables once received or approved to the satisfaction of IDB as follows:</w:t>
      </w:r>
    </w:p>
    <w:p w14:paraId="1324E877" w14:textId="09F6E371" w:rsidR="00BD7894" w:rsidRDefault="00BD7894" w:rsidP="00A14C91">
      <w:pPr>
        <w:spacing w:line="276" w:lineRule="auto"/>
        <w:ind w:left="360"/>
        <w:contextualSpacing/>
        <w:rPr>
          <w:rFonts w:eastAsiaTheme="minorHAnsi" w:cs="Arial"/>
          <w:color w:val="000000" w:themeColor="text1"/>
          <w:sz w:val="22"/>
          <w:szCs w:val="22"/>
        </w:rPr>
      </w:pPr>
    </w:p>
    <w:p w14:paraId="5F802118" w14:textId="2F196FB8" w:rsidR="00BD7894" w:rsidRPr="00BD7894" w:rsidRDefault="49C50549" w:rsidP="49C50549">
      <w:pPr>
        <w:spacing w:line="276" w:lineRule="auto"/>
        <w:ind w:left="360"/>
        <w:contextualSpacing/>
        <w:rPr>
          <w:rFonts w:eastAsiaTheme="minorEastAsia" w:cs="Arial"/>
          <w:b/>
          <w:bCs/>
          <w:color w:val="000000" w:themeColor="text1"/>
          <w:sz w:val="22"/>
          <w:szCs w:val="22"/>
        </w:rPr>
      </w:pPr>
      <w:r w:rsidRPr="49C50549">
        <w:rPr>
          <w:rFonts w:eastAsiaTheme="minorEastAsia" w:cs="Arial"/>
          <w:b/>
          <w:bCs/>
          <w:color w:val="000000" w:themeColor="text1"/>
          <w:sz w:val="22"/>
          <w:szCs w:val="22"/>
        </w:rPr>
        <w:t>Activity A</w:t>
      </w:r>
    </w:p>
    <w:p w14:paraId="143BF701" w14:textId="245D4B8A" w:rsidR="00A14C91" w:rsidRPr="002979F8" w:rsidRDefault="2BAC0561" w:rsidP="2BAC0561">
      <w:pPr>
        <w:pStyle w:val="subpar"/>
        <w:numPr>
          <w:ilvl w:val="0"/>
          <w:numId w:val="8"/>
        </w:numPr>
        <w:tabs>
          <w:tab w:val="clear" w:pos="1800"/>
        </w:tabs>
        <w:spacing w:line="276" w:lineRule="auto"/>
        <w:ind w:left="1800"/>
        <w:rPr>
          <w:lang w:val="en-US"/>
        </w:rPr>
      </w:pPr>
      <w:r w:rsidRPr="2BAC0561">
        <w:rPr>
          <w:lang w:val="en-US"/>
        </w:rPr>
        <w:t xml:space="preserve">10% at contract signature and approval of the </w:t>
      </w:r>
      <w:r w:rsidRPr="2BAC0561">
        <w:rPr>
          <w:u w:val="single"/>
          <w:lang w:val="en-US"/>
        </w:rPr>
        <w:t>Inception Report</w:t>
      </w:r>
      <w:r w:rsidRPr="2BAC0561">
        <w:rPr>
          <w:lang w:val="en-US"/>
        </w:rPr>
        <w:t xml:space="preserve"> with work plan; </w:t>
      </w:r>
    </w:p>
    <w:p w14:paraId="343A6F38" w14:textId="2A27A0AF" w:rsidR="00BD7894" w:rsidRDefault="2BAC0561" w:rsidP="2BAC0561">
      <w:pPr>
        <w:pStyle w:val="subpar"/>
        <w:numPr>
          <w:ilvl w:val="0"/>
          <w:numId w:val="8"/>
        </w:numPr>
        <w:tabs>
          <w:tab w:val="clear" w:pos="1800"/>
        </w:tabs>
        <w:spacing w:line="276" w:lineRule="auto"/>
        <w:ind w:left="1800"/>
        <w:rPr>
          <w:lang w:val="en-US"/>
        </w:rPr>
      </w:pPr>
      <w:r w:rsidRPr="2BAC0561">
        <w:rPr>
          <w:lang w:val="en-US"/>
        </w:rPr>
        <w:t xml:space="preserve">10% upon approval of </w:t>
      </w:r>
      <w:r w:rsidRPr="2BAC0561">
        <w:rPr>
          <w:u w:val="single"/>
          <w:lang w:val="en-US"/>
        </w:rPr>
        <w:t xml:space="preserve">First Draft </w:t>
      </w:r>
      <w:r w:rsidRPr="2BAC0561">
        <w:rPr>
          <w:rFonts w:eastAsiaTheme="minorEastAsia"/>
          <w:i/>
          <w:iCs/>
          <w:color w:val="000000" w:themeColor="text1"/>
          <w:lang w:val="en-US"/>
        </w:rPr>
        <w:t>Cost-Benefit analysis</w:t>
      </w:r>
      <w:r w:rsidRPr="2BAC0561">
        <w:rPr>
          <w:u w:val="single"/>
          <w:lang w:val="en-US"/>
        </w:rPr>
        <w:t xml:space="preserve"> Report</w:t>
      </w:r>
      <w:r w:rsidRPr="2BAC0561">
        <w:rPr>
          <w:lang w:val="en-US"/>
        </w:rPr>
        <w:t xml:space="preserve">; </w:t>
      </w:r>
    </w:p>
    <w:p w14:paraId="5271EA3F" w14:textId="474057FB" w:rsidR="00903F5B" w:rsidRDefault="2BAC0561" w:rsidP="2BAC0561">
      <w:pPr>
        <w:pStyle w:val="subpar"/>
        <w:numPr>
          <w:ilvl w:val="0"/>
          <w:numId w:val="8"/>
        </w:numPr>
        <w:tabs>
          <w:tab w:val="clear" w:pos="1800"/>
        </w:tabs>
        <w:spacing w:line="276" w:lineRule="auto"/>
        <w:ind w:left="1800"/>
        <w:rPr>
          <w:lang w:val="en-US"/>
        </w:rPr>
      </w:pPr>
      <w:r w:rsidRPr="2BAC0561">
        <w:rPr>
          <w:lang w:val="en-US"/>
        </w:rPr>
        <w:t xml:space="preserve">11% upon approval of </w:t>
      </w:r>
      <w:r w:rsidRPr="2BAC0561">
        <w:rPr>
          <w:u w:val="single"/>
          <w:lang w:val="en-US"/>
        </w:rPr>
        <w:t xml:space="preserve">Final </w:t>
      </w:r>
      <w:r w:rsidRPr="2BAC0561">
        <w:rPr>
          <w:rFonts w:eastAsiaTheme="minorEastAsia"/>
          <w:i/>
          <w:iCs/>
          <w:color w:val="000000" w:themeColor="text1"/>
          <w:lang w:val="en-US"/>
        </w:rPr>
        <w:t>Cost-Benefit analysis</w:t>
      </w:r>
      <w:r w:rsidRPr="2BAC0561">
        <w:rPr>
          <w:u w:val="single"/>
          <w:lang w:val="en-US"/>
        </w:rPr>
        <w:t xml:space="preserve"> Report.</w:t>
      </w:r>
      <w:r w:rsidRPr="2BAC0561">
        <w:rPr>
          <w:lang w:val="en-US"/>
        </w:rPr>
        <w:t xml:space="preserve">  </w:t>
      </w:r>
    </w:p>
    <w:p w14:paraId="3FE99852" w14:textId="7F8569DC" w:rsidR="00BD7894" w:rsidRDefault="00BD7894" w:rsidP="00BD7894">
      <w:pPr>
        <w:pStyle w:val="subpar"/>
        <w:numPr>
          <w:ilvl w:val="0"/>
          <w:numId w:val="0"/>
        </w:numPr>
        <w:tabs>
          <w:tab w:val="clear" w:pos="1800"/>
        </w:tabs>
        <w:spacing w:line="276" w:lineRule="auto"/>
        <w:rPr>
          <w:szCs w:val="22"/>
          <w:lang w:val="en-US"/>
        </w:rPr>
      </w:pPr>
    </w:p>
    <w:p w14:paraId="4490F283" w14:textId="3F6FAD48" w:rsidR="00BD7894" w:rsidRDefault="49C50549" w:rsidP="49C50549">
      <w:pPr>
        <w:spacing w:line="276" w:lineRule="auto"/>
        <w:ind w:left="360"/>
        <w:contextualSpacing/>
        <w:rPr>
          <w:rFonts w:eastAsiaTheme="minorEastAsia" w:cs="Arial"/>
          <w:b/>
          <w:bCs/>
          <w:color w:val="000000" w:themeColor="text1"/>
          <w:sz w:val="22"/>
          <w:szCs w:val="22"/>
        </w:rPr>
      </w:pPr>
      <w:r w:rsidRPr="49C50549">
        <w:rPr>
          <w:rFonts w:eastAsiaTheme="minorEastAsia" w:cs="Arial"/>
          <w:b/>
          <w:bCs/>
          <w:color w:val="000000" w:themeColor="text1"/>
          <w:sz w:val="22"/>
          <w:szCs w:val="22"/>
        </w:rPr>
        <w:t>Activity B</w:t>
      </w:r>
    </w:p>
    <w:p w14:paraId="1524CA45" w14:textId="3A581B1F" w:rsidR="00BD7894" w:rsidRDefault="00247CA0" w:rsidP="203E827B">
      <w:pPr>
        <w:pStyle w:val="subpar"/>
        <w:numPr>
          <w:ilvl w:val="0"/>
          <w:numId w:val="8"/>
        </w:numPr>
        <w:tabs>
          <w:tab w:val="clear" w:pos="1800"/>
        </w:tabs>
        <w:spacing w:line="276" w:lineRule="auto"/>
        <w:ind w:left="1800"/>
        <w:rPr>
          <w:lang w:val="en-US"/>
        </w:rPr>
      </w:pPr>
      <w:r>
        <w:rPr>
          <w:lang w:val="en-US"/>
        </w:rPr>
        <w:t>9</w:t>
      </w:r>
      <w:r w:rsidR="203E827B" w:rsidRPr="203E827B">
        <w:rPr>
          <w:lang w:val="en-US"/>
        </w:rPr>
        <w:t xml:space="preserve">% upon approval of </w:t>
      </w:r>
      <w:r w:rsidR="203E827B" w:rsidRPr="203E827B">
        <w:rPr>
          <w:u w:val="single"/>
          <w:lang w:val="en-US"/>
        </w:rPr>
        <w:t>First Report</w:t>
      </w:r>
      <w:r w:rsidR="203E827B" w:rsidRPr="203E827B">
        <w:rPr>
          <w:lang w:val="en-US"/>
        </w:rPr>
        <w:t xml:space="preserve">; </w:t>
      </w:r>
    </w:p>
    <w:p w14:paraId="594A51F9" w14:textId="56505064" w:rsidR="00BD7894" w:rsidRDefault="2BAC0561" w:rsidP="2BAC0561">
      <w:pPr>
        <w:pStyle w:val="subpar"/>
        <w:numPr>
          <w:ilvl w:val="0"/>
          <w:numId w:val="8"/>
        </w:numPr>
        <w:tabs>
          <w:tab w:val="clear" w:pos="1800"/>
        </w:tabs>
        <w:spacing w:line="276" w:lineRule="auto"/>
        <w:ind w:left="1800"/>
        <w:rPr>
          <w:lang w:val="en-US"/>
        </w:rPr>
      </w:pPr>
      <w:r w:rsidRPr="2BAC0561">
        <w:rPr>
          <w:lang w:val="en-US"/>
        </w:rPr>
        <w:t xml:space="preserve">12% upon approval of two consecutive </w:t>
      </w:r>
      <w:r w:rsidRPr="2BAC0561">
        <w:rPr>
          <w:u w:val="single"/>
          <w:lang w:val="en-US"/>
        </w:rPr>
        <w:t>Quarterly Report</w:t>
      </w:r>
      <w:r w:rsidRPr="2BAC0561">
        <w:rPr>
          <w:lang w:val="en-US"/>
        </w:rPr>
        <w:t xml:space="preserve"> (8 quarterly reports in total, 4 payments);</w:t>
      </w:r>
    </w:p>
    <w:p w14:paraId="25B68598" w14:textId="7AA0C2CB" w:rsidR="00247CA0" w:rsidRDefault="2BAC0561" w:rsidP="2BAC0561">
      <w:pPr>
        <w:pStyle w:val="subpar"/>
        <w:numPr>
          <w:ilvl w:val="0"/>
          <w:numId w:val="8"/>
        </w:numPr>
        <w:tabs>
          <w:tab w:val="clear" w:pos="1800"/>
        </w:tabs>
        <w:spacing w:line="276" w:lineRule="auto"/>
        <w:ind w:left="1800"/>
        <w:rPr>
          <w:lang w:val="en-US"/>
        </w:rPr>
      </w:pPr>
      <w:r w:rsidRPr="2BAC0561">
        <w:rPr>
          <w:lang w:val="en-US"/>
        </w:rPr>
        <w:t xml:space="preserve">12% upon successfully execution of two Dissemination Events. </w:t>
      </w:r>
    </w:p>
    <w:p w14:paraId="50337048" w14:textId="77777777" w:rsidR="00247CA0" w:rsidRPr="00866BDE" w:rsidRDefault="00247CA0" w:rsidP="00DF302F">
      <w:pPr>
        <w:pStyle w:val="subpar"/>
        <w:numPr>
          <w:ilvl w:val="0"/>
          <w:numId w:val="0"/>
        </w:numPr>
        <w:tabs>
          <w:tab w:val="clear" w:pos="1800"/>
        </w:tabs>
        <w:spacing w:line="276" w:lineRule="auto"/>
        <w:ind w:left="1800"/>
        <w:rPr>
          <w:lang w:val="en-US"/>
        </w:rPr>
      </w:pPr>
    </w:p>
    <w:p w14:paraId="3A576851" w14:textId="77777777" w:rsidR="00BD7894" w:rsidRPr="00BD7894" w:rsidRDefault="00BD7894" w:rsidP="00BD7894">
      <w:pPr>
        <w:spacing w:line="276" w:lineRule="auto"/>
        <w:ind w:left="360"/>
        <w:contextualSpacing/>
        <w:rPr>
          <w:rFonts w:eastAsiaTheme="minorHAnsi" w:cs="Arial"/>
          <w:b/>
          <w:color w:val="000000" w:themeColor="text1"/>
          <w:sz w:val="22"/>
          <w:szCs w:val="22"/>
        </w:rPr>
      </w:pPr>
    </w:p>
    <w:p w14:paraId="3C3B2897" w14:textId="77777777" w:rsidR="00BD7894" w:rsidRDefault="00BD7894" w:rsidP="00BD7894">
      <w:pPr>
        <w:pStyle w:val="subpar"/>
        <w:numPr>
          <w:ilvl w:val="0"/>
          <w:numId w:val="0"/>
        </w:numPr>
        <w:tabs>
          <w:tab w:val="clear" w:pos="1800"/>
        </w:tabs>
        <w:spacing w:line="276" w:lineRule="auto"/>
        <w:rPr>
          <w:szCs w:val="22"/>
          <w:lang w:val="en-US"/>
        </w:rPr>
      </w:pPr>
    </w:p>
    <w:p w14:paraId="5FE29161" w14:textId="77777777" w:rsidR="00B16E29" w:rsidRPr="00B16E29" w:rsidRDefault="49C50549" w:rsidP="00B16E29">
      <w:pPr>
        <w:pStyle w:val="Heading1"/>
      </w:pPr>
      <w:r>
        <w:t xml:space="preserve">Qualifications  </w:t>
      </w:r>
    </w:p>
    <w:p w14:paraId="11F010C1" w14:textId="6E412EFF" w:rsidR="00B16E29" w:rsidRPr="00903F5B" w:rsidRDefault="49C50549" w:rsidP="00903F5B">
      <w:pPr>
        <w:pStyle w:val="Heading2"/>
      </w:pPr>
      <w:r>
        <w:t>Academic Degree / Level &amp; Years of Professional Work Experience: The team leader or principal of the consortium, as well as the Senior Specialist should have an advanced post graduate level degree (Masters; PhD preferred) with a minimum of 10 years of experience in the field and, at least, 5 years of significant in-depth international expertise and regional knowledge of the power sector.</w:t>
      </w:r>
    </w:p>
    <w:p w14:paraId="41BF7FC6" w14:textId="77777777" w:rsidR="00B16E29" w:rsidRPr="00903F5B" w:rsidRDefault="49C50549" w:rsidP="00903F5B">
      <w:pPr>
        <w:pStyle w:val="Heading2"/>
      </w:pPr>
      <w:r>
        <w:t>Languages: Proficiency in English of each team member.</w:t>
      </w:r>
    </w:p>
    <w:p w14:paraId="6A95A997" w14:textId="1ECC3DA6" w:rsidR="00B16E29" w:rsidRPr="00903F5B" w:rsidRDefault="49C50549" w:rsidP="00903F5B">
      <w:pPr>
        <w:pStyle w:val="Heading2"/>
      </w:pPr>
      <w:r>
        <w:t>Areas of Expertise: Relevant consulting services advising national governments</w:t>
      </w:r>
      <w:r w:rsidR="00C1483A">
        <w:t xml:space="preserve"> on the energy sectors and </w:t>
      </w:r>
      <w:r>
        <w:t xml:space="preserve">assessing </w:t>
      </w:r>
      <w:r w:rsidR="00C1483A">
        <w:t>Cost-Benefit analysis of RE technologies</w:t>
      </w:r>
      <w:r>
        <w:t xml:space="preserve">. </w:t>
      </w:r>
    </w:p>
    <w:p w14:paraId="0A97FDD2" w14:textId="2B96E70B" w:rsidR="00B16E29" w:rsidRPr="00903F5B" w:rsidRDefault="203E827B" w:rsidP="00903F5B">
      <w:pPr>
        <w:pStyle w:val="Heading2"/>
      </w:pPr>
      <w:r>
        <w:t xml:space="preserve">A track record of success in technical and commercial feasibility assessment of renewable energy technologies and policy support for the introduction of RE into the energy matrix, having successfully completed similar studies in nature and complexity. </w:t>
      </w:r>
    </w:p>
    <w:p w14:paraId="03F10D5A" w14:textId="77777777" w:rsidR="00B16E29" w:rsidRPr="00903F5B" w:rsidRDefault="49C50549" w:rsidP="00903F5B">
      <w:pPr>
        <w:pStyle w:val="Heading2"/>
      </w:pPr>
      <w:r>
        <w:t>Skills: Excellent interpersonal and communication skills (both oral and written)</w:t>
      </w:r>
    </w:p>
    <w:p w14:paraId="5199E1AD" w14:textId="7EDDF84A" w:rsidR="00B16E29" w:rsidRDefault="49C50549" w:rsidP="00903F5B">
      <w:pPr>
        <w:pStyle w:val="Heading2"/>
      </w:pPr>
      <w:r>
        <w:t>The institution may propose the best team combination to achieve the overall goal. To be considered for the assignment, proposed team members should submit their respective CVs.</w:t>
      </w:r>
    </w:p>
    <w:p w14:paraId="248B2AAB" w14:textId="09F0984C" w:rsidR="00903F5B" w:rsidRDefault="00903F5B" w:rsidP="00903F5B"/>
    <w:p w14:paraId="7B5059FE" w14:textId="77777777" w:rsidR="00903F5B" w:rsidRPr="00903F5B" w:rsidRDefault="49C50549" w:rsidP="00903F5B">
      <w:pPr>
        <w:pStyle w:val="Heading1"/>
      </w:pPr>
      <w:r>
        <w:t>Characteristics of the Consultancy</w:t>
      </w:r>
    </w:p>
    <w:p w14:paraId="1BDC8AD0" w14:textId="77777777" w:rsidR="00903F5B" w:rsidRPr="008E2947" w:rsidRDefault="49C50549" w:rsidP="00903F5B">
      <w:pPr>
        <w:pStyle w:val="Heading2"/>
      </w:pPr>
      <w:r>
        <w:t>Consultancy category and modality: Consulting Firm, Lump Sum</w:t>
      </w:r>
    </w:p>
    <w:p w14:paraId="76C5FF50" w14:textId="27224F09" w:rsidR="00903F5B" w:rsidRPr="008E2947" w:rsidRDefault="49C50549" w:rsidP="00903F5B">
      <w:pPr>
        <w:pStyle w:val="Heading2"/>
      </w:pPr>
      <w:r>
        <w:t xml:space="preserve">Contract duration: </w:t>
      </w:r>
      <w:r w:rsidR="00866BDE">
        <w:t>twenty-six</w:t>
      </w:r>
      <w:r>
        <w:t xml:space="preserve"> (2</w:t>
      </w:r>
      <w:r w:rsidR="00E907F2">
        <w:t>6</w:t>
      </w:r>
      <w:bookmarkStart w:id="0" w:name="_GoBack"/>
      <w:bookmarkEnd w:id="0"/>
      <w:r>
        <w:t>) months</w:t>
      </w:r>
    </w:p>
    <w:p w14:paraId="28A6CF61" w14:textId="77777777" w:rsidR="000727D0" w:rsidRPr="003162D7" w:rsidRDefault="000727D0" w:rsidP="000727D0">
      <w:pPr>
        <w:pStyle w:val="ListParagraph"/>
        <w:jc w:val="both"/>
        <w:rPr>
          <w:color w:val="000000"/>
          <w:sz w:val="24"/>
          <w:szCs w:val="24"/>
        </w:rPr>
      </w:pPr>
    </w:p>
    <w:p w14:paraId="2CC682EB" w14:textId="70213F19" w:rsidR="00903F5B" w:rsidRDefault="49C50549" w:rsidP="00903F5B">
      <w:pPr>
        <w:pStyle w:val="Heading1"/>
      </w:pPr>
      <w:r>
        <w:t>Payment and Conditions</w:t>
      </w:r>
    </w:p>
    <w:p w14:paraId="226E7988" w14:textId="05C334A0" w:rsidR="000727D0" w:rsidRDefault="49C50549" w:rsidP="00903F5B">
      <w:pPr>
        <w:pStyle w:val="Heading2"/>
      </w:pPr>
      <w:r>
        <w:t>Compensation will be determined in accordance with Bank’s policies and procedures. In addition, candidates must be citizens of an IDB member country.</w:t>
      </w:r>
    </w:p>
    <w:p w14:paraId="0B4EFBDF" w14:textId="467E9EEA" w:rsidR="00903F5B" w:rsidRDefault="49C50549" w:rsidP="00903F5B">
      <w:pPr>
        <w:pStyle w:val="Heading1"/>
      </w:pPr>
      <w:r>
        <w:t xml:space="preserve">Consanguinity </w:t>
      </w:r>
    </w:p>
    <w:p w14:paraId="41958E3C" w14:textId="43C95A6F" w:rsidR="000727D0" w:rsidRDefault="203E827B" w:rsidP="00903F5B">
      <w:pPr>
        <w:pStyle w:val="Heading2"/>
      </w:pPr>
      <w:r>
        <w:t xml:space="preserve">Pursuant to applicable Bank policy, candidates with relatives (including the fourth degree of consanguinity and the second degree of affinity, including spouse) working for the Bank as staff members or Complementary Workforce </w:t>
      </w:r>
      <w:r w:rsidR="00DF302F">
        <w:t>contractual</w:t>
      </w:r>
      <w:r>
        <w:t xml:space="preserve">, will not be eligible to provide services for the Bank. </w:t>
      </w:r>
    </w:p>
    <w:p w14:paraId="4C2DFFDA" w14:textId="42F50719" w:rsidR="00903F5B" w:rsidRDefault="49C50549" w:rsidP="00903F5B">
      <w:pPr>
        <w:pStyle w:val="Heading1"/>
      </w:pPr>
      <w:r>
        <w:t>Diversity</w:t>
      </w:r>
    </w:p>
    <w:p w14:paraId="0A1E7072" w14:textId="02A3422A" w:rsidR="000727D0" w:rsidRPr="003162D7" w:rsidRDefault="49C50549" w:rsidP="00903F5B">
      <w:pPr>
        <w:pStyle w:val="Heading2"/>
      </w:pPr>
      <w:r>
        <w:t xml:space="preserve">The Bank is committed to diversity and inclusion and to providing equal opportunities to all candidates. We embrace diversity </w:t>
      </w:r>
      <w:proofErr w:type="gramStart"/>
      <w:r>
        <w:t>on the basis of</w:t>
      </w:r>
      <w:proofErr w:type="gramEnd"/>
      <w:r>
        <w:t xml:space="preserve"> gender, age, education, national origin, ethnic origin, race, disability, sexual orientation, religion, and HIV/AIDs status. We encourage women, Afro-descendants and persons of indigenous origins to apply.</w:t>
      </w:r>
    </w:p>
    <w:p w14:paraId="6659167A" w14:textId="77777777" w:rsidR="00A27784" w:rsidRDefault="00A27784"/>
    <w:sectPr w:rsidR="00A2778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3DF8D" w14:textId="77777777" w:rsidR="00443967" w:rsidRDefault="00443967" w:rsidP="00A27784">
      <w:r>
        <w:separator/>
      </w:r>
    </w:p>
  </w:endnote>
  <w:endnote w:type="continuationSeparator" w:id="0">
    <w:p w14:paraId="79A388CE" w14:textId="77777777" w:rsidR="00443967" w:rsidRDefault="00443967" w:rsidP="00A27784">
      <w:r>
        <w:continuationSeparator/>
      </w:r>
    </w:p>
  </w:endnote>
  <w:endnote w:type="continuationNotice" w:id="1">
    <w:p w14:paraId="31C39DEF" w14:textId="77777777" w:rsidR="00443967" w:rsidRDefault="00443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9860735"/>
      <w:docPartObj>
        <w:docPartGallery w:val="Page Numbers (Bottom of Page)"/>
        <w:docPartUnique/>
      </w:docPartObj>
    </w:sdtPr>
    <w:sdtEndPr>
      <w:rPr>
        <w:noProof/>
      </w:rPr>
    </w:sdtEndPr>
    <w:sdtContent>
      <w:p w14:paraId="66591684" w14:textId="02313BED" w:rsidR="006E62D9" w:rsidRDefault="49C50549" w:rsidP="006E62D9">
        <w:pPr>
          <w:pStyle w:val="Footer"/>
          <w:jc w:val="right"/>
        </w:pPr>
        <w:r>
          <w:t xml:space="preserve">Page </w:t>
        </w:r>
        <w:r w:rsidR="006E62D9" w:rsidRPr="49C50549">
          <w:rPr>
            <w:noProof/>
          </w:rPr>
          <w:fldChar w:fldCharType="begin"/>
        </w:r>
        <w:r w:rsidR="006E62D9" w:rsidRPr="49C50549">
          <w:rPr>
            <w:noProof/>
          </w:rPr>
          <w:instrText xml:space="preserve"> PAGE   \* MERGEFORMAT </w:instrText>
        </w:r>
        <w:r w:rsidR="006E62D9" w:rsidRPr="49C50549">
          <w:rPr>
            <w:noProof/>
          </w:rPr>
          <w:fldChar w:fldCharType="separate"/>
        </w:r>
        <w:r w:rsidR="00A416A0">
          <w:rPr>
            <w:noProof/>
          </w:rPr>
          <w:t>1</w:t>
        </w:r>
        <w:r w:rsidR="006E62D9" w:rsidRPr="49C50549">
          <w:rPr>
            <w:noProof/>
          </w:rPr>
          <w:fldChar w:fldCharType="end"/>
        </w:r>
        <w:r w:rsidRPr="49C50549">
          <w:rPr>
            <w:noProof/>
          </w:rPr>
          <w:t xml:space="preserve"> of  Terms of Reference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92795" w14:textId="77777777" w:rsidR="00443967" w:rsidRDefault="00443967" w:rsidP="00A27784">
      <w:r>
        <w:separator/>
      </w:r>
    </w:p>
  </w:footnote>
  <w:footnote w:type="continuationSeparator" w:id="0">
    <w:p w14:paraId="6EEDD912" w14:textId="77777777" w:rsidR="00443967" w:rsidRDefault="00443967" w:rsidP="00A27784">
      <w:r>
        <w:continuationSeparator/>
      </w:r>
    </w:p>
  </w:footnote>
  <w:footnote w:type="continuationNotice" w:id="1">
    <w:p w14:paraId="5A3818A2" w14:textId="77777777" w:rsidR="00443967" w:rsidRDefault="00443967"/>
  </w:footnote>
  <w:footnote w:id="2">
    <w:p w14:paraId="64386BC6" w14:textId="77777777" w:rsidR="00653496" w:rsidRDefault="00653496" w:rsidP="00653496">
      <w:pPr>
        <w:pStyle w:val="FootnoteText"/>
      </w:pPr>
      <w:r>
        <w:rPr>
          <w:rStyle w:val="FootnoteReference"/>
        </w:rPr>
        <w:footnoteRef/>
      </w:r>
      <w:r>
        <w:t xml:space="preserve"> </w:t>
      </w:r>
      <w:r w:rsidRPr="00FC3EB9">
        <w:t>Government deficits have averaged near 3 percent over the same period rising from 1.0 percent in 2006 to 2.6 percent by 2016/2017</w:t>
      </w:r>
    </w:p>
  </w:footnote>
  <w:footnote w:id="3">
    <w:p w14:paraId="638B8A02" w14:textId="77777777" w:rsidR="00653496" w:rsidRDefault="00653496" w:rsidP="00653496">
      <w:pPr>
        <w:pStyle w:val="FootnoteText"/>
      </w:pPr>
      <w:r>
        <w:rPr>
          <w:rStyle w:val="FootnoteReference"/>
        </w:rPr>
        <w:footnoteRef/>
      </w:r>
      <w:r>
        <w:t xml:space="preserve"> </w:t>
      </w:r>
      <w:r w:rsidRPr="00FC3EB9">
        <w:t>The FDI inflows represented on average 2.6 percent of GDP (2013-2017) below the previous average of 5 percent of GDP for the period (2008-2012).</w:t>
      </w:r>
    </w:p>
  </w:footnote>
  <w:footnote w:id="4">
    <w:p w14:paraId="7B3A4AF6" w14:textId="77777777" w:rsidR="00653496" w:rsidRDefault="00653496" w:rsidP="00653496">
      <w:pPr>
        <w:pStyle w:val="FootnoteText"/>
      </w:pPr>
      <w:r w:rsidRPr="00881DE3">
        <w:rPr>
          <w:rStyle w:val="FootnoteReference"/>
        </w:rPr>
        <w:footnoteRef/>
      </w:r>
      <w:r>
        <w:t xml:space="preserve"> In 2012, due to high oil prices the electricity tariffs were US$0.40/kWh for residential customers, and US$0.44/kWh for hotel customers). In 2017, tariffs were lower (US$0.27/kWh retail and US$0.25/kWh residential) mainly due to the reduction in oil prices (more than 50% reduction) but are steadily increasing as oil prices rise affecting the resources allocated to household and firm electricity bills.</w:t>
      </w:r>
    </w:p>
  </w:footnote>
  <w:footnote w:id="5">
    <w:p w14:paraId="065AB037" w14:textId="77777777" w:rsidR="00653496" w:rsidRDefault="00653496" w:rsidP="00653496">
      <w:pPr>
        <w:pStyle w:val="FootnoteText"/>
      </w:pPr>
      <w:r>
        <w:rPr>
          <w:rStyle w:val="FootnoteReference"/>
        </w:rPr>
        <w:footnoteRef/>
      </w:r>
      <w:r w:rsidRPr="6A6DFC36">
        <w:t xml:space="preserve"> </w:t>
      </w:r>
      <w:r w:rsidRPr="00397A4C">
        <w:t xml:space="preserve">The </w:t>
      </w:r>
      <w:proofErr w:type="spellStart"/>
      <w:r w:rsidRPr="00397A4C">
        <w:t>PROTEqIN</w:t>
      </w:r>
      <w:proofErr w:type="spellEnd"/>
      <w:r w:rsidRPr="00397A4C">
        <w:t xml:space="preserve"> Enterprise 2014 Survey found that Bahamian firms experience an average of 2.2 outages per month, just below Jamaica (2.5) but above Barbados (1.1), Suriname (0.7) and Trinidad and Tobago (0.5). The average duration, measured in hours of a typical outage was highest in Jamaica (1.30), Suriname (1.0), The Bahamas (0.9), Barbados (0.6) and Trinidad and Tobago (0.50).</w:t>
      </w:r>
    </w:p>
  </w:footnote>
  <w:footnote w:id="6">
    <w:p w14:paraId="6026D05F" w14:textId="77777777" w:rsidR="00653496" w:rsidRDefault="00653496" w:rsidP="00653496">
      <w:pPr>
        <w:pStyle w:val="FootnoteText"/>
      </w:pPr>
      <w:r w:rsidRPr="00881DE3">
        <w:rPr>
          <w:rStyle w:val="FootnoteReference"/>
        </w:rPr>
        <w:footnoteRef/>
      </w:r>
      <w:r>
        <w:t xml:space="preserve"> In 2012, due to high oil prices the electricity tariffs were US$0.40/kWh for residential customers, and US$0.44/kWh for hotel customers). In 2017, tariffs were lower (US$0.27/kWh retail and US$0.25/kWh residential) mainly due to the reduction in oil prices (more than 50% reduction) but are steadily increasing as oil prices rise affecting the resources allocated to household and firm electricity bills.</w:t>
      </w:r>
    </w:p>
  </w:footnote>
  <w:footnote w:id="7">
    <w:p w14:paraId="4C14B4A9" w14:textId="77777777" w:rsidR="00653496" w:rsidRDefault="00653496" w:rsidP="00653496">
      <w:pPr>
        <w:pStyle w:val="FootnoteText"/>
      </w:pPr>
      <w:r>
        <w:rPr>
          <w:rStyle w:val="FootnoteReference"/>
        </w:rPr>
        <w:footnoteRef/>
      </w:r>
      <w:r>
        <w:t xml:space="preserve"> IRENA (2018) “Renewable Power Generation Costs in 2017”. Compare with th</w:t>
      </w:r>
      <w:r w:rsidRPr="00FD46B2">
        <w:t>e fossil fuel-fired power generation cost range for G20 countries in 2017</w:t>
      </w:r>
      <w:r>
        <w:t xml:space="preserve"> that </w:t>
      </w:r>
      <w:r w:rsidRPr="00FD46B2">
        <w:t>was estimated to be between USD 0.05 and USD 0.17/kWh.</w:t>
      </w:r>
    </w:p>
  </w:footnote>
  <w:footnote w:id="8">
    <w:p w14:paraId="5163A3AA" w14:textId="77777777" w:rsidR="00653496" w:rsidRDefault="00653496" w:rsidP="00653496">
      <w:pPr>
        <w:pStyle w:val="FootnoteText"/>
      </w:pPr>
      <w:r>
        <w:rPr>
          <w:rStyle w:val="FootnoteReference"/>
        </w:rPr>
        <w:footnoteRef/>
      </w:r>
      <w:r>
        <w:t xml:space="preserve"> </w:t>
      </w:r>
      <w:hyperlink r:id="rId1" w:history="1">
        <w:r w:rsidRPr="00440036">
          <w:rPr>
            <w:rStyle w:val="Hyperlink"/>
          </w:rPr>
          <w:t>Global Solar Atlas</w:t>
        </w:r>
      </w:hyperlink>
    </w:p>
  </w:footnote>
  <w:footnote w:id="9">
    <w:p w14:paraId="768A9CA7" w14:textId="77777777" w:rsidR="00653496" w:rsidRDefault="00653496" w:rsidP="00653496">
      <w:pPr>
        <w:pStyle w:val="FootnoteText"/>
      </w:pPr>
      <w:r>
        <w:rPr>
          <w:rStyle w:val="FootnoteReference"/>
        </w:rPr>
        <w:footnoteRef/>
      </w:r>
      <w:r>
        <w:t xml:space="preserve"> IRENA (2016) “Renewable Energy Benefits: Measuring the Economics”. The report suggests that doubling the share of RE in the global energy mix increases global GDP in 2030 by up to 1.1%, equivalent of US$1.3 trillion and given the distributed and labor-intensive nature of RE, direct and indirect employment in the RE sector could reach 24.4 million people in 2030. </w:t>
      </w:r>
    </w:p>
  </w:footnote>
  <w:footnote w:id="10">
    <w:p w14:paraId="3EA8A216" w14:textId="77777777" w:rsidR="00653496" w:rsidRDefault="00653496" w:rsidP="00653496">
      <w:pPr>
        <w:pStyle w:val="FootnoteText"/>
      </w:pPr>
      <w:r>
        <w:rPr>
          <w:rStyle w:val="FootnoteReference"/>
        </w:rPr>
        <w:footnoteRef/>
      </w:r>
      <w:r>
        <w:t xml:space="preserve"> </w:t>
      </w:r>
      <w:r w:rsidRPr="00A02492">
        <w:t xml:space="preserve">Two such projects include the Nassau Airport Development Company solar plant, 5MW (RFP pending) and the National Stadium solar car park, 900kw (at design </w:t>
      </w:r>
      <w:proofErr w:type="gramStart"/>
      <w:r w:rsidRPr="00A02492">
        <w:t>stage )</w:t>
      </w:r>
      <w:proofErr w:type="gramEnd"/>
      <w:r w:rsidRPr="00A02492">
        <w:t>. There has also been interest from other private sector entities in RE projects of various sizes</w:t>
      </w:r>
    </w:p>
  </w:footnote>
  <w:footnote w:id="11">
    <w:p w14:paraId="665F03BA" w14:textId="77777777" w:rsidR="00653496" w:rsidRDefault="00653496" w:rsidP="00653496">
      <w:pPr>
        <w:pStyle w:val="FootnoteText"/>
      </w:pPr>
      <w:r>
        <w:rPr>
          <w:rStyle w:val="FootnoteReference"/>
        </w:rPr>
        <w:footnoteRef/>
      </w:r>
      <w:r>
        <w:t xml:space="preserve"> See: “The Preliminary Determination and Draft Order Issued to Bahamas Power and Light Company Limited (BPL) in the Matter of Suspected Breach of License Conditions 9, and 17.2 and Sections 24 and 26 under the Electricity Act, 2015”. According to URCA, the </w:t>
      </w:r>
      <w:proofErr w:type="gramStart"/>
      <w:r>
        <w:t>Small Scale</w:t>
      </w:r>
      <w:proofErr w:type="gramEnd"/>
      <w:r>
        <w:t xml:space="preserve"> component of BPL’s REP submission has formed the basis for the Small-Scale Renewable Generation (SSRG) </w:t>
      </w:r>
      <w:proofErr w:type="spellStart"/>
      <w:r>
        <w:t>programme</w:t>
      </w:r>
      <w:proofErr w:type="spellEnd"/>
      <w:r>
        <w:t xml:space="preserve"> implemented by BPL in April 2017. The SSRG Plan allows residential and commercial customers generating between 0 to 100kW of RE for self-use to sell any surplus energy to BPL. </w:t>
      </w:r>
    </w:p>
  </w:footnote>
  <w:footnote w:id="12">
    <w:p w14:paraId="1AC8744C" w14:textId="2D43EA82" w:rsidR="00796C22" w:rsidRDefault="00796C22">
      <w:pPr>
        <w:pStyle w:val="FootnoteText"/>
      </w:pPr>
      <w:r>
        <w:rPr>
          <w:rStyle w:val="FootnoteReference"/>
        </w:rPr>
        <w:footnoteRef/>
      </w:r>
      <w:r>
        <w:t xml:space="preserve"> </w:t>
      </w:r>
      <w:r w:rsidRPr="00AF5515">
        <w:rPr>
          <w:sz w:val="18"/>
        </w:rPr>
        <w:t>Th</w:t>
      </w:r>
      <w:r>
        <w:rPr>
          <w:sz w:val="18"/>
        </w:rPr>
        <w:t>is</w:t>
      </w:r>
      <w:r w:rsidRPr="00AF5515">
        <w:rPr>
          <w:sz w:val="18"/>
        </w:rPr>
        <w:t xml:space="preserve"> 5MW is set as a tentative limit </w:t>
      </w:r>
      <w:proofErr w:type="gramStart"/>
      <w:r w:rsidRPr="00AF5515">
        <w:rPr>
          <w:sz w:val="18"/>
        </w:rPr>
        <w:t>for the purpose of</w:t>
      </w:r>
      <w:proofErr w:type="gramEnd"/>
      <w:r w:rsidRPr="00AF5515">
        <w:rPr>
          <w:sz w:val="18"/>
        </w:rPr>
        <w:t xml:space="preserve"> this study considering that the facilities will be connected at distribution level. However, future policy should deep in the rationale for DG scope and MW size.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91682" w14:textId="23E80E82" w:rsidR="00A27784" w:rsidRDefault="003277B0" w:rsidP="003277B0">
    <w:pPr>
      <w:pStyle w:val="Header"/>
    </w:pPr>
    <w:r>
      <w:rPr>
        <w:noProof/>
      </w:rPr>
      <w:drawing>
        <wp:inline distT="0" distB="0" distL="0" distR="0" wp14:anchorId="154E0895" wp14:editId="0437672E">
          <wp:extent cx="1476375" cy="37449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4183" cy="376476"/>
                  </a:xfrm>
                  <a:prstGeom prst="rect">
                    <a:avLst/>
                  </a:prstGeom>
                </pic:spPr>
              </pic:pic>
            </a:graphicData>
          </a:graphic>
        </wp:inline>
      </w:drawing>
    </w:r>
    <w:r w:rsidRPr="4A7F0516">
      <w:rPr>
        <w:i/>
        <w:iCs/>
        <w:color w:val="4F81BD" w:themeColor="accent1"/>
      </w:rPr>
      <w:t xml:space="preserve">                                                                                 </w:t>
    </w:r>
  </w:p>
  <w:p w14:paraId="66591683" w14:textId="77777777" w:rsidR="006E62D9" w:rsidRPr="006E62D9" w:rsidRDefault="006E62D9">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D7A2B35"/>
    <w:multiLevelType w:val="multilevel"/>
    <w:tmpl w:val="932C8D7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rPr>
        <w:b w:val="0"/>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E7B4099"/>
    <w:multiLevelType w:val="multilevel"/>
    <w:tmpl w:val="3320B072"/>
    <w:lvl w:ilvl="0">
      <w:start w:val="1"/>
      <w:numFmt w:val="upperRoman"/>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66517"/>
    <w:multiLevelType w:val="hybridMultilevel"/>
    <w:tmpl w:val="FDD80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8B2D30"/>
    <w:multiLevelType w:val="hybridMultilevel"/>
    <w:tmpl w:val="91109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454A21"/>
    <w:multiLevelType w:val="multilevel"/>
    <w:tmpl w:val="67C67618"/>
    <w:lvl w:ilvl="0">
      <w:start w:val="1"/>
      <w:numFmt w:val="decimal"/>
      <w:pStyle w:val="Heading1"/>
      <w:lvlText w:val="%1"/>
      <w:lvlJc w:val="left"/>
      <w:pPr>
        <w:ind w:left="432" w:hanging="432"/>
      </w:pPr>
    </w:lvl>
    <w:lvl w:ilvl="1">
      <w:start w:val="1"/>
      <w:numFmt w:val="decimal"/>
      <w:pStyle w:val="Heading2"/>
      <w:lvlText w:val="%1.%2"/>
      <w:lvlJc w:val="left"/>
      <w:pPr>
        <w:ind w:left="666" w:hanging="576"/>
      </w:pPr>
      <w:rPr>
        <w:b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59D1790D"/>
    <w:multiLevelType w:val="hybridMultilevel"/>
    <w:tmpl w:val="9A92656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60671ABB"/>
    <w:multiLevelType w:val="hybridMultilevel"/>
    <w:tmpl w:val="D28E3C44"/>
    <w:lvl w:ilvl="0" w:tplc="FCD87F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9D29D1"/>
    <w:multiLevelType w:val="hybridMultilevel"/>
    <w:tmpl w:val="D28E3C44"/>
    <w:lvl w:ilvl="0" w:tplc="FCD87F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1"/>
  </w:num>
  <w:num w:numId="4">
    <w:abstractNumId w:val="8"/>
  </w:num>
  <w:num w:numId="5">
    <w:abstractNumId w:val="9"/>
  </w:num>
  <w:num w:numId="6">
    <w:abstractNumId w:val="2"/>
  </w:num>
  <w:num w:numId="7">
    <w:abstractNumId w:val="1"/>
  </w:num>
  <w:num w:numId="8">
    <w:abstractNumId w:val="7"/>
  </w:num>
  <w:num w:numId="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6"/>
  </w:num>
  <w:num w:numId="13">
    <w:abstractNumId w:val="6"/>
  </w:num>
  <w:num w:numId="14">
    <w:abstractNumId w:val="6"/>
  </w:num>
  <w:num w:numId="15">
    <w:abstractNumId w:val="6"/>
  </w:num>
  <w:num w:numId="16">
    <w:abstractNumId w:val="3"/>
  </w:num>
  <w:num w:numId="17">
    <w:abstractNumId w:val="6"/>
  </w:num>
  <w:num w:numId="18">
    <w:abstractNumId w:val="13"/>
  </w:num>
  <w:num w:numId="19">
    <w:abstractNumId w:val="6"/>
  </w:num>
  <w:num w:numId="20">
    <w:abstractNumId w:val="6"/>
  </w:num>
  <w:num w:numId="21">
    <w:abstractNumId w:val="12"/>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AHYQsgNDQ2M1TSUQpOLS7OzM8DKTCsBQCqZ5mxLAAAAA=="/>
  </w:docVars>
  <w:rsids>
    <w:rsidRoot w:val="00A27784"/>
    <w:rsid w:val="00000C7D"/>
    <w:rsid w:val="00007DDA"/>
    <w:rsid w:val="00031CBB"/>
    <w:rsid w:val="00034107"/>
    <w:rsid w:val="0003688D"/>
    <w:rsid w:val="000632B0"/>
    <w:rsid w:val="00063A45"/>
    <w:rsid w:val="000645EB"/>
    <w:rsid w:val="000658BF"/>
    <w:rsid w:val="000727D0"/>
    <w:rsid w:val="000A759C"/>
    <w:rsid w:val="000C7BB7"/>
    <w:rsid w:val="000E27AA"/>
    <w:rsid w:val="00116E19"/>
    <w:rsid w:val="00127534"/>
    <w:rsid w:val="001304FC"/>
    <w:rsid w:val="001376B7"/>
    <w:rsid w:val="001429BE"/>
    <w:rsid w:val="0015084D"/>
    <w:rsid w:val="00183297"/>
    <w:rsid w:val="001851D1"/>
    <w:rsid w:val="0023701B"/>
    <w:rsid w:val="002472B6"/>
    <w:rsid w:val="00247CA0"/>
    <w:rsid w:val="00272ED4"/>
    <w:rsid w:val="00285977"/>
    <w:rsid w:val="002B019B"/>
    <w:rsid w:val="002E478B"/>
    <w:rsid w:val="00303848"/>
    <w:rsid w:val="003277B0"/>
    <w:rsid w:val="003709CF"/>
    <w:rsid w:val="003740F6"/>
    <w:rsid w:val="00392F57"/>
    <w:rsid w:val="003A5B78"/>
    <w:rsid w:val="003D314D"/>
    <w:rsid w:val="004048BF"/>
    <w:rsid w:val="004316DC"/>
    <w:rsid w:val="00443967"/>
    <w:rsid w:val="00455277"/>
    <w:rsid w:val="004729A2"/>
    <w:rsid w:val="00494B91"/>
    <w:rsid w:val="004D4558"/>
    <w:rsid w:val="004E5252"/>
    <w:rsid w:val="005152CE"/>
    <w:rsid w:val="00536F81"/>
    <w:rsid w:val="005445B0"/>
    <w:rsid w:val="00561AF9"/>
    <w:rsid w:val="00564AB4"/>
    <w:rsid w:val="00565276"/>
    <w:rsid w:val="005760F7"/>
    <w:rsid w:val="00581897"/>
    <w:rsid w:val="0059231C"/>
    <w:rsid w:val="005972FF"/>
    <w:rsid w:val="005E4737"/>
    <w:rsid w:val="00615112"/>
    <w:rsid w:val="00616184"/>
    <w:rsid w:val="00653496"/>
    <w:rsid w:val="0066187B"/>
    <w:rsid w:val="00667AA3"/>
    <w:rsid w:val="006757A7"/>
    <w:rsid w:val="00685FEE"/>
    <w:rsid w:val="006A2CD4"/>
    <w:rsid w:val="006B304D"/>
    <w:rsid w:val="006D4A83"/>
    <w:rsid w:val="006E62D9"/>
    <w:rsid w:val="00706759"/>
    <w:rsid w:val="00714D43"/>
    <w:rsid w:val="00723B09"/>
    <w:rsid w:val="00792B7E"/>
    <w:rsid w:val="00796C22"/>
    <w:rsid w:val="007D2E6C"/>
    <w:rsid w:val="007E01F9"/>
    <w:rsid w:val="007F0A1F"/>
    <w:rsid w:val="00841552"/>
    <w:rsid w:val="008606FE"/>
    <w:rsid w:val="008644F0"/>
    <w:rsid w:val="00866BDE"/>
    <w:rsid w:val="00875C95"/>
    <w:rsid w:val="00885FEC"/>
    <w:rsid w:val="008911BD"/>
    <w:rsid w:val="008A1676"/>
    <w:rsid w:val="008C44E5"/>
    <w:rsid w:val="008D562A"/>
    <w:rsid w:val="008E5019"/>
    <w:rsid w:val="008E6D4D"/>
    <w:rsid w:val="0090366A"/>
    <w:rsid w:val="00903F5B"/>
    <w:rsid w:val="00912C80"/>
    <w:rsid w:val="00940FF1"/>
    <w:rsid w:val="0096031D"/>
    <w:rsid w:val="009D7AF1"/>
    <w:rsid w:val="009E2BFC"/>
    <w:rsid w:val="009F5C3F"/>
    <w:rsid w:val="00A063B7"/>
    <w:rsid w:val="00A14C91"/>
    <w:rsid w:val="00A27784"/>
    <w:rsid w:val="00A326F9"/>
    <w:rsid w:val="00A416A0"/>
    <w:rsid w:val="00A55102"/>
    <w:rsid w:val="00A75D41"/>
    <w:rsid w:val="00A950A6"/>
    <w:rsid w:val="00A962C7"/>
    <w:rsid w:val="00AA59E8"/>
    <w:rsid w:val="00AB48D2"/>
    <w:rsid w:val="00AB7DDF"/>
    <w:rsid w:val="00AF58B4"/>
    <w:rsid w:val="00B16E29"/>
    <w:rsid w:val="00B47990"/>
    <w:rsid w:val="00B652C3"/>
    <w:rsid w:val="00B760D0"/>
    <w:rsid w:val="00BB54B0"/>
    <w:rsid w:val="00BC5827"/>
    <w:rsid w:val="00BC6EBA"/>
    <w:rsid w:val="00BD1D09"/>
    <w:rsid w:val="00BD7894"/>
    <w:rsid w:val="00BE0664"/>
    <w:rsid w:val="00BE1FDB"/>
    <w:rsid w:val="00C1483A"/>
    <w:rsid w:val="00C345F8"/>
    <w:rsid w:val="00C47716"/>
    <w:rsid w:val="00C54B0D"/>
    <w:rsid w:val="00C57DCD"/>
    <w:rsid w:val="00C64BE1"/>
    <w:rsid w:val="00C85466"/>
    <w:rsid w:val="00CC4560"/>
    <w:rsid w:val="00CC7660"/>
    <w:rsid w:val="00D06011"/>
    <w:rsid w:val="00D1067E"/>
    <w:rsid w:val="00D70E21"/>
    <w:rsid w:val="00D76321"/>
    <w:rsid w:val="00D824DD"/>
    <w:rsid w:val="00D90E94"/>
    <w:rsid w:val="00DB5C99"/>
    <w:rsid w:val="00DC672D"/>
    <w:rsid w:val="00DE64C3"/>
    <w:rsid w:val="00DE70BF"/>
    <w:rsid w:val="00DF302F"/>
    <w:rsid w:val="00E07734"/>
    <w:rsid w:val="00E65EB9"/>
    <w:rsid w:val="00E907F2"/>
    <w:rsid w:val="00F01404"/>
    <w:rsid w:val="00F1687E"/>
    <w:rsid w:val="00F308ED"/>
    <w:rsid w:val="00F43F77"/>
    <w:rsid w:val="00F6719D"/>
    <w:rsid w:val="00FB3E6A"/>
    <w:rsid w:val="00FD4F9F"/>
    <w:rsid w:val="00FF373D"/>
    <w:rsid w:val="09593B3F"/>
    <w:rsid w:val="203E827B"/>
    <w:rsid w:val="2BAC0561"/>
    <w:rsid w:val="3D115E2C"/>
    <w:rsid w:val="49C50549"/>
    <w:rsid w:val="4A7F05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59162B"/>
  <w15:docId w15:val="{D982963F-273E-4E47-B116-EEF89C92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96031D"/>
    <w:pPr>
      <w:keepNext/>
      <w:numPr>
        <w:numId w:val="12"/>
      </w:numPr>
      <w:outlineLvl w:val="0"/>
    </w:pPr>
    <w:rPr>
      <w:b/>
      <w:sz w:val="22"/>
      <w:u w:val="single"/>
    </w:rPr>
  </w:style>
  <w:style w:type="paragraph" w:styleId="Heading2">
    <w:name w:val="heading 2"/>
    <w:basedOn w:val="Normal"/>
    <w:next w:val="Normal"/>
    <w:link w:val="Heading2Char"/>
    <w:uiPriority w:val="9"/>
    <w:unhideWhenUsed/>
    <w:qFormat/>
    <w:rsid w:val="00903F5B"/>
    <w:pPr>
      <w:keepNext/>
      <w:numPr>
        <w:ilvl w:val="1"/>
        <w:numId w:val="12"/>
      </w:numPr>
      <w:spacing w:before="280" w:after="240"/>
      <w:jc w:val="both"/>
      <w:outlineLvl w:val="1"/>
    </w:pPr>
    <w:rPr>
      <w:rFonts w:eastAsiaTheme="majorEastAsia" w:cstheme="majorBidi"/>
      <w:sz w:val="22"/>
      <w:szCs w:val="26"/>
    </w:rPr>
  </w:style>
  <w:style w:type="paragraph" w:styleId="Heading3">
    <w:name w:val="heading 3"/>
    <w:basedOn w:val="Normal"/>
    <w:next w:val="Normal"/>
    <w:link w:val="Heading3Char"/>
    <w:uiPriority w:val="9"/>
    <w:unhideWhenUsed/>
    <w:qFormat/>
    <w:rsid w:val="00AA59E8"/>
    <w:pPr>
      <w:keepNext/>
      <w:keepLines/>
      <w:numPr>
        <w:ilvl w:val="2"/>
        <w:numId w:val="1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31D"/>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6031D"/>
    <w:pPr>
      <w:keepNext/>
      <w:keepLines/>
      <w:numPr>
        <w:ilvl w:val="4"/>
        <w:numId w:val="1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6031D"/>
    <w:pPr>
      <w:keepNext/>
      <w:keepLines/>
      <w:numPr>
        <w:ilvl w:val="5"/>
        <w:numId w:val="1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6031D"/>
    <w:pPr>
      <w:keepNext/>
      <w:keepLines/>
      <w:numPr>
        <w:ilvl w:val="6"/>
        <w:numId w:val="1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6031D"/>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6031D"/>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031D"/>
    <w:rPr>
      <w:rFonts w:ascii="Arial" w:eastAsia="Times New Roman" w:hAnsi="Arial" w:cs="Times New Roman"/>
      <w:b/>
      <w:szCs w:val="20"/>
      <w:u w:val="single"/>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semiHidden/>
    <w:unhideWhenUsed/>
    <w:rsid w:val="008644F0"/>
    <w:pPr>
      <w:spacing w:after="120"/>
    </w:pPr>
  </w:style>
  <w:style w:type="character" w:customStyle="1" w:styleId="BodyTextChar">
    <w:name w:val="Body Text Char"/>
    <w:basedOn w:val="DefaultParagraphFont"/>
    <w:link w:val="BodyText"/>
    <w:uiPriority w:val="99"/>
    <w:semiHidden/>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FootnoteText">
    <w:name w:val="footnote text"/>
    <w:basedOn w:val="Normal"/>
    <w:link w:val="FootnoteTextChar"/>
    <w:uiPriority w:val="99"/>
    <w:semiHidden/>
    <w:unhideWhenUsed/>
    <w:rsid w:val="006B304D"/>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6B304D"/>
    <w:rPr>
      <w:sz w:val="20"/>
      <w:szCs w:val="20"/>
    </w:rPr>
  </w:style>
  <w:style w:type="character" w:styleId="FootnoteReference">
    <w:name w:val="footnote reference"/>
    <w:basedOn w:val="DefaultParagraphFont"/>
    <w:uiPriority w:val="99"/>
    <w:semiHidden/>
    <w:unhideWhenUsed/>
    <w:rsid w:val="006B304D"/>
    <w:rPr>
      <w:vertAlign w:val="superscript"/>
    </w:rPr>
  </w:style>
  <w:style w:type="paragraph" w:customStyle="1" w:styleId="Default">
    <w:name w:val="Default"/>
    <w:rsid w:val="006B304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14C91"/>
    <w:rPr>
      <w:color w:val="0000FF" w:themeColor="hyperlink"/>
      <w:u w:val="single"/>
    </w:rPr>
  </w:style>
  <w:style w:type="character" w:customStyle="1" w:styleId="UnresolvedMention1">
    <w:name w:val="Unresolved Mention1"/>
    <w:basedOn w:val="DefaultParagraphFont"/>
    <w:uiPriority w:val="99"/>
    <w:semiHidden/>
    <w:unhideWhenUsed/>
    <w:rsid w:val="00A14C91"/>
    <w:rPr>
      <w:color w:val="605E5C"/>
      <w:shd w:val="clear" w:color="auto" w:fill="E1DFDD"/>
    </w:rPr>
  </w:style>
  <w:style w:type="paragraph" w:customStyle="1" w:styleId="Chapter">
    <w:name w:val="Chapter"/>
    <w:basedOn w:val="Normal"/>
    <w:next w:val="Normal"/>
    <w:rsid w:val="00A14C91"/>
    <w:pPr>
      <w:keepNext/>
      <w:numPr>
        <w:numId w:val="7"/>
      </w:numPr>
      <w:tabs>
        <w:tab w:val="clear" w:pos="1800"/>
        <w:tab w:val="num" w:pos="648"/>
        <w:tab w:val="left" w:pos="1440"/>
      </w:tabs>
      <w:spacing w:before="240" w:after="240"/>
      <w:ind w:left="0"/>
      <w:jc w:val="center"/>
    </w:pPr>
    <w:rPr>
      <w:rFonts w:cs="Arial"/>
      <w:b/>
      <w:smallCaps/>
      <w:sz w:val="24"/>
      <w:lang w:val="es-ES_tradnl"/>
    </w:rPr>
  </w:style>
  <w:style w:type="paragraph" w:customStyle="1" w:styleId="Paragraph">
    <w:name w:val="Paragraph"/>
    <w:aliases w:val="paragraph,p,PARAGRAPH,PG,pa,at"/>
    <w:basedOn w:val="BodyTextIndent"/>
    <w:rsid w:val="00A14C91"/>
    <w:pPr>
      <w:numPr>
        <w:ilvl w:val="1"/>
        <w:numId w:val="7"/>
      </w:numPr>
      <w:spacing w:before="120"/>
      <w:jc w:val="both"/>
      <w:outlineLvl w:val="1"/>
    </w:pPr>
    <w:rPr>
      <w:rFonts w:cs="Arial"/>
      <w:sz w:val="22"/>
      <w:lang w:val="es-ES_tradnl"/>
    </w:rPr>
  </w:style>
  <w:style w:type="paragraph" w:customStyle="1" w:styleId="subpar">
    <w:name w:val="subpar"/>
    <w:basedOn w:val="BodyTextIndent3"/>
    <w:rsid w:val="00A14C91"/>
    <w:pPr>
      <w:widowControl/>
      <w:numPr>
        <w:ilvl w:val="2"/>
        <w:numId w:val="7"/>
      </w:numPr>
      <w:tabs>
        <w:tab w:val="clear" w:pos="2304"/>
        <w:tab w:val="num" w:pos="360"/>
        <w:tab w:val="num" w:pos="1152"/>
      </w:tabs>
      <w:autoSpaceDE/>
      <w:autoSpaceDN/>
      <w:adjustRightInd/>
      <w:spacing w:before="120"/>
      <w:ind w:left="1152" w:firstLine="0"/>
      <w:jc w:val="both"/>
      <w:outlineLvl w:val="2"/>
    </w:pPr>
    <w:rPr>
      <w:rFonts w:eastAsia="Times New Roman"/>
      <w:color w:val="auto"/>
      <w:sz w:val="22"/>
      <w:szCs w:val="20"/>
      <w:lang w:val="es-ES_tradnl" w:eastAsia="en-US"/>
    </w:rPr>
  </w:style>
  <w:style w:type="paragraph" w:customStyle="1" w:styleId="SubSubPar">
    <w:name w:val="SubSubPar"/>
    <w:basedOn w:val="subpar"/>
    <w:rsid w:val="00A14C91"/>
    <w:pPr>
      <w:numPr>
        <w:ilvl w:val="3"/>
      </w:numPr>
      <w:tabs>
        <w:tab w:val="clear" w:pos="2736"/>
        <w:tab w:val="left" w:pos="0"/>
        <w:tab w:val="num" w:pos="360"/>
        <w:tab w:val="num" w:pos="1152"/>
        <w:tab w:val="num" w:pos="1296"/>
      </w:tabs>
      <w:ind w:left="1296"/>
    </w:pPr>
  </w:style>
  <w:style w:type="character" w:customStyle="1" w:styleId="Heading2Char">
    <w:name w:val="Heading 2 Char"/>
    <w:basedOn w:val="DefaultParagraphFont"/>
    <w:link w:val="Heading2"/>
    <w:uiPriority w:val="9"/>
    <w:rsid w:val="00903F5B"/>
    <w:rPr>
      <w:rFonts w:ascii="Arial" w:eastAsiaTheme="majorEastAsia" w:hAnsi="Arial" w:cstheme="majorBidi"/>
      <w:szCs w:val="26"/>
    </w:rPr>
  </w:style>
  <w:style w:type="character" w:customStyle="1" w:styleId="Heading4Char">
    <w:name w:val="Heading 4 Char"/>
    <w:basedOn w:val="DefaultParagraphFont"/>
    <w:link w:val="Heading4"/>
    <w:uiPriority w:val="9"/>
    <w:semiHidden/>
    <w:rsid w:val="0096031D"/>
    <w:rPr>
      <w:rFonts w:asciiTheme="majorHAnsi" w:eastAsiaTheme="majorEastAsia" w:hAnsiTheme="majorHAnsi" w:cstheme="majorBidi"/>
      <w:i/>
      <w:iCs/>
      <w:color w:val="365F91" w:themeColor="accent1" w:themeShade="BF"/>
      <w:sz w:val="20"/>
      <w:szCs w:val="20"/>
    </w:rPr>
  </w:style>
  <w:style w:type="character" w:customStyle="1" w:styleId="Heading5Char">
    <w:name w:val="Heading 5 Char"/>
    <w:basedOn w:val="DefaultParagraphFont"/>
    <w:link w:val="Heading5"/>
    <w:uiPriority w:val="9"/>
    <w:semiHidden/>
    <w:rsid w:val="0096031D"/>
    <w:rPr>
      <w:rFonts w:asciiTheme="majorHAnsi" w:eastAsiaTheme="majorEastAsia" w:hAnsiTheme="majorHAnsi" w:cstheme="majorBidi"/>
      <w:color w:val="365F91" w:themeColor="accent1" w:themeShade="BF"/>
      <w:sz w:val="20"/>
      <w:szCs w:val="20"/>
    </w:rPr>
  </w:style>
  <w:style w:type="character" w:customStyle="1" w:styleId="Heading6Char">
    <w:name w:val="Heading 6 Char"/>
    <w:basedOn w:val="DefaultParagraphFont"/>
    <w:link w:val="Heading6"/>
    <w:uiPriority w:val="9"/>
    <w:semiHidden/>
    <w:rsid w:val="0096031D"/>
    <w:rPr>
      <w:rFonts w:asciiTheme="majorHAnsi" w:eastAsiaTheme="majorEastAsia" w:hAnsiTheme="majorHAnsi" w:cstheme="majorBidi"/>
      <w:color w:val="243F60" w:themeColor="accent1" w:themeShade="7F"/>
      <w:sz w:val="20"/>
      <w:szCs w:val="20"/>
    </w:rPr>
  </w:style>
  <w:style w:type="character" w:customStyle="1" w:styleId="Heading7Char">
    <w:name w:val="Heading 7 Char"/>
    <w:basedOn w:val="DefaultParagraphFont"/>
    <w:link w:val="Heading7"/>
    <w:uiPriority w:val="9"/>
    <w:semiHidden/>
    <w:rsid w:val="0096031D"/>
    <w:rPr>
      <w:rFonts w:asciiTheme="majorHAnsi" w:eastAsiaTheme="majorEastAsia" w:hAnsiTheme="majorHAnsi" w:cstheme="majorBidi"/>
      <w:i/>
      <w:iCs/>
      <w:color w:val="243F60" w:themeColor="accent1" w:themeShade="7F"/>
      <w:sz w:val="20"/>
      <w:szCs w:val="20"/>
    </w:rPr>
  </w:style>
  <w:style w:type="character" w:customStyle="1" w:styleId="Heading8Char">
    <w:name w:val="Heading 8 Char"/>
    <w:basedOn w:val="DefaultParagraphFont"/>
    <w:link w:val="Heading8"/>
    <w:uiPriority w:val="9"/>
    <w:semiHidden/>
    <w:rsid w:val="0096031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6031D"/>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AF58B4"/>
    <w:pPr>
      <w:spacing w:after="0" w:line="240" w:lineRule="auto"/>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malaikac@iadb.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globalsolaratlas.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D57061599CD346942F3CA29890A8A0" ma:contentTypeVersion="505" ma:contentTypeDescription="A content type to manage public (operations) IDB documents" ma:contentTypeScope="" ma:versionID="370a4f4b62455b4dc3ed2b51f814d878">
  <xsd:schema xmlns:xsd="http://www.w3.org/2001/XMLSchema" xmlns:xs="http://www.w3.org/2001/XMLSchema" xmlns:p="http://schemas.microsoft.com/office/2006/metadata/properties" xmlns:ns2="cdc7663a-08f0-4737-9e8c-148ce897a09c" targetNamespace="http://schemas.microsoft.com/office/2006/metadata/properties" ma:root="true" ma:fieldsID="b68c49655903926388a6a0c03b6e0a4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H-T10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Bahamas</TermName>
          <TermId xmlns="http://schemas.microsoft.com/office/infopath/2007/PartnerControls">7662ea91-358d-4300-9a3d-1bdfe066f698</TermId>
        </TermInfo>
      </Terms>
    </ic46d7e087fd4a108fb86518ca413cc6>
    <Division_x0020_or_x0020_Unit xmlns="cdc7663a-08f0-4737-9e8c-148ce897a09c">INE/ENE</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Masson, Malaika Ebony Anietia</Document_x0020_Author>
    <Document_x0020_Language_x0020_IDB xmlns="cdc7663a-08f0-4737-9e8c-148ce897a09c">English</Document_x0020_Language_x0020_IDB>
    <TaxCatchAll xmlns="cdc7663a-08f0-4737-9e8c-148ce897a09c">
      <Value>134</Value>
      <Value>24</Value>
      <Value>135</Value>
      <Value>1</Value>
    </TaxCatchAll>
    <Identifier xmlns="cdc7663a-08f0-4737-9e8c-148ce897a09c" xsi:nil="true"/>
    <_dlc_DocId xmlns="cdc7663a-08f0-4737-9e8c-148ce897a09c">EZSHARE-1938623362-12</_dlc_DocId>
    <_dlc_DocIdUrl xmlns="cdc7663a-08f0-4737-9e8c-148ce897a09c">
      <Url>https://idbg.sharepoint.com/teams/EZ-BH-TCP/BH-T1064/_layouts/15/DocIdRedir.aspx?ID=EZSHARE-1938623362-12</Url>
      <Description>EZSHARE-1938623362-12</Description>
    </_dlc_DocIdUrl>
    <Related_x0020_SisCor_x0020_Number xmlns="cdc7663a-08f0-4737-9e8c-148ce897a09c" xsi:nil="true"/>
    <Record_x0020_Number xmlns="cdc7663a-08f0-4737-9e8c-148ce897a09c">R0002801281</Record_x0020_Number>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ATN/OC-16967-BH;</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Technical Cooperation</Operation_x0020_Type>
    <Package_x0020_Code xmlns="cdc7663a-08f0-4737-9e8c-148ce897a09c" xsi:nil="true"/>
    <Project_x0020_Number xmlns="cdc7663a-08f0-4737-9e8c-148ce897a09c">BH-T1064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17918CF-95BF-4896-9B22-CEE24810A5B3}">
  <ds:schemaRefs>
    <ds:schemaRef ds:uri="http://schemas.microsoft.com/sharepoint/v3/contenttype/forms/url"/>
  </ds:schemaRefs>
</ds:datastoreItem>
</file>

<file path=customXml/itemProps2.xml><?xml version="1.0" encoding="utf-8"?>
<ds:datastoreItem xmlns:ds="http://schemas.openxmlformats.org/officeDocument/2006/customXml" ds:itemID="{5ED6B596-54C0-44DB-AC13-32898E27CC3A}"/>
</file>

<file path=customXml/itemProps3.xml><?xml version="1.0" encoding="utf-8"?>
<ds:datastoreItem xmlns:ds="http://schemas.openxmlformats.org/officeDocument/2006/customXml" ds:itemID="{D0EA3E3A-B9E5-4FE5-90EE-74D217FC0976}"/>
</file>

<file path=customXml/itemProps4.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5.xml><?xml version="1.0" encoding="utf-8"?>
<ds:datastoreItem xmlns:ds="http://schemas.openxmlformats.org/officeDocument/2006/customXml" ds:itemID="{8084EE2F-B02A-4C67-97A9-A44EAF592659}">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7.xml><?xml version="1.0" encoding="utf-8"?>
<ds:datastoreItem xmlns:ds="http://schemas.openxmlformats.org/officeDocument/2006/customXml" ds:itemID="{501F4425-5FB1-433A-8229-673BD4D794BA}">
  <ds:schemaRefs>
    <ds:schemaRef ds:uri="http://schemas.openxmlformats.org/officeDocument/2006/bibliography"/>
  </ds:schemaRefs>
</ds:datastoreItem>
</file>

<file path=customXml/itemProps8.xml><?xml version="1.0" encoding="utf-8"?>
<ds:datastoreItem xmlns:ds="http://schemas.openxmlformats.org/officeDocument/2006/customXml" ds:itemID="{ABA2D04C-284D-4D1F-9C35-72DC08A325AB}"/>
</file>

<file path=docProps/app.xml><?xml version="1.0" encoding="utf-8"?>
<Properties xmlns="http://schemas.openxmlformats.org/officeDocument/2006/extended-properties" xmlns:vt="http://schemas.openxmlformats.org/officeDocument/2006/docPropsVTypes">
  <Template>Normal</Template>
  <TotalTime>9</TotalTime>
  <Pages>9</Pages>
  <Words>2933</Words>
  <Characters>16719</Characters>
  <Application>Microsoft Office Word</Application>
  <DocSecurity>0</DocSecurity>
  <Lines>139</Lines>
  <Paragraphs>39</Paragraphs>
  <ScaleCrop>false</ScaleCrop>
  <HeadingPairs>
    <vt:vector size="4" baseType="variant">
      <vt:variant>
        <vt:lpstr>Title</vt:lpstr>
      </vt:variant>
      <vt:variant>
        <vt:i4>1</vt:i4>
      </vt:variant>
      <vt:variant>
        <vt:lpstr>Headings</vt:lpstr>
      </vt:variant>
      <vt:variant>
        <vt:i4>58</vt:i4>
      </vt:variant>
    </vt:vector>
  </HeadingPairs>
  <TitlesOfParts>
    <vt:vector size="59" baseType="lpstr">
      <vt:lpstr/>
      <vt:lpstr/>
      <vt:lpstr>TERMS OF REFERENCE</vt:lpstr>
      <vt:lpstr>Background and Justification</vt:lpstr>
      <vt:lpstr>    The Bahamas, a small open archipelagic economy, has continued to experience low </vt:lpstr>
      <vt:lpstr>    Simultaneously, at the global level after years of steady cost decline for solar</vt:lpstr>
      <vt:lpstr>    To begin to address these challenges and opportunities, the National Energy Poli</vt:lpstr>
      <vt:lpstr>    In recent years, there have been enquiries by commercial entities which are seek</vt:lpstr>
      <vt:lpstr>    Essentially, market governance and regulatory related challenges continue to be </vt:lpstr>
      <vt:lpstr>    Recognizing this challenge, in May 2018 the Government of The Bahamas (GoBH) lau</vt:lpstr>
      <vt:lpstr>Objectives</vt:lpstr>
      <vt:lpstr>    The general objective of the Technical Cooperation (TC) BH-T1064 is to support G</vt:lpstr>
      <vt:lpstr>Scope of Services</vt:lpstr>
      <vt:lpstr>    The consulting firm will develop an independent assessment of the overall costs </vt:lpstr>
      <vt:lpstr>    The consulting firm will also designate a senior specialist – a point person - t</vt:lpstr>
      <vt:lpstr>Key Activities</vt:lpstr>
      <vt:lpstr>    Activity A- Development of an Assessment on the Value of Solar PV to The Bahamas</vt:lpstr>
      <vt:lpstr>    Under the supervision of the Team Leader or the designated Consultancy Manager, </vt:lpstr>
      <vt:lpstr>    The Consulting firm should coordinate and work in close collaboration with exist</vt:lpstr>
      <vt:lpstr>    Activity B- Supervision of the Report on the Value of Solar PV to The Bahamas at</vt:lpstr>
      <vt:lpstr>    Under the supervision of the Team Leader, the designated senior specialist consu</vt:lpstr>
      <vt:lpstr>    The consultant will be based in the Office of the PMDU and should coordinate and</vt:lpstr>
      <vt:lpstr>Expected Outcome and Deliverables</vt:lpstr>
      <vt:lpstr>    The output of Activity A will be the delivery of a report with the results of th</vt:lpstr>
      <vt:lpstr>    For Activity B, the consultant will prepare reports every three months with the </vt:lpstr>
      <vt:lpstr>    A workshop for key stakeholder representatives (BPL, MOE&amp;H, URCA, MOW) on the re</vt:lpstr>
      <vt:lpstr>Project Schedule, Milestones and Reporting Requirements</vt:lpstr>
      <vt:lpstr>Acceptance Criteria</vt:lpstr>
      <vt:lpstr>    The IDB will submit a written notice after the reports and models are submitted </vt:lpstr>
      <vt:lpstr>Supervision and Reporting</vt:lpstr>
      <vt:lpstr>    The coordination of this consultancy will be supervised by Malaika Masson (ENE/C</vt:lpstr>
      <vt:lpstr>Schedule of Payments</vt:lpstr>
      <vt:lpstr>        810% at contract signature and approval of the Inception Report with work plan; </vt:lpstr>
      <vt:lpstr>        810% upon approval of First Draft Cost-Benefit analysis Report; </vt:lpstr>
      <vt:lpstr>        8% upon approval of Second Draft Cost-Benefit analysis Report; </vt:lpstr>
      <vt:lpstr>        711% upon approval of Final Cost-Benefit analysis Report.  </vt:lpstr>
      <vt:lpstr>        </vt:lpstr>
      <vt:lpstr>        9% upon approval of First Report; </vt:lpstr>
      <vt:lpstr>        612% upon approval of eachtwo consecutive Quarterly Report (8 quarterly reports </vt:lpstr>
      <vt:lpstr>        612% upon successfully execution of firsttwo Dissemination Event. </vt:lpstr>
      <vt:lpstr>        6% upon successfully execution of second Dissemination EventEvents. </vt:lpstr>
      <vt:lpstr>        </vt:lpstr>
      <vt:lpstr>        </vt:lpstr>
      <vt:lpstr>Qualifications  </vt:lpstr>
      <vt:lpstr>    Academic Degree / Level &amp; Years of Professional Work Experience: The team leader</vt:lpstr>
      <vt:lpstr>    Languages: Proficiency in English of each team member.</vt:lpstr>
      <vt:lpstr>    Areas of Expertise: Relevant consulting services advising national governments o</vt:lpstr>
      <vt:lpstr>    A track record of success in technical and commercial feasibility assessment of </vt:lpstr>
      <vt:lpstr>    Skills: Excellent interpersonal and communication skills (both oral and written)</vt:lpstr>
      <vt:lpstr>    The institution may propose the best team combination to achieve the overall goa</vt:lpstr>
      <vt:lpstr>Characteristics of the Consultancy</vt:lpstr>
      <vt:lpstr>    Consultancy category and modality: Consulting Firm, Lump Sum</vt:lpstr>
      <vt:lpstr>    Contract duration: twenty-six (28) months</vt:lpstr>
      <vt:lpstr>Payment and Conditions</vt:lpstr>
      <vt:lpstr>    Compensation will be determined in accordance with Bank’s policies and procedure</vt:lpstr>
      <vt:lpstr>Consanguinity </vt:lpstr>
      <vt:lpstr>    Pursuant to applicable Bank policy, candidates with relatives (including the fou</vt:lpstr>
      <vt:lpstr>Diversity</vt:lpstr>
      <vt:lpstr>    The Bank is committed to diversity and inclusion and to providing equal opportun</vt:lpstr>
    </vt:vector>
  </TitlesOfParts>
  <Company>Inter-American Development Bank</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Correa Poseiro, Cecilia</cp:lastModifiedBy>
  <cp:revision>4</cp:revision>
  <cp:lastPrinted>2018-09-10T14:10:00Z</cp:lastPrinted>
  <dcterms:created xsi:type="dcterms:W3CDTF">2018-09-13T00:33:00Z</dcterms:created>
  <dcterms:modified xsi:type="dcterms:W3CDTF">2018-10-29T20:37:00Z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24;#Bahamas|7662ea91-358d-4300-9a3d-1bdfe066f698</vt:lpwstr>
  </property>
  <property fmtid="{D5CDD505-2E9C-101B-9397-08002B2CF9AE}" pid="8" name="_dlc_DocIdItemGuid">
    <vt:lpwstr>64fdad5f-f743-4d66-ac1b-be4a7b30a5d0</vt:lpwstr>
  </property>
  <property fmtid="{D5CDD505-2E9C-101B-9397-08002B2CF9AE}" pid="9" name="SharedWithUsers">
    <vt:lpwstr>2384;#Nunes da Cunha, Natascha;#2480;#Salazar, Lina Piedad;#3481;#Bravo Velasquez, Julianyth De Jesus;#2884;#Vogt-Schilb, Adrien;#2162;#Cafagna, Gianluca;#527;#Perez Calvo, Rafael Mauricio;#1082;#Chong Liu, Cecilia;#4476;#Tovio Delgado, Alixa Argelis;#465</vt:lpwstr>
  </property>
  <property fmtid="{D5CDD505-2E9C-101B-9397-08002B2CF9AE}" pid="10" name="Series Operations IDB">
    <vt:lpwstr/>
  </property>
  <property fmtid="{D5CDD505-2E9C-101B-9397-08002B2CF9AE}" pid="11" name="Sub-Sector">
    <vt:lpwstr>135;#ENERGY INSTITUTIONAL STRENGTHENING AND CAPACITY BUILDING|83f37b93-89a4-4e9a-88eb-1c116bee7b97</vt:lpwstr>
  </property>
  <property fmtid="{D5CDD505-2E9C-101B-9397-08002B2CF9AE}" pid="12" name="Fund IDB">
    <vt:lpwstr/>
  </property>
  <property fmtid="{D5CDD505-2E9C-101B-9397-08002B2CF9AE}" pid="13" name="Sector IDB">
    <vt:lpwstr>134;#ENERGY|4fed196a-cd0b-4970-87de-42da17f9b203</vt:lpwstr>
  </property>
  <property fmtid="{D5CDD505-2E9C-101B-9397-08002B2CF9AE}" pid="14" name="Function Operations IDB">
    <vt:lpwstr>1;#Project Preparation, Planning and Design|29ca0c72-1fc4-435f-a09c-28585cb5eac9</vt:lpwstr>
  </property>
  <property fmtid="{D5CDD505-2E9C-101B-9397-08002B2CF9AE}" pid="15" name="ContentTypeId">
    <vt:lpwstr>0x0101001A458A224826124E8B45B1D613300CFC00B7D57061599CD346942F3CA29890A8A0</vt:lpwstr>
  </property>
</Properties>
</file>