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CC2E51" w:rsidRDefault="00D8399D" w:rsidP="008A25B6">
      <w:pPr>
        <w:pStyle w:val="Title"/>
        <w:tabs>
          <w:tab w:val="clear" w:pos="1440"/>
          <w:tab w:val="clear" w:pos="3060"/>
        </w:tabs>
        <w:outlineLvl w:val="9"/>
        <w:rPr>
          <w:smallCaps/>
          <w:sz w:val="22"/>
          <w:szCs w:val="22"/>
        </w:rPr>
      </w:pPr>
      <w:r w:rsidRPr="00CC2E51">
        <w:rPr>
          <w:smallCaps/>
          <w:sz w:val="22"/>
          <w:szCs w:val="22"/>
        </w:rPr>
        <w:t>Documento del Banco Interamericano de Desarrollo</w:t>
      </w:r>
    </w:p>
    <w:p w:rsidR="001B5186" w:rsidRPr="00CC2E51" w:rsidRDefault="001B5186" w:rsidP="008A25B6">
      <w:pPr>
        <w:pStyle w:val="ColorfulList-Accent11"/>
        <w:spacing w:after="0" w:line="240" w:lineRule="auto"/>
        <w:ind w:left="1080"/>
        <w:jc w:val="center"/>
        <w:rPr>
          <w:rFonts w:ascii="Times New Roman" w:hAnsi="Times New Roman"/>
          <w:b/>
        </w:rPr>
      </w:pPr>
    </w:p>
    <w:p w:rsidR="001B5186" w:rsidRPr="00CC2E51" w:rsidRDefault="001B5186" w:rsidP="008A25B6">
      <w:pPr>
        <w:tabs>
          <w:tab w:val="left" w:pos="1440"/>
          <w:tab w:val="left" w:pos="3060"/>
        </w:tabs>
        <w:spacing w:after="0" w:line="240" w:lineRule="auto"/>
        <w:jc w:val="center"/>
        <w:rPr>
          <w:rFonts w:ascii="Times New Roman" w:hAnsi="Times New Roman"/>
          <w:b/>
          <w:smallCaps/>
        </w:rPr>
      </w:pPr>
    </w:p>
    <w:p w:rsidR="001B5186" w:rsidRDefault="001B5186"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Default="00104D9C" w:rsidP="008A25B6">
      <w:pPr>
        <w:tabs>
          <w:tab w:val="left" w:pos="1440"/>
          <w:tab w:val="left" w:pos="3060"/>
        </w:tabs>
        <w:spacing w:after="0" w:line="240" w:lineRule="auto"/>
        <w:jc w:val="center"/>
        <w:rPr>
          <w:rFonts w:ascii="Times New Roman" w:hAnsi="Times New Roman"/>
          <w:b/>
          <w:smallCaps/>
        </w:rPr>
      </w:pPr>
    </w:p>
    <w:p w:rsidR="00104D9C" w:rsidRPr="00CC2E51" w:rsidRDefault="00104D9C" w:rsidP="008A25B6">
      <w:pPr>
        <w:tabs>
          <w:tab w:val="left" w:pos="1440"/>
          <w:tab w:val="left" w:pos="3060"/>
        </w:tabs>
        <w:spacing w:after="0" w:line="240" w:lineRule="auto"/>
        <w:jc w:val="center"/>
        <w:rPr>
          <w:rFonts w:ascii="Times New Roman" w:hAnsi="Times New Roman"/>
          <w:b/>
          <w:smallCaps/>
        </w:rPr>
      </w:pPr>
    </w:p>
    <w:p w:rsidR="001B5186" w:rsidRPr="00CC2E51" w:rsidRDefault="00105C34" w:rsidP="008A25B6">
      <w:pPr>
        <w:tabs>
          <w:tab w:val="left" w:pos="1440"/>
          <w:tab w:val="left" w:pos="3060"/>
        </w:tabs>
        <w:spacing w:after="0" w:line="240" w:lineRule="auto"/>
        <w:jc w:val="center"/>
        <w:rPr>
          <w:rFonts w:ascii="Times New Roman" w:hAnsi="Times New Roman"/>
          <w:b/>
          <w:smallCaps/>
          <w:highlight w:val="lightGray"/>
        </w:rPr>
      </w:pPr>
      <w:r w:rsidRPr="00CC2E51">
        <w:rPr>
          <w:rFonts w:ascii="Times New Roman" w:hAnsi="Times New Roman"/>
          <w:b/>
          <w:smallCaps/>
        </w:rPr>
        <w:t>República</w:t>
      </w:r>
      <w:r w:rsidR="00D8399D" w:rsidRPr="00CC2E51">
        <w:rPr>
          <w:rFonts w:ascii="Times New Roman" w:hAnsi="Times New Roman"/>
          <w:b/>
          <w:smallCaps/>
        </w:rPr>
        <w:t xml:space="preserve"> Dominicana</w:t>
      </w:r>
    </w:p>
    <w:p w:rsidR="001B5186" w:rsidRPr="00CC2E51" w:rsidRDefault="001B5186" w:rsidP="008A25B6">
      <w:pPr>
        <w:tabs>
          <w:tab w:val="left" w:pos="1440"/>
          <w:tab w:val="left" w:pos="3060"/>
        </w:tabs>
        <w:spacing w:after="0" w:line="240" w:lineRule="auto"/>
        <w:jc w:val="center"/>
        <w:rPr>
          <w:rFonts w:ascii="Times New Roman" w:hAnsi="Times New Roman"/>
          <w:b/>
          <w:smallCaps/>
          <w:highlight w:val="lightGray"/>
        </w:rPr>
      </w:pPr>
    </w:p>
    <w:p w:rsidR="001B5186" w:rsidRPr="00CC2E51" w:rsidRDefault="001B5186" w:rsidP="008A25B6">
      <w:pPr>
        <w:tabs>
          <w:tab w:val="left" w:pos="1440"/>
          <w:tab w:val="left" w:pos="3060"/>
        </w:tabs>
        <w:spacing w:after="0" w:line="240" w:lineRule="auto"/>
        <w:jc w:val="center"/>
        <w:rPr>
          <w:rFonts w:ascii="Times New Roman" w:hAnsi="Times New Roman"/>
          <w:b/>
          <w:smallCaps/>
          <w:highlight w:val="lightGray"/>
        </w:rPr>
      </w:pPr>
    </w:p>
    <w:p w:rsidR="00EE7AB2" w:rsidRPr="00CC2E51" w:rsidRDefault="00974DBE" w:rsidP="008A25B6">
      <w:pPr>
        <w:tabs>
          <w:tab w:val="left" w:pos="1440"/>
          <w:tab w:val="left" w:pos="3060"/>
        </w:tabs>
        <w:spacing w:after="0" w:line="240" w:lineRule="auto"/>
        <w:jc w:val="center"/>
        <w:rPr>
          <w:rFonts w:ascii="Times New Roman" w:hAnsi="Times New Roman"/>
          <w:b/>
          <w:smallCaps/>
        </w:rPr>
      </w:pPr>
      <w:r w:rsidRPr="00CC2E51">
        <w:rPr>
          <w:rFonts w:ascii="Times New Roman" w:hAnsi="Times New Roman"/>
        </w:rPr>
        <w:t xml:space="preserve">Proyecto </w:t>
      </w:r>
      <w:r w:rsidR="00647E1C" w:rsidRPr="00CC2E51">
        <w:rPr>
          <w:rFonts w:ascii="Times New Roman" w:hAnsi="Times New Roman"/>
        </w:rPr>
        <w:t>“</w:t>
      </w:r>
      <w:r w:rsidR="00A76F86" w:rsidRPr="00CC2E51">
        <w:rPr>
          <w:rFonts w:ascii="Times New Roman" w:hAnsi="Times New Roman"/>
        </w:rPr>
        <w:t>Fortalecimiento de la Gestión por Resultados del Sector Salud en República Dominicana</w:t>
      </w:r>
      <w:r w:rsidRPr="00CC2E51">
        <w:rPr>
          <w:rFonts w:ascii="Times New Roman" w:hAnsi="Times New Roman"/>
          <w:b/>
          <w:smallCaps/>
        </w:rPr>
        <w:t xml:space="preserve">” </w:t>
      </w:r>
    </w:p>
    <w:p w:rsidR="001B5186" w:rsidRPr="00CC2E51" w:rsidRDefault="00974DBE" w:rsidP="008A25B6">
      <w:pPr>
        <w:tabs>
          <w:tab w:val="left" w:pos="1440"/>
          <w:tab w:val="left" w:pos="3060"/>
        </w:tabs>
        <w:spacing w:after="0" w:line="240" w:lineRule="auto"/>
        <w:jc w:val="center"/>
        <w:rPr>
          <w:rFonts w:ascii="Times New Roman" w:hAnsi="Times New Roman"/>
          <w:b/>
          <w:smallCaps/>
        </w:rPr>
      </w:pPr>
      <w:r w:rsidRPr="00866213">
        <w:rPr>
          <w:rFonts w:ascii="Times New Roman" w:hAnsi="Times New Roman"/>
          <w:b/>
        </w:rPr>
        <w:t>(DR-</w:t>
      </w:r>
      <w:r w:rsidR="00A76F86" w:rsidRPr="00CC2E51">
        <w:rPr>
          <w:rFonts w:ascii="Times New Roman" w:hAnsi="Times New Roman"/>
          <w:b/>
          <w:caps/>
        </w:rPr>
        <w:t xml:space="preserve"> L1067</w:t>
      </w:r>
      <w:r w:rsidR="00EE7AB2" w:rsidRPr="00866213">
        <w:rPr>
          <w:rFonts w:ascii="Times New Roman" w:hAnsi="Times New Roman"/>
          <w:b/>
        </w:rPr>
        <w:t>)</w:t>
      </w:r>
    </w:p>
    <w:p w:rsidR="001B5186" w:rsidRPr="00CC2E51" w:rsidRDefault="001B5186" w:rsidP="008A25B6">
      <w:pPr>
        <w:pStyle w:val="Newpage"/>
        <w:rPr>
          <w:rFonts w:cs="Times New Roman"/>
          <w:b w:val="0"/>
          <w:caps/>
          <w:smallCaps w:val="0"/>
          <w:sz w:val="22"/>
          <w:szCs w:val="22"/>
        </w:rPr>
      </w:pPr>
    </w:p>
    <w:p w:rsidR="001B5186" w:rsidRDefault="001B5186"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Default="00104D9C" w:rsidP="008A25B6">
      <w:pPr>
        <w:tabs>
          <w:tab w:val="left" w:pos="1440"/>
          <w:tab w:val="left" w:pos="3060"/>
        </w:tabs>
        <w:spacing w:after="0" w:line="240" w:lineRule="auto"/>
        <w:jc w:val="center"/>
        <w:rPr>
          <w:rFonts w:ascii="Times New Roman" w:hAnsi="Times New Roman"/>
          <w:smallCaps/>
        </w:rPr>
      </w:pPr>
    </w:p>
    <w:p w:rsidR="00104D9C" w:rsidRPr="00CC2E51" w:rsidRDefault="00104D9C" w:rsidP="008A25B6">
      <w:pPr>
        <w:tabs>
          <w:tab w:val="left" w:pos="1440"/>
          <w:tab w:val="left" w:pos="3060"/>
        </w:tabs>
        <w:spacing w:after="0" w:line="240" w:lineRule="auto"/>
        <w:jc w:val="center"/>
        <w:rPr>
          <w:rFonts w:ascii="Times New Roman" w:hAnsi="Times New Roman"/>
          <w:smallCaps/>
        </w:rPr>
      </w:pPr>
    </w:p>
    <w:p w:rsidR="001B5186" w:rsidRPr="00CC2E51" w:rsidRDefault="00D8399D" w:rsidP="008A25B6">
      <w:pPr>
        <w:tabs>
          <w:tab w:val="left" w:pos="1440"/>
          <w:tab w:val="left" w:pos="3060"/>
        </w:tabs>
        <w:spacing w:after="0" w:line="240" w:lineRule="auto"/>
        <w:jc w:val="center"/>
        <w:outlineLvl w:val="0"/>
        <w:rPr>
          <w:rFonts w:ascii="Times New Roman" w:hAnsi="Times New Roman"/>
          <w:b/>
          <w:smallCaps/>
        </w:rPr>
      </w:pPr>
      <w:r w:rsidRPr="00CC2E51">
        <w:rPr>
          <w:rFonts w:ascii="Times New Roman" w:hAnsi="Times New Roman"/>
          <w:b/>
          <w:smallCaps/>
        </w:rPr>
        <w:t>Plan de Monitoreo y Evaluación</w:t>
      </w:r>
    </w:p>
    <w:p w:rsidR="001B5186" w:rsidRPr="00CC2E51" w:rsidRDefault="001B5186" w:rsidP="008A25B6">
      <w:pPr>
        <w:tabs>
          <w:tab w:val="left" w:pos="1440"/>
          <w:tab w:val="left" w:pos="3060"/>
        </w:tabs>
        <w:spacing w:after="0" w:line="240" w:lineRule="auto"/>
        <w:outlineLvl w:val="0"/>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104D9C" w:rsidRDefault="001B5186" w:rsidP="00104D9C">
      <w:pPr>
        <w:tabs>
          <w:tab w:val="left" w:pos="1440"/>
          <w:tab w:val="left" w:pos="3060"/>
        </w:tabs>
        <w:spacing w:after="0" w:line="240" w:lineRule="auto"/>
        <w:jc w:val="center"/>
        <w:rPr>
          <w:rFonts w:ascii="Times New Roman" w:hAnsi="Times New Roman"/>
          <w:b/>
          <w:smallCaps/>
        </w:rPr>
      </w:pPr>
    </w:p>
    <w:p w:rsidR="001B5186" w:rsidRPr="00CC2E51" w:rsidRDefault="001B5186" w:rsidP="008A25B6">
      <w:pPr>
        <w:tabs>
          <w:tab w:val="left" w:pos="1440"/>
          <w:tab w:val="left" w:pos="3060"/>
        </w:tabs>
        <w:spacing w:after="0" w:line="240" w:lineRule="auto"/>
        <w:jc w:val="center"/>
        <w:rPr>
          <w:rFonts w:ascii="Times New Roman" w:hAnsi="Times New Roman"/>
        </w:rPr>
      </w:pPr>
    </w:p>
    <w:p w:rsidR="001B5186" w:rsidRPr="00CC2E51" w:rsidRDefault="00A340C5" w:rsidP="008A25B6">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rPr>
      </w:pPr>
      <w:r w:rsidRPr="00CC2E51">
        <w:rPr>
          <w:sz w:val="22"/>
          <w:szCs w:val="22"/>
        </w:rPr>
        <w:t>Este documento fue preparado por</w:t>
      </w:r>
      <w:r w:rsidR="001B5186" w:rsidRPr="00CC2E51">
        <w:rPr>
          <w:sz w:val="22"/>
          <w:szCs w:val="22"/>
        </w:rPr>
        <w:t>:</w:t>
      </w:r>
      <w:r w:rsidR="00283729">
        <w:rPr>
          <w:sz w:val="22"/>
          <w:szCs w:val="22"/>
        </w:rPr>
        <w:t xml:space="preserve"> </w:t>
      </w:r>
      <w:r w:rsidR="00104D9C">
        <w:rPr>
          <w:sz w:val="22"/>
          <w:szCs w:val="22"/>
        </w:rPr>
        <w:t>Kaly Peña (CID/CDR); Bibiana Taboada (SPD/SDV);</w:t>
      </w:r>
      <w:r w:rsidR="00C962FF">
        <w:rPr>
          <w:sz w:val="22"/>
          <w:szCs w:val="22"/>
        </w:rPr>
        <w:t xml:space="preserve"> Sandro Parodi (SPH/CDR)</w:t>
      </w:r>
      <w:r w:rsidR="00104D9C">
        <w:rPr>
          <w:sz w:val="22"/>
          <w:szCs w:val="22"/>
        </w:rPr>
        <w:t>;</w:t>
      </w:r>
      <w:r w:rsidR="00C962FF">
        <w:rPr>
          <w:sz w:val="22"/>
          <w:szCs w:val="22"/>
        </w:rPr>
        <w:t xml:space="preserve"> y Haydeeliz Carrasco (SPH/CDR)</w:t>
      </w:r>
      <w:r w:rsidR="00E92D3D">
        <w:rPr>
          <w:sz w:val="22"/>
          <w:szCs w:val="22"/>
        </w:rPr>
        <w:t>.</w:t>
      </w:r>
    </w:p>
    <w:p w:rsidR="001B5186" w:rsidRPr="00CC2E51" w:rsidRDefault="001B5186" w:rsidP="008A25B6">
      <w:pPr>
        <w:pStyle w:val="ColorfulList-Accent11"/>
        <w:spacing w:after="0" w:line="240" w:lineRule="auto"/>
        <w:ind w:left="1080"/>
        <w:jc w:val="center"/>
        <w:rPr>
          <w:rFonts w:ascii="Times New Roman" w:hAnsi="Times New Roman"/>
          <w:b/>
          <w:smallCaps/>
        </w:rPr>
      </w:pPr>
      <w:r w:rsidRPr="00CC2E51">
        <w:rPr>
          <w:rFonts w:ascii="Times New Roman" w:hAnsi="Times New Roman"/>
          <w:b/>
        </w:rPr>
        <w:br w:type="page"/>
      </w:r>
      <w:r w:rsidR="00A340C5" w:rsidRPr="00CC2E51">
        <w:rPr>
          <w:rFonts w:ascii="Times New Roman" w:hAnsi="Times New Roman"/>
          <w:b/>
          <w:smallCaps/>
        </w:rPr>
        <w:lastRenderedPageBreak/>
        <w:t>Contenido</w:t>
      </w:r>
      <w:bookmarkStart w:id="0" w:name="_GoBack"/>
      <w:bookmarkEnd w:id="0"/>
    </w:p>
    <w:p w:rsidR="001B5186" w:rsidRPr="00CC2E51" w:rsidRDefault="001B5186" w:rsidP="008A25B6">
      <w:pPr>
        <w:pStyle w:val="ColorfulList-Accent11"/>
        <w:spacing w:after="0" w:line="240" w:lineRule="auto"/>
        <w:ind w:left="1080"/>
        <w:jc w:val="center"/>
        <w:rPr>
          <w:rFonts w:ascii="Times New Roman" w:hAnsi="Times New Roman"/>
        </w:rPr>
      </w:pPr>
    </w:p>
    <w:p w:rsidR="001B5186" w:rsidRPr="00CC2E51" w:rsidRDefault="001B5186" w:rsidP="008A25B6">
      <w:pPr>
        <w:pStyle w:val="ColorfulList-Accent11"/>
        <w:spacing w:after="0" w:line="240" w:lineRule="auto"/>
        <w:ind w:left="1080"/>
        <w:jc w:val="center"/>
        <w:rPr>
          <w:rFonts w:ascii="Times New Roman" w:hAnsi="Times New Roman"/>
        </w:rPr>
      </w:pPr>
    </w:p>
    <w:p w:rsidR="00811D56" w:rsidRPr="00CC2E51" w:rsidRDefault="00811D56" w:rsidP="008A25B6">
      <w:pPr>
        <w:pStyle w:val="ColorfulList-Accent11"/>
        <w:spacing w:after="0" w:line="240" w:lineRule="auto"/>
        <w:ind w:left="0"/>
        <w:jc w:val="both"/>
        <w:rPr>
          <w:rFonts w:ascii="Times New Roman" w:hAnsi="Times New Roman"/>
        </w:rPr>
      </w:pPr>
    </w:p>
    <w:p w:rsidR="00811D56" w:rsidRPr="00CC2E51" w:rsidRDefault="00811D56" w:rsidP="008A25B6">
      <w:pPr>
        <w:pStyle w:val="ColorfulList-Accent11"/>
        <w:spacing w:after="0" w:line="240" w:lineRule="auto"/>
        <w:ind w:left="0"/>
        <w:jc w:val="both"/>
        <w:rPr>
          <w:rFonts w:ascii="Times New Roman" w:hAnsi="Times New Roman"/>
        </w:rPr>
      </w:pPr>
    </w:p>
    <w:p w:rsidR="001B5186" w:rsidRPr="00C95573" w:rsidRDefault="00A340C5" w:rsidP="008A25B6">
      <w:pPr>
        <w:pStyle w:val="ColorfulList-Accent11"/>
        <w:spacing w:after="0" w:line="240" w:lineRule="auto"/>
        <w:ind w:left="0"/>
        <w:jc w:val="both"/>
        <w:rPr>
          <w:rFonts w:ascii="Times New Roman" w:hAnsi="Times New Roman"/>
          <w:b/>
        </w:rPr>
      </w:pPr>
      <w:r w:rsidRPr="00C95573">
        <w:rPr>
          <w:rFonts w:ascii="Times New Roman" w:hAnsi="Times New Roman"/>
          <w:b/>
        </w:rPr>
        <w:t xml:space="preserve">Plan de </w:t>
      </w:r>
      <w:r w:rsidR="00811D56" w:rsidRPr="00C95573">
        <w:rPr>
          <w:rFonts w:ascii="Times New Roman" w:hAnsi="Times New Roman"/>
          <w:b/>
        </w:rPr>
        <w:t xml:space="preserve">Monitoreo </w:t>
      </w:r>
      <w:r w:rsidRPr="00C95573">
        <w:rPr>
          <w:rFonts w:ascii="Times New Roman" w:hAnsi="Times New Roman"/>
          <w:b/>
        </w:rPr>
        <w:t>y Evaluación</w:t>
      </w:r>
    </w:p>
    <w:p w:rsidR="001B5186" w:rsidRPr="00C95573" w:rsidRDefault="001B5186" w:rsidP="008A25B6">
      <w:pPr>
        <w:pStyle w:val="ColorfulList-Accent11"/>
        <w:spacing w:after="0" w:line="240" w:lineRule="auto"/>
        <w:ind w:left="0"/>
        <w:jc w:val="both"/>
        <w:rPr>
          <w:rFonts w:ascii="Times New Roman" w:hAnsi="Times New Roman"/>
          <w:b/>
        </w:rPr>
      </w:pPr>
    </w:p>
    <w:p w:rsidR="001B5186" w:rsidRPr="00C95573" w:rsidRDefault="00A340C5" w:rsidP="008A25B6">
      <w:pPr>
        <w:pStyle w:val="ColorfulList-Accent11"/>
        <w:numPr>
          <w:ilvl w:val="0"/>
          <w:numId w:val="1"/>
        </w:numPr>
        <w:spacing w:after="0" w:line="240" w:lineRule="auto"/>
        <w:jc w:val="both"/>
        <w:rPr>
          <w:rFonts w:ascii="Times New Roman" w:hAnsi="Times New Roman"/>
          <w:b/>
        </w:rPr>
      </w:pPr>
      <w:r w:rsidRPr="00C95573">
        <w:rPr>
          <w:rFonts w:ascii="Times New Roman" w:hAnsi="Times New Roman"/>
          <w:b/>
        </w:rPr>
        <w:t>Introducció</w:t>
      </w:r>
      <w:r w:rsidR="001B5186" w:rsidRPr="00C95573">
        <w:rPr>
          <w:rFonts w:ascii="Times New Roman" w:hAnsi="Times New Roman"/>
          <w:b/>
        </w:rPr>
        <w:t xml:space="preserve">n </w:t>
      </w:r>
    </w:p>
    <w:p w:rsidR="001B5186" w:rsidRPr="00866213" w:rsidRDefault="001B5186" w:rsidP="008A25B6">
      <w:pPr>
        <w:pStyle w:val="ColorfulList-Accent11"/>
        <w:spacing w:after="0" w:line="240" w:lineRule="auto"/>
        <w:ind w:left="1080"/>
        <w:jc w:val="both"/>
        <w:rPr>
          <w:rFonts w:ascii="Times New Roman" w:hAnsi="Times New Roman"/>
        </w:rPr>
      </w:pPr>
    </w:p>
    <w:p w:rsidR="001B5186" w:rsidRPr="00C95573" w:rsidRDefault="001B5186" w:rsidP="008A25B6">
      <w:pPr>
        <w:pStyle w:val="ColorfulList-Accent11"/>
        <w:numPr>
          <w:ilvl w:val="0"/>
          <w:numId w:val="1"/>
        </w:numPr>
        <w:spacing w:after="0" w:line="240" w:lineRule="auto"/>
        <w:jc w:val="both"/>
        <w:rPr>
          <w:rFonts w:ascii="Times New Roman" w:hAnsi="Times New Roman"/>
          <w:b/>
        </w:rPr>
      </w:pPr>
      <w:r w:rsidRPr="00C95573">
        <w:rPr>
          <w:rFonts w:ascii="Times New Roman" w:hAnsi="Times New Roman"/>
          <w:b/>
        </w:rPr>
        <w:t>Monitor</w:t>
      </w:r>
      <w:r w:rsidR="00A340C5" w:rsidRPr="00C95573">
        <w:rPr>
          <w:rFonts w:ascii="Times New Roman" w:hAnsi="Times New Roman"/>
          <w:b/>
        </w:rPr>
        <w:t>eo y Seguimiento</w:t>
      </w:r>
    </w:p>
    <w:p w:rsidR="001B5186" w:rsidRPr="00866213" w:rsidRDefault="001B5186" w:rsidP="008A25B6">
      <w:pPr>
        <w:pStyle w:val="ColorfulList-Accent11"/>
        <w:numPr>
          <w:ilvl w:val="1"/>
          <w:numId w:val="1"/>
        </w:numPr>
        <w:spacing w:after="0" w:line="240" w:lineRule="auto"/>
        <w:jc w:val="both"/>
        <w:rPr>
          <w:rFonts w:ascii="Times New Roman" w:hAnsi="Times New Roman"/>
        </w:rPr>
      </w:pPr>
      <w:r w:rsidRPr="00866213">
        <w:rPr>
          <w:rFonts w:ascii="Times New Roman" w:hAnsi="Times New Roman"/>
        </w:rPr>
        <w:t>Indica</w:t>
      </w:r>
      <w:r w:rsidR="00A340C5" w:rsidRPr="00866213">
        <w:rPr>
          <w:rFonts w:ascii="Times New Roman" w:hAnsi="Times New Roman"/>
        </w:rPr>
        <w:t>dores</w:t>
      </w:r>
    </w:p>
    <w:p w:rsidR="001B5186" w:rsidRPr="00866213" w:rsidRDefault="00A340C5" w:rsidP="008A25B6">
      <w:pPr>
        <w:pStyle w:val="ColorfulList-Accent11"/>
        <w:numPr>
          <w:ilvl w:val="1"/>
          <w:numId w:val="1"/>
        </w:numPr>
        <w:spacing w:after="0" w:line="240" w:lineRule="auto"/>
        <w:jc w:val="both"/>
        <w:rPr>
          <w:rFonts w:ascii="Times New Roman" w:hAnsi="Times New Roman"/>
        </w:rPr>
      </w:pPr>
      <w:r w:rsidRPr="00866213">
        <w:rPr>
          <w:rFonts w:ascii="Times New Roman" w:hAnsi="Times New Roman"/>
        </w:rPr>
        <w:t xml:space="preserve">Recopilación de datos e instrumentos </w:t>
      </w:r>
    </w:p>
    <w:p w:rsidR="001B5186" w:rsidRPr="00866213" w:rsidRDefault="00A340C5" w:rsidP="008A25B6">
      <w:pPr>
        <w:pStyle w:val="ColorfulList-Accent11"/>
        <w:numPr>
          <w:ilvl w:val="1"/>
          <w:numId w:val="1"/>
        </w:numPr>
        <w:spacing w:after="0" w:line="240" w:lineRule="auto"/>
        <w:jc w:val="both"/>
        <w:rPr>
          <w:rFonts w:ascii="Times New Roman" w:hAnsi="Times New Roman"/>
        </w:rPr>
      </w:pPr>
      <w:r w:rsidRPr="00866213">
        <w:rPr>
          <w:rFonts w:ascii="Times New Roman" w:hAnsi="Times New Roman"/>
        </w:rPr>
        <w:t>Presentación de informes</w:t>
      </w:r>
    </w:p>
    <w:p w:rsidR="001B5186" w:rsidRPr="00866213" w:rsidRDefault="001B5186" w:rsidP="008A25B6">
      <w:pPr>
        <w:pStyle w:val="ColorfulList-Accent11"/>
        <w:spacing w:after="0" w:line="240" w:lineRule="auto"/>
        <w:ind w:left="1440"/>
        <w:jc w:val="both"/>
        <w:rPr>
          <w:rFonts w:ascii="Times New Roman" w:hAnsi="Times New Roman"/>
        </w:rPr>
      </w:pPr>
    </w:p>
    <w:p w:rsidR="001B5186" w:rsidRPr="00C95573" w:rsidRDefault="001B5186" w:rsidP="008A25B6">
      <w:pPr>
        <w:pStyle w:val="ColorfulList-Accent11"/>
        <w:numPr>
          <w:ilvl w:val="0"/>
          <w:numId w:val="1"/>
        </w:numPr>
        <w:spacing w:after="0" w:line="240" w:lineRule="auto"/>
        <w:jc w:val="both"/>
        <w:rPr>
          <w:rFonts w:ascii="Times New Roman" w:hAnsi="Times New Roman"/>
          <w:b/>
        </w:rPr>
      </w:pPr>
      <w:r w:rsidRPr="00C95573">
        <w:rPr>
          <w:rFonts w:ascii="Times New Roman" w:hAnsi="Times New Roman"/>
          <w:b/>
        </w:rPr>
        <w:t>Evalua</w:t>
      </w:r>
      <w:r w:rsidR="00A340C5" w:rsidRPr="00C95573">
        <w:rPr>
          <w:rFonts w:ascii="Times New Roman" w:hAnsi="Times New Roman"/>
          <w:b/>
        </w:rPr>
        <w:t>ción</w:t>
      </w:r>
    </w:p>
    <w:p w:rsidR="001B5186" w:rsidRPr="00C962FF" w:rsidRDefault="003F663F" w:rsidP="002F47DE">
      <w:pPr>
        <w:pStyle w:val="ColorfulList-Accent11"/>
        <w:numPr>
          <w:ilvl w:val="1"/>
          <w:numId w:val="1"/>
        </w:numPr>
        <w:spacing w:after="0" w:line="240" w:lineRule="auto"/>
        <w:jc w:val="both"/>
        <w:rPr>
          <w:rFonts w:ascii="Times New Roman" w:hAnsi="Times New Roman"/>
        </w:rPr>
      </w:pPr>
      <w:r w:rsidRPr="00C962FF">
        <w:rPr>
          <w:rFonts w:ascii="Times New Roman" w:hAnsi="Times New Roman"/>
        </w:rPr>
        <w:t xml:space="preserve">Evaluación </w:t>
      </w:r>
      <w:r w:rsidR="00F56A96" w:rsidRPr="00C962FF">
        <w:rPr>
          <w:rFonts w:ascii="Times New Roman" w:hAnsi="Times New Roman"/>
        </w:rPr>
        <w:t xml:space="preserve">de impacto </w:t>
      </w:r>
      <w:r w:rsidR="001D42F7" w:rsidRPr="00C962FF">
        <w:rPr>
          <w:rFonts w:ascii="Times New Roman" w:hAnsi="Times New Roman"/>
        </w:rPr>
        <w:t>cuas</w:t>
      </w:r>
      <w:r w:rsidR="00283729" w:rsidRPr="00C962FF">
        <w:rPr>
          <w:rFonts w:ascii="Times New Roman" w:hAnsi="Times New Roman"/>
        </w:rPr>
        <w:t xml:space="preserve">i </w:t>
      </w:r>
      <w:r w:rsidR="00811D56" w:rsidRPr="00C962FF">
        <w:rPr>
          <w:rFonts w:ascii="Times New Roman" w:hAnsi="Times New Roman"/>
        </w:rPr>
        <w:t xml:space="preserve">experimental </w:t>
      </w:r>
      <w:r w:rsidR="00F56A96" w:rsidRPr="00C962FF">
        <w:rPr>
          <w:rFonts w:ascii="Times New Roman" w:hAnsi="Times New Roman"/>
        </w:rPr>
        <w:t xml:space="preserve">del </w:t>
      </w:r>
      <w:r w:rsidR="001D42F7" w:rsidRPr="00C962FF">
        <w:rPr>
          <w:rFonts w:ascii="Times New Roman" w:hAnsi="Times New Roman"/>
        </w:rPr>
        <w:t>modelo de Financiamiento Basado en Resultados (FBR) para las prestaciones de salud del primer nivel de atención</w:t>
      </w:r>
    </w:p>
    <w:p w:rsidR="00FE7C7B" w:rsidRDefault="00FE7C7B" w:rsidP="00FE7C7B">
      <w:pPr>
        <w:pStyle w:val="ColorfulList-Accent11"/>
        <w:spacing w:after="0" w:line="240" w:lineRule="auto"/>
        <w:ind w:left="0" w:firstLine="360"/>
        <w:jc w:val="both"/>
        <w:rPr>
          <w:rFonts w:ascii="Times New Roman" w:hAnsi="Times New Roman"/>
        </w:rPr>
      </w:pPr>
    </w:p>
    <w:p w:rsidR="001B5186" w:rsidRPr="00C95573" w:rsidRDefault="001B5186" w:rsidP="00FE7C7B">
      <w:pPr>
        <w:pStyle w:val="ColorfulList-Accent11"/>
        <w:spacing w:after="0" w:line="240" w:lineRule="auto"/>
        <w:ind w:left="0" w:firstLine="360"/>
        <w:jc w:val="both"/>
        <w:rPr>
          <w:rFonts w:ascii="Times New Roman" w:hAnsi="Times New Roman"/>
          <w:b/>
        </w:rPr>
      </w:pPr>
      <w:r w:rsidRPr="00C95573">
        <w:rPr>
          <w:rFonts w:ascii="Times New Roman" w:hAnsi="Times New Roman"/>
          <w:b/>
        </w:rPr>
        <w:t>An</w:t>
      </w:r>
      <w:r w:rsidR="00306E7C" w:rsidRPr="00C95573">
        <w:rPr>
          <w:rFonts w:ascii="Times New Roman" w:hAnsi="Times New Roman"/>
          <w:b/>
        </w:rPr>
        <w:t>exos</w:t>
      </w:r>
    </w:p>
    <w:p w:rsidR="001B5186" w:rsidRPr="00C95573" w:rsidRDefault="001B5186" w:rsidP="008A25B6">
      <w:pPr>
        <w:pStyle w:val="ColorfulList-Accent11"/>
        <w:spacing w:after="0" w:line="240" w:lineRule="auto"/>
        <w:ind w:left="360"/>
        <w:jc w:val="both"/>
        <w:rPr>
          <w:rFonts w:ascii="Times New Roman" w:hAnsi="Times New Roman"/>
          <w:b/>
        </w:rPr>
      </w:pPr>
    </w:p>
    <w:p w:rsidR="001B5186" w:rsidRPr="00C95573" w:rsidRDefault="001B5186" w:rsidP="008A25B6">
      <w:pPr>
        <w:pStyle w:val="ColorfulList-Accent11"/>
        <w:spacing w:after="0" w:line="240" w:lineRule="auto"/>
        <w:ind w:left="360"/>
        <w:jc w:val="both"/>
        <w:rPr>
          <w:rFonts w:ascii="Times New Roman" w:hAnsi="Times New Roman"/>
          <w:b/>
        </w:rPr>
      </w:pPr>
      <w:r w:rsidRPr="00C95573">
        <w:rPr>
          <w:rFonts w:ascii="Times New Roman" w:hAnsi="Times New Roman"/>
          <w:b/>
        </w:rPr>
        <w:t>Glos</w:t>
      </w:r>
      <w:r w:rsidR="00306E7C" w:rsidRPr="00C95573">
        <w:rPr>
          <w:rFonts w:ascii="Times New Roman" w:hAnsi="Times New Roman"/>
          <w:b/>
        </w:rPr>
        <w:t>ario de Términos</w:t>
      </w:r>
    </w:p>
    <w:p w:rsidR="001B5186" w:rsidRPr="00C95573" w:rsidRDefault="001B5186" w:rsidP="008A25B6">
      <w:pPr>
        <w:pStyle w:val="ColorfulList-Accent11"/>
        <w:spacing w:after="0" w:line="240" w:lineRule="auto"/>
        <w:ind w:left="360"/>
        <w:jc w:val="both"/>
        <w:rPr>
          <w:rFonts w:ascii="Times New Roman" w:hAnsi="Times New Roman"/>
          <w:b/>
        </w:rPr>
      </w:pPr>
    </w:p>
    <w:p w:rsidR="001B5186" w:rsidRPr="00C95573" w:rsidRDefault="00306E7C" w:rsidP="008A25B6">
      <w:pPr>
        <w:pStyle w:val="ColorfulList-Accent11"/>
        <w:spacing w:after="0" w:line="240" w:lineRule="auto"/>
        <w:ind w:left="360"/>
        <w:jc w:val="both"/>
        <w:rPr>
          <w:rFonts w:ascii="Times New Roman" w:hAnsi="Times New Roman"/>
          <w:b/>
        </w:rPr>
      </w:pPr>
      <w:r w:rsidRPr="00C95573">
        <w:rPr>
          <w:rFonts w:ascii="Times New Roman" w:hAnsi="Times New Roman"/>
          <w:b/>
        </w:rPr>
        <w:t>Referencias</w:t>
      </w:r>
    </w:p>
    <w:p w:rsidR="001B5186" w:rsidRPr="00CC2E51" w:rsidRDefault="001B5186" w:rsidP="008A25B6">
      <w:pPr>
        <w:pStyle w:val="ColorfulList-Accent11"/>
        <w:spacing w:after="0" w:line="240" w:lineRule="auto"/>
        <w:ind w:left="1080"/>
        <w:jc w:val="center"/>
        <w:rPr>
          <w:rFonts w:ascii="Times New Roman" w:hAnsi="Times New Roman"/>
        </w:rPr>
      </w:pPr>
    </w:p>
    <w:p w:rsidR="001B5186" w:rsidRPr="00CC2E51" w:rsidRDefault="001B5186" w:rsidP="008A25B6">
      <w:pPr>
        <w:pStyle w:val="ColorfulList-Accent11"/>
        <w:spacing w:after="0" w:line="240" w:lineRule="auto"/>
        <w:ind w:left="0"/>
        <w:rPr>
          <w:rFonts w:ascii="Times New Roman" w:hAnsi="Times New Roman"/>
        </w:rPr>
      </w:pPr>
    </w:p>
    <w:p w:rsidR="001B5186" w:rsidRPr="00CC2E51" w:rsidRDefault="001B5186" w:rsidP="008A25B6">
      <w:pPr>
        <w:pStyle w:val="ColorfulList-Accent11"/>
        <w:spacing w:after="0" w:line="240" w:lineRule="auto"/>
        <w:ind w:left="0"/>
        <w:jc w:val="center"/>
        <w:rPr>
          <w:rFonts w:ascii="Times New Roman" w:hAnsi="Times New Roman"/>
          <w:b/>
        </w:rPr>
      </w:pPr>
      <w:r w:rsidRPr="00CC2E51">
        <w:rPr>
          <w:rFonts w:ascii="Times New Roman" w:eastAsia="Arial Unicode MS" w:hAnsi="Times New Roman"/>
          <w:b/>
          <w:bCs/>
          <w:smallCaps/>
        </w:rPr>
        <w:t>A</w:t>
      </w:r>
      <w:r w:rsidR="00306E7C" w:rsidRPr="00CC2E51">
        <w:rPr>
          <w:rFonts w:ascii="Times New Roman" w:eastAsia="Arial Unicode MS" w:hAnsi="Times New Roman"/>
          <w:b/>
          <w:bCs/>
          <w:smallCaps/>
        </w:rPr>
        <w:t>breviaciones</w:t>
      </w:r>
    </w:p>
    <w:p w:rsidR="001B5186" w:rsidRPr="00CC2E51" w:rsidRDefault="001B5186" w:rsidP="008A25B6">
      <w:pPr>
        <w:pStyle w:val="ColorfulList-Accent11"/>
        <w:spacing w:after="0" w:line="240" w:lineRule="auto"/>
        <w:ind w:left="1080"/>
        <w:jc w:val="both"/>
        <w:rPr>
          <w:rFonts w:ascii="Times New Roman" w:hAnsi="Times New Roman"/>
        </w:rPr>
      </w:pPr>
    </w:p>
    <w:p w:rsidR="00E278C7" w:rsidRPr="00CC2E51" w:rsidRDefault="00E278C7" w:rsidP="008A25B6">
      <w:pPr>
        <w:pStyle w:val="ColorfulList-Accent11"/>
        <w:spacing w:after="0" w:line="240" w:lineRule="auto"/>
        <w:ind w:left="0"/>
        <w:jc w:val="both"/>
        <w:rPr>
          <w:rFonts w:ascii="Times New Roman" w:hAnsi="Times New Roman"/>
        </w:rPr>
      </w:pPr>
      <w:r w:rsidRPr="00CC2E51">
        <w:rPr>
          <w:rFonts w:ascii="Times New Roman" w:hAnsi="Times New Roman"/>
        </w:rPr>
        <w:t xml:space="preserve">GORD: </w:t>
      </w:r>
      <w:r w:rsidR="00104D9C">
        <w:rPr>
          <w:rFonts w:ascii="Times New Roman" w:hAnsi="Times New Roman"/>
        </w:rPr>
        <w:tab/>
      </w:r>
      <w:r w:rsidRPr="00CC2E51">
        <w:rPr>
          <w:rFonts w:ascii="Times New Roman" w:hAnsi="Times New Roman"/>
        </w:rPr>
        <w:t>Gobierno de la República Dominicana</w:t>
      </w:r>
    </w:p>
    <w:p w:rsidR="001B5186" w:rsidRPr="00CC2E51" w:rsidRDefault="001B5186" w:rsidP="008A25B6">
      <w:pPr>
        <w:pStyle w:val="ColorfulList-Accent11"/>
        <w:spacing w:after="0" w:line="240" w:lineRule="auto"/>
        <w:ind w:left="0"/>
        <w:jc w:val="both"/>
        <w:rPr>
          <w:rFonts w:ascii="Times New Roman" w:hAnsi="Times New Roman"/>
        </w:rPr>
      </w:pPr>
      <w:r w:rsidRPr="00CC2E51">
        <w:rPr>
          <w:rFonts w:ascii="Times New Roman" w:hAnsi="Times New Roman"/>
        </w:rPr>
        <w:t xml:space="preserve">PMR: </w:t>
      </w:r>
      <w:r w:rsidR="00104D9C">
        <w:rPr>
          <w:rFonts w:ascii="Times New Roman" w:hAnsi="Times New Roman"/>
        </w:rPr>
        <w:tab/>
      </w:r>
      <w:r w:rsidR="00104D9C">
        <w:rPr>
          <w:rFonts w:ascii="Times New Roman" w:hAnsi="Times New Roman"/>
        </w:rPr>
        <w:tab/>
      </w:r>
      <w:r w:rsidR="00BE3C9C" w:rsidRPr="00CC2E51">
        <w:rPr>
          <w:rFonts w:ascii="Times New Roman" w:hAnsi="Times New Roman"/>
        </w:rPr>
        <w:t xml:space="preserve">Informe </w:t>
      </w:r>
      <w:r w:rsidR="00306E7C" w:rsidRPr="00CC2E51">
        <w:rPr>
          <w:rFonts w:ascii="Times New Roman" w:hAnsi="Times New Roman"/>
        </w:rPr>
        <w:t>de Monitoreo del Progreso (Progress Monitoring Report)</w:t>
      </w:r>
    </w:p>
    <w:p w:rsidR="001B5186" w:rsidRPr="00CC2E51" w:rsidRDefault="001B5186" w:rsidP="008A25B6">
      <w:pPr>
        <w:pStyle w:val="ColorfulList-Accent11"/>
        <w:spacing w:after="0" w:line="240" w:lineRule="auto"/>
        <w:ind w:left="0"/>
        <w:jc w:val="both"/>
        <w:rPr>
          <w:rFonts w:ascii="Times New Roman" w:hAnsi="Times New Roman"/>
        </w:rPr>
      </w:pPr>
      <w:r w:rsidRPr="00CC2E51">
        <w:rPr>
          <w:rFonts w:ascii="Times New Roman" w:hAnsi="Times New Roman"/>
        </w:rPr>
        <w:t xml:space="preserve">XPMR: </w:t>
      </w:r>
      <w:r w:rsidR="00104D9C">
        <w:rPr>
          <w:rFonts w:ascii="Times New Roman" w:hAnsi="Times New Roman"/>
        </w:rPr>
        <w:tab/>
      </w:r>
      <w:r w:rsidR="00DC03C6" w:rsidRPr="00CC2E51">
        <w:rPr>
          <w:rFonts w:ascii="Times New Roman" w:hAnsi="Times New Roman"/>
        </w:rPr>
        <w:t xml:space="preserve">Informe </w:t>
      </w:r>
      <w:r w:rsidR="00306E7C" w:rsidRPr="00CC2E51">
        <w:rPr>
          <w:rFonts w:ascii="Times New Roman" w:hAnsi="Times New Roman"/>
        </w:rPr>
        <w:t>Ampliado de Monitore</w:t>
      </w:r>
      <w:r w:rsidR="00CF1A86" w:rsidRPr="00CC2E51">
        <w:rPr>
          <w:rFonts w:ascii="Times New Roman" w:hAnsi="Times New Roman"/>
        </w:rPr>
        <w:t>o</w:t>
      </w:r>
      <w:r w:rsidR="00306E7C" w:rsidRPr="00CC2E51">
        <w:rPr>
          <w:rFonts w:ascii="Times New Roman" w:hAnsi="Times New Roman"/>
        </w:rPr>
        <w:t xml:space="preserve"> del Progreso (</w:t>
      </w:r>
      <w:r w:rsidRPr="00CC2E51">
        <w:rPr>
          <w:rFonts w:ascii="Times New Roman" w:hAnsi="Times New Roman"/>
        </w:rPr>
        <w:t>Extended Progress Monitoring Report</w:t>
      </w:r>
      <w:r w:rsidR="00306E7C" w:rsidRPr="00CC2E51">
        <w:rPr>
          <w:rFonts w:ascii="Times New Roman" w:hAnsi="Times New Roman"/>
        </w:rPr>
        <w:t>)</w:t>
      </w:r>
    </w:p>
    <w:p w:rsidR="001B5186" w:rsidRPr="00CC2E51" w:rsidRDefault="001B5186" w:rsidP="00B83663">
      <w:pPr>
        <w:pStyle w:val="ColorfulList-Accent11"/>
        <w:numPr>
          <w:ilvl w:val="0"/>
          <w:numId w:val="10"/>
        </w:numPr>
        <w:spacing w:after="0" w:line="240" w:lineRule="auto"/>
        <w:jc w:val="both"/>
        <w:rPr>
          <w:rFonts w:ascii="Times New Roman" w:hAnsi="Times New Roman"/>
          <w:b/>
        </w:rPr>
      </w:pPr>
      <w:r w:rsidRPr="00CC2E51">
        <w:rPr>
          <w:rFonts w:ascii="Times New Roman" w:hAnsi="Times New Roman"/>
        </w:rPr>
        <w:br w:type="page"/>
      </w:r>
      <w:r w:rsidRPr="00CC2E51">
        <w:rPr>
          <w:rFonts w:ascii="Times New Roman" w:hAnsi="Times New Roman"/>
          <w:b/>
        </w:rPr>
        <w:lastRenderedPageBreak/>
        <w:t>Introduc</w:t>
      </w:r>
      <w:r w:rsidR="00D8399D" w:rsidRPr="00CC2E51">
        <w:rPr>
          <w:rFonts w:ascii="Times New Roman" w:hAnsi="Times New Roman"/>
          <w:b/>
        </w:rPr>
        <w:t>ción</w:t>
      </w:r>
    </w:p>
    <w:p w:rsidR="001B5186" w:rsidRPr="00CC2E51" w:rsidRDefault="001B5186" w:rsidP="008A25B6">
      <w:pPr>
        <w:pStyle w:val="ColorfulList-Accent11"/>
        <w:spacing w:after="0" w:line="240" w:lineRule="auto"/>
        <w:jc w:val="both"/>
        <w:rPr>
          <w:rFonts w:ascii="Times New Roman" w:hAnsi="Times New Roman"/>
          <w:b/>
        </w:rPr>
      </w:pPr>
    </w:p>
    <w:p w:rsidR="001B5186" w:rsidRPr="00D24E96" w:rsidRDefault="00866213" w:rsidP="00CC2E51">
      <w:pPr>
        <w:pStyle w:val="Style1"/>
        <w:spacing w:line="240" w:lineRule="auto"/>
        <w:ind w:left="360"/>
        <w:rPr>
          <w:color w:val="auto"/>
          <w:lang w:val="es-ES"/>
        </w:rPr>
      </w:pPr>
      <w:r w:rsidRPr="00D24E96">
        <w:rPr>
          <w:color w:val="auto"/>
          <w:lang w:val="es-ES"/>
        </w:rPr>
        <w:t>Este documento presenta el Plan de Monitoreo y Evaluación del proyecto</w:t>
      </w:r>
      <w:r w:rsidR="008744ED" w:rsidRPr="00D24E96">
        <w:rPr>
          <w:color w:val="auto"/>
          <w:lang w:val="es-ES"/>
        </w:rPr>
        <w:t xml:space="preserve"> el cual permitirá</w:t>
      </w:r>
      <w:r w:rsidR="00433CE6">
        <w:rPr>
          <w:color w:val="auto"/>
          <w:lang w:val="es-ES"/>
        </w:rPr>
        <w:t xml:space="preserve"> el seguimiento periódico y</w:t>
      </w:r>
      <w:r w:rsidR="008744ED" w:rsidRPr="00D24E96">
        <w:rPr>
          <w:color w:val="auto"/>
          <w:lang w:val="es-ES"/>
        </w:rPr>
        <w:t xml:space="preserve"> evaluación de las actividades</w:t>
      </w:r>
      <w:r w:rsidR="00433CE6">
        <w:rPr>
          <w:color w:val="auto"/>
          <w:lang w:val="es-ES"/>
        </w:rPr>
        <w:t xml:space="preserve"> del mismo</w:t>
      </w:r>
      <w:r w:rsidR="008744ED" w:rsidRPr="00D24E96">
        <w:rPr>
          <w:color w:val="auto"/>
          <w:lang w:val="es-ES"/>
        </w:rPr>
        <w:t xml:space="preserve"> </w:t>
      </w:r>
      <w:r w:rsidR="00EA7213">
        <w:rPr>
          <w:color w:val="auto"/>
          <w:lang w:val="es-ES"/>
        </w:rPr>
        <w:t>a</w:t>
      </w:r>
      <w:r w:rsidR="008744ED" w:rsidRPr="00D24E96">
        <w:rPr>
          <w:color w:val="auto"/>
          <w:lang w:val="es-ES"/>
        </w:rPr>
        <w:t xml:space="preserve"> fin de suministrar información precisa y actualizada para la toma de decisiones</w:t>
      </w:r>
      <w:r w:rsidR="00683384" w:rsidRPr="00D24E96">
        <w:rPr>
          <w:color w:val="auto"/>
          <w:lang w:val="es-ES"/>
        </w:rPr>
        <w:t>.</w:t>
      </w:r>
      <w:r w:rsidRPr="00D24E96">
        <w:rPr>
          <w:color w:val="auto"/>
          <w:lang w:val="es-ES"/>
        </w:rPr>
        <w:t xml:space="preserve"> </w:t>
      </w:r>
      <w:r w:rsidR="00683384" w:rsidRPr="00D24E96">
        <w:rPr>
          <w:color w:val="auto"/>
          <w:lang w:val="es-ES"/>
        </w:rPr>
        <w:t>E</w:t>
      </w:r>
      <w:r w:rsidRPr="00D24E96">
        <w:rPr>
          <w:color w:val="auto"/>
          <w:lang w:val="es-ES"/>
        </w:rPr>
        <w:t xml:space="preserve">l </w:t>
      </w:r>
      <w:r w:rsidR="00D8399D" w:rsidRPr="00D24E96">
        <w:rPr>
          <w:color w:val="auto"/>
          <w:lang w:val="es-ES"/>
        </w:rPr>
        <w:t xml:space="preserve">Proyecto </w:t>
      </w:r>
      <w:r w:rsidR="002B09AF" w:rsidRPr="00D24E96">
        <w:rPr>
          <w:color w:val="auto"/>
          <w:lang w:val="es-ES"/>
        </w:rPr>
        <w:t>d</w:t>
      </w:r>
      <w:r w:rsidR="00B86A8D" w:rsidRPr="00D24E96">
        <w:rPr>
          <w:color w:val="auto"/>
          <w:lang w:val="es-ES"/>
        </w:rPr>
        <w:t>e “Fortalecimiento de la Gestión por Resultados del Sector Salud en República Dominicana” (DR-L1067), en apoyo a la reforma del sector s</w:t>
      </w:r>
      <w:r w:rsidR="008744ED" w:rsidRPr="00D24E96">
        <w:rPr>
          <w:color w:val="auto"/>
          <w:lang w:val="es-ES"/>
        </w:rPr>
        <w:t>alud</w:t>
      </w:r>
      <w:r w:rsidR="008744ED" w:rsidRPr="00D24E96">
        <w:rPr>
          <w:rStyle w:val="FootnoteReference"/>
          <w:color w:val="auto"/>
          <w:lang w:val="es-ES"/>
        </w:rPr>
        <w:footnoteReference w:id="1"/>
      </w:r>
      <w:r w:rsidR="00683384" w:rsidRPr="00D24E96">
        <w:rPr>
          <w:color w:val="auto"/>
          <w:lang w:val="es-ES"/>
        </w:rPr>
        <w:t>,</w:t>
      </w:r>
      <w:r w:rsidR="000B3198" w:rsidRPr="00D24E96">
        <w:rPr>
          <w:color w:val="auto"/>
          <w:lang w:val="es-ES"/>
        </w:rPr>
        <w:t xml:space="preserve"> tiene como objetivo general incrementar la eficiencia y efectividad del gasto en salud destinad</w:t>
      </w:r>
      <w:r w:rsidR="007A2435">
        <w:rPr>
          <w:color w:val="auto"/>
          <w:lang w:val="es-ES"/>
        </w:rPr>
        <w:t>o</w:t>
      </w:r>
      <w:r w:rsidR="000B3198" w:rsidRPr="00D24E96">
        <w:rPr>
          <w:color w:val="auto"/>
          <w:lang w:val="es-ES"/>
        </w:rPr>
        <w:t xml:space="preserve"> a la población más vulnerable de RD, fortaleciendo la red pública de servicios de salud. Los </w:t>
      </w:r>
      <w:r w:rsidR="00653F7F" w:rsidRPr="0039150C">
        <w:t>objetivos específicos son: (i) mejorar la asignación del gasto en salud mediante la expansión del financiamiento</w:t>
      </w:r>
      <w:r w:rsidR="000B3198" w:rsidRPr="00D24E96">
        <w:rPr>
          <w:color w:val="auto"/>
          <w:lang w:val="es-ES"/>
        </w:rPr>
        <w:t xml:space="preserve"> </w:t>
      </w:r>
      <w:r w:rsidR="00653F7F" w:rsidRPr="0039150C">
        <w:t>basado en resultados, con especial énfasis en el</w:t>
      </w:r>
      <w:r w:rsidR="00104D9C">
        <w:t xml:space="preserve"> primer nivel de atención; (ii) </w:t>
      </w:r>
      <w:r w:rsidR="00653F7F" w:rsidRPr="0039150C">
        <w:t>contribuir a la disminución de la morbi-mortalidad materna e infantil mediante la expansión de una estrategia de mejoras gerenciales en los servicios de salud de segundo y tercer nivel; (iii) apoyar al M</w:t>
      </w:r>
      <w:r w:rsidR="007A2435">
        <w:t>inisterio de Salud Pública (M</w:t>
      </w:r>
      <w:r w:rsidR="00653F7F" w:rsidRPr="0039150C">
        <w:t>SP</w:t>
      </w:r>
      <w:r w:rsidR="007A2435">
        <w:t>)</w:t>
      </w:r>
      <w:r w:rsidR="00653F7F" w:rsidRPr="0039150C">
        <w:t xml:space="preserve"> en la conducción sectorial a través del fortalecimiento institucional y del desarrollo de instrumentos de monitoreo y evaluación para la toma de decisiones; y (iv) generar evidencia para la toma de decis</w:t>
      </w:r>
      <w:r w:rsidR="00653F7F">
        <w:t>iones y la rendición de cuentas</w:t>
      </w:r>
      <w:r w:rsidR="00104D9C">
        <w:rPr>
          <w:color w:val="auto"/>
          <w:lang w:val="es-ES"/>
        </w:rPr>
        <w:t>. El </w:t>
      </w:r>
      <w:r w:rsidR="004A4CA6">
        <w:rPr>
          <w:color w:val="auto"/>
          <w:lang w:val="es-ES"/>
        </w:rPr>
        <w:t xml:space="preserve">organismo ejecutor </w:t>
      </w:r>
      <w:r w:rsidR="000B3198" w:rsidRPr="00D24E96">
        <w:rPr>
          <w:color w:val="auto"/>
          <w:lang w:val="es-ES"/>
        </w:rPr>
        <w:t xml:space="preserve">será el Ministerio de Salud Pública y </w:t>
      </w:r>
      <w:r w:rsidR="004D1F50" w:rsidRPr="00D24E96">
        <w:rPr>
          <w:color w:val="auto"/>
          <w:lang w:val="es-ES"/>
        </w:rPr>
        <w:t>Asistencia</w:t>
      </w:r>
      <w:r w:rsidR="000B3198" w:rsidRPr="00D24E96">
        <w:rPr>
          <w:color w:val="auto"/>
          <w:lang w:val="es-ES"/>
        </w:rPr>
        <w:t xml:space="preserve"> Social (MS</w:t>
      </w:r>
      <w:r w:rsidR="00F00BB4" w:rsidRPr="00D24E96">
        <w:rPr>
          <w:color w:val="auto"/>
          <w:lang w:val="es-ES"/>
        </w:rPr>
        <w:t>P</w:t>
      </w:r>
      <w:r w:rsidR="000B3198" w:rsidRPr="00D24E96">
        <w:rPr>
          <w:color w:val="auto"/>
          <w:lang w:val="es-ES"/>
        </w:rPr>
        <w:t>).</w:t>
      </w:r>
    </w:p>
    <w:p w:rsidR="002643E4" w:rsidRPr="00D24E96" w:rsidRDefault="002643E4" w:rsidP="00C17027">
      <w:pPr>
        <w:spacing w:after="0" w:line="240" w:lineRule="auto"/>
        <w:jc w:val="both"/>
        <w:textAlignment w:val="top"/>
        <w:rPr>
          <w:rFonts w:ascii="Times New Roman" w:eastAsia="Times New Roman" w:hAnsi="Times New Roman"/>
        </w:rPr>
      </w:pPr>
    </w:p>
    <w:p w:rsidR="004A18A7" w:rsidRPr="00D24E96" w:rsidRDefault="00B92136" w:rsidP="008A25B6">
      <w:pPr>
        <w:pStyle w:val="Style1"/>
        <w:spacing w:line="240" w:lineRule="auto"/>
        <w:ind w:left="360"/>
        <w:rPr>
          <w:color w:val="auto"/>
          <w:lang w:val="es-ES"/>
        </w:rPr>
      </w:pPr>
      <w:r w:rsidRPr="00D24E96">
        <w:rPr>
          <w:color w:val="auto"/>
          <w:lang w:val="es-ES"/>
        </w:rPr>
        <w:t>E</w:t>
      </w:r>
      <w:r w:rsidR="0097374B" w:rsidRPr="00D24E96">
        <w:rPr>
          <w:color w:val="auto"/>
          <w:lang w:val="es-ES"/>
        </w:rPr>
        <w:t>l</w:t>
      </w:r>
      <w:r w:rsidR="004A4CA6">
        <w:rPr>
          <w:color w:val="auto"/>
          <w:lang w:val="es-ES"/>
        </w:rPr>
        <w:t xml:space="preserve"> MSP</w:t>
      </w:r>
      <w:r w:rsidR="0097553B" w:rsidRPr="00D24E96">
        <w:rPr>
          <w:color w:val="auto"/>
          <w:lang w:val="es-ES"/>
        </w:rPr>
        <w:t xml:space="preserve">, a través de </w:t>
      </w:r>
      <w:r w:rsidR="00CF054E" w:rsidRPr="00D24E96">
        <w:rPr>
          <w:color w:val="auto"/>
          <w:lang w:val="es-ES"/>
        </w:rPr>
        <w:t>su Unidad</w:t>
      </w:r>
      <w:r w:rsidR="00A96D15">
        <w:rPr>
          <w:color w:val="auto"/>
          <w:lang w:val="es-ES"/>
        </w:rPr>
        <w:t xml:space="preserve"> Coordinadora</w:t>
      </w:r>
      <w:r w:rsidR="00CF054E" w:rsidRPr="00D24E96">
        <w:rPr>
          <w:color w:val="auto"/>
          <w:lang w:val="es-ES"/>
        </w:rPr>
        <w:t xml:space="preserve"> </w:t>
      </w:r>
      <w:r w:rsidR="00F84281" w:rsidRPr="00D24E96">
        <w:rPr>
          <w:color w:val="auto"/>
          <w:lang w:val="es-ES"/>
        </w:rPr>
        <w:t>de Proyectos</w:t>
      </w:r>
      <w:r w:rsidR="002C7EEF">
        <w:rPr>
          <w:color w:val="auto"/>
          <w:lang w:val="es-ES"/>
        </w:rPr>
        <w:t xml:space="preserve"> (U</w:t>
      </w:r>
      <w:r w:rsidR="00A96D15">
        <w:rPr>
          <w:color w:val="auto"/>
          <w:lang w:val="es-ES"/>
        </w:rPr>
        <w:t>C</w:t>
      </w:r>
      <w:r w:rsidR="002C7EEF">
        <w:rPr>
          <w:color w:val="auto"/>
          <w:lang w:val="es-ES"/>
        </w:rPr>
        <w:t>P)</w:t>
      </w:r>
      <w:r w:rsidR="00CF054E" w:rsidRPr="00D24E96">
        <w:rPr>
          <w:color w:val="auto"/>
          <w:lang w:val="es-ES"/>
        </w:rPr>
        <w:t xml:space="preserve">, será </w:t>
      </w:r>
      <w:r w:rsidR="0097374B" w:rsidRPr="00D24E96">
        <w:rPr>
          <w:color w:val="auto"/>
          <w:lang w:val="es-ES"/>
        </w:rPr>
        <w:t xml:space="preserve">la entidad </w:t>
      </w:r>
      <w:r w:rsidR="00CF054E" w:rsidRPr="00D24E96">
        <w:rPr>
          <w:color w:val="auto"/>
          <w:lang w:val="es-ES"/>
        </w:rPr>
        <w:t>responsable del monitoreo</w:t>
      </w:r>
      <w:r w:rsidR="00866213" w:rsidRPr="00D24E96">
        <w:rPr>
          <w:color w:val="auto"/>
          <w:lang w:val="es-ES"/>
        </w:rPr>
        <w:t xml:space="preserve"> y evaluación </w:t>
      </w:r>
      <w:r w:rsidR="00CF054E" w:rsidRPr="00D24E96">
        <w:rPr>
          <w:color w:val="auto"/>
          <w:lang w:val="es-ES"/>
        </w:rPr>
        <w:t>de la ejecución del proyecto</w:t>
      </w:r>
      <w:r w:rsidR="002C7EEF">
        <w:rPr>
          <w:color w:val="auto"/>
          <w:lang w:val="es-ES"/>
        </w:rPr>
        <w:t>,</w:t>
      </w:r>
      <w:r w:rsidR="00CF054E" w:rsidRPr="00D24E96">
        <w:rPr>
          <w:color w:val="auto"/>
          <w:lang w:val="es-ES"/>
        </w:rPr>
        <w:t xml:space="preserve"> y proveerá al Banco toda la información necesaria para medir el avance </w:t>
      </w:r>
      <w:r w:rsidR="0097374B" w:rsidRPr="00D24E96">
        <w:rPr>
          <w:color w:val="auto"/>
          <w:lang w:val="es-ES"/>
        </w:rPr>
        <w:t xml:space="preserve">de las actividades </w:t>
      </w:r>
      <w:r w:rsidR="00CF054E" w:rsidRPr="00D24E96">
        <w:rPr>
          <w:color w:val="auto"/>
          <w:lang w:val="es-ES"/>
        </w:rPr>
        <w:t xml:space="preserve">y evaluar los resultados del </w:t>
      </w:r>
      <w:r w:rsidR="00580302" w:rsidRPr="00D24E96">
        <w:rPr>
          <w:color w:val="auto"/>
          <w:lang w:val="es-ES"/>
        </w:rPr>
        <w:t>P</w:t>
      </w:r>
      <w:r w:rsidR="00CF054E" w:rsidRPr="00D24E96">
        <w:rPr>
          <w:color w:val="auto"/>
          <w:lang w:val="es-ES"/>
        </w:rPr>
        <w:t>rograma.</w:t>
      </w:r>
      <w:r w:rsidR="0097374B" w:rsidRPr="00D24E96">
        <w:rPr>
          <w:color w:val="auto"/>
          <w:lang w:val="es-ES"/>
        </w:rPr>
        <w:t xml:space="preserve"> El Banco supervisar</w:t>
      </w:r>
      <w:r w:rsidR="00C42475" w:rsidRPr="00D24E96">
        <w:rPr>
          <w:color w:val="auto"/>
          <w:lang w:val="es-ES"/>
        </w:rPr>
        <w:t>á</w:t>
      </w:r>
      <w:r w:rsidR="0097374B" w:rsidRPr="00D24E96">
        <w:rPr>
          <w:color w:val="auto"/>
          <w:lang w:val="es-ES"/>
        </w:rPr>
        <w:t xml:space="preserve"> el </w:t>
      </w:r>
      <w:r w:rsidR="002C7EEF" w:rsidRPr="00D24E96">
        <w:rPr>
          <w:color w:val="auto"/>
          <w:lang w:val="es-ES"/>
        </w:rPr>
        <w:t>progreso</w:t>
      </w:r>
      <w:r w:rsidR="0097374B" w:rsidRPr="00D24E96">
        <w:rPr>
          <w:color w:val="auto"/>
          <w:lang w:val="es-ES"/>
        </w:rPr>
        <w:t xml:space="preserve"> de las actividades y</w:t>
      </w:r>
      <w:r w:rsidR="00C14021" w:rsidRPr="00D24E96">
        <w:rPr>
          <w:color w:val="auto"/>
          <w:lang w:val="es-ES"/>
        </w:rPr>
        <w:t xml:space="preserve"> </w:t>
      </w:r>
      <w:r w:rsidR="0097374B" w:rsidRPr="00D24E96">
        <w:rPr>
          <w:color w:val="auto"/>
          <w:lang w:val="es-ES"/>
        </w:rPr>
        <w:t>acompañar</w:t>
      </w:r>
      <w:r w:rsidR="0089594D" w:rsidRPr="00D24E96">
        <w:rPr>
          <w:color w:val="auto"/>
          <w:lang w:val="es-ES"/>
        </w:rPr>
        <w:t>á</w:t>
      </w:r>
      <w:r w:rsidR="0097374B" w:rsidRPr="00D24E96">
        <w:rPr>
          <w:color w:val="auto"/>
          <w:lang w:val="es-ES"/>
        </w:rPr>
        <w:t xml:space="preserve"> cercanamente al ejecutor con asistencia </w:t>
      </w:r>
      <w:r w:rsidR="00391A5D" w:rsidRPr="00D24E96">
        <w:rPr>
          <w:color w:val="auto"/>
          <w:lang w:val="es-ES"/>
        </w:rPr>
        <w:t>técnica</w:t>
      </w:r>
      <w:r w:rsidR="0097374B" w:rsidRPr="00D24E96">
        <w:rPr>
          <w:color w:val="auto"/>
          <w:lang w:val="es-ES"/>
        </w:rPr>
        <w:t xml:space="preserve"> cuando </w:t>
      </w:r>
      <w:r w:rsidR="00391A5D" w:rsidRPr="00D24E96">
        <w:rPr>
          <w:color w:val="auto"/>
          <w:lang w:val="es-ES"/>
        </w:rPr>
        <w:t>así</w:t>
      </w:r>
      <w:r w:rsidR="0097374B" w:rsidRPr="00D24E96">
        <w:rPr>
          <w:color w:val="auto"/>
          <w:lang w:val="es-ES"/>
        </w:rPr>
        <w:t xml:space="preserve"> lo requiera.</w:t>
      </w:r>
      <w:r w:rsidR="000B1DEB" w:rsidRPr="00D24E96">
        <w:rPr>
          <w:color w:val="auto"/>
          <w:lang w:val="es-ES"/>
        </w:rPr>
        <w:t xml:space="preserve"> </w:t>
      </w:r>
      <w:r w:rsidR="00E5457E">
        <w:rPr>
          <w:color w:val="auto"/>
          <w:lang w:val="es-ES"/>
        </w:rPr>
        <w:t xml:space="preserve">La Matriz de Resultados </w:t>
      </w:r>
      <w:r w:rsidR="000B1DEB" w:rsidRPr="00D24E96">
        <w:rPr>
          <w:color w:val="auto"/>
          <w:lang w:val="es-ES"/>
        </w:rPr>
        <w:t xml:space="preserve">guiará el seguimiento </w:t>
      </w:r>
      <w:r w:rsidR="00DF2B25" w:rsidRPr="00D24E96">
        <w:rPr>
          <w:color w:val="auto"/>
          <w:lang w:val="es-ES"/>
        </w:rPr>
        <w:t>de los productos, resultados e impacto</w:t>
      </w:r>
      <w:r w:rsidR="00567C16" w:rsidRPr="00D24E96">
        <w:rPr>
          <w:color w:val="auto"/>
          <w:lang w:val="es-ES"/>
        </w:rPr>
        <w:t>s</w:t>
      </w:r>
      <w:r w:rsidR="00DF2B25" w:rsidRPr="00D24E96">
        <w:rPr>
          <w:color w:val="auto"/>
          <w:lang w:val="es-ES"/>
        </w:rPr>
        <w:t xml:space="preserve"> </w:t>
      </w:r>
      <w:r w:rsidR="000B1DEB" w:rsidRPr="00D24E96">
        <w:rPr>
          <w:color w:val="auto"/>
          <w:lang w:val="es-ES"/>
        </w:rPr>
        <w:t xml:space="preserve">del </w:t>
      </w:r>
      <w:r w:rsidR="00BE1DA6" w:rsidRPr="00D24E96">
        <w:rPr>
          <w:color w:val="auto"/>
          <w:lang w:val="es-ES"/>
        </w:rPr>
        <w:t>Proyecto</w:t>
      </w:r>
      <w:r w:rsidR="000B1DEB" w:rsidRPr="00D24E96">
        <w:rPr>
          <w:color w:val="auto"/>
          <w:lang w:val="es-ES"/>
        </w:rPr>
        <w:t>.</w:t>
      </w:r>
    </w:p>
    <w:p w:rsidR="001B5186" w:rsidRPr="00D24E96" w:rsidRDefault="001B5186" w:rsidP="008A25B6">
      <w:pPr>
        <w:spacing w:after="0" w:line="240" w:lineRule="auto"/>
        <w:ind w:left="360"/>
        <w:jc w:val="both"/>
        <w:textAlignment w:val="top"/>
        <w:rPr>
          <w:rFonts w:ascii="Times New Roman" w:eastAsia="Times New Roman" w:hAnsi="Times New Roman"/>
        </w:rPr>
      </w:pPr>
    </w:p>
    <w:p w:rsidR="005E1DAD" w:rsidRPr="00D24E96" w:rsidRDefault="00CD294F" w:rsidP="008A25B6">
      <w:pPr>
        <w:pStyle w:val="Style1"/>
        <w:spacing w:line="240" w:lineRule="auto"/>
        <w:ind w:left="360"/>
        <w:rPr>
          <w:color w:val="auto"/>
          <w:lang w:val="es-ES"/>
        </w:rPr>
      </w:pPr>
      <w:r>
        <w:rPr>
          <w:color w:val="auto"/>
          <w:lang w:val="es-ES"/>
        </w:rPr>
        <w:t>En la segunda sección del presente documento s</w:t>
      </w:r>
      <w:r w:rsidR="00A22780" w:rsidRPr="00D24E96">
        <w:rPr>
          <w:color w:val="auto"/>
          <w:lang w:val="es-ES"/>
        </w:rPr>
        <w:t xml:space="preserve">e </w:t>
      </w:r>
      <w:r w:rsidR="00EA48A3">
        <w:rPr>
          <w:color w:val="auto"/>
          <w:lang w:val="es-ES"/>
        </w:rPr>
        <w:t>describe</w:t>
      </w:r>
      <w:r w:rsidR="000C2B8C" w:rsidRPr="00D24E96">
        <w:rPr>
          <w:color w:val="auto"/>
          <w:lang w:val="es-ES"/>
        </w:rPr>
        <w:t>n</w:t>
      </w:r>
      <w:r w:rsidR="00866213" w:rsidRPr="00D24E96">
        <w:rPr>
          <w:color w:val="auto"/>
          <w:lang w:val="es-ES"/>
        </w:rPr>
        <w:t xml:space="preserve"> las </w:t>
      </w:r>
      <w:r w:rsidR="008229DF">
        <w:rPr>
          <w:color w:val="auto"/>
          <w:lang w:val="es-ES"/>
        </w:rPr>
        <w:t xml:space="preserve">principales herramientas para el Monitoreo y Evaluación </w:t>
      </w:r>
      <w:r w:rsidR="000C2B8C">
        <w:rPr>
          <w:color w:val="auto"/>
          <w:lang w:val="es-ES"/>
        </w:rPr>
        <w:t>del Proyecto</w:t>
      </w:r>
      <w:r w:rsidR="00B93363">
        <w:rPr>
          <w:color w:val="auto"/>
          <w:lang w:val="es-ES"/>
        </w:rPr>
        <w:t>, a saber</w:t>
      </w:r>
      <w:r w:rsidR="00470513" w:rsidRPr="00D24E96">
        <w:rPr>
          <w:color w:val="auto"/>
          <w:lang w:val="es-ES"/>
        </w:rPr>
        <w:t>: (i) los I</w:t>
      </w:r>
      <w:r w:rsidR="00A74BD6" w:rsidRPr="00D24E96">
        <w:rPr>
          <w:color w:val="auto"/>
          <w:lang w:val="es-ES"/>
        </w:rPr>
        <w:t xml:space="preserve">nformes </w:t>
      </w:r>
      <w:r w:rsidR="00653F7F">
        <w:rPr>
          <w:color w:val="auto"/>
          <w:lang w:val="es-ES"/>
        </w:rPr>
        <w:t>Semestrales</w:t>
      </w:r>
      <w:r w:rsidR="00080C6E" w:rsidRPr="00D24E96">
        <w:rPr>
          <w:color w:val="auto"/>
          <w:lang w:val="es-ES"/>
        </w:rPr>
        <w:t>,</w:t>
      </w:r>
      <w:r w:rsidR="00470513" w:rsidRPr="00D24E96">
        <w:rPr>
          <w:color w:val="auto"/>
          <w:lang w:val="es-ES"/>
        </w:rPr>
        <w:t xml:space="preserve"> que </w:t>
      </w:r>
      <w:r w:rsidR="005E19A1" w:rsidRPr="00D24E96">
        <w:rPr>
          <w:color w:val="auto"/>
          <w:lang w:val="es-ES"/>
        </w:rPr>
        <w:t xml:space="preserve">presentarán </w:t>
      </w:r>
      <w:r w:rsidR="00470513" w:rsidRPr="00D24E96">
        <w:rPr>
          <w:color w:val="auto"/>
          <w:lang w:val="es-ES"/>
        </w:rPr>
        <w:t>el avance en la</w:t>
      </w:r>
      <w:r w:rsidR="00B23AAF" w:rsidRPr="00D24E96">
        <w:rPr>
          <w:color w:val="auto"/>
          <w:lang w:val="es-ES"/>
        </w:rPr>
        <w:t xml:space="preserve"> ejecució</w:t>
      </w:r>
      <w:r w:rsidR="003B0861" w:rsidRPr="00D24E96">
        <w:rPr>
          <w:color w:val="auto"/>
          <w:lang w:val="es-ES"/>
        </w:rPr>
        <w:t xml:space="preserve">n de </w:t>
      </w:r>
      <w:r w:rsidR="00470513" w:rsidRPr="00D24E96">
        <w:rPr>
          <w:color w:val="auto"/>
          <w:lang w:val="es-ES"/>
        </w:rPr>
        <w:t xml:space="preserve">las </w:t>
      </w:r>
      <w:r w:rsidR="003B0861" w:rsidRPr="00D24E96">
        <w:rPr>
          <w:color w:val="auto"/>
          <w:lang w:val="es-ES"/>
        </w:rPr>
        <w:t>actividades</w:t>
      </w:r>
      <w:r w:rsidR="00470513" w:rsidRPr="00D24E96">
        <w:rPr>
          <w:color w:val="auto"/>
          <w:lang w:val="es-ES"/>
        </w:rPr>
        <w:t xml:space="preserve"> programadas</w:t>
      </w:r>
      <w:r w:rsidR="0089594D" w:rsidRPr="00D24E96">
        <w:rPr>
          <w:color w:val="auto"/>
          <w:lang w:val="es-ES"/>
        </w:rPr>
        <w:t xml:space="preserve">; </w:t>
      </w:r>
      <w:r w:rsidR="00AA29BE" w:rsidRPr="00D24E96">
        <w:rPr>
          <w:color w:val="auto"/>
          <w:lang w:val="es-ES"/>
        </w:rPr>
        <w:t>(i</w:t>
      </w:r>
      <w:r w:rsidR="00B412E7" w:rsidRPr="00D24E96">
        <w:rPr>
          <w:color w:val="auto"/>
          <w:lang w:val="es-ES"/>
        </w:rPr>
        <w:t xml:space="preserve">i) </w:t>
      </w:r>
      <w:r w:rsidR="00B412E7" w:rsidRPr="006129C5">
        <w:rPr>
          <w:color w:val="auto"/>
          <w:lang w:val="es-ES"/>
        </w:rPr>
        <w:t>las auditorías recurrentes</w:t>
      </w:r>
      <w:r w:rsidR="005E19A1" w:rsidRPr="006129C5">
        <w:rPr>
          <w:color w:val="auto"/>
          <w:lang w:val="es-ES"/>
        </w:rPr>
        <w:t>,</w:t>
      </w:r>
      <w:r w:rsidR="00322A54" w:rsidRPr="006129C5">
        <w:rPr>
          <w:color w:val="auto"/>
          <w:lang w:val="es-ES"/>
        </w:rPr>
        <w:t xml:space="preserve"> </w:t>
      </w:r>
      <w:r w:rsidR="005E19A1" w:rsidRPr="006129C5">
        <w:rPr>
          <w:color w:val="auto"/>
          <w:lang w:val="es-ES"/>
        </w:rPr>
        <w:t xml:space="preserve">que </w:t>
      </w:r>
      <w:r w:rsidR="00747341" w:rsidRPr="006129C5">
        <w:rPr>
          <w:color w:val="auto"/>
          <w:lang w:val="es-ES"/>
        </w:rPr>
        <w:t>evaluarán</w:t>
      </w:r>
      <w:r w:rsidR="002D3989" w:rsidRPr="006129C5">
        <w:rPr>
          <w:color w:val="auto"/>
          <w:lang w:val="es-ES"/>
        </w:rPr>
        <w:t xml:space="preserve"> </w:t>
      </w:r>
      <w:r w:rsidR="0043178B" w:rsidRPr="006129C5">
        <w:rPr>
          <w:color w:val="auto"/>
          <w:lang w:val="es-ES"/>
        </w:rPr>
        <w:t xml:space="preserve">el desempeño de las regionales de salud que se encuentren bajo el </w:t>
      </w:r>
      <w:r w:rsidR="00772097" w:rsidRPr="006129C5">
        <w:rPr>
          <w:color w:val="auto"/>
          <w:lang w:val="es-ES"/>
        </w:rPr>
        <w:t>modelo</w:t>
      </w:r>
      <w:r w:rsidR="0043178B" w:rsidRPr="006129C5">
        <w:rPr>
          <w:color w:val="auto"/>
          <w:lang w:val="es-ES"/>
        </w:rPr>
        <w:t xml:space="preserve"> de financiamiento basado en resultados</w:t>
      </w:r>
      <w:r w:rsidR="00DE0B73" w:rsidRPr="006129C5">
        <w:rPr>
          <w:color w:val="auto"/>
          <w:lang w:val="es-ES"/>
        </w:rPr>
        <w:t xml:space="preserve"> (FBR)</w:t>
      </w:r>
      <w:r w:rsidR="00904DFA" w:rsidRPr="006129C5">
        <w:rPr>
          <w:color w:val="auto"/>
          <w:lang w:val="es-ES"/>
        </w:rPr>
        <w:t xml:space="preserve">, en </w:t>
      </w:r>
      <w:r w:rsidR="00EA48A3">
        <w:rPr>
          <w:color w:val="auto"/>
          <w:lang w:val="es-ES"/>
        </w:rPr>
        <w:t>relación al avance en las</w:t>
      </w:r>
      <w:r w:rsidR="00776BCE" w:rsidRPr="006129C5">
        <w:rPr>
          <w:color w:val="auto"/>
          <w:lang w:val="es-ES"/>
        </w:rPr>
        <w:t xml:space="preserve"> meta</w:t>
      </w:r>
      <w:r w:rsidR="00EA48A3">
        <w:rPr>
          <w:color w:val="auto"/>
          <w:lang w:val="es-ES"/>
        </w:rPr>
        <w:t>s</w:t>
      </w:r>
      <w:r w:rsidR="00776BCE" w:rsidRPr="006129C5">
        <w:rPr>
          <w:color w:val="auto"/>
          <w:lang w:val="es-ES"/>
        </w:rPr>
        <w:t xml:space="preserve"> comprometidos</w:t>
      </w:r>
      <w:r w:rsidR="00326A72" w:rsidRPr="006129C5">
        <w:rPr>
          <w:color w:val="auto"/>
          <w:lang w:val="es-ES"/>
        </w:rPr>
        <w:t xml:space="preserve"> en los convenios</w:t>
      </w:r>
      <w:r w:rsidR="00CD64B6">
        <w:rPr>
          <w:color w:val="auto"/>
          <w:lang w:val="es-ES"/>
        </w:rPr>
        <w:t xml:space="preserve"> de gestión</w:t>
      </w:r>
      <w:r w:rsidR="00583CF9" w:rsidRPr="00D24E96">
        <w:rPr>
          <w:color w:val="auto"/>
          <w:lang w:val="es-ES"/>
        </w:rPr>
        <w:t xml:space="preserve">; </w:t>
      </w:r>
      <w:r w:rsidR="00F32D33" w:rsidRPr="00D24E96">
        <w:rPr>
          <w:color w:val="auto"/>
          <w:lang w:val="es-ES"/>
        </w:rPr>
        <w:t>(i</w:t>
      </w:r>
      <w:r w:rsidR="00395B33" w:rsidRPr="00D24E96">
        <w:rPr>
          <w:color w:val="auto"/>
          <w:lang w:val="es-ES"/>
        </w:rPr>
        <w:t>ii</w:t>
      </w:r>
      <w:r w:rsidR="000B6B82" w:rsidRPr="00D24E96">
        <w:rPr>
          <w:color w:val="auto"/>
          <w:lang w:val="es-ES"/>
        </w:rPr>
        <w:t>)</w:t>
      </w:r>
      <w:r w:rsidR="00F32D33" w:rsidRPr="00D24E96">
        <w:rPr>
          <w:color w:val="auto"/>
          <w:lang w:val="es-ES"/>
        </w:rPr>
        <w:t xml:space="preserve"> </w:t>
      </w:r>
      <w:r w:rsidR="00B96557" w:rsidRPr="00D24E96">
        <w:rPr>
          <w:color w:val="auto"/>
          <w:lang w:val="es-ES"/>
        </w:rPr>
        <w:t xml:space="preserve">el Plan de Ejecución del Proyecto y el Plan Operativo Anual; </w:t>
      </w:r>
      <w:r w:rsidR="00E0545D" w:rsidRPr="00D24E96">
        <w:rPr>
          <w:color w:val="auto"/>
          <w:lang w:val="es-ES"/>
        </w:rPr>
        <w:t>(</w:t>
      </w:r>
      <w:r w:rsidR="00395B33" w:rsidRPr="00D24E96">
        <w:rPr>
          <w:color w:val="auto"/>
          <w:lang w:val="es-ES"/>
        </w:rPr>
        <w:t>i</w:t>
      </w:r>
      <w:r w:rsidR="00B96557" w:rsidRPr="00D24E96">
        <w:rPr>
          <w:color w:val="auto"/>
          <w:lang w:val="es-ES"/>
        </w:rPr>
        <w:t>v) el Plan de Adquisiciones</w:t>
      </w:r>
      <w:r w:rsidR="00705A04" w:rsidRPr="00D24E96">
        <w:rPr>
          <w:color w:val="auto"/>
          <w:lang w:val="es-ES"/>
        </w:rPr>
        <w:t>; (v) el</w:t>
      </w:r>
      <w:r w:rsidR="00705A04" w:rsidRPr="00D24E96">
        <w:rPr>
          <w:b/>
          <w:color w:val="auto"/>
          <w:lang w:val="es-ES"/>
        </w:rPr>
        <w:t xml:space="preserve"> </w:t>
      </w:r>
      <w:r w:rsidR="009860E4" w:rsidRPr="00D24E96">
        <w:rPr>
          <w:color w:val="auto"/>
          <w:lang w:val="es-ES"/>
        </w:rPr>
        <w:t>Informe de Monitoreo del Progreso (PMR)</w:t>
      </w:r>
      <w:r w:rsidR="000F6D4F" w:rsidRPr="00D24E96">
        <w:rPr>
          <w:color w:val="auto"/>
          <w:lang w:val="es-ES"/>
        </w:rPr>
        <w:t xml:space="preserve">, que seguirá en el corto plazo el desarrollo de las metas de la Matriz de Resultados del Proyecto; </w:t>
      </w:r>
      <w:r w:rsidR="00006251" w:rsidRPr="00D24E96">
        <w:rPr>
          <w:color w:val="auto"/>
          <w:lang w:val="es-ES"/>
        </w:rPr>
        <w:t>y</w:t>
      </w:r>
      <w:r w:rsidR="0065069B" w:rsidRPr="00D24E96">
        <w:rPr>
          <w:color w:val="auto"/>
          <w:lang w:val="es-ES"/>
        </w:rPr>
        <w:t xml:space="preserve"> </w:t>
      </w:r>
      <w:r w:rsidR="001826E4" w:rsidRPr="00D24E96">
        <w:rPr>
          <w:color w:val="auto"/>
          <w:lang w:val="es-ES"/>
        </w:rPr>
        <w:t>(</w:t>
      </w:r>
      <w:r w:rsidR="00EF4E69" w:rsidRPr="00D24E96">
        <w:rPr>
          <w:color w:val="auto"/>
          <w:lang w:val="es-ES"/>
        </w:rPr>
        <w:t>v</w:t>
      </w:r>
      <w:r w:rsidR="001826E4" w:rsidRPr="00D24E96">
        <w:rPr>
          <w:color w:val="auto"/>
          <w:lang w:val="es-ES"/>
        </w:rPr>
        <w:t>i</w:t>
      </w:r>
      <w:r w:rsidR="00EF4E69" w:rsidRPr="00D24E96">
        <w:rPr>
          <w:color w:val="auto"/>
          <w:lang w:val="es-ES"/>
        </w:rPr>
        <w:t xml:space="preserve">) </w:t>
      </w:r>
      <w:r w:rsidR="0092386C" w:rsidRPr="00D24E96">
        <w:rPr>
          <w:color w:val="auto"/>
          <w:lang w:val="es-ES"/>
        </w:rPr>
        <w:t xml:space="preserve">los </w:t>
      </w:r>
      <w:r w:rsidR="00EF4E69" w:rsidRPr="00D24E96">
        <w:rPr>
          <w:color w:val="auto"/>
          <w:lang w:val="es-ES"/>
        </w:rPr>
        <w:t>informes de evaluació</w:t>
      </w:r>
      <w:r w:rsidR="003F2410" w:rsidRPr="00D24E96">
        <w:rPr>
          <w:color w:val="auto"/>
          <w:lang w:val="es-ES"/>
        </w:rPr>
        <w:t>n e</w:t>
      </w:r>
      <w:r w:rsidR="00970EFD" w:rsidRPr="00D24E96">
        <w:rPr>
          <w:color w:val="auto"/>
          <w:lang w:val="es-ES"/>
        </w:rPr>
        <w:t xml:space="preserve"> </w:t>
      </w:r>
      <w:r w:rsidR="003F2410" w:rsidRPr="00D24E96">
        <w:rPr>
          <w:color w:val="auto"/>
          <w:lang w:val="es-ES"/>
        </w:rPr>
        <w:t>impacto</w:t>
      </w:r>
      <w:r w:rsidR="00104D9C">
        <w:rPr>
          <w:color w:val="auto"/>
          <w:lang w:val="es-ES"/>
        </w:rPr>
        <w:t xml:space="preserve"> del p</w:t>
      </w:r>
      <w:r w:rsidR="001F26C3" w:rsidRPr="00D24E96">
        <w:rPr>
          <w:color w:val="auto"/>
          <w:lang w:val="es-ES"/>
        </w:rPr>
        <w:t>r</w:t>
      </w:r>
      <w:r w:rsidR="00252461" w:rsidRPr="00D24E96">
        <w:rPr>
          <w:color w:val="auto"/>
          <w:lang w:val="es-ES"/>
        </w:rPr>
        <w:t>o</w:t>
      </w:r>
      <w:r w:rsidR="00E8348A" w:rsidRPr="00D24E96">
        <w:rPr>
          <w:color w:val="auto"/>
          <w:lang w:val="es-ES"/>
        </w:rPr>
        <w:t>grama</w:t>
      </w:r>
      <w:r w:rsidR="00A568EF" w:rsidRPr="00D24E96">
        <w:rPr>
          <w:color w:val="auto"/>
          <w:lang w:val="es-ES"/>
        </w:rPr>
        <w:t>.</w:t>
      </w:r>
      <w:r w:rsidR="0092386C" w:rsidRPr="00D24E96">
        <w:rPr>
          <w:color w:val="auto"/>
          <w:lang w:val="es-ES"/>
        </w:rPr>
        <w:t xml:space="preserve"> </w:t>
      </w:r>
    </w:p>
    <w:p w:rsidR="004D34DE" w:rsidRPr="00D24E96" w:rsidRDefault="004D34DE" w:rsidP="00C17027">
      <w:pPr>
        <w:pStyle w:val="Style1"/>
        <w:numPr>
          <w:ilvl w:val="0"/>
          <w:numId w:val="0"/>
        </w:numPr>
        <w:spacing w:line="240" w:lineRule="auto"/>
        <w:ind w:left="360"/>
        <w:rPr>
          <w:color w:val="auto"/>
          <w:lang w:val="es-ES"/>
        </w:rPr>
      </w:pPr>
    </w:p>
    <w:p w:rsidR="0046522C" w:rsidRDefault="006922FF" w:rsidP="0046522C">
      <w:pPr>
        <w:pStyle w:val="Style1"/>
        <w:tabs>
          <w:tab w:val="clear" w:pos="720"/>
          <w:tab w:val="num" w:pos="540"/>
        </w:tabs>
        <w:spacing w:line="240" w:lineRule="auto"/>
        <w:ind w:left="360"/>
      </w:pPr>
      <w:r>
        <w:rPr>
          <w:color w:val="auto"/>
          <w:lang w:val="es-ES"/>
        </w:rPr>
        <w:t>Por último, la tercera sección presentará e</w:t>
      </w:r>
      <w:r w:rsidR="008462D1" w:rsidRPr="0046522C">
        <w:rPr>
          <w:color w:val="auto"/>
          <w:lang w:val="es-ES"/>
        </w:rPr>
        <w:t xml:space="preserve">l </w:t>
      </w:r>
      <w:r w:rsidR="00A22780" w:rsidRPr="0046522C">
        <w:rPr>
          <w:color w:val="auto"/>
          <w:lang w:val="es-ES"/>
        </w:rPr>
        <w:t>Plan de E</w:t>
      </w:r>
      <w:r w:rsidR="008462D1" w:rsidRPr="0046522C">
        <w:rPr>
          <w:color w:val="auto"/>
          <w:lang w:val="es-ES"/>
        </w:rPr>
        <w:t>valuación del Proyecto</w:t>
      </w:r>
      <w:r>
        <w:rPr>
          <w:color w:val="auto"/>
          <w:lang w:val="es-ES"/>
        </w:rPr>
        <w:t>, el cual</w:t>
      </w:r>
      <w:r w:rsidR="009F7082" w:rsidRPr="0046522C">
        <w:rPr>
          <w:color w:val="auto"/>
          <w:lang w:val="es-ES"/>
        </w:rPr>
        <w:t xml:space="preserve"> estará orientado a</w:t>
      </w:r>
      <w:r w:rsidR="00C17027" w:rsidRPr="0046522C">
        <w:rPr>
          <w:color w:val="auto"/>
          <w:lang w:val="es-ES"/>
        </w:rPr>
        <w:t xml:space="preserve"> </w:t>
      </w:r>
      <w:r w:rsidR="001A2ECD">
        <w:rPr>
          <w:color w:val="auto"/>
          <w:lang w:val="es-ES"/>
        </w:rPr>
        <w:t>medir la</w:t>
      </w:r>
      <w:r w:rsidR="0042702F" w:rsidRPr="0046522C">
        <w:rPr>
          <w:color w:val="auto"/>
          <w:lang w:val="es-ES"/>
        </w:rPr>
        <w:t xml:space="preserve"> efectividad </w:t>
      </w:r>
      <w:r w:rsidR="00074B0F" w:rsidRPr="0046522C">
        <w:rPr>
          <w:color w:val="auto"/>
          <w:lang w:val="es-ES"/>
        </w:rPr>
        <w:t xml:space="preserve">del gasto en salud </w:t>
      </w:r>
      <w:r w:rsidR="00486497" w:rsidRPr="0046522C">
        <w:rPr>
          <w:color w:val="auto"/>
          <w:lang w:val="es-ES"/>
        </w:rPr>
        <w:t>destinad</w:t>
      </w:r>
      <w:r w:rsidR="00486497">
        <w:rPr>
          <w:color w:val="auto"/>
          <w:lang w:val="es-ES"/>
        </w:rPr>
        <w:t>o</w:t>
      </w:r>
      <w:r w:rsidR="00486497" w:rsidRPr="0046522C">
        <w:rPr>
          <w:color w:val="auto"/>
          <w:lang w:val="es-ES"/>
        </w:rPr>
        <w:t xml:space="preserve"> </w:t>
      </w:r>
      <w:r w:rsidR="00074B0F" w:rsidRPr="0046522C">
        <w:rPr>
          <w:color w:val="auto"/>
          <w:lang w:val="es-ES"/>
        </w:rPr>
        <w:t>a la población más vulnerable</w:t>
      </w:r>
      <w:r w:rsidR="005E19A1" w:rsidRPr="0046522C">
        <w:rPr>
          <w:color w:val="auto"/>
          <w:lang w:val="es-ES"/>
        </w:rPr>
        <w:t xml:space="preserve">. </w:t>
      </w:r>
      <w:r w:rsidR="0046522C">
        <w:rPr>
          <w:color w:val="auto"/>
          <w:lang w:val="es-ES"/>
        </w:rPr>
        <w:t xml:space="preserve">En particular, se estará realizando la evaluación de impacto </w:t>
      </w:r>
      <w:r w:rsidR="001601A3">
        <w:rPr>
          <w:color w:val="auto"/>
          <w:lang w:val="es-ES"/>
        </w:rPr>
        <w:t xml:space="preserve">cuasi-experimental </w:t>
      </w:r>
      <w:r w:rsidR="0046522C">
        <w:rPr>
          <w:color w:val="auto"/>
          <w:lang w:val="es-ES"/>
        </w:rPr>
        <w:t>de la expansión del modelo de finan</w:t>
      </w:r>
      <w:r w:rsidR="00B22D1C">
        <w:rPr>
          <w:color w:val="auto"/>
          <w:lang w:val="es-ES"/>
        </w:rPr>
        <w:t xml:space="preserve">ciamiento basado en resultados </w:t>
      </w:r>
      <w:r w:rsidR="0046522C">
        <w:rPr>
          <w:color w:val="auto"/>
          <w:lang w:val="es-ES"/>
        </w:rPr>
        <w:t xml:space="preserve">(FBR) en el </w:t>
      </w:r>
      <w:r w:rsidR="008E1D41">
        <w:rPr>
          <w:color w:val="auto"/>
          <w:lang w:val="es-ES"/>
        </w:rPr>
        <w:t xml:space="preserve">primer nivel </w:t>
      </w:r>
      <w:r w:rsidR="0058607A">
        <w:rPr>
          <w:color w:val="auto"/>
          <w:lang w:val="es-ES"/>
        </w:rPr>
        <w:t xml:space="preserve">de </w:t>
      </w:r>
      <w:r w:rsidR="008426FB">
        <w:rPr>
          <w:color w:val="auto"/>
          <w:lang w:val="es-ES"/>
        </w:rPr>
        <w:t>atención</w:t>
      </w:r>
      <w:r w:rsidR="0046522C">
        <w:rPr>
          <w:color w:val="auto"/>
          <w:lang w:val="es-ES"/>
        </w:rPr>
        <w:t xml:space="preserve">, tanto en indicadores de gestión </w:t>
      </w:r>
      <w:r w:rsidR="001A611C">
        <w:rPr>
          <w:color w:val="auto"/>
          <w:lang w:val="es-ES"/>
        </w:rPr>
        <w:t xml:space="preserve">de las regionales </w:t>
      </w:r>
      <w:r w:rsidR="0046522C">
        <w:rPr>
          <w:color w:val="auto"/>
          <w:lang w:val="es-ES"/>
        </w:rPr>
        <w:t xml:space="preserve">como en indicadores de salud finales de la población objetivo. Esta evaluación constituye </w:t>
      </w:r>
      <w:r w:rsidR="0046522C">
        <w:t xml:space="preserve">una oportunidad importante </w:t>
      </w:r>
      <w:r w:rsidR="00D47E22">
        <w:t xml:space="preserve">para </w:t>
      </w:r>
      <w:r w:rsidR="0046522C">
        <w:t xml:space="preserve">generar conocimiento acerca de un tipo de intervención cada vez más popular en la región, pero en donde aún es necesario generar evidencia </w:t>
      </w:r>
      <w:r w:rsidR="00E83BD5">
        <w:t xml:space="preserve">rigurosa </w:t>
      </w:r>
      <w:r w:rsidR="0046522C">
        <w:t xml:space="preserve">sobre su efectividad y replicabilidad.  </w:t>
      </w:r>
    </w:p>
    <w:p w:rsidR="00925AAD" w:rsidRPr="0046522C" w:rsidRDefault="00925AAD" w:rsidP="004964D2">
      <w:pPr>
        <w:pStyle w:val="Style1"/>
        <w:numPr>
          <w:ilvl w:val="0"/>
          <w:numId w:val="0"/>
        </w:numPr>
        <w:spacing w:line="240" w:lineRule="auto"/>
        <w:ind w:left="360"/>
        <w:rPr>
          <w:lang w:val="es-ES"/>
        </w:rPr>
      </w:pPr>
    </w:p>
    <w:p w:rsidR="00925AAD" w:rsidRDefault="00925AAD" w:rsidP="00CC2E51">
      <w:pPr>
        <w:pStyle w:val="Style1"/>
        <w:numPr>
          <w:ilvl w:val="0"/>
          <w:numId w:val="0"/>
        </w:numPr>
        <w:spacing w:line="240" w:lineRule="auto"/>
        <w:ind w:left="720" w:hanging="360"/>
        <w:rPr>
          <w:color w:val="auto"/>
          <w:lang w:val="es-ES"/>
        </w:rPr>
      </w:pPr>
    </w:p>
    <w:p w:rsidR="00925AAD" w:rsidRDefault="00925AAD" w:rsidP="00CC2E51">
      <w:pPr>
        <w:pStyle w:val="Style1"/>
        <w:numPr>
          <w:ilvl w:val="0"/>
          <w:numId w:val="0"/>
        </w:numPr>
        <w:spacing w:line="240" w:lineRule="auto"/>
        <w:ind w:left="720" w:hanging="360"/>
        <w:rPr>
          <w:color w:val="auto"/>
          <w:lang w:val="es-ES"/>
        </w:rPr>
      </w:pPr>
    </w:p>
    <w:p w:rsidR="00925AAD" w:rsidRDefault="00925AAD" w:rsidP="00CC2E51">
      <w:pPr>
        <w:pStyle w:val="Style1"/>
        <w:numPr>
          <w:ilvl w:val="0"/>
          <w:numId w:val="0"/>
        </w:numPr>
        <w:spacing w:line="240" w:lineRule="auto"/>
        <w:ind w:left="720" w:hanging="360"/>
        <w:rPr>
          <w:color w:val="auto"/>
          <w:lang w:val="es-ES"/>
        </w:rPr>
      </w:pPr>
    </w:p>
    <w:p w:rsidR="00DD2939" w:rsidRDefault="00DD2939" w:rsidP="00CC2E51">
      <w:pPr>
        <w:pStyle w:val="Style1"/>
        <w:numPr>
          <w:ilvl w:val="0"/>
          <w:numId w:val="0"/>
        </w:numPr>
        <w:spacing w:line="240" w:lineRule="auto"/>
        <w:ind w:left="720" w:hanging="360"/>
        <w:rPr>
          <w:color w:val="auto"/>
          <w:lang w:val="es-ES"/>
        </w:rPr>
      </w:pPr>
    </w:p>
    <w:p w:rsidR="00F15AE5" w:rsidRDefault="00F15AE5" w:rsidP="00CC2E51">
      <w:pPr>
        <w:pStyle w:val="Style1"/>
        <w:numPr>
          <w:ilvl w:val="0"/>
          <w:numId w:val="0"/>
        </w:numPr>
        <w:spacing w:line="240" w:lineRule="auto"/>
        <w:ind w:left="720" w:hanging="360"/>
        <w:rPr>
          <w:color w:val="auto"/>
          <w:lang w:val="es-ES"/>
        </w:rPr>
      </w:pPr>
    </w:p>
    <w:p w:rsidR="00053BAB" w:rsidRDefault="00053BAB" w:rsidP="00CC2E51">
      <w:pPr>
        <w:pStyle w:val="Style1"/>
        <w:numPr>
          <w:ilvl w:val="0"/>
          <w:numId w:val="0"/>
        </w:numPr>
        <w:spacing w:line="240" w:lineRule="auto"/>
        <w:ind w:left="720" w:hanging="360"/>
        <w:rPr>
          <w:color w:val="auto"/>
          <w:lang w:val="es-ES"/>
        </w:rPr>
      </w:pPr>
    </w:p>
    <w:p w:rsidR="00925AAD" w:rsidRDefault="00925AAD">
      <w:pPr>
        <w:pStyle w:val="Style1"/>
        <w:numPr>
          <w:ilvl w:val="0"/>
          <w:numId w:val="0"/>
        </w:numPr>
        <w:spacing w:line="240" w:lineRule="auto"/>
        <w:rPr>
          <w:color w:val="auto"/>
          <w:lang w:val="es-ES"/>
        </w:rPr>
      </w:pPr>
    </w:p>
    <w:p w:rsidR="00925AAD" w:rsidRDefault="00925AAD" w:rsidP="00CC2E51">
      <w:pPr>
        <w:pStyle w:val="Style1"/>
        <w:numPr>
          <w:ilvl w:val="0"/>
          <w:numId w:val="0"/>
        </w:numPr>
        <w:spacing w:line="240" w:lineRule="auto"/>
        <w:ind w:left="720" w:hanging="360"/>
        <w:rPr>
          <w:color w:val="auto"/>
          <w:lang w:val="es-ES"/>
        </w:rPr>
      </w:pPr>
    </w:p>
    <w:p w:rsidR="001B5186" w:rsidRPr="00CC2E51" w:rsidRDefault="00722D55" w:rsidP="00B83663">
      <w:pPr>
        <w:pStyle w:val="ColorfulList-Accent11"/>
        <w:numPr>
          <w:ilvl w:val="0"/>
          <w:numId w:val="10"/>
        </w:numPr>
        <w:spacing w:after="0" w:line="240" w:lineRule="auto"/>
        <w:jc w:val="both"/>
        <w:rPr>
          <w:rFonts w:ascii="Times New Roman" w:hAnsi="Times New Roman"/>
          <w:b/>
        </w:rPr>
      </w:pPr>
      <w:r w:rsidRPr="00CC2E51">
        <w:rPr>
          <w:rFonts w:ascii="Times New Roman" w:hAnsi="Times New Roman"/>
          <w:b/>
        </w:rPr>
        <w:t>Monitoreo y seguimiento</w:t>
      </w:r>
    </w:p>
    <w:p w:rsidR="001B5186" w:rsidRPr="00CC2E51" w:rsidRDefault="001B5186" w:rsidP="008A25B6">
      <w:pPr>
        <w:pStyle w:val="ColorfulList-Accent11"/>
        <w:spacing w:after="0" w:line="240" w:lineRule="auto"/>
        <w:ind w:left="1080"/>
        <w:jc w:val="both"/>
        <w:rPr>
          <w:rFonts w:ascii="Times New Roman" w:hAnsi="Times New Roman"/>
          <w:b/>
        </w:rPr>
      </w:pPr>
    </w:p>
    <w:p w:rsidR="001B5186" w:rsidRDefault="00DA1B05" w:rsidP="008A25B6">
      <w:pPr>
        <w:pStyle w:val="Style1"/>
        <w:spacing w:line="240" w:lineRule="auto"/>
        <w:ind w:left="360"/>
        <w:rPr>
          <w:color w:val="auto"/>
          <w:lang w:val="es-ES"/>
        </w:rPr>
      </w:pPr>
      <w:r w:rsidRPr="008B6F95">
        <w:rPr>
          <w:color w:val="auto"/>
          <w:lang w:val="es-ES"/>
        </w:rPr>
        <w:t>El</w:t>
      </w:r>
      <w:r w:rsidR="00524608">
        <w:rPr>
          <w:color w:val="auto"/>
          <w:lang w:val="es-ES"/>
        </w:rPr>
        <w:t xml:space="preserve"> MSP</w:t>
      </w:r>
      <w:r w:rsidR="00653F7F">
        <w:rPr>
          <w:color w:val="auto"/>
          <w:lang w:val="es-ES"/>
        </w:rPr>
        <w:t>, mediante la Dirección de Desarrollo Estratégico Institucional (DDEI),</w:t>
      </w:r>
      <w:r w:rsidRPr="008B6F95">
        <w:rPr>
          <w:color w:val="auto"/>
          <w:lang w:val="es-ES"/>
        </w:rPr>
        <w:t xml:space="preserve"> será la entidad responsable </w:t>
      </w:r>
      <w:r w:rsidR="001F34FD" w:rsidRPr="008B6F95">
        <w:rPr>
          <w:color w:val="auto"/>
          <w:lang w:val="es-ES"/>
        </w:rPr>
        <w:t>de monitorear</w:t>
      </w:r>
      <w:r w:rsidRPr="008B6F95">
        <w:rPr>
          <w:color w:val="auto"/>
          <w:lang w:val="es-ES"/>
        </w:rPr>
        <w:t xml:space="preserve"> la ejecución del proyecto y proveer al Banco toda la información de monitoreo y gestión necesaria para medi</w:t>
      </w:r>
      <w:r w:rsidR="00664823" w:rsidRPr="008B6F95">
        <w:rPr>
          <w:color w:val="auto"/>
          <w:lang w:val="es-ES"/>
        </w:rPr>
        <w:t>r el avance de las actividades</w:t>
      </w:r>
      <w:r w:rsidR="00FC41EC">
        <w:rPr>
          <w:color w:val="auto"/>
          <w:lang w:val="es-ES"/>
        </w:rPr>
        <w:t xml:space="preserve"> y </w:t>
      </w:r>
      <w:r w:rsidR="005D44A1" w:rsidRPr="008B6F95">
        <w:rPr>
          <w:color w:val="auto"/>
          <w:lang w:val="es-ES"/>
        </w:rPr>
        <w:t>determinar de fo</w:t>
      </w:r>
      <w:r w:rsidR="002C7EEF">
        <w:rPr>
          <w:color w:val="auto"/>
          <w:lang w:val="es-ES"/>
        </w:rPr>
        <w:t xml:space="preserve">rma oportuna los ajustes que las mismas </w:t>
      </w:r>
      <w:r w:rsidR="005D44A1" w:rsidRPr="008B6F95">
        <w:rPr>
          <w:color w:val="auto"/>
          <w:lang w:val="es-ES"/>
        </w:rPr>
        <w:t xml:space="preserve">requieran </w:t>
      </w:r>
      <w:r w:rsidR="001F34FD" w:rsidRPr="008B6F95">
        <w:rPr>
          <w:color w:val="auto"/>
          <w:lang w:val="es-ES"/>
        </w:rPr>
        <w:t>durante la</w:t>
      </w:r>
      <w:r w:rsidR="005D44A1" w:rsidRPr="008B6F95">
        <w:rPr>
          <w:color w:val="auto"/>
          <w:lang w:val="es-ES"/>
        </w:rPr>
        <w:t xml:space="preserve"> ejecución</w:t>
      </w:r>
      <w:r w:rsidR="001F34FD" w:rsidRPr="008B6F95">
        <w:rPr>
          <w:color w:val="auto"/>
          <w:lang w:val="es-ES"/>
        </w:rPr>
        <w:t xml:space="preserve"> del proyecto</w:t>
      </w:r>
      <w:r w:rsidR="00664823" w:rsidRPr="008B6F95">
        <w:rPr>
          <w:color w:val="auto"/>
          <w:lang w:val="es-ES"/>
        </w:rPr>
        <w:t xml:space="preserve">. </w:t>
      </w:r>
    </w:p>
    <w:p w:rsidR="00DA6048" w:rsidRDefault="00DA6048" w:rsidP="00DA6048">
      <w:pPr>
        <w:pStyle w:val="Style1"/>
        <w:numPr>
          <w:ilvl w:val="0"/>
          <w:numId w:val="0"/>
        </w:numPr>
        <w:spacing w:line="240" w:lineRule="auto"/>
        <w:ind w:left="360"/>
        <w:rPr>
          <w:color w:val="auto"/>
          <w:lang w:val="es-ES"/>
        </w:rPr>
      </w:pPr>
    </w:p>
    <w:p w:rsidR="00DA6048" w:rsidRDefault="00DA6048" w:rsidP="00DA6048">
      <w:pPr>
        <w:pStyle w:val="Style1"/>
        <w:spacing w:line="240" w:lineRule="auto"/>
        <w:ind w:left="360"/>
        <w:rPr>
          <w:color w:val="auto"/>
          <w:lang w:val="es-ES"/>
        </w:rPr>
      </w:pPr>
      <w:r>
        <w:rPr>
          <w:color w:val="auto"/>
          <w:lang w:val="es-ES"/>
        </w:rPr>
        <w:t>El monitoreo y seguimiento por parte del Ministerio est</w:t>
      </w:r>
      <w:r w:rsidR="00FF6A7F">
        <w:rPr>
          <w:color w:val="auto"/>
          <w:lang w:val="es-ES"/>
        </w:rPr>
        <w:t xml:space="preserve">ará </w:t>
      </w:r>
      <w:r>
        <w:rPr>
          <w:color w:val="auto"/>
          <w:lang w:val="es-ES"/>
        </w:rPr>
        <w:t>relacionado</w:t>
      </w:r>
      <w:r w:rsidRPr="00DA6048">
        <w:rPr>
          <w:color w:val="auto"/>
          <w:lang w:val="es-ES"/>
        </w:rPr>
        <w:t xml:space="preserve"> con:</w:t>
      </w:r>
    </w:p>
    <w:p w:rsidR="00DA6048" w:rsidRDefault="00DA6048" w:rsidP="00DA6048">
      <w:pPr>
        <w:pStyle w:val="ListParagraph"/>
        <w:rPr>
          <w:lang w:val="es-ES"/>
        </w:rPr>
      </w:pPr>
    </w:p>
    <w:p w:rsidR="00DA6048" w:rsidRPr="00DA6048" w:rsidRDefault="00DA6048" w:rsidP="00B83663">
      <w:pPr>
        <w:pStyle w:val="Style1"/>
        <w:numPr>
          <w:ilvl w:val="0"/>
          <w:numId w:val="12"/>
        </w:numPr>
        <w:spacing w:line="240" w:lineRule="auto"/>
        <w:rPr>
          <w:color w:val="auto"/>
          <w:lang w:val="es-ES"/>
        </w:rPr>
      </w:pPr>
      <w:r w:rsidRPr="00DA6048">
        <w:rPr>
          <w:color w:val="auto"/>
          <w:lang w:val="es-ES"/>
        </w:rPr>
        <w:t>Evaluar el</w:t>
      </w:r>
      <w:r w:rsidR="003D5204">
        <w:rPr>
          <w:color w:val="auto"/>
          <w:lang w:val="es-ES"/>
        </w:rPr>
        <w:t xml:space="preserve"> desempeño del proyecto</w:t>
      </w:r>
      <w:r w:rsidRPr="00DA6048">
        <w:rPr>
          <w:color w:val="auto"/>
          <w:lang w:val="es-ES"/>
        </w:rPr>
        <w:t xml:space="preserve"> para determinar </w:t>
      </w:r>
      <w:r>
        <w:rPr>
          <w:color w:val="auto"/>
          <w:lang w:val="es-ES"/>
        </w:rPr>
        <w:t>d</w:t>
      </w:r>
      <w:r w:rsidR="00FF6A7F">
        <w:rPr>
          <w:color w:val="auto"/>
          <w:lang w:val="es-ES"/>
        </w:rPr>
        <w:t>ón</w:t>
      </w:r>
      <w:r>
        <w:rPr>
          <w:color w:val="auto"/>
          <w:lang w:val="es-ES"/>
        </w:rPr>
        <w:t xml:space="preserve">de </w:t>
      </w:r>
      <w:r w:rsidR="00FF6A7F">
        <w:rPr>
          <w:color w:val="auto"/>
          <w:lang w:val="es-ES"/>
        </w:rPr>
        <w:t>aplicar</w:t>
      </w:r>
      <w:r w:rsidR="00FF6A7F" w:rsidRPr="00DA6048">
        <w:rPr>
          <w:color w:val="auto"/>
          <w:lang w:val="es-ES"/>
        </w:rPr>
        <w:t xml:space="preserve"> </w:t>
      </w:r>
      <w:r w:rsidRPr="00DA6048">
        <w:rPr>
          <w:color w:val="auto"/>
          <w:lang w:val="es-ES"/>
        </w:rPr>
        <w:t>acciones correctivas o</w:t>
      </w:r>
      <w:r>
        <w:rPr>
          <w:color w:val="auto"/>
          <w:lang w:val="es-ES"/>
        </w:rPr>
        <w:t xml:space="preserve"> </w:t>
      </w:r>
      <w:r w:rsidRPr="00DA6048">
        <w:rPr>
          <w:color w:val="auto"/>
          <w:lang w:val="es-ES"/>
        </w:rPr>
        <w:t>preventivas</w:t>
      </w:r>
      <w:r>
        <w:rPr>
          <w:color w:val="auto"/>
          <w:lang w:val="es-ES"/>
        </w:rPr>
        <w:t>.</w:t>
      </w:r>
    </w:p>
    <w:p w:rsidR="00DA6048" w:rsidRPr="00DA6048" w:rsidRDefault="00DA6048" w:rsidP="00B83663">
      <w:pPr>
        <w:pStyle w:val="Style1"/>
        <w:numPr>
          <w:ilvl w:val="0"/>
          <w:numId w:val="12"/>
        </w:numPr>
        <w:spacing w:line="240" w:lineRule="auto"/>
        <w:rPr>
          <w:color w:val="auto"/>
          <w:lang w:val="es-ES"/>
        </w:rPr>
      </w:pPr>
      <w:r w:rsidRPr="00DA6048">
        <w:rPr>
          <w:color w:val="auto"/>
          <w:lang w:val="es-ES"/>
        </w:rPr>
        <w:t>Analizar, efectuar el seguimiento y supervisar los riesgos del proyecto</w:t>
      </w:r>
      <w:r>
        <w:rPr>
          <w:color w:val="auto"/>
          <w:lang w:val="es-ES"/>
        </w:rPr>
        <w:t>.</w:t>
      </w:r>
    </w:p>
    <w:p w:rsidR="00DA6048" w:rsidRPr="004B791C" w:rsidRDefault="00DA6048" w:rsidP="00B83663">
      <w:pPr>
        <w:pStyle w:val="Style1"/>
        <w:numPr>
          <w:ilvl w:val="0"/>
          <w:numId w:val="12"/>
        </w:numPr>
        <w:spacing w:line="240" w:lineRule="auto"/>
        <w:rPr>
          <w:color w:val="auto"/>
          <w:lang w:val="es-ES"/>
        </w:rPr>
      </w:pPr>
      <w:r w:rsidRPr="00DA6048">
        <w:rPr>
          <w:color w:val="auto"/>
          <w:lang w:val="es-ES"/>
        </w:rPr>
        <w:t>Mantener una base de información precisa y actualizada de los entregables</w:t>
      </w:r>
      <w:r w:rsidR="004B791C">
        <w:rPr>
          <w:color w:val="auto"/>
          <w:lang w:val="es-ES"/>
        </w:rPr>
        <w:t xml:space="preserve"> </w:t>
      </w:r>
      <w:r w:rsidRPr="004B791C">
        <w:rPr>
          <w:color w:val="auto"/>
          <w:lang w:val="es-ES"/>
        </w:rPr>
        <w:t>del proyecto y su documentación relacionada.</w:t>
      </w:r>
    </w:p>
    <w:p w:rsidR="00DA6048" w:rsidRPr="00DA6048" w:rsidRDefault="00DA6048" w:rsidP="00B83663">
      <w:pPr>
        <w:pStyle w:val="Style1"/>
        <w:numPr>
          <w:ilvl w:val="0"/>
          <w:numId w:val="12"/>
        </w:numPr>
        <w:spacing w:line="240" w:lineRule="auto"/>
        <w:rPr>
          <w:color w:val="auto"/>
          <w:lang w:val="es-ES"/>
        </w:rPr>
      </w:pPr>
      <w:r w:rsidRPr="00DA6048">
        <w:rPr>
          <w:color w:val="auto"/>
          <w:lang w:val="es-ES"/>
        </w:rPr>
        <w:t xml:space="preserve">Proporcionar información para respaldar </w:t>
      </w:r>
      <w:r w:rsidRPr="00280995">
        <w:rPr>
          <w:color w:val="auto"/>
          <w:lang w:val="es-ES"/>
        </w:rPr>
        <w:t xml:space="preserve">el informe </w:t>
      </w:r>
      <w:r w:rsidR="00EB39BA">
        <w:rPr>
          <w:color w:val="auto"/>
          <w:lang w:val="es-ES"/>
        </w:rPr>
        <w:t>semestral.</w:t>
      </w:r>
    </w:p>
    <w:p w:rsidR="00DA6048" w:rsidRPr="00DA6048" w:rsidRDefault="00DA6048" w:rsidP="00B83663">
      <w:pPr>
        <w:pStyle w:val="Style1"/>
        <w:numPr>
          <w:ilvl w:val="0"/>
          <w:numId w:val="12"/>
        </w:numPr>
        <w:spacing w:line="240" w:lineRule="auto"/>
        <w:rPr>
          <w:color w:val="auto"/>
          <w:lang w:val="es-ES"/>
        </w:rPr>
      </w:pPr>
      <w:r w:rsidRPr="00DA6048">
        <w:rPr>
          <w:color w:val="auto"/>
          <w:lang w:val="es-ES"/>
        </w:rPr>
        <w:t>Suministrar proyecciones para actualizar la información del costo y</w:t>
      </w:r>
      <w:r>
        <w:rPr>
          <w:color w:val="auto"/>
          <w:lang w:val="es-ES"/>
        </w:rPr>
        <w:t xml:space="preserve"> </w:t>
      </w:r>
      <w:r w:rsidRPr="00DA6048">
        <w:rPr>
          <w:color w:val="auto"/>
          <w:lang w:val="es-ES"/>
        </w:rPr>
        <w:t>cronograma</w:t>
      </w:r>
      <w:r>
        <w:rPr>
          <w:color w:val="auto"/>
          <w:lang w:val="es-ES"/>
        </w:rPr>
        <w:t>.</w:t>
      </w:r>
    </w:p>
    <w:p w:rsidR="00DA6048" w:rsidRPr="008B6F95" w:rsidRDefault="00DA6048" w:rsidP="00B83663">
      <w:pPr>
        <w:pStyle w:val="Style1"/>
        <w:numPr>
          <w:ilvl w:val="0"/>
          <w:numId w:val="12"/>
        </w:numPr>
        <w:spacing w:line="240" w:lineRule="auto"/>
        <w:rPr>
          <w:color w:val="auto"/>
          <w:lang w:val="es-ES"/>
        </w:rPr>
      </w:pPr>
      <w:r w:rsidRPr="00DA6048">
        <w:rPr>
          <w:color w:val="auto"/>
          <w:lang w:val="es-ES"/>
        </w:rPr>
        <w:t>Supervisar la implementación de cambios aprobados</w:t>
      </w:r>
      <w:r>
        <w:rPr>
          <w:color w:val="auto"/>
          <w:lang w:val="es-ES"/>
        </w:rPr>
        <w:t>.</w:t>
      </w:r>
    </w:p>
    <w:p w:rsidR="004D0027" w:rsidRPr="00CC2E51" w:rsidRDefault="004D0027" w:rsidP="008A25B6">
      <w:pPr>
        <w:spacing w:after="0" w:line="240" w:lineRule="auto"/>
        <w:jc w:val="both"/>
        <w:rPr>
          <w:rFonts w:ascii="Times New Roman" w:hAnsi="Times New Roman"/>
        </w:rPr>
      </w:pPr>
    </w:p>
    <w:p w:rsidR="001B5186" w:rsidRPr="00CC2E51" w:rsidRDefault="00722D55" w:rsidP="00B83663">
      <w:pPr>
        <w:pStyle w:val="ColorfulList-Accent11"/>
        <w:numPr>
          <w:ilvl w:val="1"/>
          <w:numId w:val="2"/>
        </w:numPr>
        <w:spacing w:after="0" w:line="240" w:lineRule="auto"/>
        <w:ind w:left="1080"/>
        <w:jc w:val="both"/>
        <w:rPr>
          <w:rFonts w:ascii="Times New Roman" w:hAnsi="Times New Roman"/>
          <w:b/>
        </w:rPr>
      </w:pPr>
      <w:r w:rsidRPr="00CC2E51">
        <w:rPr>
          <w:rFonts w:ascii="Times New Roman" w:hAnsi="Times New Roman"/>
          <w:b/>
        </w:rPr>
        <w:t>Indicadores</w:t>
      </w:r>
    </w:p>
    <w:p w:rsidR="001B5186" w:rsidRPr="00CC2E51" w:rsidRDefault="00E94328" w:rsidP="00C17027">
      <w:pPr>
        <w:pStyle w:val="ColorfulList-Accent11"/>
        <w:tabs>
          <w:tab w:val="left" w:pos="2717"/>
        </w:tabs>
        <w:spacing w:after="0" w:line="240" w:lineRule="auto"/>
        <w:ind w:left="1080"/>
        <w:jc w:val="both"/>
        <w:rPr>
          <w:rFonts w:ascii="Times New Roman" w:hAnsi="Times New Roman"/>
          <w:b/>
        </w:rPr>
      </w:pPr>
      <w:r w:rsidRPr="00CC2E51">
        <w:rPr>
          <w:rFonts w:ascii="Times New Roman" w:hAnsi="Times New Roman"/>
          <w:b/>
        </w:rPr>
        <w:tab/>
      </w:r>
    </w:p>
    <w:p w:rsidR="001B5186" w:rsidRDefault="006A7617" w:rsidP="008A25B6">
      <w:pPr>
        <w:pStyle w:val="Style1"/>
        <w:spacing w:line="240" w:lineRule="auto"/>
        <w:ind w:left="360"/>
        <w:rPr>
          <w:color w:val="auto"/>
          <w:lang w:val="es-ES"/>
        </w:rPr>
      </w:pPr>
      <w:r w:rsidRPr="00CC2E51">
        <w:rPr>
          <w:color w:val="auto"/>
          <w:lang w:val="es-ES"/>
        </w:rPr>
        <w:t xml:space="preserve">Los indicadores de la </w:t>
      </w:r>
      <w:r w:rsidR="007F1665" w:rsidRPr="00CC2E51">
        <w:rPr>
          <w:color w:val="auto"/>
          <w:lang w:val="es-ES"/>
        </w:rPr>
        <w:t>M</w:t>
      </w:r>
      <w:r w:rsidRPr="00CC2E51">
        <w:rPr>
          <w:color w:val="auto"/>
          <w:lang w:val="es-ES"/>
        </w:rPr>
        <w:t xml:space="preserve">atriz de </w:t>
      </w:r>
      <w:r w:rsidR="007F1665" w:rsidRPr="00CC2E51">
        <w:rPr>
          <w:color w:val="auto"/>
          <w:lang w:val="es-ES"/>
        </w:rPr>
        <w:t>R</w:t>
      </w:r>
      <w:r w:rsidRPr="00CC2E51">
        <w:rPr>
          <w:color w:val="auto"/>
          <w:lang w:val="es-ES"/>
        </w:rPr>
        <w:t>esultados</w:t>
      </w:r>
      <w:r w:rsidR="00A4160E" w:rsidRPr="00CC2E51">
        <w:rPr>
          <w:color w:val="auto"/>
          <w:lang w:val="es-ES"/>
        </w:rPr>
        <w:t xml:space="preserve"> del Proyecto</w:t>
      </w:r>
      <w:r w:rsidRPr="00CC2E51">
        <w:rPr>
          <w:color w:val="auto"/>
          <w:lang w:val="es-ES"/>
        </w:rPr>
        <w:t>, sobre los cuales se realizará el monitoreo</w:t>
      </w:r>
      <w:r w:rsidR="00D41306" w:rsidRPr="00CC2E51">
        <w:rPr>
          <w:color w:val="auto"/>
          <w:lang w:val="es-ES"/>
        </w:rPr>
        <w:t xml:space="preserve"> y seguimiento</w:t>
      </w:r>
      <w:r w:rsidRPr="00CC2E51">
        <w:rPr>
          <w:color w:val="auto"/>
          <w:lang w:val="es-ES"/>
        </w:rPr>
        <w:t>, se present</w:t>
      </w:r>
      <w:r w:rsidR="0011004D">
        <w:rPr>
          <w:color w:val="auto"/>
          <w:lang w:val="es-ES"/>
        </w:rPr>
        <w:t>an en la Tabla 1 detallando la línea base y la meta acumulada.</w:t>
      </w:r>
    </w:p>
    <w:p w:rsidR="001F34FD" w:rsidRDefault="001F34FD" w:rsidP="001F34FD">
      <w:pPr>
        <w:pStyle w:val="Style1"/>
        <w:numPr>
          <w:ilvl w:val="0"/>
          <w:numId w:val="0"/>
        </w:numPr>
        <w:spacing w:line="240" w:lineRule="auto"/>
        <w:ind w:left="720" w:hanging="360"/>
        <w:rPr>
          <w:color w:val="auto"/>
          <w:lang w:val="es-ES"/>
        </w:rPr>
        <w:sectPr w:rsidR="001F34FD" w:rsidSect="001F34FD">
          <w:footerReference w:type="default" r:id="rId9"/>
          <w:pgSz w:w="12240" w:h="15840"/>
          <w:pgMar w:top="1440" w:right="1627" w:bottom="1440" w:left="1440" w:header="720" w:footer="720" w:gutter="0"/>
          <w:cols w:space="720"/>
          <w:docGrid w:linePitch="360"/>
        </w:sectPr>
      </w:pPr>
    </w:p>
    <w:p w:rsidR="001B5186" w:rsidRPr="00CC2E51" w:rsidRDefault="009860E4" w:rsidP="008A25B6">
      <w:pPr>
        <w:spacing w:after="0" w:line="240" w:lineRule="auto"/>
        <w:ind w:left="1080" w:hanging="1166"/>
        <w:jc w:val="center"/>
        <w:rPr>
          <w:rFonts w:ascii="Times New Roman" w:hAnsi="Times New Roman"/>
          <w:b/>
          <w:sz w:val="21"/>
          <w:szCs w:val="21"/>
        </w:rPr>
      </w:pPr>
      <w:r w:rsidRPr="00CC2E51">
        <w:rPr>
          <w:rFonts w:ascii="Times New Roman" w:hAnsi="Times New Roman"/>
          <w:b/>
          <w:sz w:val="21"/>
          <w:szCs w:val="21"/>
        </w:rPr>
        <w:t>Tabla 1</w:t>
      </w:r>
    </w:p>
    <w:p w:rsidR="007953F2" w:rsidRPr="003F1146" w:rsidRDefault="009860E4" w:rsidP="003F1146">
      <w:pPr>
        <w:spacing w:after="0" w:line="240" w:lineRule="auto"/>
        <w:ind w:left="1080" w:hanging="1166"/>
        <w:jc w:val="center"/>
        <w:rPr>
          <w:rFonts w:ascii="Times New Roman" w:hAnsi="Times New Roman"/>
          <w:b/>
          <w:sz w:val="21"/>
          <w:szCs w:val="21"/>
        </w:rPr>
      </w:pPr>
      <w:r w:rsidRPr="00CC2E51">
        <w:rPr>
          <w:rFonts w:ascii="Times New Roman" w:hAnsi="Times New Roman"/>
          <w:b/>
          <w:sz w:val="21"/>
          <w:szCs w:val="21"/>
        </w:rPr>
        <w:t>Indicadores de Monitoreo</w:t>
      </w:r>
    </w:p>
    <w:p w:rsidR="001F34FD" w:rsidRPr="00CC2E51" w:rsidRDefault="001F34FD" w:rsidP="008A25B6">
      <w:pPr>
        <w:spacing w:after="0" w:line="240" w:lineRule="auto"/>
        <w:ind w:left="1080" w:hanging="1166"/>
        <w:jc w:val="center"/>
        <w:rPr>
          <w:rFonts w:ascii="Times New Roman" w:hAnsi="Times New Roman"/>
          <w:sz w:val="20"/>
          <w:szCs w:val="20"/>
          <w:lang w:val="es-ES_tradnl"/>
        </w:rPr>
      </w:pPr>
    </w:p>
    <w:tbl>
      <w:tblPr>
        <w:tblW w:w="13444" w:type="dxa"/>
        <w:jc w:val="center"/>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44"/>
        <w:gridCol w:w="2610"/>
        <w:gridCol w:w="3420"/>
        <w:gridCol w:w="2070"/>
      </w:tblGrid>
      <w:tr w:rsidR="003B75D2" w:rsidRPr="00104D9C" w:rsidTr="00702DD6">
        <w:trPr>
          <w:trHeight w:val="350"/>
          <w:jc w:val="center"/>
        </w:trPr>
        <w:tc>
          <w:tcPr>
            <w:tcW w:w="13444" w:type="dxa"/>
            <w:gridSpan w:val="4"/>
            <w:tcBorders>
              <w:bottom w:val="single" w:sz="4" w:space="0" w:color="auto"/>
            </w:tcBorders>
            <w:shd w:val="clear" w:color="auto" w:fill="C0C0C0"/>
            <w:vAlign w:val="center"/>
          </w:tcPr>
          <w:p w:rsidR="003B75D2" w:rsidRPr="00104D9C" w:rsidRDefault="003B75D2" w:rsidP="00F72DEB">
            <w:pPr>
              <w:pStyle w:val="Heading1"/>
              <w:spacing w:beforeLines="40" w:before="96" w:afterLines="40" w:after="96" w:line="276" w:lineRule="auto"/>
              <w:ind w:left="1080" w:right="360" w:hanging="540"/>
              <w:rPr>
                <w:rFonts w:asciiTheme="majorHAnsi" w:hAnsiTheme="majorHAnsi"/>
                <w:caps/>
                <w:color w:val="000000"/>
                <w:sz w:val="20"/>
                <w:lang w:val="es-ES_tradnl"/>
              </w:rPr>
            </w:pPr>
            <w:r w:rsidRPr="00104D9C">
              <w:rPr>
                <w:rFonts w:asciiTheme="majorHAnsi" w:hAnsiTheme="majorHAnsi"/>
                <w:sz w:val="20"/>
                <w:lang w:val="es-ES_tradnl"/>
              </w:rPr>
              <w:t>INDICADORES GLOBALES</w:t>
            </w:r>
          </w:p>
        </w:tc>
      </w:tr>
      <w:tr w:rsidR="003B75D2" w:rsidRPr="00104D9C" w:rsidTr="00702DD6">
        <w:trPr>
          <w:trHeight w:val="413"/>
          <w:jc w:val="center"/>
        </w:trPr>
        <w:tc>
          <w:tcPr>
            <w:tcW w:w="5344" w:type="dxa"/>
            <w:shd w:val="pct15" w:color="auto" w:fill="auto"/>
            <w:vAlign w:val="center"/>
          </w:tcPr>
          <w:p w:rsidR="003B75D2" w:rsidRPr="00104D9C" w:rsidRDefault="003B75D2" w:rsidP="00F72DEB">
            <w:pPr>
              <w:spacing w:before="60" w:after="60"/>
              <w:jc w:val="center"/>
              <w:rPr>
                <w:b/>
                <w:bCs/>
                <w:sz w:val="20"/>
                <w:szCs w:val="20"/>
                <w:lang w:val="es-ES_tradnl"/>
              </w:rPr>
            </w:pPr>
            <w:r w:rsidRPr="00104D9C">
              <w:rPr>
                <w:b/>
                <w:bCs/>
                <w:sz w:val="20"/>
                <w:szCs w:val="20"/>
                <w:lang w:val="es-ES_tradnl"/>
              </w:rPr>
              <w:t>INDICADORES DE IMPACTO</w:t>
            </w:r>
          </w:p>
        </w:tc>
        <w:tc>
          <w:tcPr>
            <w:tcW w:w="2610" w:type="dxa"/>
            <w:shd w:val="pct15" w:color="auto" w:fill="auto"/>
            <w:vAlign w:val="center"/>
          </w:tcPr>
          <w:p w:rsidR="003B75D2" w:rsidRPr="00104D9C" w:rsidRDefault="003B75D2" w:rsidP="00F72DEB">
            <w:pPr>
              <w:spacing w:before="60" w:after="60"/>
              <w:jc w:val="center"/>
              <w:rPr>
                <w:b/>
                <w:bCs/>
                <w:sz w:val="20"/>
                <w:szCs w:val="20"/>
                <w:lang w:val="es-ES_tradnl"/>
              </w:rPr>
            </w:pPr>
            <w:r w:rsidRPr="00104D9C">
              <w:rPr>
                <w:b/>
                <w:bCs/>
                <w:sz w:val="20"/>
                <w:szCs w:val="20"/>
                <w:lang w:val="es-ES_tradnl"/>
              </w:rPr>
              <w:t>Fórmula</w:t>
            </w:r>
          </w:p>
        </w:tc>
        <w:tc>
          <w:tcPr>
            <w:tcW w:w="3420" w:type="dxa"/>
            <w:shd w:val="pct15" w:color="auto" w:fill="auto"/>
            <w:vAlign w:val="center"/>
          </w:tcPr>
          <w:p w:rsidR="003B75D2" w:rsidRPr="00104D9C" w:rsidRDefault="003B75D2" w:rsidP="00F72DEB">
            <w:pPr>
              <w:spacing w:before="60" w:after="60"/>
              <w:jc w:val="center"/>
              <w:rPr>
                <w:b/>
                <w:bCs/>
                <w:sz w:val="20"/>
                <w:szCs w:val="20"/>
                <w:lang w:val="es-ES_tradnl"/>
              </w:rPr>
            </w:pPr>
            <w:r w:rsidRPr="00104D9C">
              <w:rPr>
                <w:b/>
                <w:bCs/>
                <w:sz w:val="20"/>
                <w:szCs w:val="20"/>
                <w:lang w:val="es-ES_tradnl"/>
              </w:rPr>
              <w:t>Fuente-Línea de Base</w:t>
            </w:r>
          </w:p>
        </w:tc>
        <w:tc>
          <w:tcPr>
            <w:tcW w:w="2070" w:type="dxa"/>
            <w:shd w:val="pct15" w:color="auto" w:fill="auto"/>
            <w:vAlign w:val="center"/>
          </w:tcPr>
          <w:p w:rsidR="003B75D2" w:rsidRPr="00104D9C" w:rsidRDefault="003B75D2" w:rsidP="00F72DEB">
            <w:pPr>
              <w:spacing w:before="60" w:after="60"/>
              <w:jc w:val="center"/>
              <w:rPr>
                <w:b/>
                <w:bCs/>
                <w:sz w:val="20"/>
                <w:szCs w:val="20"/>
                <w:lang w:val="es-ES_tradnl"/>
              </w:rPr>
            </w:pPr>
            <w:r w:rsidRPr="00104D9C">
              <w:rPr>
                <w:b/>
                <w:bCs/>
                <w:sz w:val="20"/>
                <w:szCs w:val="20"/>
                <w:lang w:val="es-ES_tradnl"/>
              </w:rPr>
              <w:t>Fuente-Fin del proyecto</w:t>
            </w:r>
          </w:p>
        </w:tc>
      </w:tr>
      <w:tr w:rsidR="003B75D2" w:rsidRPr="00104D9C" w:rsidTr="003F1146">
        <w:trPr>
          <w:trHeight w:val="1547"/>
          <w:jc w:val="center"/>
        </w:trPr>
        <w:tc>
          <w:tcPr>
            <w:tcW w:w="5344" w:type="dxa"/>
            <w:vAlign w:val="center"/>
          </w:tcPr>
          <w:p w:rsidR="003B75D2" w:rsidRPr="00104D9C" w:rsidRDefault="003B75D2" w:rsidP="00F72DEB">
            <w:pPr>
              <w:rPr>
                <w:b/>
                <w:sz w:val="20"/>
                <w:szCs w:val="20"/>
                <w:lang w:val="es-ES_tradnl"/>
              </w:rPr>
            </w:pPr>
          </w:p>
          <w:p w:rsidR="003B75D2" w:rsidRPr="00104D9C" w:rsidRDefault="003B75D2" w:rsidP="008049F5">
            <w:pPr>
              <w:rPr>
                <w:sz w:val="20"/>
                <w:szCs w:val="20"/>
                <w:lang w:val="es-ES_tradnl"/>
              </w:rPr>
            </w:pPr>
            <w:r w:rsidRPr="00104D9C">
              <w:rPr>
                <w:sz w:val="20"/>
                <w:szCs w:val="20"/>
                <w:lang w:val="es-ES_tradnl"/>
              </w:rPr>
              <w:t>Porcentaje de Población Pobre (SIUBEN</w:t>
            </w:r>
            <w:r w:rsidR="008049F5" w:rsidRPr="00104D9C">
              <w:rPr>
                <w:sz w:val="20"/>
                <w:szCs w:val="20"/>
                <w:lang w:val="es-ES_tradnl"/>
              </w:rPr>
              <w:t xml:space="preserve"> 1 y 2</w:t>
            </w:r>
            <w:r w:rsidRPr="00104D9C">
              <w:rPr>
                <w:b/>
                <w:sz w:val="20"/>
                <w:szCs w:val="20"/>
                <w:lang w:val="es-ES_tradnl"/>
              </w:rPr>
              <w:t>) No cubierta por ningún régimen</w:t>
            </w:r>
            <w:r w:rsidRPr="00104D9C">
              <w:rPr>
                <w:sz w:val="20"/>
                <w:szCs w:val="20"/>
                <w:lang w:val="es-ES_tradnl"/>
              </w:rPr>
              <w:t xml:space="preserve"> a las que se les garantiza acceso a servicios de primer nivel a través el FBR, en las 5 Regiones de salud del Proyecto </w:t>
            </w:r>
          </w:p>
        </w:tc>
        <w:tc>
          <w:tcPr>
            <w:tcW w:w="2610" w:type="dxa"/>
            <w:vAlign w:val="center"/>
          </w:tcPr>
          <w:p w:rsidR="003B75D2" w:rsidRPr="00104D9C" w:rsidRDefault="003B75D2" w:rsidP="008049F5">
            <w:pPr>
              <w:jc w:val="center"/>
              <w:rPr>
                <w:sz w:val="20"/>
                <w:szCs w:val="20"/>
                <w:lang w:val="es-ES_tradnl"/>
              </w:rPr>
            </w:pPr>
            <w:r w:rsidRPr="00104D9C">
              <w:rPr>
                <w:sz w:val="20"/>
                <w:szCs w:val="20"/>
                <w:lang w:val="es-ES_tradnl"/>
              </w:rPr>
              <w:t xml:space="preserve">Total de pobres SIUBEN </w:t>
            </w:r>
            <w:r w:rsidR="008049F5" w:rsidRPr="00104D9C">
              <w:rPr>
                <w:sz w:val="20"/>
                <w:szCs w:val="20"/>
                <w:lang w:val="es-ES_tradnl"/>
              </w:rPr>
              <w:t>1 y 2</w:t>
            </w:r>
            <w:r w:rsidR="006E205D" w:rsidRPr="00104D9C">
              <w:rPr>
                <w:sz w:val="20"/>
                <w:szCs w:val="20"/>
                <w:lang w:val="es-ES_tradnl"/>
              </w:rPr>
              <w:t xml:space="preserve"> sin cobertura</w:t>
            </w:r>
            <w:r w:rsidRPr="00104D9C">
              <w:rPr>
                <w:sz w:val="20"/>
                <w:szCs w:val="20"/>
                <w:lang w:val="es-ES_tradnl"/>
              </w:rPr>
              <w:t xml:space="preserve"> y financiados por el proyecto/Total de pobres SIUBEN </w:t>
            </w:r>
            <w:r w:rsidR="008049F5" w:rsidRPr="00104D9C">
              <w:rPr>
                <w:sz w:val="20"/>
                <w:szCs w:val="20"/>
                <w:lang w:val="es-ES_tradnl"/>
              </w:rPr>
              <w:t>1 y 2</w:t>
            </w:r>
            <w:r w:rsidRPr="00104D9C">
              <w:rPr>
                <w:sz w:val="20"/>
                <w:szCs w:val="20"/>
                <w:lang w:val="es-ES_tradnl"/>
              </w:rPr>
              <w:t xml:space="preserve"> </w:t>
            </w:r>
            <w:r w:rsidR="006E205D" w:rsidRPr="00104D9C">
              <w:rPr>
                <w:sz w:val="20"/>
                <w:szCs w:val="20"/>
                <w:lang w:val="es-ES_tradnl"/>
              </w:rPr>
              <w:t>sin cobertura</w:t>
            </w:r>
          </w:p>
        </w:tc>
        <w:tc>
          <w:tcPr>
            <w:tcW w:w="3420" w:type="dxa"/>
            <w:vAlign w:val="center"/>
          </w:tcPr>
          <w:p w:rsidR="00275710" w:rsidRPr="00104D9C" w:rsidRDefault="00275710" w:rsidP="00275710">
            <w:pPr>
              <w:rPr>
                <w:sz w:val="20"/>
                <w:szCs w:val="20"/>
              </w:rPr>
            </w:pPr>
          </w:p>
          <w:p w:rsidR="00275710" w:rsidRPr="00104D9C" w:rsidRDefault="00275710" w:rsidP="00275710">
            <w:pPr>
              <w:rPr>
                <w:sz w:val="20"/>
                <w:szCs w:val="20"/>
              </w:rPr>
            </w:pPr>
          </w:p>
          <w:p w:rsidR="003B75D2" w:rsidRPr="00104D9C" w:rsidRDefault="003B75D2" w:rsidP="00275710">
            <w:pPr>
              <w:rPr>
                <w:sz w:val="20"/>
                <w:szCs w:val="20"/>
                <w:lang w:val="es-ES_tradnl"/>
              </w:rPr>
            </w:pPr>
          </w:p>
        </w:tc>
        <w:tc>
          <w:tcPr>
            <w:tcW w:w="2070" w:type="dxa"/>
            <w:vAlign w:val="center"/>
          </w:tcPr>
          <w:p w:rsidR="003B75D2" w:rsidRPr="00104D9C" w:rsidRDefault="00275710" w:rsidP="00275710">
            <w:pPr>
              <w:rPr>
                <w:sz w:val="20"/>
                <w:szCs w:val="20"/>
                <w:lang w:val="es-ES_tradnl"/>
              </w:rPr>
            </w:pPr>
            <w:r w:rsidRPr="00104D9C">
              <w:rPr>
                <w:sz w:val="20"/>
                <w:szCs w:val="20"/>
                <w:lang w:val="es-ES_tradnl"/>
              </w:rPr>
              <w:t>[Reportes de auditorías recurrentes]</w:t>
            </w:r>
          </w:p>
        </w:tc>
      </w:tr>
      <w:tr w:rsidR="001477CA" w:rsidRPr="00104D9C" w:rsidTr="003F1146">
        <w:trPr>
          <w:trHeight w:val="1718"/>
          <w:jc w:val="center"/>
        </w:trPr>
        <w:tc>
          <w:tcPr>
            <w:tcW w:w="5344" w:type="dxa"/>
            <w:vAlign w:val="center"/>
          </w:tcPr>
          <w:p w:rsidR="001477CA" w:rsidRPr="00104D9C" w:rsidRDefault="001477CA" w:rsidP="00F71AEA">
            <w:pPr>
              <w:rPr>
                <w:sz w:val="20"/>
                <w:szCs w:val="20"/>
                <w:lang w:val="es-ES_tradnl"/>
              </w:rPr>
            </w:pPr>
            <w:r w:rsidRPr="00104D9C">
              <w:rPr>
                <w:sz w:val="20"/>
                <w:szCs w:val="20"/>
                <w:lang w:val="es-ES_tradnl"/>
              </w:rPr>
              <w:t xml:space="preserve">Muertes Maternas en los 6 Hospitales en los que se implementará el Modelo de Centros de Excelencia (CDEx) Materno Infantil </w:t>
            </w:r>
          </w:p>
          <w:p w:rsidR="001477CA" w:rsidRPr="00104D9C" w:rsidRDefault="001477CA" w:rsidP="00F71AEA">
            <w:pPr>
              <w:rPr>
                <w:b/>
                <w:sz w:val="20"/>
                <w:szCs w:val="20"/>
                <w:lang w:val="es-ES_tradnl"/>
              </w:rPr>
            </w:pPr>
          </w:p>
        </w:tc>
        <w:tc>
          <w:tcPr>
            <w:tcW w:w="2610" w:type="dxa"/>
            <w:vAlign w:val="center"/>
          </w:tcPr>
          <w:p w:rsidR="001477CA" w:rsidRPr="00104D9C" w:rsidRDefault="001477CA" w:rsidP="00F72DEB">
            <w:pPr>
              <w:jc w:val="center"/>
              <w:rPr>
                <w:sz w:val="20"/>
                <w:szCs w:val="20"/>
                <w:lang w:val="es-ES_tradnl"/>
              </w:rPr>
            </w:pPr>
            <w:r w:rsidRPr="00104D9C">
              <w:rPr>
                <w:sz w:val="20"/>
                <w:szCs w:val="20"/>
                <w:lang w:val="es-ES_tradnl"/>
              </w:rPr>
              <w:t>Sumatoria de la cantidad absoluta de mujeres que mueren durante el embarazo y el parto en cada uno de los hospitales los que se implementará el modelo</w:t>
            </w:r>
          </w:p>
          <w:p w:rsidR="001477CA" w:rsidRPr="00104D9C" w:rsidRDefault="001477CA" w:rsidP="00F72DEB">
            <w:pPr>
              <w:jc w:val="center"/>
              <w:rPr>
                <w:i/>
                <w:sz w:val="20"/>
                <w:szCs w:val="20"/>
                <w:lang w:val="es-ES_tradnl"/>
              </w:rPr>
            </w:pPr>
          </w:p>
        </w:tc>
        <w:tc>
          <w:tcPr>
            <w:tcW w:w="3420" w:type="dxa"/>
            <w:vAlign w:val="center"/>
          </w:tcPr>
          <w:p w:rsidR="001477CA" w:rsidRPr="00104D9C" w:rsidRDefault="001477CA" w:rsidP="00275710">
            <w:pPr>
              <w:ind w:left="360"/>
              <w:rPr>
                <w:sz w:val="20"/>
                <w:szCs w:val="20"/>
                <w:lang w:val="es-ES_tradnl"/>
              </w:rPr>
            </w:pPr>
            <w:r w:rsidRPr="00104D9C">
              <w:rPr>
                <w:sz w:val="20"/>
                <w:szCs w:val="20"/>
                <w:lang w:val="es-ES_tradnl"/>
              </w:rPr>
              <w:t>[</w:t>
            </w:r>
            <w:r w:rsidRPr="00104D9C">
              <w:rPr>
                <w:sz w:val="20"/>
                <w:szCs w:val="20"/>
              </w:rPr>
              <w:t xml:space="preserve">Fuente: </w:t>
            </w:r>
            <w:r w:rsidRPr="00104D9C">
              <w:rPr>
                <w:i/>
                <w:sz w:val="20"/>
                <w:szCs w:val="20"/>
              </w:rPr>
              <w:t>: DIGEPI ¨Situación de hospitales seleccionados¨, 2012 y Oficina Nacional de Estadísticas (ONE)]</w:t>
            </w:r>
          </w:p>
        </w:tc>
        <w:tc>
          <w:tcPr>
            <w:tcW w:w="2070" w:type="dxa"/>
            <w:vAlign w:val="center"/>
          </w:tcPr>
          <w:p w:rsidR="001477CA" w:rsidRPr="00104D9C" w:rsidRDefault="001477CA" w:rsidP="00275710">
            <w:pPr>
              <w:rPr>
                <w:sz w:val="20"/>
                <w:szCs w:val="20"/>
                <w:lang w:val="es-ES_tradnl"/>
              </w:rPr>
            </w:pPr>
            <w:r w:rsidRPr="00104D9C">
              <w:rPr>
                <w:sz w:val="20"/>
                <w:szCs w:val="20"/>
                <w:lang w:val="es-ES_tradnl"/>
              </w:rPr>
              <w:t>[Formulario EPI-2 / Reportes del SIGHO]</w:t>
            </w:r>
          </w:p>
        </w:tc>
      </w:tr>
      <w:tr w:rsidR="001477CA" w:rsidRPr="00104D9C" w:rsidTr="003B75D2">
        <w:trPr>
          <w:trHeight w:val="1239"/>
          <w:jc w:val="center"/>
        </w:trPr>
        <w:tc>
          <w:tcPr>
            <w:tcW w:w="5344" w:type="dxa"/>
            <w:vAlign w:val="center"/>
          </w:tcPr>
          <w:p w:rsidR="001477CA" w:rsidRPr="00104D9C" w:rsidRDefault="001477CA" w:rsidP="00F72DEB">
            <w:pPr>
              <w:rPr>
                <w:b/>
                <w:sz w:val="20"/>
                <w:szCs w:val="20"/>
                <w:lang w:val="es-ES_tradnl"/>
              </w:rPr>
            </w:pPr>
            <w:r w:rsidRPr="00104D9C">
              <w:rPr>
                <w:sz w:val="20"/>
                <w:szCs w:val="20"/>
                <w:lang w:val="es-ES_tradnl"/>
              </w:rPr>
              <w:t xml:space="preserve">Muertes Infantiles en los 6 Hospitales en los que se implementará el Modelo de Centros de Excelencia Materno Infantil </w:t>
            </w:r>
          </w:p>
        </w:tc>
        <w:tc>
          <w:tcPr>
            <w:tcW w:w="2610" w:type="dxa"/>
            <w:vAlign w:val="center"/>
          </w:tcPr>
          <w:p w:rsidR="001477CA" w:rsidRPr="00104D9C" w:rsidRDefault="001477CA" w:rsidP="00F72DEB">
            <w:pPr>
              <w:jc w:val="center"/>
              <w:rPr>
                <w:i/>
                <w:sz w:val="20"/>
                <w:szCs w:val="20"/>
                <w:lang w:val="es-ES_tradnl"/>
              </w:rPr>
            </w:pPr>
            <w:r w:rsidRPr="00104D9C">
              <w:rPr>
                <w:sz w:val="20"/>
                <w:szCs w:val="20"/>
                <w:lang w:val="es-ES_tradnl"/>
              </w:rPr>
              <w:t>Sumatoria de la cantidad absoluta de niños menores de 1 año que mueren en cada uno de los hospitales n los que se implementará el modelo</w:t>
            </w:r>
          </w:p>
        </w:tc>
        <w:tc>
          <w:tcPr>
            <w:tcW w:w="3420" w:type="dxa"/>
            <w:vAlign w:val="center"/>
          </w:tcPr>
          <w:p w:rsidR="001477CA" w:rsidRPr="00104D9C" w:rsidRDefault="001477CA" w:rsidP="00275710">
            <w:pPr>
              <w:ind w:left="360"/>
              <w:rPr>
                <w:sz w:val="20"/>
                <w:szCs w:val="20"/>
                <w:lang w:val="es-ES_tradnl"/>
              </w:rPr>
            </w:pPr>
            <w:r w:rsidRPr="00104D9C">
              <w:rPr>
                <w:sz w:val="20"/>
                <w:szCs w:val="20"/>
              </w:rPr>
              <w:t xml:space="preserve">[Fuente: </w:t>
            </w:r>
            <w:r w:rsidRPr="00104D9C">
              <w:rPr>
                <w:i/>
                <w:sz w:val="20"/>
                <w:szCs w:val="20"/>
              </w:rPr>
              <w:t>: DIGEPI ¨Situación de hospitales seleccionados¨, 2012 y Oficina Nacional de Estadísticas (ONE)]</w:t>
            </w:r>
          </w:p>
        </w:tc>
        <w:tc>
          <w:tcPr>
            <w:tcW w:w="2070" w:type="dxa"/>
            <w:vAlign w:val="center"/>
          </w:tcPr>
          <w:p w:rsidR="001477CA" w:rsidRPr="00104D9C" w:rsidRDefault="001477CA" w:rsidP="00275710">
            <w:pPr>
              <w:rPr>
                <w:sz w:val="20"/>
                <w:szCs w:val="20"/>
                <w:lang w:val="es-ES_tradnl"/>
              </w:rPr>
            </w:pPr>
            <w:r w:rsidRPr="00104D9C">
              <w:rPr>
                <w:sz w:val="20"/>
                <w:szCs w:val="20"/>
                <w:lang w:val="es-ES_tradnl"/>
              </w:rPr>
              <w:t>[Formulario EPI-2 / Reportes del SIGHO]</w:t>
            </w:r>
          </w:p>
        </w:tc>
      </w:tr>
    </w:tbl>
    <w:p w:rsidR="003B75D2" w:rsidRDefault="003B75D2" w:rsidP="003B75D2">
      <w:pPr>
        <w:rPr>
          <w:lang w:val="es-ES_tradnl"/>
        </w:rPr>
      </w:pPr>
    </w:p>
    <w:p w:rsidR="00A55C61" w:rsidRDefault="00A55C61" w:rsidP="003B75D2">
      <w:pPr>
        <w:rPr>
          <w:lang w:val="es-ES_tradnl"/>
        </w:rPr>
      </w:pPr>
    </w:p>
    <w:p w:rsidR="00A55C61" w:rsidRDefault="00A55C61" w:rsidP="00104D9C">
      <w:pPr>
        <w:spacing w:after="0"/>
        <w:rPr>
          <w:lang w:val="es-ES_tradnl"/>
        </w:rPr>
      </w:pPr>
    </w:p>
    <w:tbl>
      <w:tblPr>
        <w:tblpPr w:leftFromText="180" w:rightFromText="180" w:vertAnchor="text" w:horzAnchor="page" w:tblpX="1331" w:tblpY="9"/>
        <w:tblW w:w="13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35"/>
        <w:gridCol w:w="2610"/>
        <w:gridCol w:w="2520"/>
        <w:gridCol w:w="2970"/>
      </w:tblGrid>
      <w:tr w:rsidR="00A55C61" w:rsidRPr="00A2639A" w:rsidTr="00546706">
        <w:trPr>
          <w:trHeight w:val="431"/>
          <w:tblHeader/>
        </w:trPr>
        <w:tc>
          <w:tcPr>
            <w:tcW w:w="13435" w:type="dxa"/>
            <w:gridSpan w:val="4"/>
            <w:shd w:val="clear" w:color="auto" w:fill="C0C0C0"/>
            <w:vAlign w:val="center"/>
          </w:tcPr>
          <w:p w:rsidR="00A55C61" w:rsidRPr="00A2639A" w:rsidRDefault="00A55C61" w:rsidP="00546706">
            <w:pPr>
              <w:spacing w:before="40" w:after="40" w:line="240" w:lineRule="auto"/>
              <w:jc w:val="center"/>
              <w:rPr>
                <w:b/>
                <w:bCs/>
                <w:lang w:val="es-ES_tradnl"/>
              </w:rPr>
            </w:pPr>
            <w:r>
              <w:rPr>
                <w:b/>
                <w:bCs/>
                <w:lang w:val="es-ES_tradnl"/>
              </w:rPr>
              <w:t>COMPONENTE I</w:t>
            </w:r>
            <w:r w:rsidRPr="00A2639A">
              <w:rPr>
                <w:b/>
                <w:bCs/>
                <w:lang w:val="es-ES_tradnl"/>
              </w:rPr>
              <w:t xml:space="preserve">. </w:t>
            </w:r>
            <w:r w:rsidRPr="00A2639A">
              <w:rPr>
                <w:b/>
                <w:spacing w:val="-2"/>
                <w:lang w:val="es-ES_tradnl"/>
              </w:rPr>
              <w:t>Financiamiento de prestaciones basado en resultados (FBR) en salud</w:t>
            </w:r>
          </w:p>
        </w:tc>
      </w:tr>
      <w:tr w:rsidR="00A55C61" w:rsidRPr="00A2639A" w:rsidTr="00A55C61">
        <w:tc>
          <w:tcPr>
            <w:tcW w:w="5335" w:type="dxa"/>
            <w:shd w:val="clear" w:color="auto" w:fill="C0C0C0"/>
            <w:vAlign w:val="center"/>
          </w:tcPr>
          <w:p w:rsidR="00A55C61" w:rsidRPr="00A2639A" w:rsidRDefault="00A55C61" w:rsidP="00546706">
            <w:pPr>
              <w:spacing w:before="40" w:after="40" w:line="240" w:lineRule="auto"/>
              <w:rPr>
                <w:rFonts w:eastAsia="Arial Unicode MS"/>
                <w:b/>
                <w:bCs/>
                <w:lang w:val="es-ES_tradnl"/>
              </w:rPr>
            </w:pPr>
            <w:r w:rsidRPr="00A2639A">
              <w:rPr>
                <w:rFonts w:eastAsia="Arial Unicode MS"/>
                <w:b/>
                <w:bCs/>
                <w:lang w:val="es-ES_tradnl"/>
              </w:rPr>
              <w:t>Indicadores de producto</w:t>
            </w:r>
          </w:p>
        </w:tc>
        <w:tc>
          <w:tcPr>
            <w:tcW w:w="2610" w:type="dxa"/>
            <w:shd w:val="clear" w:color="auto" w:fill="C0C0C0"/>
            <w:vAlign w:val="center"/>
          </w:tcPr>
          <w:p w:rsidR="00A55C61" w:rsidRPr="00A2639A" w:rsidRDefault="00A55C61" w:rsidP="00546706">
            <w:pPr>
              <w:spacing w:before="40" w:after="40" w:line="240" w:lineRule="auto"/>
              <w:jc w:val="center"/>
              <w:rPr>
                <w:b/>
                <w:bCs/>
                <w:lang w:val="es-ES_tradnl"/>
              </w:rPr>
            </w:pPr>
            <w:r w:rsidRPr="00A2639A">
              <w:rPr>
                <w:b/>
                <w:bCs/>
                <w:lang w:val="es-ES_tradnl"/>
              </w:rPr>
              <w:t>Fórmula</w:t>
            </w:r>
          </w:p>
        </w:tc>
        <w:tc>
          <w:tcPr>
            <w:tcW w:w="2520" w:type="dxa"/>
            <w:shd w:val="clear" w:color="auto" w:fill="C0C0C0"/>
            <w:vAlign w:val="center"/>
          </w:tcPr>
          <w:p w:rsidR="00A55C61" w:rsidRPr="00A2639A" w:rsidRDefault="00A55C61" w:rsidP="00546706">
            <w:pPr>
              <w:spacing w:before="40" w:after="40" w:line="240" w:lineRule="auto"/>
              <w:jc w:val="center"/>
              <w:rPr>
                <w:b/>
                <w:bCs/>
                <w:lang w:val="es-ES_tradnl"/>
              </w:rPr>
            </w:pPr>
            <w:r w:rsidRPr="00A2639A">
              <w:rPr>
                <w:b/>
                <w:bCs/>
                <w:lang w:val="es-ES_tradnl"/>
              </w:rPr>
              <w:t>Frecuencia</w:t>
            </w:r>
            <w:r>
              <w:rPr>
                <w:b/>
                <w:bCs/>
                <w:lang w:val="es-ES_tradnl"/>
              </w:rPr>
              <w:t xml:space="preserve"> de medición</w:t>
            </w:r>
          </w:p>
        </w:tc>
        <w:tc>
          <w:tcPr>
            <w:tcW w:w="2970" w:type="dxa"/>
            <w:shd w:val="clear" w:color="auto" w:fill="C0C0C0"/>
            <w:vAlign w:val="center"/>
          </w:tcPr>
          <w:p w:rsidR="00A55C61" w:rsidRPr="00A2639A" w:rsidRDefault="00A55C61" w:rsidP="00546706">
            <w:pPr>
              <w:spacing w:before="40" w:after="40" w:line="240" w:lineRule="auto"/>
              <w:jc w:val="center"/>
              <w:rPr>
                <w:b/>
                <w:bCs/>
                <w:lang w:val="es-ES_tradnl"/>
              </w:rPr>
            </w:pPr>
            <w:r w:rsidRPr="00A2639A">
              <w:rPr>
                <w:b/>
                <w:bCs/>
                <w:lang w:val="es-ES_tradnl"/>
              </w:rPr>
              <w:t>Fuente</w:t>
            </w:r>
          </w:p>
        </w:tc>
      </w:tr>
      <w:tr w:rsidR="00A55C61" w:rsidRPr="00A2639A" w:rsidTr="00A55C61">
        <w:trPr>
          <w:trHeight w:val="549"/>
        </w:trPr>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1. Población pobre  SIUBEN 1 y 2 adscripta a un centro de atención primaria.</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Número absoluto</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Reportes de Fichas Familiares Completadas</w:t>
            </w:r>
          </w:p>
        </w:tc>
      </w:tr>
      <w:tr w:rsidR="00A55C61" w:rsidRPr="007624C2" w:rsidTr="00A55C61">
        <w:trPr>
          <w:trHeight w:val="981"/>
        </w:trPr>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2. Población pobre  SIUBEN 1 y 2, adscripta, no cubierta por ningún régimen cuya cápita de 1</w:t>
            </w:r>
            <w:r w:rsidRPr="006A4E0D">
              <w:rPr>
                <w:sz w:val="20"/>
                <w:szCs w:val="20"/>
                <w:vertAlign w:val="superscript"/>
                <w:lang w:val="es-ES_tradnl"/>
              </w:rPr>
              <w:t xml:space="preserve">er. </w:t>
            </w:r>
            <w:r w:rsidRPr="006A4E0D">
              <w:rPr>
                <w:sz w:val="20"/>
                <w:szCs w:val="20"/>
                <w:lang w:val="es-ES_tradnl"/>
              </w:rPr>
              <w:t>nivel de atención se financia a través de FBR, en las 5 regiones del proyecto.</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Número absoluto</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pt-BR"/>
              </w:rPr>
            </w:pPr>
            <w:r w:rsidRPr="006A4E0D">
              <w:rPr>
                <w:sz w:val="20"/>
                <w:szCs w:val="20"/>
                <w:lang w:val="pt-BR"/>
              </w:rPr>
              <w:t xml:space="preserve">Reportes de Fichas Familiares Completadas / Reportes auditorías </w:t>
            </w:r>
            <w:r w:rsidR="00897E14">
              <w:rPr>
                <w:sz w:val="20"/>
                <w:szCs w:val="20"/>
                <w:lang w:val="pt-BR"/>
              </w:rPr>
              <w:t>recu</w:t>
            </w:r>
            <w:r w:rsidRPr="006A4E0D">
              <w:rPr>
                <w:sz w:val="20"/>
                <w:szCs w:val="20"/>
                <w:lang w:val="pt-BR"/>
              </w:rPr>
              <w:t xml:space="preserve">rrentes </w:t>
            </w:r>
          </w:p>
        </w:tc>
      </w:tr>
      <w:tr w:rsidR="00A55C61" w:rsidRPr="00A2639A" w:rsidTr="00A55C61">
        <w:trPr>
          <w:trHeight w:val="864"/>
        </w:trPr>
        <w:tc>
          <w:tcPr>
            <w:tcW w:w="5335" w:type="dxa"/>
            <w:tcBorders>
              <w:bottom w:val="single" w:sz="4" w:space="0" w:color="auto"/>
            </w:tcBorders>
          </w:tcPr>
          <w:p w:rsidR="00A55C61" w:rsidRPr="006A4E0D" w:rsidRDefault="00A55C61" w:rsidP="00546706">
            <w:pPr>
              <w:spacing w:before="40" w:after="40" w:line="240" w:lineRule="auto"/>
              <w:rPr>
                <w:sz w:val="20"/>
                <w:szCs w:val="20"/>
                <w:lang w:val="es-ES_tradnl"/>
              </w:rPr>
            </w:pPr>
            <w:r w:rsidRPr="006A4E0D">
              <w:rPr>
                <w:sz w:val="20"/>
                <w:szCs w:val="20"/>
                <w:lang w:val="es-ES_tradnl"/>
              </w:rPr>
              <w:t>3. Población pobre  SIUBEN 1 y 2 afiliada por el régimen subsidiado cuya cápita se financia a través de RBF, en las 5 regiones del proyecto.</w:t>
            </w:r>
          </w:p>
        </w:tc>
        <w:tc>
          <w:tcPr>
            <w:tcW w:w="2610" w:type="dxa"/>
            <w:tcBorders>
              <w:bottom w:val="single" w:sz="4" w:space="0" w:color="auto"/>
            </w:tcBorders>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Número absoluto</w:t>
            </w:r>
          </w:p>
        </w:tc>
        <w:tc>
          <w:tcPr>
            <w:tcW w:w="2520" w:type="dxa"/>
            <w:tcBorders>
              <w:bottom w:val="single" w:sz="4" w:space="0" w:color="auto"/>
            </w:tcBorders>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tcBorders>
              <w:bottom w:val="single" w:sz="4" w:space="0" w:color="auto"/>
            </w:tcBorders>
            <w:vAlign w:val="center"/>
          </w:tcPr>
          <w:p w:rsidR="00A55C61" w:rsidRPr="00897E14" w:rsidRDefault="00A55C61" w:rsidP="00546706">
            <w:pPr>
              <w:spacing w:before="40" w:after="40" w:line="240" w:lineRule="auto"/>
              <w:jc w:val="center"/>
              <w:rPr>
                <w:sz w:val="20"/>
                <w:szCs w:val="20"/>
                <w:lang w:val="es-ES_tradnl"/>
              </w:rPr>
            </w:pPr>
            <w:r w:rsidRPr="006A4E0D">
              <w:rPr>
                <w:sz w:val="20"/>
                <w:szCs w:val="20"/>
                <w:lang w:val="es-ES_tradnl"/>
              </w:rPr>
              <w:t>Reportes a partir de la base de datos de dispersión de UNIPAGO</w:t>
            </w:r>
            <w:r w:rsidR="00897E14">
              <w:rPr>
                <w:sz w:val="20"/>
                <w:szCs w:val="20"/>
                <w:lang w:val="es-ES_tradnl"/>
              </w:rPr>
              <w:t>/</w:t>
            </w:r>
            <w:r w:rsidR="00897E14" w:rsidRPr="00897E14">
              <w:rPr>
                <w:sz w:val="20"/>
                <w:szCs w:val="20"/>
                <w:lang w:val="es-ES_tradnl"/>
              </w:rPr>
              <w:t xml:space="preserve"> </w:t>
            </w:r>
            <w:r w:rsidR="00897E14" w:rsidRPr="00DC517F">
              <w:rPr>
                <w:sz w:val="20"/>
                <w:szCs w:val="20"/>
                <w:lang w:val="es-ES_tradnl"/>
              </w:rPr>
              <w:t>Reportes auditorías recurrentes</w:t>
            </w:r>
          </w:p>
        </w:tc>
      </w:tr>
      <w:tr w:rsidR="00A55C61" w:rsidRPr="00A2639A" w:rsidDel="008F31C4" w:rsidTr="00A55C61">
        <w:tc>
          <w:tcPr>
            <w:tcW w:w="5335" w:type="dxa"/>
            <w:shd w:val="clear" w:color="auto" w:fill="C0C0C0"/>
          </w:tcPr>
          <w:p w:rsidR="00A55C61" w:rsidRPr="006A4E0D" w:rsidRDefault="00A55C61" w:rsidP="00546706">
            <w:pPr>
              <w:spacing w:before="40" w:after="40" w:line="240" w:lineRule="auto"/>
              <w:rPr>
                <w:b/>
                <w:sz w:val="20"/>
                <w:szCs w:val="20"/>
                <w:lang w:val="es-ES_tradnl"/>
              </w:rPr>
            </w:pPr>
            <w:r w:rsidRPr="006A4E0D">
              <w:rPr>
                <w:b/>
                <w:sz w:val="20"/>
                <w:szCs w:val="20"/>
                <w:lang w:val="es-ES_tradnl"/>
              </w:rPr>
              <w:t>Indicadores de resultados intermedios</w:t>
            </w:r>
          </w:p>
        </w:tc>
        <w:tc>
          <w:tcPr>
            <w:tcW w:w="2610" w:type="dxa"/>
            <w:shd w:val="clear" w:color="auto" w:fill="C0C0C0"/>
            <w:vAlign w:val="center"/>
          </w:tcPr>
          <w:p w:rsidR="00A55C61" w:rsidRPr="006A4E0D" w:rsidRDefault="00A55C61" w:rsidP="00546706">
            <w:pPr>
              <w:spacing w:before="40" w:after="40" w:line="240" w:lineRule="auto"/>
              <w:jc w:val="center"/>
              <w:rPr>
                <w:b/>
                <w:bCs/>
                <w:sz w:val="20"/>
                <w:szCs w:val="20"/>
                <w:lang w:val="es-ES_tradnl"/>
              </w:rPr>
            </w:pPr>
            <w:r w:rsidRPr="006A4E0D">
              <w:rPr>
                <w:b/>
                <w:bCs/>
                <w:sz w:val="20"/>
                <w:szCs w:val="20"/>
                <w:lang w:val="es-ES_tradnl"/>
              </w:rPr>
              <w:t>Fórmula</w:t>
            </w:r>
          </w:p>
        </w:tc>
        <w:tc>
          <w:tcPr>
            <w:tcW w:w="2520" w:type="dxa"/>
            <w:shd w:val="clear" w:color="auto" w:fill="C0C0C0"/>
            <w:vAlign w:val="center"/>
          </w:tcPr>
          <w:p w:rsidR="00A55C61" w:rsidRPr="006A4E0D" w:rsidRDefault="00A55C61" w:rsidP="00546706">
            <w:pPr>
              <w:spacing w:before="40" w:after="40" w:line="240" w:lineRule="auto"/>
              <w:jc w:val="center"/>
              <w:rPr>
                <w:b/>
                <w:bCs/>
                <w:sz w:val="20"/>
                <w:szCs w:val="20"/>
                <w:lang w:val="es-ES_tradnl"/>
              </w:rPr>
            </w:pPr>
            <w:r w:rsidRPr="006A4E0D">
              <w:rPr>
                <w:b/>
                <w:bCs/>
                <w:sz w:val="20"/>
                <w:szCs w:val="20"/>
                <w:lang w:val="es-ES_tradnl"/>
              </w:rPr>
              <w:t>Frecuencia de medición</w:t>
            </w:r>
          </w:p>
        </w:tc>
        <w:tc>
          <w:tcPr>
            <w:tcW w:w="2970" w:type="dxa"/>
            <w:shd w:val="clear" w:color="auto" w:fill="C0C0C0"/>
            <w:vAlign w:val="center"/>
          </w:tcPr>
          <w:p w:rsidR="00A55C61" w:rsidRPr="006A4E0D" w:rsidRDefault="00A55C61" w:rsidP="00546706">
            <w:pPr>
              <w:spacing w:before="40" w:after="40" w:line="240" w:lineRule="auto"/>
              <w:jc w:val="center"/>
              <w:rPr>
                <w:b/>
                <w:bCs/>
                <w:sz w:val="20"/>
                <w:szCs w:val="20"/>
                <w:lang w:val="es-ES_tradnl"/>
              </w:rPr>
            </w:pPr>
            <w:r w:rsidRPr="006A4E0D">
              <w:rPr>
                <w:b/>
                <w:bCs/>
                <w:sz w:val="20"/>
                <w:szCs w:val="20"/>
                <w:lang w:val="es-ES_tradnl"/>
              </w:rPr>
              <w:t>Fuente</w:t>
            </w:r>
          </w:p>
        </w:tc>
      </w:tr>
      <w:tr w:rsidR="00A55C61" w:rsidRPr="00A2639A" w:rsidTr="00546706">
        <w:trPr>
          <w:trHeight w:val="2033"/>
        </w:trPr>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1. Porcentaje </w:t>
            </w:r>
            <w:r w:rsidRPr="006A4E0D">
              <w:rPr>
                <w:rFonts w:cs="Calibri"/>
                <w:sz w:val="20"/>
                <w:szCs w:val="20"/>
              </w:rPr>
              <w:t>de mujeres embarazadas con evaluación de riesgo del embarazo realizada antes de la semana 15 de embarazo</w:t>
            </w:r>
            <w:r w:rsidRPr="006A4E0D">
              <w:rPr>
                <w:sz w:val="20"/>
                <w:szCs w:val="20"/>
                <w:lang w:val="es-ES_tradnl"/>
              </w:rPr>
              <w:t>.</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embarazadas con evaluación de riesgo antes de la 15ava semana de embarazo/Total de embarazadas que cumplían 15 semanas dentro de dicho cuatrimestre de acuerdo a registros del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Sistema Gest</w:t>
            </w:r>
            <w:r w:rsidR="00104D9C">
              <w:rPr>
                <w:sz w:val="20"/>
                <w:szCs w:val="20"/>
                <w:lang w:val="es-ES_tradnl"/>
              </w:rPr>
              <w:t>ión Clínica Primer Nivel (SGC)/</w:t>
            </w:r>
            <w:r w:rsidRPr="006A4E0D">
              <w:rPr>
                <w:sz w:val="20"/>
                <w:szCs w:val="20"/>
                <w:lang w:val="es-ES_tradnl"/>
              </w:rPr>
              <w:t xml:space="preserve"> </w:t>
            </w:r>
            <w:r w:rsidRPr="00DC517F">
              <w:rPr>
                <w:sz w:val="20"/>
                <w:szCs w:val="20"/>
                <w:lang w:val="es-ES_tradnl"/>
              </w:rPr>
              <w:t>Reportes auditorías recurrentes</w:t>
            </w:r>
          </w:p>
        </w:tc>
      </w:tr>
      <w:tr w:rsidR="00A55C61" w:rsidRPr="00A2639A" w:rsidTr="00A55C61">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2. Porcentaje de puérperas referidas del hospital a su UNAP correspondiente con la documentación adecuada incluida en los archivos clínicos del centro de salud.</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 xml:space="preserve">Total de puérperas referidas del hospital a </w:t>
            </w:r>
            <w:r w:rsidR="008445C9">
              <w:rPr>
                <w:sz w:val="20"/>
                <w:szCs w:val="20"/>
                <w:lang w:val="es-ES_tradnl"/>
              </w:rPr>
              <w:t>las</w:t>
            </w:r>
            <w:r w:rsidRPr="006A4E0D">
              <w:rPr>
                <w:sz w:val="20"/>
                <w:szCs w:val="20"/>
                <w:lang w:val="es-ES_tradnl"/>
              </w:rPr>
              <w:t xml:space="preserve"> UNAP con su documentación </w:t>
            </w:r>
            <w:r w:rsidR="00F515D5">
              <w:rPr>
                <w:sz w:val="20"/>
                <w:szCs w:val="20"/>
                <w:lang w:val="es-ES_tradnl"/>
              </w:rPr>
              <w:t>incluida en los archivos clínicos del centro de salud</w:t>
            </w:r>
            <w:r w:rsidRPr="006A4E0D">
              <w:rPr>
                <w:sz w:val="20"/>
                <w:szCs w:val="20"/>
                <w:lang w:val="es-ES_tradnl"/>
              </w:rPr>
              <w:t>/T</w:t>
            </w:r>
            <w:r w:rsidR="002B0CBB">
              <w:rPr>
                <w:sz w:val="20"/>
                <w:szCs w:val="20"/>
                <w:lang w:val="es-ES_tradnl"/>
              </w:rPr>
              <w:t xml:space="preserve">otal de puérperas referidas </w:t>
            </w:r>
            <w:r w:rsidRPr="006A4E0D">
              <w:rPr>
                <w:sz w:val="20"/>
                <w:szCs w:val="20"/>
                <w:lang w:val="es-ES_tradnl"/>
              </w:rPr>
              <w:t xml:space="preserve">a las UNAPs </w:t>
            </w:r>
          </w:p>
        </w:tc>
        <w:tc>
          <w:tcPr>
            <w:tcW w:w="252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Sistema Gest</w:t>
            </w:r>
            <w:r w:rsidR="00104D9C">
              <w:rPr>
                <w:sz w:val="20"/>
                <w:szCs w:val="20"/>
                <w:lang w:val="es-ES_tradnl"/>
              </w:rPr>
              <w:t>ión Clínica Primer Nivel (SGC)/</w:t>
            </w:r>
            <w:r w:rsidRPr="006A4E0D">
              <w:rPr>
                <w:sz w:val="20"/>
                <w:szCs w:val="20"/>
                <w:lang w:val="es-ES_tradnl"/>
              </w:rPr>
              <w:t xml:space="preserve"> Reportes auditorías recurrentes</w:t>
            </w:r>
          </w:p>
        </w:tc>
      </w:tr>
      <w:tr w:rsidR="00A55C61" w:rsidRPr="00A2639A" w:rsidTr="00A55C61">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3. Porcentaje de </w:t>
            </w:r>
            <w:r w:rsidRPr="006A4E0D">
              <w:rPr>
                <w:rFonts w:cs="Calibri"/>
                <w:sz w:val="20"/>
                <w:szCs w:val="20"/>
              </w:rPr>
              <w:t xml:space="preserve"> menores de 15 meses con esquema de vacunación completo según protocolo nacional</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menores de 15 meses con esquema de vacunación completo según protocolo nacional/Total de menores de 15 meses registrados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Sistema Gestión Clínica Primer Nivel (SGC)/  Reportes auditorías recurrentes</w:t>
            </w:r>
          </w:p>
        </w:tc>
      </w:tr>
      <w:tr w:rsidR="00A55C61" w:rsidRPr="00A2639A" w:rsidTr="00A55C61">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3. Porcentaje </w:t>
            </w:r>
            <w:r w:rsidRPr="006A4E0D">
              <w:rPr>
                <w:rFonts w:cs="Calibri"/>
                <w:sz w:val="20"/>
                <w:szCs w:val="20"/>
              </w:rPr>
              <w:t>de niños mayores de 15 meses y menores de 24 meses con esquema de vacunación completo según protocolo nacional</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niños entre 15 y 24 meses con esquema de vacunación completo según protocolo nacional/Total de niños entre 15 y 24 meses registrados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Sistema Gestión Clínica Primer Nivel (SGC)/  Reportes auditorías recurrentes</w:t>
            </w:r>
          </w:p>
        </w:tc>
      </w:tr>
      <w:tr w:rsidR="00A55C61" w:rsidRPr="00A2639A" w:rsidTr="00A55C61">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4. Porcentaje </w:t>
            </w:r>
            <w:r w:rsidRPr="006A4E0D">
              <w:rPr>
                <w:rFonts w:cs="Calibri"/>
                <w:sz w:val="20"/>
                <w:szCs w:val="20"/>
              </w:rPr>
              <w:t>de niños menores de 24 meses con controles de desarrollo y crecimiento completo según protocolo nacional</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 xml:space="preserve">Total de niños menores de 24 meses con controles de desarrollo y crecimiento completo según protocolo nacional/Total de niños menores de 24 meses registrados en el primer nivel </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Sistema Gestión Clínica Primer Nivel (SGC)/  Reportes auditorías recurrentes</w:t>
            </w:r>
          </w:p>
        </w:tc>
      </w:tr>
      <w:tr w:rsidR="00A55C61" w:rsidRPr="00A2639A" w:rsidDel="008F31C4" w:rsidTr="00A55C61">
        <w:trPr>
          <w:trHeight w:val="1426"/>
        </w:trPr>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5. Porcentaje </w:t>
            </w:r>
            <w:r w:rsidRPr="006A4E0D">
              <w:rPr>
                <w:rFonts w:cs="Calibri"/>
                <w:sz w:val="20"/>
                <w:szCs w:val="20"/>
              </w:rPr>
              <w:t>de individuos sintomáticos respiratorios captados con resultados de baciloscopia documentado en centro de primer nivel</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individuos sintomáticos respiratorios con resultados de baciloscopia documentados en el primer nivel/Total de individuos sintomáticos respiratorios captados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Sistema Gestión Clínica Primer Nivel (SGC)/  Reportes auditorías recurrentes</w:t>
            </w:r>
          </w:p>
        </w:tc>
      </w:tr>
      <w:tr w:rsidR="00A55C61" w:rsidRPr="00A2639A" w:rsidTr="00A55C61">
        <w:trPr>
          <w:trHeight w:val="1336"/>
        </w:trPr>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6. Porcentaje </w:t>
            </w:r>
            <w:r w:rsidRPr="006A4E0D">
              <w:rPr>
                <w:rFonts w:cs="Calibri"/>
                <w:sz w:val="20"/>
                <w:szCs w:val="20"/>
              </w:rPr>
              <w:t>de individuos mayores de 18 años tamizados para hipertensión arterial según protocolo nacional</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individuos mayores de 18 años tamizados para hipertensión arterial según protocolo nacional/Total de individuos mayores de 18 años registrados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Reportes Sistema Gestión Clínica Primer Nivel (SGC)/  Reportes auditorías recurrentes</w:t>
            </w:r>
          </w:p>
        </w:tc>
      </w:tr>
      <w:tr w:rsidR="00A55C61" w:rsidRPr="00A2639A" w:rsidDel="008F31C4" w:rsidTr="00546706">
        <w:trPr>
          <w:trHeight w:val="620"/>
        </w:trPr>
        <w:tc>
          <w:tcPr>
            <w:tcW w:w="5335" w:type="dxa"/>
          </w:tcPr>
          <w:p w:rsidR="00A55C61" w:rsidRPr="006A4E0D" w:rsidRDefault="00A55C61" w:rsidP="00546706">
            <w:pPr>
              <w:spacing w:before="40" w:after="40" w:line="240" w:lineRule="auto"/>
              <w:rPr>
                <w:rFonts w:cs="Calibri"/>
                <w:sz w:val="20"/>
                <w:szCs w:val="20"/>
              </w:rPr>
            </w:pPr>
            <w:r w:rsidRPr="006A4E0D">
              <w:rPr>
                <w:sz w:val="20"/>
                <w:szCs w:val="20"/>
                <w:lang w:val="es-ES_tradnl"/>
              </w:rPr>
              <w:t xml:space="preserve">7. Porcentaje </w:t>
            </w:r>
            <w:r w:rsidRPr="006A4E0D">
              <w:rPr>
                <w:rFonts w:cs="Calibri"/>
                <w:sz w:val="20"/>
                <w:szCs w:val="20"/>
              </w:rPr>
              <w:t>de individuos diagnosticados con hipertensión arterial en tratamiento según protocolo nacional</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individuos diagnosticados con hipertensión arterial en tratamiento según protocolo nacional/Total de individuos con hipertensión arterial registrados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Reportes Sistema Gestión Clínica Primer Nivel (SGC)/  Reportes auditorías recurrentes</w:t>
            </w:r>
          </w:p>
        </w:tc>
      </w:tr>
      <w:tr w:rsidR="00A55C61" w:rsidRPr="00A2639A" w:rsidTr="00A55C61">
        <w:trPr>
          <w:trHeight w:val="192"/>
        </w:trPr>
        <w:tc>
          <w:tcPr>
            <w:tcW w:w="5335" w:type="dxa"/>
          </w:tcPr>
          <w:p w:rsidR="00A55C61" w:rsidRPr="006A4E0D" w:rsidRDefault="00A55C61" w:rsidP="00546706">
            <w:pPr>
              <w:spacing w:before="40" w:after="40" w:line="240" w:lineRule="auto"/>
              <w:rPr>
                <w:sz w:val="20"/>
                <w:szCs w:val="20"/>
                <w:lang w:val="es-ES_tradnl"/>
              </w:rPr>
            </w:pPr>
            <w:r w:rsidRPr="006A4E0D">
              <w:rPr>
                <w:sz w:val="20"/>
                <w:szCs w:val="20"/>
                <w:lang w:val="es-ES_tradnl"/>
              </w:rPr>
              <w:t xml:space="preserve">9. Porcentaje </w:t>
            </w:r>
            <w:r w:rsidRPr="006A4E0D">
              <w:rPr>
                <w:rFonts w:cs="Calibri"/>
                <w:sz w:val="20"/>
                <w:szCs w:val="20"/>
              </w:rPr>
              <w:t>de individuos mayores de 18 años con tamizaje para diabetes según protocolo nacional (screening diabetes)</w:t>
            </w: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individuos mayores de 18 años con tamizaje para diabetes según protocolo nacional /Total de individuos mayores de 18 años registrados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Reportes Sistema Gestión Clínica Primer Nivel (SGC)/  Reportes auditorías recurrentes</w:t>
            </w:r>
          </w:p>
        </w:tc>
      </w:tr>
      <w:tr w:rsidR="00A55C61" w:rsidRPr="00A2639A" w:rsidTr="00A55C61">
        <w:trPr>
          <w:trHeight w:val="1413"/>
        </w:trPr>
        <w:tc>
          <w:tcPr>
            <w:tcW w:w="5335" w:type="dxa"/>
          </w:tcPr>
          <w:p w:rsidR="00A55C61" w:rsidRPr="006A4E0D" w:rsidRDefault="00A55C61" w:rsidP="00546706">
            <w:pPr>
              <w:spacing w:before="40" w:after="40" w:line="240" w:lineRule="auto"/>
              <w:rPr>
                <w:rFonts w:cs="Calibri"/>
                <w:sz w:val="20"/>
                <w:szCs w:val="20"/>
              </w:rPr>
            </w:pPr>
            <w:r w:rsidRPr="006A4E0D">
              <w:rPr>
                <w:sz w:val="20"/>
                <w:szCs w:val="20"/>
                <w:lang w:val="es-ES_tradnl"/>
              </w:rPr>
              <w:t xml:space="preserve">10. Porcentaje </w:t>
            </w:r>
            <w:r w:rsidRPr="006A4E0D">
              <w:rPr>
                <w:rFonts w:cs="Calibri"/>
                <w:sz w:val="20"/>
                <w:szCs w:val="20"/>
              </w:rPr>
              <w:t>de individuos diagnosticados con Diabetes tipo II en tratamiento según protocolo nacional</w:t>
            </w:r>
          </w:p>
          <w:p w:rsidR="00A55C61" w:rsidRPr="006A4E0D" w:rsidRDefault="00A55C61" w:rsidP="00546706">
            <w:pPr>
              <w:spacing w:before="40" w:after="40" w:line="240" w:lineRule="auto"/>
              <w:rPr>
                <w:rFonts w:cs="Calibri"/>
                <w:sz w:val="20"/>
                <w:szCs w:val="20"/>
              </w:rPr>
            </w:pPr>
          </w:p>
          <w:p w:rsidR="00A55C61" w:rsidRPr="006A4E0D" w:rsidRDefault="00A55C61" w:rsidP="00546706">
            <w:pPr>
              <w:spacing w:before="40" w:after="40" w:line="240" w:lineRule="auto"/>
              <w:rPr>
                <w:rFonts w:cs="Calibri"/>
                <w:sz w:val="20"/>
                <w:szCs w:val="20"/>
              </w:rPr>
            </w:pPr>
          </w:p>
          <w:p w:rsidR="00A55C61" w:rsidRPr="006A4E0D" w:rsidRDefault="00A55C61" w:rsidP="00546706">
            <w:pPr>
              <w:spacing w:before="40" w:after="40" w:line="240" w:lineRule="auto"/>
              <w:rPr>
                <w:sz w:val="20"/>
                <w:szCs w:val="20"/>
                <w:lang w:val="es-ES_tradnl"/>
              </w:rPr>
            </w:pPr>
          </w:p>
        </w:tc>
        <w:tc>
          <w:tcPr>
            <w:tcW w:w="261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Total de individuos diagnosticados con Diabetes tipo II en tratamiento según protocolo nacional/Total de individuos con Diabetes Tipo II en el primer nivel</w:t>
            </w:r>
          </w:p>
        </w:tc>
        <w:tc>
          <w:tcPr>
            <w:tcW w:w="2520" w:type="dxa"/>
            <w:vAlign w:val="center"/>
          </w:tcPr>
          <w:p w:rsidR="00A55C61" w:rsidRPr="006A4E0D" w:rsidRDefault="00A55C61"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A55C61" w:rsidRPr="006A4E0D" w:rsidRDefault="00A55C61" w:rsidP="00546706">
            <w:pPr>
              <w:spacing w:before="40" w:after="40" w:line="240" w:lineRule="auto"/>
              <w:jc w:val="center"/>
              <w:rPr>
                <w:sz w:val="20"/>
                <w:szCs w:val="20"/>
                <w:lang w:val="es-ES_tradnl"/>
              </w:rPr>
            </w:pPr>
            <w:r w:rsidRPr="006A4E0D">
              <w:rPr>
                <w:sz w:val="20"/>
                <w:szCs w:val="20"/>
                <w:lang w:val="es-ES_tradnl"/>
              </w:rPr>
              <w:t>Reportes Sistema Gestión Clínica Primer Nivel (SGC)/  Reportes auditorías recurrentes</w:t>
            </w:r>
          </w:p>
        </w:tc>
      </w:tr>
      <w:tr w:rsidR="001477CA" w:rsidRPr="00A2639A" w:rsidTr="00A55C61">
        <w:trPr>
          <w:trHeight w:val="1413"/>
        </w:trPr>
        <w:tc>
          <w:tcPr>
            <w:tcW w:w="5335" w:type="dxa"/>
          </w:tcPr>
          <w:p w:rsidR="001477CA" w:rsidRPr="006A4E0D" w:rsidRDefault="001477CA" w:rsidP="00546706">
            <w:pPr>
              <w:spacing w:before="40" w:after="40" w:line="240" w:lineRule="auto"/>
              <w:rPr>
                <w:sz w:val="20"/>
                <w:szCs w:val="20"/>
                <w:lang w:val="es-ES_tradnl"/>
              </w:rPr>
            </w:pPr>
            <w:r>
              <w:rPr>
                <w:sz w:val="20"/>
                <w:szCs w:val="20"/>
                <w:lang w:val="es-ES_tradnl"/>
              </w:rPr>
              <w:t>11.  Porcentaje de población SIUBEN I y II con carnets de afiliación al régimen subsidiado</w:t>
            </w:r>
          </w:p>
        </w:tc>
        <w:tc>
          <w:tcPr>
            <w:tcW w:w="2610" w:type="dxa"/>
            <w:vAlign w:val="center"/>
          </w:tcPr>
          <w:p w:rsidR="001477CA" w:rsidRPr="006A4E0D" w:rsidRDefault="001477CA" w:rsidP="00546706">
            <w:pPr>
              <w:spacing w:before="40" w:after="40" w:line="240" w:lineRule="auto"/>
              <w:jc w:val="center"/>
              <w:rPr>
                <w:sz w:val="20"/>
                <w:szCs w:val="20"/>
                <w:lang w:val="es-ES_tradnl"/>
              </w:rPr>
            </w:pPr>
            <w:r w:rsidRPr="006A4E0D">
              <w:rPr>
                <w:sz w:val="20"/>
                <w:szCs w:val="20"/>
                <w:lang w:val="es-ES_tradnl"/>
              </w:rPr>
              <w:t xml:space="preserve">Total de individuos </w:t>
            </w:r>
            <w:r>
              <w:rPr>
                <w:sz w:val="20"/>
                <w:szCs w:val="20"/>
                <w:lang w:val="es-ES_tradnl"/>
              </w:rPr>
              <w:t>de población SIUBEN I y II, adscriptos, con carnets de afiliación al régimen subsidiado</w:t>
            </w:r>
            <w:r w:rsidRPr="006A4E0D">
              <w:rPr>
                <w:sz w:val="20"/>
                <w:szCs w:val="20"/>
                <w:lang w:val="es-ES_tradnl"/>
              </w:rPr>
              <w:t xml:space="preserve"> / Total de individuos </w:t>
            </w:r>
            <w:r>
              <w:rPr>
                <w:sz w:val="20"/>
                <w:szCs w:val="20"/>
                <w:lang w:val="es-ES_tradnl"/>
              </w:rPr>
              <w:t>de población SIUBEN I y II, adscriptos</w:t>
            </w:r>
          </w:p>
        </w:tc>
        <w:tc>
          <w:tcPr>
            <w:tcW w:w="2520" w:type="dxa"/>
            <w:vAlign w:val="center"/>
          </w:tcPr>
          <w:p w:rsidR="001477CA" w:rsidRPr="006A4E0D" w:rsidRDefault="001477CA" w:rsidP="00546706">
            <w:pPr>
              <w:spacing w:before="40" w:after="40" w:line="240" w:lineRule="auto"/>
              <w:jc w:val="center"/>
              <w:rPr>
                <w:sz w:val="20"/>
                <w:szCs w:val="20"/>
              </w:rPr>
            </w:pPr>
            <w:r w:rsidRPr="006A4E0D">
              <w:rPr>
                <w:sz w:val="20"/>
                <w:szCs w:val="20"/>
                <w:lang w:val="es-ES_tradnl"/>
              </w:rPr>
              <w:t>Cuatrimestral</w:t>
            </w:r>
          </w:p>
        </w:tc>
        <w:tc>
          <w:tcPr>
            <w:tcW w:w="2970" w:type="dxa"/>
            <w:vAlign w:val="center"/>
          </w:tcPr>
          <w:p w:rsidR="001477CA" w:rsidRPr="00897E14" w:rsidRDefault="001477CA" w:rsidP="00546706">
            <w:pPr>
              <w:spacing w:before="40" w:after="40" w:line="240" w:lineRule="auto"/>
              <w:jc w:val="center"/>
              <w:rPr>
                <w:sz w:val="20"/>
                <w:szCs w:val="20"/>
                <w:lang w:val="es-ES_tradnl"/>
              </w:rPr>
            </w:pPr>
            <w:r w:rsidRPr="006A4E0D">
              <w:rPr>
                <w:sz w:val="20"/>
                <w:szCs w:val="20"/>
                <w:lang w:val="es-ES_tradnl"/>
              </w:rPr>
              <w:t>Reportes a partir de la base de datos de dispersión de UNIPAGO</w:t>
            </w:r>
            <w:r>
              <w:rPr>
                <w:sz w:val="20"/>
                <w:szCs w:val="20"/>
                <w:lang w:val="es-ES_tradnl"/>
              </w:rPr>
              <w:t>/</w:t>
            </w:r>
            <w:r w:rsidRPr="00897E14">
              <w:rPr>
                <w:sz w:val="20"/>
                <w:szCs w:val="20"/>
                <w:lang w:val="es-ES_tradnl"/>
              </w:rPr>
              <w:t xml:space="preserve"> </w:t>
            </w:r>
            <w:r w:rsidRPr="00DC517F">
              <w:rPr>
                <w:sz w:val="20"/>
                <w:szCs w:val="20"/>
                <w:lang w:val="es-ES_tradnl"/>
              </w:rPr>
              <w:t>Reportes auditorías recurrentes</w:t>
            </w:r>
          </w:p>
        </w:tc>
      </w:tr>
      <w:tr w:rsidR="001477CA" w:rsidRPr="00A2639A" w:rsidTr="00A55C61">
        <w:trPr>
          <w:trHeight w:val="1413"/>
        </w:trPr>
        <w:tc>
          <w:tcPr>
            <w:tcW w:w="5335" w:type="dxa"/>
          </w:tcPr>
          <w:p w:rsidR="001477CA" w:rsidRPr="006A4E0D" w:rsidRDefault="001477CA" w:rsidP="00546706">
            <w:pPr>
              <w:spacing w:before="40" w:after="40" w:line="240" w:lineRule="auto"/>
              <w:rPr>
                <w:sz w:val="20"/>
                <w:szCs w:val="20"/>
                <w:lang w:val="es-ES_tradnl"/>
              </w:rPr>
            </w:pPr>
            <w:r>
              <w:rPr>
                <w:sz w:val="20"/>
                <w:szCs w:val="20"/>
                <w:lang w:val="es-ES_tradnl"/>
              </w:rPr>
              <w:t>12. Cantidad de dependientes de afiliados al régimen subsidiado que poseen información de acta de nacimiento en la base de datos de afiliados del SENASA</w:t>
            </w:r>
          </w:p>
        </w:tc>
        <w:tc>
          <w:tcPr>
            <w:tcW w:w="2610" w:type="dxa"/>
            <w:vAlign w:val="center"/>
          </w:tcPr>
          <w:p w:rsidR="001477CA" w:rsidRPr="006A4E0D" w:rsidRDefault="00F71AEA" w:rsidP="00546706">
            <w:pPr>
              <w:spacing w:before="40" w:after="40" w:line="240" w:lineRule="auto"/>
              <w:jc w:val="center"/>
              <w:rPr>
                <w:sz w:val="20"/>
                <w:szCs w:val="20"/>
                <w:lang w:val="es-ES_tradnl"/>
              </w:rPr>
            </w:pPr>
            <w:r w:rsidRPr="006A4E0D">
              <w:rPr>
                <w:sz w:val="20"/>
                <w:szCs w:val="20"/>
                <w:lang w:val="es-ES_tradnl"/>
              </w:rPr>
              <w:t xml:space="preserve">Total de individuos </w:t>
            </w:r>
            <w:r>
              <w:rPr>
                <w:sz w:val="20"/>
                <w:szCs w:val="20"/>
                <w:lang w:val="es-ES_tradnl"/>
              </w:rPr>
              <w:t>de población SIUBEN I y II, adscriptos, con carnets de afiliación al régimen subsidiado</w:t>
            </w:r>
            <w:r w:rsidRPr="006A4E0D">
              <w:rPr>
                <w:sz w:val="20"/>
                <w:szCs w:val="20"/>
                <w:lang w:val="es-ES_tradnl"/>
              </w:rPr>
              <w:t xml:space="preserve"> / Total de individuos </w:t>
            </w:r>
            <w:r>
              <w:rPr>
                <w:sz w:val="20"/>
                <w:szCs w:val="20"/>
                <w:lang w:val="es-ES_tradnl"/>
              </w:rPr>
              <w:t>de población SIUBEN I y II, adscriptos</w:t>
            </w:r>
          </w:p>
        </w:tc>
        <w:tc>
          <w:tcPr>
            <w:tcW w:w="2520" w:type="dxa"/>
            <w:vAlign w:val="center"/>
          </w:tcPr>
          <w:p w:rsidR="001477CA" w:rsidRPr="006A4E0D" w:rsidRDefault="00F71AEA" w:rsidP="00546706">
            <w:pPr>
              <w:spacing w:before="40" w:after="40" w:line="240" w:lineRule="auto"/>
              <w:jc w:val="center"/>
              <w:rPr>
                <w:sz w:val="20"/>
                <w:szCs w:val="20"/>
                <w:lang w:val="es-ES_tradnl"/>
              </w:rPr>
            </w:pPr>
            <w:r w:rsidRPr="006A4E0D">
              <w:rPr>
                <w:sz w:val="20"/>
                <w:szCs w:val="20"/>
                <w:lang w:val="es-ES_tradnl"/>
              </w:rPr>
              <w:t>Cuatrimestral</w:t>
            </w:r>
          </w:p>
        </w:tc>
        <w:tc>
          <w:tcPr>
            <w:tcW w:w="2970" w:type="dxa"/>
            <w:vAlign w:val="center"/>
          </w:tcPr>
          <w:p w:rsidR="001477CA" w:rsidRPr="006A4E0D" w:rsidRDefault="000F0129" w:rsidP="00546706">
            <w:pPr>
              <w:spacing w:before="40" w:after="40" w:line="240" w:lineRule="auto"/>
              <w:jc w:val="center"/>
              <w:rPr>
                <w:sz w:val="20"/>
                <w:szCs w:val="20"/>
                <w:lang w:val="es-ES_tradnl"/>
              </w:rPr>
            </w:pPr>
            <w:r w:rsidRPr="006A4E0D">
              <w:rPr>
                <w:sz w:val="20"/>
                <w:szCs w:val="20"/>
                <w:lang w:val="es-ES_tradnl"/>
              </w:rPr>
              <w:t>Reportes a partir de la base de datos de</w:t>
            </w:r>
            <w:r>
              <w:rPr>
                <w:sz w:val="20"/>
                <w:szCs w:val="20"/>
                <w:lang w:val="es-ES_tradnl"/>
              </w:rPr>
              <w:t xml:space="preserve"> SENASA y de la Junta Electoral</w:t>
            </w:r>
          </w:p>
        </w:tc>
      </w:tr>
    </w:tbl>
    <w:p w:rsidR="003B75D2" w:rsidRDefault="003B75D2" w:rsidP="003B75D2">
      <w:pPr>
        <w:rPr>
          <w:lang w:val="es-ES_tradnl"/>
        </w:rPr>
      </w:pPr>
    </w:p>
    <w:p w:rsidR="00702DD6" w:rsidRPr="003202BC" w:rsidRDefault="00702DD6" w:rsidP="003B75D2">
      <w:pPr>
        <w:rPr>
          <w:lang w:val="es-ES_tradnl"/>
        </w:rPr>
      </w:pPr>
    </w:p>
    <w:tbl>
      <w:tblPr>
        <w:tblW w:w="13029" w:type="dxa"/>
        <w:jc w:val="center"/>
        <w:tblInd w:w="-4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4161"/>
        <w:gridCol w:w="3614"/>
        <w:gridCol w:w="1620"/>
        <w:gridCol w:w="3634"/>
      </w:tblGrid>
      <w:tr w:rsidR="003B75D2" w:rsidRPr="00E6287C" w:rsidTr="00546706">
        <w:trPr>
          <w:trHeight w:val="471"/>
          <w:jc w:val="center"/>
        </w:trPr>
        <w:tc>
          <w:tcPr>
            <w:tcW w:w="13029" w:type="dxa"/>
            <w:gridSpan w:val="4"/>
            <w:shd w:val="clear" w:color="auto" w:fill="C0C0C0"/>
            <w:vAlign w:val="center"/>
          </w:tcPr>
          <w:p w:rsidR="003B75D2" w:rsidRPr="00BF03FB" w:rsidRDefault="00845A91" w:rsidP="003B226C">
            <w:pPr>
              <w:keepNext/>
              <w:spacing w:after="0" w:line="240" w:lineRule="auto"/>
              <w:jc w:val="center"/>
              <w:rPr>
                <w:b/>
                <w:bCs/>
                <w:lang w:val="es-ES_tradnl"/>
              </w:rPr>
            </w:pPr>
            <w:r>
              <w:rPr>
                <w:b/>
                <w:bCs/>
                <w:smallCaps/>
                <w:lang w:val="es-ES_tradnl"/>
              </w:rPr>
              <w:t xml:space="preserve">COMPONENTE </w:t>
            </w:r>
            <w:r w:rsidR="003B75D2" w:rsidRPr="00693296">
              <w:rPr>
                <w:b/>
                <w:bCs/>
                <w:smallCaps/>
                <w:lang w:val="es-ES_tradnl"/>
              </w:rPr>
              <w:t>I</w:t>
            </w:r>
            <w:r w:rsidR="004B7BB6">
              <w:rPr>
                <w:b/>
                <w:bCs/>
                <w:smallCaps/>
                <w:lang w:val="es-ES_tradnl"/>
              </w:rPr>
              <w:t>I.</w:t>
            </w:r>
            <w:r w:rsidR="003B75D2" w:rsidRPr="00693296">
              <w:rPr>
                <w:b/>
                <w:bCs/>
                <w:smallCaps/>
                <w:lang w:val="es-ES_tradnl"/>
              </w:rPr>
              <w:t xml:space="preserve"> </w:t>
            </w:r>
            <w:r w:rsidR="003B75D2" w:rsidRPr="00693296">
              <w:rPr>
                <w:b/>
                <w:lang w:val="es-ES_tradnl"/>
              </w:rPr>
              <w:t>Fortalecimiento de la calidad de los servicios de salud materno infantil</w:t>
            </w:r>
          </w:p>
        </w:tc>
      </w:tr>
      <w:tr w:rsidR="003B75D2" w:rsidRPr="00E6287C" w:rsidTr="00F006D9">
        <w:trPr>
          <w:trHeight w:val="368"/>
          <w:jc w:val="center"/>
        </w:trPr>
        <w:tc>
          <w:tcPr>
            <w:tcW w:w="4161" w:type="dxa"/>
            <w:shd w:val="clear" w:color="auto" w:fill="C0C0C0"/>
            <w:vAlign w:val="center"/>
          </w:tcPr>
          <w:p w:rsidR="003B75D2" w:rsidRPr="00BF03FB" w:rsidRDefault="003B75D2" w:rsidP="003B226C">
            <w:pPr>
              <w:keepNext/>
              <w:spacing w:after="0" w:line="240" w:lineRule="auto"/>
              <w:jc w:val="center"/>
              <w:rPr>
                <w:b/>
                <w:lang w:val="es-ES_tradnl"/>
              </w:rPr>
            </w:pPr>
            <w:r w:rsidRPr="00BF03FB">
              <w:rPr>
                <w:b/>
                <w:lang w:val="es-ES_tradnl"/>
              </w:rPr>
              <w:t>Indicadores de producto</w:t>
            </w:r>
          </w:p>
        </w:tc>
        <w:tc>
          <w:tcPr>
            <w:tcW w:w="3614" w:type="dxa"/>
            <w:tcBorders>
              <w:bottom w:val="single" w:sz="4" w:space="0" w:color="auto"/>
            </w:tcBorders>
            <w:shd w:val="clear" w:color="auto" w:fill="C0C0C0"/>
            <w:vAlign w:val="center"/>
          </w:tcPr>
          <w:p w:rsidR="003B75D2" w:rsidRPr="00BF03FB" w:rsidRDefault="003B75D2" w:rsidP="003B226C">
            <w:pPr>
              <w:keepNext/>
              <w:spacing w:after="0" w:line="240" w:lineRule="auto"/>
              <w:jc w:val="center"/>
              <w:rPr>
                <w:b/>
                <w:bCs/>
                <w:lang w:val="es-ES_tradnl"/>
              </w:rPr>
            </w:pPr>
            <w:r w:rsidRPr="00BF03FB">
              <w:rPr>
                <w:b/>
                <w:bCs/>
                <w:lang w:val="es-ES_tradnl"/>
              </w:rPr>
              <w:t>Fórmula</w:t>
            </w:r>
          </w:p>
        </w:tc>
        <w:tc>
          <w:tcPr>
            <w:tcW w:w="1620" w:type="dxa"/>
            <w:tcBorders>
              <w:bottom w:val="single" w:sz="4" w:space="0" w:color="auto"/>
            </w:tcBorders>
            <w:shd w:val="clear" w:color="auto" w:fill="C0C0C0"/>
            <w:vAlign w:val="center"/>
          </w:tcPr>
          <w:p w:rsidR="003B75D2" w:rsidRPr="00BF03FB" w:rsidRDefault="003B75D2" w:rsidP="003B226C">
            <w:pPr>
              <w:keepNext/>
              <w:spacing w:after="0" w:line="240" w:lineRule="auto"/>
              <w:jc w:val="center"/>
              <w:rPr>
                <w:b/>
                <w:bCs/>
                <w:lang w:val="es-ES_tradnl"/>
              </w:rPr>
            </w:pPr>
            <w:r w:rsidRPr="00BF03FB">
              <w:rPr>
                <w:b/>
                <w:bCs/>
                <w:lang w:val="es-ES_tradnl"/>
              </w:rPr>
              <w:t>Frecuencia de medición</w:t>
            </w:r>
          </w:p>
        </w:tc>
        <w:tc>
          <w:tcPr>
            <w:tcW w:w="3634" w:type="dxa"/>
            <w:tcBorders>
              <w:bottom w:val="single" w:sz="4" w:space="0" w:color="auto"/>
            </w:tcBorders>
            <w:shd w:val="clear" w:color="auto" w:fill="C0C0C0"/>
            <w:vAlign w:val="center"/>
          </w:tcPr>
          <w:p w:rsidR="003B75D2" w:rsidRPr="00BF03FB" w:rsidRDefault="003B75D2" w:rsidP="003B226C">
            <w:pPr>
              <w:keepNext/>
              <w:spacing w:after="0" w:line="240" w:lineRule="auto"/>
              <w:jc w:val="center"/>
              <w:rPr>
                <w:b/>
                <w:bCs/>
                <w:lang w:val="es-ES_tradnl"/>
              </w:rPr>
            </w:pPr>
            <w:r w:rsidRPr="00BF03FB">
              <w:rPr>
                <w:b/>
                <w:bCs/>
                <w:lang w:val="es-ES_tradnl"/>
              </w:rPr>
              <w:t>Fuente</w:t>
            </w:r>
          </w:p>
        </w:tc>
      </w:tr>
      <w:tr w:rsidR="003B75D2" w:rsidRPr="0001609F" w:rsidTr="00F006D9">
        <w:trPr>
          <w:trHeight w:val="593"/>
          <w:jc w:val="center"/>
        </w:trPr>
        <w:tc>
          <w:tcPr>
            <w:tcW w:w="4161" w:type="dxa"/>
            <w:vAlign w:val="center"/>
          </w:tcPr>
          <w:p w:rsidR="003B75D2" w:rsidRPr="001F53C4" w:rsidRDefault="003B75D2" w:rsidP="003B226C">
            <w:pPr>
              <w:keepNext/>
              <w:spacing w:after="0" w:line="240" w:lineRule="auto"/>
              <w:rPr>
                <w:sz w:val="20"/>
                <w:szCs w:val="20"/>
                <w:lang w:val="es-ES_tradnl"/>
              </w:rPr>
            </w:pPr>
            <w:r>
              <w:rPr>
                <w:sz w:val="20"/>
                <w:szCs w:val="20"/>
                <w:lang w:val="es-ES_tradnl"/>
              </w:rPr>
              <w:t>1. Hospitales certificados co</w:t>
            </w:r>
            <w:r w:rsidRPr="00F03766">
              <w:rPr>
                <w:sz w:val="20"/>
                <w:szCs w:val="20"/>
                <w:lang w:val="es-ES_tradnl"/>
              </w:rPr>
              <w:t>mo centros de excelencia</w:t>
            </w:r>
            <w:r>
              <w:rPr>
                <w:sz w:val="20"/>
                <w:szCs w:val="20"/>
                <w:lang w:val="es-ES_tradnl"/>
              </w:rPr>
              <w:t xml:space="preserve"> materno-infantil (CDEx). </w:t>
            </w:r>
          </w:p>
        </w:tc>
        <w:tc>
          <w:tcPr>
            <w:tcW w:w="3614" w:type="dxa"/>
            <w:vAlign w:val="center"/>
          </w:tcPr>
          <w:p w:rsidR="003B75D2" w:rsidRPr="009E7497" w:rsidRDefault="003B75D2" w:rsidP="003B226C">
            <w:pPr>
              <w:keepNext/>
              <w:spacing w:after="0" w:line="240" w:lineRule="auto"/>
              <w:jc w:val="center"/>
              <w:rPr>
                <w:sz w:val="20"/>
                <w:szCs w:val="20"/>
                <w:lang w:val="es-ES_tradnl"/>
              </w:rPr>
            </w:pPr>
            <w:r w:rsidRPr="009E7497">
              <w:rPr>
                <w:sz w:val="20"/>
                <w:szCs w:val="20"/>
                <w:lang w:val="es-ES_tradnl"/>
              </w:rPr>
              <w:t>Número absoluto</w:t>
            </w:r>
          </w:p>
        </w:tc>
        <w:tc>
          <w:tcPr>
            <w:tcW w:w="1620" w:type="dxa"/>
            <w:shd w:val="clear" w:color="auto" w:fill="auto"/>
            <w:vAlign w:val="center"/>
          </w:tcPr>
          <w:p w:rsidR="003B75D2" w:rsidRDefault="003B75D2" w:rsidP="003B226C">
            <w:pPr>
              <w:keepNext/>
              <w:spacing w:after="0" w:line="240" w:lineRule="auto"/>
              <w:jc w:val="center"/>
              <w:rPr>
                <w:sz w:val="20"/>
                <w:szCs w:val="20"/>
                <w:lang w:val="es-ES_tradnl"/>
              </w:rPr>
            </w:pPr>
            <w:r>
              <w:rPr>
                <w:sz w:val="20"/>
                <w:szCs w:val="20"/>
                <w:lang w:val="es-ES_tradnl"/>
              </w:rPr>
              <w:t>Anuales</w:t>
            </w:r>
          </w:p>
        </w:tc>
        <w:tc>
          <w:tcPr>
            <w:tcW w:w="3634" w:type="dxa"/>
            <w:shd w:val="clear" w:color="auto" w:fill="auto"/>
            <w:vAlign w:val="center"/>
          </w:tcPr>
          <w:p w:rsidR="003B75D2" w:rsidRPr="001F53C4" w:rsidRDefault="003B75D2" w:rsidP="003B226C">
            <w:pPr>
              <w:keepNext/>
              <w:spacing w:after="0" w:line="240" w:lineRule="auto"/>
              <w:rPr>
                <w:sz w:val="20"/>
                <w:szCs w:val="20"/>
                <w:lang w:val="es-ES_tradnl"/>
              </w:rPr>
            </w:pPr>
            <w:r>
              <w:rPr>
                <w:sz w:val="20"/>
                <w:szCs w:val="20"/>
                <w:lang w:val="es-ES_tradnl"/>
              </w:rPr>
              <w:t>Reportes de Evaluación hechos por la Di</w:t>
            </w:r>
            <w:r w:rsidR="00F006D9">
              <w:rPr>
                <w:sz w:val="20"/>
                <w:szCs w:val="20"/>
                <w:lang w:val="es-ES_tradnl"/>
              </w:rPr>
              <w:t>rección General de Habilitación</w:t>
            </w:r>
          </w:p>
        </w:tc>
      </w:tr>
      <w:tr w:rsidR="003B75D2" w:rsidRPr="0001609F" w:rsidTr="00F006D9">
        <w:trPr>
          <w:trHeight w:val="818"/>
          <w:jc w:val="center"/>
        </w:trPr>
        <w:tc>
          <w:tcPr>
            <w:tcW w:w="4161" w:type="dxa"/>
            <w:tcBorders>
              <w:bottom w:val="single" w:sz="4" w:space="0" w:color="auto"/>
            </w:tcBorders>
            <w:vAlign w:val="center"/>
          </w:tcPr>
          <w:p w:rsidR="003B75D2" w:rsidRPr="00F829B8" w:rsidRDefault="003B75D2" w:rsidP="003B226C">
            <w:pPr>
              <w:keepNext/>
              <w:spacing w:after="0" w:line="240" w:lineRule="auto"/>
              <w:rPr>
                <w:sz w:val="20"/>
                <w:szCs w:val="20"/>
                <w:lang w:val="es-ES_tradnl"/>
              </w:rPr>
            </w:pPr>
            <w:r>
              <w:rPr>
                <w:color w:val="000000"/>
                <w:sz w:val="20"/>
                <w:szCs w:val="20"/>
                <w:lang w:val="es-ES_tradnl"/>
              </w:rPr>
              <w:t xml:space="preserve">2. </w:t>
            </w:r>
            <w:r w:rsidRPr="00F829B8">
              <w:rPr>
                <w:color w:val="000000"/>
                <w:sz w:val="20"/>
                <w:szCs w:val="20"/>
                <w:lang w:val="es-ES_tradnl"/>
              </w:rPr>
              <w:t>Sistema de Gestión</w:t>
            </w:r>
            <w:r>
              <w:rPr>
                <w:color w:val="000000"/>
                <w:sz w:val="20"/>
                <w:szCs w:val="20"/>
                <w:lang w:val="es-ES_tradnl"/>
              </w:rPr>
              <w:t xml:space="preserve"> Hospitalaria (SIGHO) implementado</w:t>
            </w:r>
            <w:r w:rsidRPr="00F829B8">
              <w:rPr>
                <w:color w:val="000000"/>
                <w:sz w:val="20"/>
                <w:szCs w:val="20"/>
                <w:lang w:val="es-ES_tradnl"/>
              </w:rPr>
              <w:t xml:space="preserve"> en los hospitales CDEx</w:t>
            </w:r>
            <w:r w:rsidR="00546706">
              <w:rPr>
                <w:color w:val="000000"/>
                <w:sz w:val="20"/>
                <w:szCs w:val="20"/>
                <w:lang w:val="es-ES_tradnl"/>
              </w:rPr>
              <w:t xml:space="preserve"> </w:t>
            </w:r>
          </w:p>
        </w:tc>
        <w:tc>
          <w:tcPr>
            <w:tcW w:w="3614" w:type="dxa"/>
            <w:tcBorders>
              <w:bottom w:val="single" w:sz="4" w:space="0" w:color="auto"/>
            </w:tcBorders>
            <w:vAlign w:val="center"/>
          </w:tcPr>
          <w:p w:rsidR="003B75D2" w:rsidRPr="009E7497" w:rsidRDefault="003B75D2" w:rsidP="003B226C">
            <w:pPr>
              <w:keepNext/>
              <w:spacing w:after="0" w:line="240" w:lineRule="auto"/>
              <w:jc w:val="center"/>
              <w:rPr>
                <w:sz w:val="20"/>
                <w:szCs w:val="20"/>
                <w:lang w:val="es-ES_tradnl"/>
              </w:rPr>
            </w:pPr>
            <w:r w:rsidRPr="009E7497">
              <w:rPr>
                <w:sz w:val="20"/>
                <w:szCs w:val="20"/>
                <w:lang w:val="es-ES_tradnl"/>
              </w:rPr>
              <w:t>Binario</w:t>
            </w:r>
          </w:p>
        </w:tc>
        <w:tc>
          <w:tcPr>
            <w:tcW w:w="1620" w:type="dxa"/>
            <w:tcBorders>
              <w:bottom w:val="single" w:sz="4" w:space="0" w:color="auto"/>
            </w:tcBorders>
            <w:vAlign w:val="center"/>
          </w:tcPr>
          <w:p w:rsidR="003B75D2" w:rsidRDefault="003B75D2" w:rsidP="003B226C">
            <w:pPr>
              <w:keepNext/>
              <w:spacing w:after="0" w:line="240" w:lineRule="auto"/>
              <w:jc w:val="center"/>
              <w:rPr>
                <w:sz w:val="20"/>
                <w:szCs w:val="20"/>
                <w:lang w:val="es-ES_tradnl"/>
              </w:rPr>
            </w:pPr>
            <w:r>
              <w:rPr>
                <w:sz w:val="20"/>
                <w:szCs w:val="20"/>
                <w:lang w:val="es-ES_tradnl"/>
              </w:rPr>
              <w:t>Anuales</w:t>
            </w:r>
          </w:p>
        </w:tc>
        <w:tc>
          <w:tcPr>
            <w:tcW w:w="3634" w:type="dxa"/>
            <w:tcBorders>
              <w:bottom w:val="single" w:sz="4" w:space="0" w:color="auto"/>
            </w:tcBorders>
            <w:vAlign w:val="center"/>
          </w:tcPr>
          <w:p w:rsidR="003B75D2" w:rsidRPr="00F006D9" w:rsidRDefault="003B75D2" w:rsidP="003B226C">
            <w:pPr>
              <w:keepNext/>
              <w:spacing w:after="0" w:line="240" w:lineRule="auto"/>
              <w:rPr>
                <w:spacing w:val="-6"/>
                <w:sz w:val="20"/>
                <w:szCs w:val="20"/>
                <w:lang w:val="es-ES_tradnl"/>
              </w:rPr>
            </w:pPr>
            <w:r w:rsidRPr="00F006D9">
              <w:rPr>
                <w:spacing w:val="-6"/>
                <w:sz w:val="20"/>
                <w:szCs w:val="20"/>
                <w:lang w:val="es-ES_tradnl"/>
              </w:rPr>
              <w:t>Reportes de Evaluación emitidos por la Dirección de Tecnología de Información del MSP</w:t>
            </w:r>
          </w:p>
        </w:tc>
      </w:tr>
      <w:tr w:rsidR="00702DD6" w:rsidRPr="0001609F" w:rsidTr="00F006D9">
        <w:trPr>
          <w:trHeight w:val="728"/>
          <w:jc w:val="center"/>
        </w:trPr>
        <w:tc>
          <w:tcPr>
            <w:tcW w:w="4161" w:type="dxa"/>
            <w:tcBorders>
              <w:bottom w:val="single" w:sz="4" w:space="0" w:color="auto"/>
            </w:tcBorders>
            <w:vAlign w:val="center"/>
          </w:tcPr>
          <w:p w:rsidR="003B75D2" w:rsidRPr="005F605F" w:rsidRDefault="003B75D2" w:rsidP="003B226C">
            <w:pPr>
              <w:keepNext/>
              <w:spacing w:after="0" w:line="240" w:lineRule="auto"/>
              <w:rPr>
                <w:sz w:val="20"/>
                <w:szCs w:val="20"/>
                <w:lang w:val="es-ES_tradnl"/>
              </w:rPr>
            </w:pPr>
            <w:r>
              <w:rPr>
                <w:sz w:val="20"/>
                <w:szCs w:val="20"/>
                <w:lang w:val="es-ES_tradnl"/>
              </w:rPr>
              <w:t>3</w:t>
            </w:r>
            <w:r w:rsidRPr="005F605F">
              <w:rPr>
                <w:sz w:val="20"/>
                <w:szCs w:val="20"/>
                <w:lang w:val="es-ES_tradnl"/>
              </w:rPr>
              <w:t xml:space="preserve">. </w:t>
            </w:r>
            <w:r>
              <w:rPr>
                <w:sz w:val="20"/>
                <w:szCs w:val="20"/>
                <w:lang w:val="es-ES_tradnl"/>
              </w:rPr>
              <w:t xml:space="preserve">Número de Personal Médico y Enfermería, así como personal administrativo capacitado en </w:t>
            </w:r>
            <w:r w:rsidRPr="005F605F">
              <w:rPr>
                <w:color w:val="000000"/>
                <w:sz w:val="20"/>
                <w:szCs w:val="20"/>
                <w:lang w:val="es-ES_tradnl"/>
              </w:rPr>
              <w:t xml:space="preserve">Sistema de Gestión Hospitalaria (SIGHO) </w:t>
            </w:r>
          </w:p>
        </w:tc>
        <w:tc>
          <w:tcPr>
            <w:tcW w:w="3614" w:type="dxa"/>
            <w:tcBorders>
              <w:bottom w:val="single" w:sz="4" w:space="0" w:color="auto"/>
            </w:tcBorders>
            <w:vAlign w:val="center"/>
          </w:tcPr>
          <w:p w:rsidR="003B75D2" w:rsidRPr="009E7497" w:rsidRDefault="003B75D2" w:rsidP="003B226C">
            <w:pPr>
              <w:keepNext/>
              <w:spacing w:after="0" w:line="240" w:lineRule="auto"/>
              <w:jc w:val="center"/>
              <w:rPr>
                <w:sz w:val="20"/>
                <w:szCs w:val="20"/>
              </w:rPr>
            </w:pPr>
            <w:r w:rsidRPr="009E7497">
              <w:rPr>
                <w:sz w:val="20"/>
                <w:szCs w:val="20"/>
              </w:rPr>
              <w:t>Número absoluto</w:t>
            </w:r>
          </w:p>
        </w:tc>
        <w:tc>
          <w:tcPr>
            <w:tcW w:w="1620" w:type="dxa"/>
            <w:tcBorders>
              <w:bottom w:val="single" w:sz="4" w:space="0" w:color="auto"/>
            </w:tcBorders>
            <w:vAlign w:val="center"/>
          </w:tcPr>
          <w:p w:rsidR="003B75D2" w:rsidRDefault="003B75D2" w:rsidP="003B226C">
            <w:pPr>
              <w:keepNext/>
              <w:spacing w:after="0" w:line="240" w:lineRule="auto"/>
              <w:jc w:val="center"/>
              <w:rPr>
                <w:sz w:val="20"/>
                <w:szCs w:val="20"/>
                <w:lang w:val="es-ES_tradnl"/>
              </w:rPr>
            </w:pPr>
            <w:r>
              <w:rPr>
                <w:sz w:val="20"/>
                <w:szCs w:val="20"/>
                <w:lang w:val="es-ES_tradnl"/>
              </w:rPr>
              <w:t>Anuales</w:t>
            </w:r>
          </w:p>
        </w:tc>
        <w:tc>
          <w:tcPr>
            <w:tcW w:w="3634" w:type="dxa"/>
            <w:tcBorders>
              <w:bottom w:val="single" w:sz="4" w:space="0" w:color="auto"/>
            </w:tcBorders>
            <w:vAlign w:val="center"/>
          </w:tcPr>
          <w:p w:rsidR="003B75D2" w:rsidRDefault="003B75D2" w:rsidP="003B226C">
            <w:pPr>
              <w:keepNext/>
              <w:spacing w:after="0" w:line="240" w:lineRule="auto"/>
              <w:rPr>
                <w:sz w:val="20"/>
                <w:szCs w:val="20"/>
                <w:lang w:val="es-ES_tradnl"/>
              </w:rPr>
            </w:pPr>
            <w:r>
              <w:rPr>
                <w:sz w:val="20"/>
                <w:szCs w:val="20"/>
                <w:lang w:val="es-ES_tradnl"/>
              </w:rPr>
              <w:t xml:space="preserve">Listados de Asistencia a las sesiones de capacitación y </w:t>
            </w:r>
            <w:r w:rsidR="00F006D9">
              <w:rPr>
                <w:sz w:val="20"/>
                <w:szCs w:val="20"/>
                <w:lang w:val="es-ES_tradnl"/>
              </w:rPr>
              <w:t xml:space="preserve">certificación participación de </w:t>
            </w:r>
            <w:r>
              <w:rPr>
                <w:sz w:val="20"/>
                <w:szCs w:val="20"/>
                <w:lang w:val="es-ES_tradnl"/>
              </w:rPr>
              <w:t>emitida por la DDI al finalizar el curso</w:t>
            </w:r>
          </w:p>
        </w:tc>
      </w:tr>
      <w:tr w:rsidR="00702DD6" w:rsidRPr="0001609F" w:rsidTr="00F006D9">
        <w:trPr>
          <w:trHeight w:val="1070"/>
          <w:jc w:val="center"/>
        </w:trPr>
        <w:tc>
          <w:tcPr>
            <w:tcW w:w="4161" w:type="dxa"/>
            <w:tcBorders>
              <w:bottom w:val="single" w:sz="4" w:space="0" w:color="auto"/>
            </w:tcBorders>
            <w:vAlign w:val="center"/>
          </w:tcPr>
          <w:p w:rsidR="003B75D2" w:rsidRPr="00873D3D" w:rsidRDefault="003B75D2" w:rsidP="003B226C">
            <w:pPr>
              <w:keepNext/>
              <w:spacing w:after="0" w:line="240" w:lineRule="auto"/>
              <w:rPr>
                <w:color w:val="000000"/>
                <w:sz w:val="20"/>
                <w:szCs w:val="20"/>
                <w:lang w:val="es-ES_tradnl"/>
              </w:rPr>
            </w:pPr>
            <w:r>
              <w:rPr>
                <w:sz w:val="20"/>
                <w:szCs w:val="20"/>
                <w:lang w:val="es-ES_tradnl"/>
              </w:rPr>
              <w:t>4</w:t>
            </w:r>
            <w:r w:rsidRPr="005F605F">
              <w:rPr>
                <w:sz w:val="20"/>
                <w:szCs w:val="20"/>
                <w:lang w:val="es-ES_tradnl"/>
              </w:rPr>
              <w:t xml:space="preserve">. </w:t>
            </w:r>
            <w:r w:rsidRPr="005F605F">
              <w:rPr>
                <w:color w:val="000000"/>
                <w:sz w:val="20"/>
                <w:szCs w:val="20"/>
                <w:lang w:val="es-ES_tradnl"/>
              </w:rPr>
              <w:t xml:space="preserve">Número de </w:t>
            </w:r>
            <w:r>
              <w:rPr>
                <w:color w:val="000000"/>
                <w:sz w:val="20"/>
                <w:szCs w:val="20"/>
                <w:lang w:val="es-ES_tradnl"/>
              </w:rPr>
              <w:t xml:space="preserve">personal de salud de los </w:t>
            </w:r>
            <w:r w:rsidR="00546706">
              <w:rPr>
                <w:color w:val="000000"/>
                <w:sz w:val="20"/>
                <w:szCs w:val="20"/>
                <w:lang w:val="es-ES_tradnl"/>
              </w:rPr>
              <w:t>seis</w:t>
            </w:r>
            <w:r>
              <w:rPr>
                <w:color w:val="000000"/>
                <w:sz w:val="20"/>
                <w:szCs w:val="20"/>
                <w:lang w:val="es-ES_tradnl"/>
              </w:rPr>
              <w:t xml:space="preserve"> hospitales a ser incluidos como Centros de Excelencia Materno-infantil </w:t>
            </w:r>
            <w:r w:rsidRPr="005F605F">
              <w:rPr>
                <w:color w:val="000000"/>
                <w:sz w:val="20"/>
                <w:szCs w:val="20"/>
                <w:lang w:val="es-ES_tradnl"/>
              </w:rPr>
              <w:t>capacitadas a través de programas</w:t>
            </w:r>
            <w:r>
              <w:rPr>
                <w:color w:val="000000"/>
                <w:sz w:val="20"/>
                <w:szCs w:val="20"/>
                <w:lang w:val="es-ES_tradnl"/>
              </w:rPr>
              <w:t xml:space="preserve"> </w:t>
            </w:r>
            <w:r w:rsidRPr="00E15617">
              <w:rPr>
                <w:color w:val="000000"/>
                <w:sz w:val="20"/>
                <w:lang w:val="es-ES_tradnl"/>
              </w:rPr>
              <w:t>Cuidados Obstétricos De Emergencia</w:t>
            </w:r>
            <w:r>
              <w:rPr>
                <w:color w:val="000000"/>
                <w:sz w:val="20"/>
                <w:szCs w:val="20"/>
                <w:lang w:val="es-ES_tradnl"/>
              </w:rPr>
              <w:t xml:space="preserve"> COE</w:t>
            </w:r>
          </w:p>
        </w:tc>
        <w:tc>
          <w:tcPr>
            <w:tcW w:w="3614" w:type="dxa"/>
            <w:tcBorders>
              <w:bottom w:val="single" w:sz="4" w:space="0" w:color="auto"/>
            </w:tcBorders>
            <w:vAlign w:val="center"/>
          </w:tcPr>
          <w:p w:rsidR="003B75D2" w:rsidRPr="009E7497" w:rsidRDefault="003B75D2" w:rsidP="003B226C">
            <w:pPr>
              <w:keepNext/>
              <w:spacing w:after="0" w:line="240" w:lineRule="auto"/>
              <w:jc w:val="center"/>
              <w:rPr>
                <w:sz w:val="20"/>
                <w:szCs w:val="20"/>
                <w:lang w:val="es-ES_tradnl"/>
              </w:rPr>
            </w:pPr>
            <w:r w:rsidRPr="009E7497">
              <w:rPr>
                <w:sz w:val="20"/>
                <w:szCs w:val="20"/>
              </w:rPr>
              <w:t>Número absoluto</w:t>
            </w:r>
          </w:p>
        </w:tc>
        <w:tc>
          <w:tcPr>
            <w:tcW w:w="1620" w:type="dxa"/>
            <w:tcBorders>
              <w:bottom w:val="single" w:sz="4" w:space="0" w:color="auto"/>
            </w:tcBorders>
            <w:vAlign w:val="center"/>
          </w:tcPr>
          <w:p w:rsidR="003B75D2" w:rsidRPr="001F53C4" w:rsidRDefault="003B75D2" w:rsidP="003B226C">
            <w:pPr>
              <w:keepNext/>
              <w:spacing w:after="0" w:line="240" w:lineRule="auto"/>
              <w:jc w:val="center"/>
              <w:rPr>
                <w:sz w:val="20"/>
                <w:szCs w:val="20"/>
                <w:lang w:val="es-ES_tradnl"/>
              </w:rPr>
            </w:pPr>
            <w:r>
              <w:rPr>
                <w:sz w:val="20"/>
                <w:szCs w:val="20"/>
                <w:lang w:val="es-ES_tradnl"/>
              </w:rPr>
              <w:t>Anuales</w:t>
            </w:r>
          </w:p>
        </w:tc>
        <w:tc>
          <w:tcPr>
            <w:tcW w:w="3634" w:type="dxa"/>
            <w:tcBorders>
              <w:bottom w:val="single" w:sz="4" w:space="0" w:color="auto"/>
            </w:tcBorders>
            <w:vAlign w:val="center"/>
          </w:tcPr>
          <w:p w:rsidR="003B75D2" w:rsidRPr="001F53C4" w:rsidRDefault="003B75D2" w:rsidP="003B226C">
            <w:pPr>
              <w:keepNext/>
              <w:spacing w:after="0" w:line="240" w:lineRule="auto"/>
              <w:rPr>
                <w:sz w:val="20"/>
                <w:szCs w:val="20"/>
                <w:lang w:val="es-ES_tradnl"/>
              </w:rPr>
            </w:pPr>
            <w:r>
              <w:rPr>
                <w:sz w:val="20"/>
                <w:szCs w:val="20"/>
                <w:lang w:val="es-ES_tradnl"/>
              </w:rPr>
              <w:t>Listados de Asistencia a las sesiones de capacitación y certificación participación de  emitida por la DDI al finalizar el curso</w:t>
            </w:r>
          </w:p>
        </w:tc>
      </w:tr>
      <w:tr w:rsidR="00702DD6" w:rsidRPr="0001609F" w:rsidTr="00F006D9">
        <w:trPr>
          <w:trHeight w:val="1036"/>
          <w:jc w:val="center"/>
        </w:trPr>
        <w:tc>
          <w:tcPr>
            <w:tcW w:w="4161" w:type="dxa"/>
            <w:tcBorders>
              <w:bottom w:val="single" w:sz="4" w:space="0" w:color="auto"/>
            </w:tcBorders>
            <w:vAlign w:val="center"/>
          </w:tcPr>
          <w:p w:rsidR="003B75D2" w:rsidRDefault="003B75D2" w:rsidP="003B226C">
            <w:pPr>
              <w:keepNext/>
              <w:spacing w:after="0" w:line="240" w:lineRule="auto"/>
              <w:rPr>
                <w:sz w:val="20"/>
                <w:szCs w:val="20"/>
                <w:lang w:val="es-ES_tradnl"/>
              </w:rPr>
            </w:pPr>
            <w:r>
              <w:rPr>
                <w:color w:val="000000"/>
                <w:sz w:val="20"/>
                <w:szCs w:val="20"/>
                <w:lang w:val="es-ES_tradnl"/>
              </w:rPr>
              <w:t xml:space="preserve">5. </w:t>
            </w:r>
            <w:r w:rsidRPr="005F605F">
              <w:rPr>
                <w:color w:val="000000"/>
                <w:sz w:val="20"/>
                <w:szCs w:val="20"/>
                <w:lang w:val="es-ES_tradnl"/>
              </w:rPr>
              <w:t xml:space="preserve">Número de </w:t>
            </w:r>
            <w:r>
              <w:rPr>
                <w:color w:val="000000"/>
                <w:sz w:val="20"/>
                <w:szCs w:val="20"/>
                <w:lang w:val="es-ES_tradnl"/>
              </w:rPr>
              <w:t xml:space="preserve">personal de salud del área de perinatología de los </w:t>
            </w:r>
            <w:r w:rsidR="00546706">
              <w:rPr>
                <w:color w:val="000000"/>
                <w:sz w:val="20"/>
                <w:szCs w:val="20"/>
                <w:lang w:val="es-ES_tradnl"/>
              </w:rPr>
              <w:t>seis</w:t>
            </w:r>
            <w:r>
              <w:rPr>
                <w:color w:val="000000"/>
                <w:sz w:val="20"/>
                <w:szCs w:val="20"/>
                <w:lang w:val="es-ES_tradnl"/>
              </w:rPr>
              <w:t xml:space="preserve"> hospitales a ser incluidos como Centros de Excelencia Materno-infantil </w:t>
            </w:r>
            <w:r w:rsidRPr="005F605F">
              <w:rPr>
                <w:color w:val="000000"/>
                <w:sz w:val="20"/>
                <w:szCs w:val="20"/>
                <w:lang w:val="es-ES_tradnl"/>
              </w:rPr>
              <w:t xml:space="preserve">capacitadas </w:t>
            </w:r>
            <w:r>
              <w:rPr>
                <w:color w:val="000000"/>
                <w:sz w:val="20"/>
                <w:szCs w:val="20"/>
                <w:lang w:val="es-ES_tradnl"/>
              </w:rPr>
              <w:t>en sepsis neonatal</w:t>
            </w:r>
          </w:p>
        </w:tc>
        <w:tc>
          <w:tcPr>
            <w:tcW w:w="3614" w:type="dxa"/>
            <w:tcBorders>
              <w:bottom w:val="single" w:sz="4" w:space="0" w:color="auto"/>
            </w:tcBorders>
            <w:vAlign w:val="center"/>
          </w:tcPr>
          <w:p w:rsidR="003B75D2" w:rsidRPr="009E7497" w:rsidRDefault="003B75D2" w:rsidP="003B226C">
            <w:pPr>
              <w:keepNext/>
              <w:spacing w:after="0" w:line="240" w:lineRule="auto"/>
              <w:jc w:val="center"/>
              <w:rPr>
                <w:sz w:val="20"/>
                <w:szCs w:val="20"/>
                <w:lang w:val="es-ES_tradnl"/>
              </w:rPr>
            </w:pPr>
            <w:r w:rsidRPr="009E7497">
              <w:rPr>
                <w:sz w:val="20"/>
                <w:szCs w:val="20"/>
              </w:rPr>
              <w:t>Número absoluto</w:t>
            </w:r>
          </w:p>
        </w:tc>
        <w:tc>
          <w:tcPr>
            <w:tcW w:w="1620" w:type="dxa"/>
            <w:tcBorders>
              <w:bottom w:val="single" w:sz="4" w:space="0" w:color="auto"/>
            </w:tcBorders>
            <w:vAlign w:val="center"/>
          </w:tcPr>
          <w:p w:rsidR="003B75D2" w:rsidRPr="001F53C4" w:rsidRDefault="003B75D2" w:rsidP="003B226C">
            <w:pPr>
              <w:keepNext/>
              <w:spacing w:after="0" w:line="240" w:lineRule="auto"/>
              <w:jc w:val="center"/>
              <w:rPr>
                <w:sz w:val="20"/>
                <w:szCs w:val="20"/>
                <w:lang w:val="es-ES_tradnl"/>
              </w:rPr>
            </w:pPr>
            <w:r>
              <w:rPr>
                <w:sz w:val="20"/>
                <w:szCs w:val="20"/>
                <w:lang w:val="es-ES_tradnl"/>
              </w:rPr>
              <w:t>Anuales</w:t>
            </w:r>
          </w:p>
        </w:tc>
        <w:tc>
          <w:tcPr>
            <w:tcW w:w="3634" w:type="dxa"/>
            <w:tcBorders>
              <w:bottom w:val="single" w:sz="4" w:space="0" w:color="auto"/>
            </w:tcBorders>
            <w:vAlign w:val="center"/>
          </w:tcPr>
          <w:p w:rsidR="003B75D2" w:rsidRPr="001F53C4" w:rsidRDefault="003B75D2" w:rsidP="003B226C">
            <w:pPr>
              <w:keepNext/>
              <w:spacing w:after="0" w:line="240" w:lineRule="auto"/>
              <w:rPr>
                <w:sz w:val="20"/>
                <w:szCs w:val="20"/>
                <w:lang w:val="es-ES_tradnl"/>
              </w:rPr>
            </w:pPr>
            <w:r>
              <w:rPr>
                <w:sz w:val="20"/>
                <w:szCs w:val="20"/>
                <w:lang w:val="es-ES_tradnl"/>
              </w:rPr>
              <w:t>Listados de Asistencia a las sesiones de capacitación y certificación par</w:t>
            </w:r>
            <w:r w:rsidR="003B226C">
              <w:rPr>
                <w:sz w:val="20"/>
                <w:szCs w:val="20"/>
                <w:lang w:val="es-ES_tradnl"/>
              </w:rPr>
              <w:t xml:space="preserve">ticipación de </w:t>
            </w:r>
            <w:r>
              <w:rPr>
                <w:sz w:val="20"/>
                <w:szCs w:val="20"/>
                <w:lang w:val="es-ES_tradnl"/>
              </w:rPr>
              <w:t>emitida por la DDI al finalizar el curso</w:t>
            </w:r>
          </w:p>
        </w:tc>
      </w:tr>
      <w:tr w:rsidR="003B75D2" w:rsidRPr="0001609F" w:rsidTr="00F006D9">
        <w:trPr>
          <w:trHeight w:val="582"/>
          <w:jc w:val="center"/>
        </w:trPr>
        <w:tc>
          <w:tcPr>
            <w:tcW w:w="4161" w:type="dxa"/>
            <w:shd w:val="pct25" w:color="auto" w:fill="auto"/>
            <w:vAlign w:val="center"/>
          </w:tcPr>
          <w:p w:rsidR="003B75D2" w:rsidRPr="008B73EB" w:rsidRDefault="003B75D2" w:rsidP="003B226C">
            <w:pPr>
              <w:keepNext/>
              <w:spacing w:after="0" w:line="240" w:lineRule="auto"/>
              <w:jc w:val="center"/>
              <w:rPr>
                <w:b/>
                <w:lang w:val="es-ES_tradnl"/>
              </w:rPr>
            </w:pPr>
            <w:r w:rsidRPr="008B73EB">
              <w:rPr>
                <w:b/>
                <w:lang w:val="es-ES_tradnl"/>
              </w:rPr>
              <w:t>Indicadores de resultados intermedios</w:t>
            </w:r>
          </w:p>
        </w:tc>
        <w:tc>
          <w:tcPr>
            <w:tcW w:w="3614" w:type="dxa"/>
            <w:shd w:val="pct25" w:color="auto" w:fill="auto"/>
            <w:vAlign w:val="center"/>
          </w:tcPr>
          <w:p w:rsidR="003B75D2" w:rsidRPr="00BF03FB" w:rsidRDefault="003B75D2" w:rsidP="003B226C">
            <w:pPr>
              <w:keepNext/>
              <w:spacing w:after="0" w:line="240" w:lineRule="auto"/>
              <w:jc w:val="center"/>
              <w:rPr>
                <w:b/>
                <w:bCs/>
                <w:lang w:val="es-ES_tradnl"/>
              </w:rPr>
            </w:pPr>
            <w:r w:rsidRPr="00BF03FB">
              <w:rPr>
                <w:b/>
                <w:bCs/>
                <w:lang w:val="es-ES_tradnl"/>
              </w:rPr>
              <w:t>Fórmula</w:t>
            </w:r>
          </w:p>
        </w:tc>
        <w:tc>
          <w:tcPr>
            <w:tcW w:w="1620" w:type="dxa"/>
            <w:shd w:val="pct25" w:color="auto" w:fill="auto"/>
            <w:vAlign w:val="center"/>
          </w:tcPr>
          <w:p w:rsidR="003B75D2" w:rsidRPr="00BF03FB" w:rsidRDefault="003B75D2" w:rsidP="003B226C">
            <w:pPr>
              <w:keepNext/>
              <w:spacing w:after="0" w:line="240" w:lineRule="auto"/>
              <w:jc w:val="center"/>
              <w:rPr>
                <w:b/>
                <w:bCs/>
                <w:lang w:val="es-ES_tradnl"/>
              </w:rPr>
            </w:pPr>
            <w:r w:rsidRPr="00BF03FB">
              <w:rPr>
                <w:b/>
                <w:bCs/>
                <w:lang w:val="es-ES_tradnl"/>
              </w:rPr>
              <w:t>Frecuencia de medición</w:t>
            </w:r>
          </w:p>
        </w:tc>
        <w:tc>
          <w:tcPr>
            <w:tcW w:w="3634" w:type="dxa"/>
            <w:shd w:val="pct25" w:color="auto" w:fill="auto"/>
            <w:vAlign w:val="center"/>
          </w:tcPr>
          <w:p w:rsidR="003B75D2" w:rsidRPr="00BF03FB" w:rsidRDefault="003B75D2" w:rsidP="003B226C">
            <w:pPr>
              <w:keepNext/>
              <w:spacing w:after="0" w:line="240" w:lineRule="auto"/>
              <w:jc w:val="center"/>
              <w:rPr>
                <w:b/>
                <w:bCs/>
                <w:lang w:val="es-ES_tradnl"/>
              </w:rPr>
            </w:pPr>
            <w:r w:rsidRPr="00BF03FB">
              <w:rPr>
                <w:b/>
                <w:bCs/>
                <w:lang w:val="es-ES_tradnl"/>
              </w:rPr>
              <w:t>Fuente</w:t>
            </w:r>
          </w:p>
        </w:tc>
      </w:tr>
      <w:tr w:rsidR="003B75D2" w:rsidRPr="00873D3D" w:rsidTr="00F006D9">
        <w:trPr>
          <w:trHeight w:val="137"/>
          <w:jc w:val="center"/>
        </w:trPr>
        <w:tc>
          <w:tcPr>
            <w:tcW w:w="4161" w:type="dxa"/>
            <w:tcBorders>
              <w:bottom w:val="single" w:sz="4" w:space="0" w:color="auto"/>
            </w:tcBorders>
            <w:vAlign w:val="center"/>
          </w:tcPr>
          <w:p w:rsidR="003B75D2" w:rsidRPr="005F605F" w:rsidRDefault="003B75D2" w:rsidP="003B226C">
            <w:pPr>
              <w:keepNext/>
              <w:spacing w:after="0" w:line="240" w:lineRule="auto"/>
              <w:rPr>
                <w:sz w:val="20"/>
                <w:szCs w:val="20"/>
                <w:lang w:val="es-ES_tradnl"/>
              </w:rPr>
            </w:pPr>
            <w:r>
              <w:rPr>
                <w:sz w:val="20"/>
                <w:szCs w:val="20"/>
                <w:lang w:val="es-ES_tradnl"/>
              </w:rPr>
              <w:t>1</w:t>
            </w:r>
            <w:r w:rsidRPr="005F605F">
              <w:rPr>
                <w:sz w:val="20"/>
                <w:szCs w:val="20"/>
                <w:lang w:val="es-ES_tradnl"/>
              </w:rPr>
              <w:t xml:space="preserve">. </w:t>
            </w:r>
            <w:r>
              <w:rPr>
                <w:color w:val="000000"/>
                <w:sz w:val="20"/>
                <w:szCs w:val="20"/>
                <w:lang w:val="es-ES_tradnl"/>
              </w:rPr>
              <w:t>P</w:t>
            </w:r>
            <w:r w:rsidRPr="005F605F">
              <w:rPr>
                <w:color w:val="000000"/>
                <w:sz w:val="20"/>
                <w:szCs w:val="20"/>
                <w:lang w:val="es-ES_tradnl"/>
              </w:rPr>
              <w:t>orcentaje de muertes maternas e incidentes auditados por los Comités de Maternidad Segura con al menos una de las medidas correctivas implementadas</w:t>
            </w:r>
          </w:p>
        </w:tc>
        <w:tc>
          <w:tcPr>
            <w:tcW w:w="3614" w:type="dxa"/>
            <w:tcBorders>
              <w:bottom w:val="single" w:sz="4" w:space="0" w:color="auto"/>
            </w:tcBorders>
            <w:vAlign w:val="center"/>
          </w:tcPr>
          <w:p w:rsidR="003B75D2" w:rsidRPr="001F53C4" w:rsidRDefault="003B75D2" w:rsidP="003B226C">
            <w:pPr>
              <w:keepNext/>
              <w:spacing w:after="0" w:line="240" w:lineRule="auto"/>
              <w:jc w:val="center"/>
              <w:rPr>
                <w:sz w:val="20"/>
                <w:szCs w:val="20"/>
                <w:lang w:val="es-ES_tradnl"/>
              </w:rPr>
            </w:pPr>
            <w:r>
              <w:rPr>
                <w:sz w:val="20"/>
                <w:szCs w:val="20"/>
                <w:lang w:val="es-ES_tradnl"/>
              </w:rPr>
              <w:t>Total de muertes maternas e incidentes auditados por el Comité de Maternidad Segura con al menos una medida correctiva implementada/Total de muertes maternas e incidentes registrados en los hospitales</w:t>
            </w:r>
          </w:p>
        </w:tc>
        <w:tc>
          <w:tcPr>
            <w:tcW w:w="1620" w:type="dxa"/>
            <w:tcBorders>
              <w:bottom w:val="single" w:sz="4" w:space="0" w:color="auto"/>
            </w:tcBorders>
            <w:vAlign w:val="center"/>
          </w:tcPr>
          <w:p w:rsidR="003B75D2" w:rsidRPr="00873D3D" w:rsidRDefault="003B75D2" w:rsidP="003B226C">
            <w:pPr>
              <w:keepNext/>
              <w:spacing w:after="0" w:line="240" w:lineRule="auto"/>
              <w:jc w:val="center"/>
              <w:rPr>
                <w:sz w:val="20"/>
                <w:szCs w:val="20"/>
                <w:lang w:val="es-ES_tradnl"/>
              </w:rPr>
            </w:pPr>
            <w:r>
              <w:rPr>
                <w:sz w:val="20"/>
                <w:szCs w:val="20"/>
                <w:lang w:val="es-ES_tradnl"/>
              </w:rPr>
              <w:t>Anual</w:t>
            </w:r>
          </w:p>
        </w:tc>
        <w:tc>
          <w:tcPr>
            <w:tcW w:w="3634" w:type="dxa"/>
            <w:tcBorders>
              <w:bottom w:val="single" w:sz="4" w:space="0" w:color="auto"/>
            </w:tcBorders>
            <w:vAlign w:val="center"/>
          </w:tcPr>
          <w:p w:rsidR="003B75D2" w:rsidRPr="00873D3D" w:rsidRDefault="003B75D2" w:rsidP="003B226C">
            <w:pPr>
              <w:keepNext/>
              <w:spacing w:after="0" w:line="240" w:lineRule="auto"/>
              <w:rPr>
                <w:sz w:val="20"/>
                <w:szCs w:val="20"/>
                <w:lang w:val="es-ES_tradnl"/>
              </w:rPr>
            </w:pPr>
            <w:r>
              <w:rPr>
                <w:sz w:val="20"/>
                <w:szCs w:val="20"/>
                <w:lang w:val="es-ES_tradnl"/>
              </w:rPr>
              <w:t>Actas de las sesiones del Comité de Maternidad Segura</w:t>
            </w:r>
          </w:p>
        </w:tc>
      </w:tr>
      <w:tr w:rsidR="003B75D2" w:rsidRPr="00CB04DC" w:rsidTr="00F006D9">
        <w:trPr>
          <w:trHeight w:val="137"/>
          <w:jc w:val="center"/>
        </w:trPr>
        <w:tc>
          <w:tcPr>
            <w:tcW w:w="4161" w:type="dxa"/>
            <w:shd w:val="clear" w:color="auto" w:fill="auto"/>
            <w:vAlign w:val="center"/>
          </w:tcPr>
          <w:p w:rsidR="003B75D2" w:rsidRPr="005F605F" w:rsidRDefault="003B75D2" w:rsidP="003B226C">
            <w:pPr>
              <w:keepNext/>
              <w:spacing w:after="0" w:line="240" w:lineRule="auto"/>
              <w:rPr>
                <w:sz w:val="20"/>
                <w:szCs w:val="20"/>
                <w:lang w:val="es-ES_tradnl"/>
              </w:rPr>
            </w:pPr>
            <w:r>
              <w:rPr>
                <w:sz w:val="20"/>
                <w:szCs w:val="20"/>
                <w:lang w:val="es-ES_tradnl"/>
              </w:rPr>
              <w:t>2</w:t>
            </w:r>
            <w:r w:rsidRPr="005F605F">
              <w:rPr>
                <w:sz w:val="20"/>
                <w:szCs w:val="20"/>
                <w:lang w:val="es-ES_tradnl"/>
              </w:rPr>
              <w:t xml:space="preserve">. </w:t>
            </w:r>
            <w:r>
              <w:rPr>
                <w:color w:val="000000"/>
                <w:sz w:val="20"/>
                <w:szCs w:val="20"/>
                <w:lang w:val="es-ES_tradnl"/>
              </w:rPr>
              <w:t>P</w:t>
            </w:r>
            <w:r w:rsidRPr="005F605F">
              <w:rPr>
                <w:color w:val="000000"/>
                <w:sz w:val="20"/>
                <w:szCs w:val="20"/>
                <w:lang w:val="es-ES_tradnl"/>
              </w:rPr>
              <w:t>orcentaje de las muertes neonatales y cuasi auditados por los Comités de Maternidad Segura con al menos una de las medidas correctivas implementadas</w:t>
            </w:r>
          </w:p>
        </w:tc>
        <w:tc>
          <w:tcPr>
            <w:tcW w:w="3614" w:type="dxa"/>
            <w:shd w:val="clear" w:color="auto" w:fill="auto"/>
            <w:vAlign w:val="center"/>
          </w:tcPr>
          <w:p w:rsidR="003B75D2" w:rsidRPr="001F53C4" w:rsidRDefault="003B75D2" w:rsidP="003B226C">
            <w:pPr>
              <w:keepNext/>
              <w:spacing w:after="0" w:line="240" w:lineRule="auto"/>
              <w:jc w:val="center"/>
              <w:rPr>
                <w:sz w:val="20"/>
                <w:szCs w:val="20"/>
                <w:lang w:val="es-ES_tradnl"/>
              </w:rPr>
            </w:pPr>
            <w:r>
              <w:rPr>
                <w:sz w:val="20"/>
                <w:szCs w:val="20"/>
                <w:lang w:val="es-ES_tradnl"/>
              </w:rPr>
              <w:t>Total de casos morbimortalidad neonatal auditados por el Comité con al menos una medida correctiva aplicada/Total de casos de morbimortalidad neonatal ocurridos en los hospitales</w:t>
            </w:r>
          </w:p>
        </w:tc>
        <w:tc>
          <w:tcPr>
            <w:tcW w:w="1620" w:type="dxa"/>
            <w:shd w:val="clear" w:color="auto" w:fill="auto"/>
            <w:vAlign w:val="center"/>
          </w:tcPr>
          <w:p w:rsidR="003B75D2" w:rsidRPr="00873D3D" w:rsidRDefault="003B75D2" w:rsidP="003B226C">
            <w:pPr>
              <w:keepNext/>
              <w:spacing w:after="0" w:line="240" w:lineRule="auto"/>
              <w:jc w:val="center"/>
              <w:rPr>
                <w:sz w:val="20"/>
                <w:szCs w:val="20"/>
                <w:lang w:val="es-ES_tradnl"/>
              </w:rPr>
            </w:pPr>
            <w:r>
              <w:rPr>
                <w:sz w:val="20"/>
                <w:szCs w:val="20"/>
                <w:lang w:val="es-ES_tradnl"/>
              </w:rPr>
              <w:t>Anual</w:t>
            </w:r>
          </w:p>
        </w:tc>
        <w:tc>
          <w:tcPr>
            <w:tcW w:w="3634" w:type="dxa"/>
            <w:shd w:val="clear" w:color="auto" w:fill="auto"/>
            <w:vAlign w:val="center"/>
          </w:tcPr>
          <w:p w:rsidR="003B75D2" w:rsidRPr="00873D3D" w:rsidRDefault="003B75D2" w:rsidP="003B226C">
            <w:pPr>
              <w:keepNext/>
              <w:spacing w:after="0" w:line="240" w:lineRule="auto"/>
              <w:rPr>
                <w:sz w:val="20"/>
                <w:szCs w:val="20"/>
                <w:lang w:val="es-ES_tradnl"/>
              </w:rPr>
            </w:pPr>
            <w:r>
              <w:rPr>
                <w:sz w:val="20"/>
                <w:szCs w:val="20"/>
                <w:lang w:val="es-ES_tradnl"/>
              </w:rPr>
              <w:t xml:space="preserve">Actas de las sesiones del Comité de Maternidad Segura </w:t>
            </w:r>
          </w:p>
        </w:tc>
      </w:tr>
    </w:tbl>
    <w:tbl>
      <w:tblPr>
        <w:tblpPr w:leftFromText="180" w:rightFromText="180" w:vertAnchor="text" w:horzAnchor="page" w:tblpX="1600" w:tblpY="-411"/>
        <w:tblOverlap w:val="never"/>
        <w:tblW w:w="13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4975"/>
        <w:gridCol w:w="2430"/>
        <w:gridCol w:w="1800"/>
        <w:gridCol w:w="3859"/>
      </w:tblGrid>
      <w:tr w:rsidR="003B75D2" w:rsidRPr="00E6287C" w:rsidTr="00702DD6">
        <w:trPr>
          <w:trHeight w:val="445"/>
        </w:trPr>
        <w:tc>
          <w:tcPr>
            <w:tcW w:w="13064" w:type="dxa"/>
            <w:gridSpan w:val="4"/>
            <w:shd w:val="clear" w:color="auto" w:fill="C0C0C0"/>
            <w:vAlign w:val="center"/>
          </w:tcPr>
          <w:p w:rsidR="003B75D2" w:rsidRDefault="003B75D2" w:rsidP="00546706">
            <w:pPr>
              <w:spacing w:before="40" w:after="40" w:line="240" w:lineRule="auto"/>
              <w:jc w:val="center"/>
              <w:rPr>
                <w:b/>
                <w:bCs/>
                <w:sz w:val="20"/>
                <w:szCs w:val="20"/>
                <w:lang w:val="es-ES_tradnl"/>
              </w:rPr>
            </w:pPr>
            <w:r w:rsidRPr="00785C67">
              <w:rPr>
                <w:b/>
                <w:bCs/>
                <w:szCs w:val="20"/>
                <w:lang w:val="es-ES_tradnl"/>
              </w:rPr>
              <w:t xml:space="preserve">COMPONENTE III: </w:t>
            </w:r>
            <w:r w:rsidRPr="00785C67">
              <w:rPr>
                <w:b/>
                <w:spacing w:val="-2"/>
                <w:szCs w:val="20"/>
                <w:lang w:val="es-ES_tradnl"/>
              </w:rPr>
              <w:t>: Fortalecimiento institucional de la función de rectoría del sector salud</w:t>
            </w:r>
          </w:p>
        </w:tc>
      </w:tr>
      <w:tr w:rsidR="00702DD6" w:rsidRPr="00E6287C" w:rsidTr="00DA798F">
        <w:trPr>
          <w:trHeight w:val="511"/>
        </w:trPr>
        <w:tc>
          <w:tcPr>
            <w:tcW w:w="4975" w:type="dxa"/>
            <w:shd w:val="clear" w:color="auto" w:fill="C0C0C0"/>
            <w:vAlign w:val="center"/>
          </w:tcPr>
          <w:p w:rsidR="003B75D2" w:rsidRPr="00B611C8" w:rsidRDefault="003B75D2" w:rsidP="00546706">
            <w:pPr>
              <w:spacing w:before="40" w:after="40" w:line="240" w:lineRule="auto"/>
              <w:rPr>
                <w:b/>
                <w:lang w:val="es-ES_tradnl"/>
              </w:rPr>
            </w:pPr>
            <w:r w:rsidRPr="00B611C8">
              <w:rPr>
                <w:b/>
                <w:lang w:val="es-ES_tradnl"/>
              </w:rPr>
              <w:t>Indicadores de producto</w:t>
            </w:r>
          </w:p>
        </w:tc>
        <w:tc>
          <w:tcPr>
            <w:tcW w:w="2430" w:type="dxa"/>
            <w:tcBorders>
              <w:bottom w:val="single" w:sz="4" w:space="0" w:color="auto"/>
            </w:tcBorders>
            <w:shd w:val="clear" w:color="auto" w:fill="C0C0C0"/>
            <w:vAlign w:val="center"/>
          </w:tcPr>
          <w:p w:rsidR="003B75D2" w:rsidRPr="00BF03FB" w:rsidRDefault="003B75D2" w:rsidP="00546706">
            <w:pPr>
              <w:spacing w:before="40" w:after="40" w:line="240" w:lineRule="auto"/>
              <w:jc w:val="center"/>
              <w:rPr>
                <w:b/>
                <w:bCs/>
                <w:lang w:val="es-ES_tradnl"/>
              </w:rPr>
            </w:pPr>
            <w:r w:rsidRPr="00BF03FB">
              <w:rPr>
                <w:b/>
                <w:bCs/>
                <w:lang w:val="es-ES_tradnl"/>
              </w:rPr>
              <w:t>Fórmula</w:t>
            </w:r>
          </w:p>
        </w:tc>
        <w:tc>
          <w:tcPr>
            <w:tcW w:w="1800" w:type="dxa"/>
            <w:tcBorders>
              <w:bottom w:val="single" w:sz="4" w:space="0" w:color="auto"/>
            </w:tcBorders>
            <w:shd w:val="clear" w:color="auto" w:fill="C0C0C0"/>
            <w:vAlign w:val="center"/>
          </w:tcPr>
          <w:p w:rsidR="003B75D2" w:rsidRPr="00BF03FB" w:rsidRDefault="003B75D2" w:rsidP="00546706">
            <w:pPr>
              <w:spacing w:before="40" w:after="40" w:line="240" w:lineRule="auto"/>
              <w:jc w:val="center"/>
              <w:rPr>
                <w:b/>
                <w:bCs/>
                <w:lang w:val="es-ES_tradnl"/>
              </w:rPr>
            </w:pPr>
            <w:r w:rsidRPr="00BF03FB">
              <w:rPr>
                <w:b/>
                <w:bCs/>
                <w:lang w:val="es-ES_tradnl"/>
              </w:rPr>
              <w:t>Frecuencia de medición</w:t>
            </w:r>
          </w:p>
        </w:tc>
        <w:tc>
          <w:tcPr>
            <w:tcW w:w="3859" w:type="dxa"/>
            <w:tcBorders>
              <w:bottom w:val="single" w:sz="4" w:space="0" w:color="auto"/>
            </w:tcBorders>
            <w:shd w:val="clear" w:color="auto" w:fill="C0C0C0"/>
            <w:vAlign w:val="center"/>
          </w:tcPr>
          <w:p w:rsidR="003B75D2" w:rsidRPr="00BF03FB" w:rsidRDefault="003B75D2" w:rsidP="00546706">
            <w:pPr>
              <w:spacing w:before="40" w:after="40" w:line="240" w:lineRule="auto"/>
              <w:jc w:val="center"/>
              <w:rPr>
                <w:b/>
                <w:bCs/>
                <w:lang w:val="es-ES_tradnl"/>
              </w:rPr>
            </w:pPr>
            <w:r w:rsidRPr="00BF03FB">
              <w:rPr>
                <w:b/>
                <w:bCs/>
                <w:lang w:val="es-ES_tradnl"/>
              </w:rPr>
              <w:t>Fuente</w:t>
            </w:r>
          </w:p>
        </w:tc>
      </w:tr>
      <w:tr w:rsidR="00702DD6" w:rsidRPr="00E6287C" w:rsidTr="00DA798F">
        <w:trPr>
          <w:trHeight w:val="311"/>
        </w:trPr>
        <w:tc>
          <w:tcPr>
            <w:tcW w:w="4975" w:type="dxa"/>
            <w:vAlign w:val="center"/>
          </w:tcPr>
          <w:p w:rsidR="003B75D2" w:rsidRPr="004D3DBA" w:rsidRDefault="003B75D2" w:rsidP="00546706">
            <w:pPr>
              <w:spacing w:before="40" w:after="40" w:line="240" w:lineRule="auto"/>
              <w:rPr>
                <w:sz w:val="20"/>
                <w:szCs w:val="20"/>
                <w:lang w:val="es-ES_tradnl"/>
              </w:rPr>
            </w:pPr>
            <w:r>
              <w:rPr>
                <w:sz w:val="20"/>
                <w:szCs w:val="20"/>
                <w:lang w:val="es-ES_tradnl"/>
              </w:rPr>
              <w:t>1</w:t>
            </w:r>
            <w:r w:rsidRPr="004D3DBA">
              <w:rPr>
                <w:sz w:val="20"/>
                <w:szCs w:val="20"/>
                <w:lang w:val="es-ES_tradnl"/>
              </w:rPr>
              <w:t xml:space="preserve">. </w:t>
            </w:r>
            <w:r>
              <w:rPr>
                <w:sz w:val="20"/>
                <w:szCs w:val="20"/>
                <w:lang w:val="es-ES_tradnl"/>
              </w:rPr>
              <w:t>Plan</w:t>
            </w:r>
            <w:r w:rsidRPr="004D3DBA">
              <w:rPr>
                <w:sz w:val="20"/>
                <w:szCs w:val="20"/>
                <w:lang w:val="es-ES_tradnl"/>
              </w:rPr>
              <w:t xml:space="preserve"> decenal 2016</w:t>
            </w:r>
            <w:r w:rsidRPr="004D3DBA">
              <w:rPr>
                <w:sz w:val="20"/>
                <w:szCs w:val="20"/>
                <w:lang w:val="es-ES_tradnl"/>
              </w:rPr>
              <w:noBreakHyphen/>
              <w:t>2025</w:t>
            </w:r>
            <w:r>
              <w:rPr>
                <w:sz w:val="20"/>
                <w:szCs w:val="20"/>
                <w:lang w:val="es-ES_tradnl"/>
              </w:rPr>
              <w:t xml:space="preserve"> elaborado</w:t>
            </w:r>
          </w:p>
        </w:tc>
        <w:tc>
          <w:tcPr>
            <w:tcW w:w="2430" w:type="dxa"/>
            <w:shd w:val="clear" w:color="auto" w:fill="auto"/>
            <w:vAlign w:val="center"/>
          </w:tcPr>
          <w:p w:rsidR="003B75D2" w:rsidRPr="007122B1" w:rsidRDefault="003B75D2" w:rsidP="00546706">
            <w:pPr>
              <w:spacing w:before="40" w:after="40" w:line="240" w:lineRule="auto"/>
              <w:jc w:val="center"/>
              <w:rPr>
                <w:sz w:val="20"/>
                <w:szCs w:val="20"/>
                <w:lang w:val="es-ES_tradnl"/>
              </w:rPr>
            </w:pPr>
            <w:r>
              <w:rPr>
                <w:sz w:val="20"/>
                <w:szCs w:val="20"/>
                <w:lang w:val="es-ES_tradnl"/>
              </w:rPr>
              <w:t>Binario</w:t>
            </w:r>
          </w:p>
        </w:tc>
        <w:tc>
          <w:tcPr>
            <w:tcW w:w="1800" w:type="dxa"/>
            <w:shd w:val="clear" w:color="auto" w:fill="auto"/>
            <w:vAlign w:val="center"/>
          </w:tcPr>
          <w:p w:rsidR="003B75D2" w:rsidRPr="007122B1" w:rsidRDefault="003B75D2" w:rsidP="00546706">
            <w:pPr>
              <w:spacing w:before="40" w:after="40" w:line="240" w:lineRule="auto"/>
              <w:jc w:val="center"/>
              <w:rPr>
                <w:sz w:val="20"/>
                <w:szCs w:val="20"/>
                <w:lang w:val="es-ES_tradnl"/>
              </w:rPr>
            </w:pPr>
            <w:r>
              <w:rPr>
                <w:sz w:val="20"/>
                <w:szCs w:val="20"/>
                <w:lang w:val="es-ES_tradnl"/>
              </w:rPr>
              <w:t>Anual</w:t>
            </w:r>
          </w:p>
        </w:tc>
        <w:tc>
          <w:tcPr>
            <w:tcW w:w="3859" w:type="dxa"/>
            <w:shd w:val="clear" w:color="auto" w:fill="auto"/>
            <w:vAlign w:val="center"/>
          </w:tcPr>
          <w:p w:rsidR="003B75D2" w:rsidRPr="007122B1" w:rsidRDefault="003B75D2" w:rsidP="00546706">
            <w:pPr>
              <w:spacing w:before="40" w:after="40" w:line="240" w:lineRule="auto"/>
              <w:rPr>
                <w:sz w:val="20"/>
                <w:szCs w:val="20"/>
                <w:lang w:val="es-ES_tradnl"/>
              </w:rPr>
            </w:pPr>
            <w:r>
              <w:rPr>
                <w:sz w:val="20"/>
                <w:szCs w:val="20"/>
                <w:lang w:val="es-ES_tradnl"/>
              </w:rPr>
              <w:t>Informe de consultoría</w:t>
            </w:r>
          </w:p>
        </w:tc>
      </w:tr>
      <w:tr w:rsidR="00702DD6" w:rsidRPr="00E6287C" w:rsidTr="00DA798F">
        <w:trPr>
          <w:trHeight w:val="917"/>
        </w:trPr>
        <w:tc>
          <w:tcPr>
            <w:tcW w:w="4975" w:type="dxa"/>
            <w:tcBorders>
              <w:bottom w:val="single" w:sz="4" w:space="0" w:color="auto"/>
            </w:tcBorders>
            <w:vAlign w:val="center"/>
          </w:tcPr>
          <w:p w:rsidR="003B75D2" w:rsidRPr="004D3DBA" w:rsidRDefault="003B75D2" w:rsidP="00546706">
            <w:pPr>
              <w:spacing w:before="40" w:after="40" w:line="240" w:lineRule="auto"/>
              <w:rPr>
                <w:sz w:val="20"/>
                <w:szCs w:val="20"/>
                <w:lang w:val="es-ES_tradnl"/>
              </w:rPr>
            </w:pPr>
            <w:r>
              <w:rPr>
                <w:sz w:val="20"/>
                <w:szCs w:val="20"/>
                <w:lang w:val="es-ES_tradnl"/>
              </w:rPr>
              <w:t xml:space="preserve"> 2</w:t>
            </w:r>
            <w:r w:rsidRPr="004D3DBA">
              <w:rPr>
                <w:sz w:val="20"/>
                <w:szCs w:val="20"/>
                <w:lang w:val="es-ES_tradnl"/>
              </w:rPr>
              <w:t xml:space="preserve">. </w:t>
            </w:r>
            <w:r>
              <w:rPr>
                <w:color w:val="000000"/>
                <w:sz w:val="20"/>
                <w:szCs w:val="20"/>
                <w:lang w:val="es-ES_tradnl"/>
              </w:rPr>
              <w:t>Unidad</w:t>
            </w:r>
            <w:r w:rsidRPr="004D3DBA">
              <w:rPr>
                <w:color w:val="000000"/>
                <w:sz w:val="20"/>
                <w:szCs w:val="20"/>
                <w:lang w:val="es-ES_tradnl"/>
              </w:rPr>
              <w:t xml:space="preserve"> de análisis de monitoreo y evaluación de desempeño dentro del MSP</w:t>
            </w:r>
            <w:r>
              <w:rPr>
                <w:color w:val="000000"/>
                <w:sz w:val="20"/>
                <w:szCs w:val="20"/>
                <w:lang w:val="es-ES_tradnl"/>
              </w:rPr>
              <w:t xml:space="preserve"> implementada</w:t>
            </w:r>
          </w:p>
        </w:tc>
        <w:tc>
          <w:tcPr>
            <w:tcW w:w="2430" w:type="dxa"/>
            <w:tcBorders>
              <w:bottom w:val="single" w:sz="4" w:space="0" w:color="auto"/>
            </w:tcBorders>
            <w:shd w:val="clear" w:color="auto" w:fill="auto"/>
            <w:vAlign w:val="center"/>
          </w:tcPr>
          <w:p w:rsidR="003B75D2" w:rsidRPr="007122B1" w:rsidRDefault="003B75D2" w:rsidP="00546706">
            <w:pPr>
              <w:spacing w:before="40" w:after="40" w:line="240" w:lineRule="auto"/>
              <w:jc w:val="center"/>
              <w:rPr>
                <w:sz w:val="20"/>
                <w:szCs w:val="20"/>
                <w:lang w:val="es-ES_tradnl"/>
              </w:rPr>
            </w:pPr>
            <w:r>
              <w:rPr>
                <w:sz w:val="20"/>
                <w:szCs w:val="20"/>
                <w:lang w:val="es-ES_tradnl"/>
              </w:rPr>
              <w:t>Binario</w:t>
            </w:r>
          </w:p>
        </w:tc>
        <w:tc>
          <w:tcPr>
            <w:tcW w:w="1800" w:type="dxa"/>
            <w:tcBorders>
              <w:bottom w:val="single" w:sz="4" w:space="0" w:color="auto"/>
            </w:tcBorders>
            <w:shd w:val="clear" w:color="auto" w:fill="auto"/>
            <w:vAlign w:val="center"/>
          </w:tcPr>
          <w:p w:rsidR="003B75D2" w:rsidRPr="007122B1" w:rsidRDefault="003B75D2" w:rsidP="00546706">
            <w:pPr>
              <w:spacing w:before="40" w:after="40" w:line="240" w:lineRule="auto"/>
              <w:jc w:val="center"/>
              <w:rPr>
                <w:sz w:val="20"/>
                <w:szCs w:val="20"/>
                <w:lang w:val="es-ES_tradnl"/>
              </w:rPr>
            </w:pPr>
            <w:r>
              <w:rPr>
                <w:sz w:val="20"/>
                <w:szCs w:val="20"/>
                <w:lang w:val="es-ES_tradnl"/>
              </w:rPr>
              <w:t>Anual</w:t>
            </w:r>
          </w:p>
        </w:tc>
        <w:tc>
          <w:tcPr>
            <w:tcW w:w="3859" w:type="dxa"/>
            <w:tcBorders>
              <w:bottom w:val="single" w:sz="4" w:space="0" w:color="auto"/>
            </w:tcBorders>
            <w:shd w:val="clear" w:color="auto" w:fill="auto"/>
            <w:vAlign w:val="center"/>
          </w:tcPr>
          <w:p w:rsidR="003B75D2" w:rsidRPr="007122B1" w:rsidRDefault="003B75D2" w:rsidP="00546706">
            <w:pPr>
              <w:spacing w:before="40" w:after="40" w:line="240" w:lineRule="auto"/>
              <w:rPr>
                <w:sz w:val="20"/>
                <w:szCs w:val="20"/>
                <w:lang w:val="es-ES_tradnl"/>
              </w:rPr>
            </w:pPr>
            <w:r>
              <w:rPr>
                <w:sz w:val="20"/>
                <w:szCs w:val="20"/>
                <w:lang w:val="es-ES_tradnl"/>
              </w:rPr>
              <w:t>Resolución Ministerial estableciendo creación de la Unidad/ Manual de Operaciones de la Unidad/  Reportes de evaluación de la Unidad</w:t>
            </w:r>
          </w:p>
        </w:tc>
      </w:tr>
      <w:tr w:rsidR="00702DD6" w:rsidRPr="00E6287C" w:rsidTr="00DA798F">
        <w:trPr>
          <w:trHeight w:val="445"/>
        </w:trPr>
        <w:tc>
          <w:tcPr>
            <w:tcW w:w="4975" w:type="dxa"/>
            <w:tcBorders>
              <w:bottom w:val="single" w:sz="4" w:space="0" w:color="auto"/>
            </w:tcBorders>
            <w:vAlign w:val="center"/>
          </w:tcPr>
          <w:p w:rsidR="003B75D2" w:rsidRPr="004D3DBA" w:rsidRDefault="003B75D2" w:rsidP="00546706">
            <w:pPr>
              <w:spacing w:before="40" w:after="40" w:line="240" w:lineRule="auto"/>
              <w:rPr>
                <w:sz w:val="20"/>
                <w:szCs w:val="20"/>
                <w:lang w:val="es-ES_tradnl"/>
              </w:rPr>
            </w:pPr>
            <w:r>
              <w:rPr>
                <w:sz w:val="20"/>
                <w:szCs w:val="20"/>
                <w:lang w:val="es-ES_tradnl"/>
              </w:rPr>
              <w:t>3</w:t>
            </w:r>
            <w:r w:rsidRPr="004D3DBA">
              <w:rPr>
                <w:sz w:val="20"/>
                <w:szCs w:val="20"/>
                <w:lang w:val="es-ES_tradnl"/>
              </w:rPr>
              <w:t>. Norma y guías de habilitación actualizadas.</w:t>
            </w:r>
          </w:p>
        </w:tc>
        <w:tc>
          <w:tcPr>
            <w:tcW w:w="2430" w:type="dxa"/>
            <w:tcBorders>
              <w:bottom w:val="single" w:sz="4" w:space="0" w:color="auto"/>
            </w:tcBorders>
            <w:shd w:val="clear" w:color="auto" w:fill="auto"/>
            <w:vAlign w:val="center"/>
          </w:tcPr>
          <w:p w:rsidR="003B75D2" w:rsidRPr="007122B1" w:rsidRDefault="003B75D2" w:rsidP="00546706">
            <w:pPr>
              <w:spacing w:before="40" w:after="40" w:line="240" w:lineRule="auto"/>
              <w:jc w:val="center"/>
              <w:rPr>
                <w:sz w:val="20"/>
                <w:szCs w:val="20"/>
                <w:lang w:val="es-ES_tradnl"/>
              </w:rPr>
            </w:pPr>
            <w:r>
              <w:rPr>
                <w:sz w:val="20"/>
                <w:szCs w:val="20"/>
                <w:lang w:val="es-ES_tradnl"/>
              </w:rPr>
              <w:t>Binario</w:t>
            </w:r>
          </w:p>
        </w:tc>
        <w:tc>
          <w:tcPr>
            <w:tcW w:w="1800" w:type="dxa"/>
            <w:tcBorders>
              <w:bottom w:val="single" w:sz="4" w:space="0" w:color="auto"/>
            </w:tcBorders>
            <w:shd w:val="clear" w:color="auto" w:fill="auto"/>
            <w:vAlign w:val="center"/>
          </w:tcPr>
          <w:p w:rsidR="003B75D2" w:rsidRDefault="003B75D2" w:rsidP="00546706">
            <w:pPr>
              <w:spacing w:before="40" w:after="40" w:line="240" w:lineRule="auto"/>
              <w:jc w:val="center"/>
              <w:rPr>
                <w:sz w:val="20"/>
                <w:szCs w:val="20"/>
                <w:lang w:val="es-ES_tradnl"/>
              </w:rPr>
            </w:pPr>
            <w:r>
              <w:rPr>
                <w:sz w:val="20"/>
                <w:szCs w:val="20"/>
                <w:lang w:val="es-ES_tradnl"/>
              </w:rPr>
              <w:t>Anual</w:t>
            </w:r>
          </w:p>
        </w:tc>
        <w:tc>
          <w:tcPr>
            <w:tcW w:w="3859" w:type="dxa"/>
            <w:tcBorders>
              <w:bottom w:val="single" w:sz="4" w:space="0" w:color="auto"/>
            </w:tcBorders>
            <w:shd w:val="clear" w:color="auto" w:fill="auto"/>
            <w:vAlign w:val="center"/>
          </w:tcPr>
          <w:p w:rsidR="003B75D2" w:rsidRPr="007122B1" w:rsidRDefault="003B75D2" w:rsidP="00546706">
            <w:pPr>
              <w:spacing w:before="40" w:after="40" w:line="240" w:lineRule="auto"/>
              <w:rPr>
                <w:sz w:val="20"/>
                <w:szCs w:val="20"/>
                <w:lang w:val="es-ES_tradnl"/>
              </w:rPr>
            </w:pPr>
            <w:r>
              <w:rPr>
                <w:sz w:val="20"/>
                <w:szCs w:val="20"/>
                <w:lang w:val="es-ES_tradnl"/>
              </w:rPr>
              <w:t>Resolución Ministerial instituyendo las normas</w:t>
            </w:r>
          </w:p>
        </w:tc>
      </w:tr>
      <w:tr w:rsidR="00702DD6" w:rsidRPr="00E6287C" w:rsidTr="00DA798F">
        <w:trPr>
          <w:trHeight w:val="440"/>
        </w:trPr>
        <w:tc>
          <w:tcPr>
            <w:tcW w:w="4975" w:type="dxa"/>
            <w:tcBorders>
              <w:bottom w:val="single" w:sz="4" w:space="0" w:color="auto"/>
            </w:tcBorders>
            <w:vAlign w:val="center"/>
          </w:tcPr>
          <w:p w:rsidR="003B75D2" w:rsidRPr="00DF7BF6" w:rsidRDefault="003B75D2" w:rsidP="00546706">
            <w:pPr>
              <w:spacing w:before="40" w:after="40" w:line="240" w:lineRule="auto"/>
              <w:rPr>
                <w:sz w:val="20"/>
                <w:szCs w:val="20"/>
                <w:lang w:val="es-ES_tradnl"/>
              </w:rPr>
            </w:pPr>
            <w:r>
              <w:rPr>
                <w:sz w:val="20"/>
                <w:szCs w:val="20"/>
                <w:lang w:val="es-ES_tradnl"/>
              </w:rPr>
              <w:t>4</w:t>
            </w:r>
            <w:r w:rsidRPr="00DF7BF6">
              <w:rPr>
                <w:sz w:val="20"/>
                <w:szCs w:val="20"/>
                <w:lang w:val="es-ES_tradnl"/>
              </w:rPr>
              <w:t xml:space="preserve">. </w:t>
            </w:r>
            <w:r>
              <w:rPr>
                <w:sz w:val="20"/>
                <w:szCs w:val="20"/>
                <w:lang w:val="es-ES_tradnl"/>
              </w:rPr>
              <w:t>Norma</w:t>
            </w:r>
            <w:r w:rsidRPr="00DF7BF6">
              <w:rPr>
                <w:sz w:val="20"/>
                <w:szCs w:val="20"/>
                <w:lang w:val="es-ES_tradnl"/>
              </w:rPr>
              <w:t xml:space="preserve"> nacional para la homologación de las funciones de los sistemas de información de salud</w:t>
            </w:r>
            <w:r>
              <w:rPr>
                <w:sz w:val="20"/>
                <w:szCs w:val="20"/>
                <w:lang w:val="es-ES_tradnl"/>
              </w:rPr>
              <w:t xml:space="preserve"> diseñada</w:t>
            </w:r>
          </w:p>
        </w:tc>
        <w:tc>
          <w:tcPr>
            <w:tcW w:w="2430" w:type="dxa"/>
            <w:tcBorders>
              <w:bottom w:val="single" w:sz="4" w:space="0" w:color="auto"/>
            </w:tcBorders>
            <w:shd w:val="clear" w:color="auto" w:fill="auto"/>
            <w:vAlign w:val="center"/>
          </w:tcPr>
          <w:p w:rsidR="003B75D2" w:rsidRDefault="003B75D2" w:rsidP="00546706">
            <w:pPr>
              <w:spacing w:before="40" w:after="40" w:line="240" w:lineRule="auto"/>
              <w:jc w:val="center"/>
              <w:rPr>
                <w:sz w:val="20"/>
                <w:szCs w:val="20"/>
                <w:lang w:val="es-ES_tradnl"/>
              </w:rPr>
            </w:pPr>
            <w:r>
              <w:rPr>
                <w:sz w:val="20"/>
                <w:szCs w:val="20"/>
                <w:lang w:val="es-ES_tradnl"/>
              </w:rPr>
              <w:t>Binario</w:t>
            </w:r>
          </w:p>
        </w:tc>
        <w:tc>
          <w:tcPr>
            <w:tcW w:w="1800" w:type="dxa"/>
            <w:tcBorders>
              <w:bottom w:val="single" w:sz="4" w:space="0" w:color="auto"/>
            </w:tcBorders>
            <w:shd w:val="clear" w:color="auto" w:fill="auto"/>
            <w:vAlign w:val="center"/>
          </w:tcPr>
          <w:p w:rsidR="003B75D2" w:rsidRDefault="003B75D2" w:rsidP="00546706">
            <w:pPr>
              <w:spacing w:before="40" w:after="40" w:line="240" w:lineRule="auto"/>
              <w:jc w:val="center"/>
              <w:rPr>
                <w:sz w:val="20"/>
                <w:szCs w:val="20"/>
                <w:lang w:val="es-ES_tradnl"/>
              </w:rPr>
            </w:pPr>
            <w:r>
              <w:rPr>
                <w:sz w:val="20"/>
                <w:szCs w:val="20"/>
                <w:lang w:val="es-ES_tradnl"/>
              </w:rPr>
              <w:t>Anual</w:t>
            </w:r>
          </w:p>
        </w:tc>
        <w:tc>
          <w:tcPr>
            <w:tcW w:w="3859" w:type="dxa"/>
            <w:tcBorders>
              <w:bottom w:val="single" w:sz="4" w:space="0" w:color="auto"/>
            </w:tcBorders>
            <w:shd w:val="clear" w:color="auto" w:fill="auto"/>
            <w:vAlign w:val="center"/>
          </w:tcPr>
          <w:p w:rsidR="003B75D2" w:rsidRDefault="003B75D2" w:rsidP="00546706">
            <w:pPr>
              <w:spacing w:before="40" w:after="40" w:line="240" w:lineRule="auto"/>
              <w:rPr>
                <w:sz w:val="20"/>
                <w:szCs w:val="20"/>
                <w:lang w:val="es-ES_tradnl"/>
              </w:rPr>
            </w:pPr>
            <w:r>
              <w:rPr>
                <w:sz w:val="20"/>
                <w:szCs w:val="20"/>
                <w:lang w:val="es-ES_tradnl"/>
              </w:rPr>
              <w:t>Resolución Ministerial instituyendo las normas</w:t>
            </w:r>
          </w:p>
        </w:tc>
      </w:tr>
      <w:tr w:rsidR="00702DD6" w:rsidRPr="00E6287C" w:rsidTr="00DA798F">
        <w:trPr>
          <w:trHeight w:val="863"/>
        </w:trPr>
        <w:tc>
          <w:tcPr>
            <w:tcW w:w="4975" w:type="dxa"/>
            <w:tcBorders>
              <w:bottom w:val="single" w:sz="4" w:space="0" w:color="auto"/>
            </w:tcBorders>
            <w:vAlign w:val="center"/>
          </w:tcPr>
          <w:p w:rsidR="003B75D2" w:rsidRPr="008049F5" w:rsidRDefault="003B75D2" w:rsidP="00546706">
            <w:pPr>
              <w:spacing w:before="40" w:after="40" w:line="240" w:lineRule="auto"/>
              <w:rPr>
                <w:color w:val="FF0000"/>
                <w:sz w:val="20"/>
                <w:szCs w:val="20"/>
                <w:lang w:val="es-ES_tradnl"/>
              </w:rPr>
            </w:pPr>
            <w:r w:rsidRPr="0013565F">
              <w:rPr>
                <w:sz w:val="20"/>
                <w:szCs w:val="20"/>
                <w:lang w:val="es-ES_tradnl"/>
              </w:rPr>
              <w:t xml:space="preserve">5. Sistema de gestión clínico-administrativo para el segundo y tercer nivel de atención desarrollado e implementado </w:t>
            </w:r>
          </w:p>
        </w:tc>
        <w:tc>
          <w:tcPr>
            <w:tcW w:w="2430" w:type="dxa"/>
            <w:tcBorders>
              <w:bottom w:val="single" w:sz="4" w:space="0" w:color="auto"/>
            </w:tcBorders>
            <w:shd w:val="clear" w:color="auto" w:fill="auto"/>
            <w:vAlign w:val="center"/>
          </w:tcPr>
          <w:p w:rsidR="003B75D2" w:rsidRDefault="003B75D2" w:rsidP="00546706">
            <w:pPr>
              <w:spacing w:before="40" w:after="40" w:line="240" w:lineRule="auto"/>
              <w:jc w:val="center"/>
              <w:rPr>
                <w:sz w:val="20"/>
                <w:szCs w:val="20"/>
                <w:lang w:val="es-ES_tradnl"/>
              </w:rPr>
            </w:pPr>
            <w:r>
              <w:rPr>
                <w:sz w:val="20"/>
                <w:szCs w:val="20"/>
                <w:lang w:val="es-ES_tradnl"/>
              </w:rPr>
              <w:t>Binario</w:t>
            </w:r>
          </w:p>
        </w:tc>
        <w:tc>
          <w:tcPr>
            <w:tcW w:w="1800" w:type="dxa"/>
            <w:tcBorders>
              <w:bottom w:val="single" w:sz="4" w:space="0" w:color="auto"/>
            </w:tcBorders>
            <w:shd w:val="clear" w:color="auto" w:fill="auto"/>
            <w:vAlign w:val="center"/>
          </w:tcPr>
          <w:p w:rsidR="003B75D2" w:rsidRDefault="003B75D2" w:rsidP="00546706">
            <w:pPr>
              <w:spacing w:before="40" w:after="40" w:line="240" w:lineRule="auto"/>
              <w:jc w:val="center"/>
              <w:rPr>
                <w:sz w:val="20"/>
                <w:szCs w:val="20"/>
                <w:lang w:val="es-ES_tradnl"/>
              </w:rPr>
            </w:pPr>
            <w:r>
              <w:rPr>
                <w:sz w:val="20"/>
                <w:szCs w:val="20"/>
                <w:lang w:val="es-ES_tradnl"/>
              </w:rPr>
              <w:t>Anual</w:t>
            </w:r>
          </w:p>
        </w:tc>
        <w:tc>
          <w:tcPr>
            <w:tcW w:w="3859" w:type="dxa"/>
            <w:tcBorders>
              <w:bottom w:val="single" w:sz="4" w:space="0" w:color="auto"/>
            </w:tcBorders>
            <w:shd w:val="clear" w:color="auto" w:fill="auto"/>
            <w:vAlign w:val="center"/>
          </w:tcPr>
          <w:p w:rsidR="003B75D2" w:rsidRDefault="003B75D2" w:rsidP="00546706">
            <w:pPr>
              <w:spacing w:before="40" w:after="40" w:line="240" w:lineRule="auto"/>
              <w:rPr>
                <w:sz w:val="20"/>
                <w:szCs w:val="20"/>
                <w:lang w:val="es-ES_tradnl"/>
              </w:rPr>
            </w:pPr>
            <w:r>
              <w:rPr>
                <w:sz w:val="20"/>
                <w:szCs w:val="20"/>
                <w:lang w:val="es-ES_tradnl"/>
              </w:rPr>
              <w:t>Reportes anuales de evaluación emitidos por la Dirección de Tecnología de Información del MSP.</w:t>
            </w:r>
          </w:p>
        </w:tc>
      </w:tr>
    </w:tbl>
    <w:p w:rsidR="00702DD6" w:rsidRDefault="00702DD6" w:rsidP="00546706">
      <w:pPr>
        <w:spacing w:after="0" w:line="240" w:lineRule="auto"/>
        <w:rPr>
          <w:lang w:val="es-ES_tradnl"/>
        </w:rPr>
      </w:pPr>
    </w:p>
    <w:tbl>
      <w:tblPr>
        <w:tblpPr w:leftFromText="180" w:rightFromText="180" w:vertAnchor="text" w:horzAnchor="page" w:tblpX="1550" w:tblpY="166"/>
        <w:tblOverlap w:val="never"/>
        <w:tblW w:w="13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065"/>
        <w:gridCol w:w="2628"/>
        <w:gridCol w:w="1602"/>
        <w:gridCol w:w="3874"/>
      </w:tblGrid>
      <w:tr w:rsidR="003B75D2" w:rsidRPr="00E6287C" w:rsidTr="00546706">
        <w:trPr>
          <w:trHeight w:val="521"/>
        </w:trPr>
        <w:tc>
          <w:tcPr>
            <w:tcW w:w="13169" w:type="dxa"/>
            <w:gridSpan w:val="4"/>
            <w:shd w:val="clear" w:color="auto" w:fill="C0C0C0"/>
            <w:vAlign w:val="center"/>
          </w:tcPr>
          <w:p w:rsidR="003B75D2" w:rsidRDefault="003B75D2" w:rsidP="00DA798F">
            <w:pPr>
              <w:spacing w:after="0" w:line="240" w:lineRule="auto"/>
              <w:jc w:val="center"/>
              <w:rPr>
                <w:b/>
                <w:bCs/>
                <w:sz w:val="20"/>
                <w:szCs w:val="20"/>
                <w:lang w:val="es-ES_tradnl"/>
              </w:rPr>
            </w:pPr>
            <w:r w:rsidRPr="00BE5506">
              <w:rPr>
                <w:b/>
                <w:bCs/>
                <w:lang w:val="es-ES_tradnl"/>
              </w:rPr>
              <w:t xml:space="preserve">COMPONENTE IV: </w:t>
            </w:r>
            <w:r w:rsidRPr="00BE5506">
              <w:rPr>
                <w:b/>
                <w:spacing w:val="-2"/>
                <w:lang w:val="es-ES_tradnl"/>
              </w:rPr>
              <w:t>Generación de conocimiento y evaluación</w:t>
            </w:r>
          </w:p>
        </w:tc>
      </w:tr>
      <w:tr w:rsidR="003B75D2" w:rsidRPr="00E6287C" w:rsidTr="00DA798F">
        <w:trPr>
          <w:trHeight w:val="529"/>
        </w:trPr>
        <w:tc>
          <w:tcPr>
            <w:tcW w:w="5065" w:type="dxa"/>
            <w:shd w:val="clear" w:color="auto" w:fill="C0C0C0"/>
            <w:vAlign w:val="center"/>
          </w:tcPr>
          <w:p w:rsidR="003B75D2" w:rsidRPr="00B611C8" w:rsidRDefault="003B75D2" w:rsidP="00DA798F">
            <w:pPr>
              <w:spacing w:after="0" w:line="240" w:lineRule="auto"/>
              <w:rPr>
                <w:b/>
                <w:lang w:val="es-ES_tradnl"/>
              </w:rPr>
            </w:pPr>
            <w:r w:rsidRPr="00B611C8">
              <w:rPr>
                <w:b/>
                <w:lang w:val="es-ES_tradnl"/>
              </w:rPr>
              <w:t>Indicadores de producto</w:t>
            </w:r>
          </w:p>
        </w:tc>
        <w:tc>
          <w:tcPr>
            <w:tcW w:w="2628" w:type="dxa"/>
            <w:tcBorders>
              <w:bottom w:val="single" w:sz="4" w:space="0" w:color="auto"/>
            </w:tcBorders>
            <w:shd w:val="clear" w:color="auto" w:fill="C0C0C0"/>
            <w:vAlign w:val="center"/>
          </w:tcPr>
          <w:p w:rsidR="003B75D2" w:rsidRPr="00BF03FB" w:rsidRDefault="003B75D2" w:rsidP="00DA798F">
            <w:pPr>
              <w:spacing w:after="0" w:line="240" w:lineRule="auto"/>
              <w:jc w:val="center"/>
              <w:rPr>
                <w:b/>
                <w:bCs/>
                <w:lang w:val="es-ES_tradnl"/>
              </w:rPr>
            </w:pPr>
            <w:r w:rsidRPr="00BF03FB">
              <w:rPr>
                <w:b/>
                <w:bCs/>
                <w:lang w:val="es-ES_tradnl"/>
              </w:rPr>
              <w:t>Fórmula</w:t>
            </w:r>
          </w:p>
        </w:tc>
        <w:tc>
          <w:tcPr>
            <w:tcW w:w="1602" w:type="dxa"/>
            <w:tcBorders>
              <w:bottom w:val="single" w:sz="4" w:space="0" w:color="auto"/>
            </w:tcBorders>
            <w:shd w:val="clear" w:color="auto" w:fill="C0C0C0"/>
            <w:vAlign w:val="center"/>
          </w:tcPr>
          <w:p w:rsidR="003B75D2" w:rsidRPr="00BF03FB" w:rsidRDefault="003B75D2" w:rsidP="00DA798F">
            <w:pPr>
              <w:spacing w:after="0" w:line="240" w:lineRule="auto"/>
              <w:jc w:val="center"/>
              <w:rPr>
                <w:b/>
                <w:bCs/>
                <w:lang w:val="es-ES_tradnl"/>
              </w:rPr>
            </w:pPr>
            <w:r w:rsidRPr="00BF03FB">
              <w:rPr>
                <w:b/>
                <w:bCs/>
                <w:lang w:val="es-ES_tradnl"/>
              </w:rPr>
              <w:t>Frecuencia de medición</w:t>
            </w:r>
          </w:p>
        </w:tc>
        <w:tc>
          <w:tcPr>
            <w:tcW w:w="3874" w:type="dxa"/>
            <w:tcBorders>
              <w:bottom w:val="single" w:sz="4" w:space="0" w:color="auto"/>
            </w:tcBorders>
            <w:shd w:val="clear" w:color="auto" w:fill="C0C0C0"/>
            <w:vAlign w:val="center"/>
          </w:tcPr>
          <w:p w:rsidR="003B75D2" w:rsidRPr="00BF03FB" w:rsidRDefault="003B75D2" w:rsidP="00DA798F">
            <w:pPr>
              <w:spacing w:after="0" w:line="240" w:lineRule="auto"/>
              <w:jc w:val="center"/>
              <w:rPr>
                <w:b/>
                <w:bCs/>
                <w:lang w:val="es-ES_tradnl"/>
              </w:rPr>
            </w:pPr>
            <w:r w:rsidRPr="00BF03FB">
              <w:rPr>
                <w:b/>
                <w:bCs/>
                <w:lang w:val="es-ES_tradnl"/>
              </w:rPr>
              <w:t>Fuente</w:t>
            </w:r>
          </w:p>
        </w:tc>
      </w:tr>
      <w:tr w:rsidR="003B75D2" w:rsidRPr="00E6287C" w:rsidTr="00DA798F">
        <w:trPr>
          <w:trHeight w:val="458"/>
        </w:trPr>
        <w:tc>
          <w:tcPr>
            <w:tcW w:w="5065" w:type="dxa"/>
            <w:vAlign w:val="center"/>
          </w:tcPr>
          <w:p w:rsidR="003B75D2" w:rsidRPr="00FC715A" w:rsidRDefault="003B75D2" w:rsidP="00DA798F">
            <w:pPr>
              <w:spacing w:after="0" w:line="240" w:lineRule="auto"/>
              <w:rPr>
                <w:sz w:val="20"/>
                <w:szCs w:val="20"/>
                <w:lang w:val="es-ES_tradnl"/>
              </w:rPr>
            </w:pPr>
            <w:r w:rsidRPr="00FC715A">
              <w:rPr>
                <w:sz w:val="20"/>
                <w:szCs w:val="20"/>
                <w:lang w:val="es-ES_tradnl"/>
              </w:rPr>
              <w:t>1. Análisis de resultados de la reforma del sector salud</w:t>
            </w:r>
            <w:r>
              <w:rPr>
                <w:sz w:val="20"/>
                <w:szCs w:val="20"/>
                <w:lang w:val="es-ES_tradnl"/>
              </w:rPr>
              <w:t xml:space="preserve"> </w:t>
            </w:r>
          </w:p>
        </w:tc>
        <w:tc>
          <w:tcPr>
            <w:tcW w:w="2628"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Binario</w:t>
            </w:r>
          </w:p>
        </w:tc>
        <w:tc>
          <w:tcPr>
            <w:tcW w:w="1602"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Anual</w:t>
            </w:r>
          </w:p>
        </w:tc>
        <w:tc>
          <w:tcPr>
            <w:tcW w:w="3874"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Informe de consultoría</w:t>
            </w:r>
          </w:p>
        </w:tc>
      </w:tr>
      <w:tr w:rsidR="003B75D2" w:rsidRPr="00E6287C" w:rsidTr="00DA798F">
        <w:trPr>
          <w:trHeight w:val="753"/>
        </w:trPr>
        <w:tc>
          <w:tcPr>
            <w:tcW w:w="5065" w:type="dxa"/>
            <w:vAlign w:val="center"/>
          </w:tcPr>
          <w:p w:rsidR="003B75D2" w:rsidRPr="00FC715A" w:rsidRDefault="003B75D2" w:rsidP="00DA798F">
            <w:pPr>
              <w:spacing w:after="0" w:line="240" w:lineRule="auto"/>
              <w:rPr>
                <w:sz w:val="20"/>
                <w:szCs w:val="20"/>
                <w:lang w:val="es-ES_tradnl"/>
              </w:rPr>
            </w:pPr>
            <w:r w:rsidRPr="00FC715A">
              <w:rPr>
                <w:sz w:val="20"/>
                <w:szCs w:val="20"/>
                <w:lang w:val="es-ES_tradnl"/>
              </w:rPr>
              <w:t xml:space="preserve"> 2. Análisis de la estructura del Plan Básico de Salud y</w:t>
            </w:r>
            <w:r w:rsidRPr="00FC715A">
              <w:rPr>
                <w:spacing w:val="-2"/>
                <w:sz w:val="20"/>
                <w:szCs w:val="20"/>
                <w:lang w:val="es-ES_tradnl"/>
              </w:rPr>
              <w:t xml:space="preserve"> metodología para su costeo y ajuste.</w:t>
            </w:r>
          </w:p>
        </w:tc>
        <w:tc>
          <w:tcPr>
            <w:tcW w:w="2628"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Binario</w:t>
            </w:r>
          </w:p>
        </w:tc>
        <w:tc>
          <w:tcPr>
            <w:tcW w:w="1602" w:type="dxa"/>
            <w:shd w:val="clear" w:color="auto" w:fill="auto"/>
            <w:vAlign w:val="center"/>
          </w:tcPr>
          <w:p w:rsidR="003B75D2" w:rsidRDefault="003B75D2" w:rsidP="00DA798F">
            <w:pPr>
              <w:spacing w:after="0" w:line="240" w:lineRule="auto"/>
              <w:jc w:val="center"/>
            </w:pPr>
            <w:r w:rsidRPr="00C77E0D">
              <w:rPr>
                <w:sz w:val="20"/>
                <w:szCs w:val="20"/>
                <w:lang w:val="es-ES_tradnl"/>
              </w:rPr>
              <w:t>Anual</w:t>
            </w:r>
          </w:p>
        </w:tc>
        <w:tc>
          <w:tcPr>
            <w:tcW w:w="3874"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Informe de consultoría</w:t>
            </w:r>
          </w:p>
        </w:tc>
      </w:tr>
      <w:tr w:rsidR="003B75D2" w:rsidRPr="00E6287C" w:rsidTr="00DA798F">
        <w:trPr>
          <w:trHeight w:val="379"/>
        </w:trPr>
        <w:tc>
          <w:tcPr>
            <w:tcW w:w="5065" w:type="dxa"/>
            <w:vAlign w:val="center"/>
          </w:tcPr>
          <w:p w:rsidR="003B75D2" w:rsidRPr="00FC715A" w:rsidRDefault="003B75D2" w:rsidP="00DA798F">
            <w:pPr>
              <w:spacing w:after="0" w:line="240" w:lineRule="auto"/>
              <w:rPr>
                <w:sz w:val="20"/>
                <w:szCs w:val="20"/>
                <w:lang w:val="es-ES_tradnl"/>
              </w:rPr>
            </w:pPr>
            <w:r w:rsidRPr="00FC715A">
              <w:rPr>
                <w:sz w:val="20"/>
                <w:szCs w:val="20"/>
                <w:lang w:val="es-ES_tradnl"/>
              </w:rPr>
              <w:t xml:space="preserve">3. Análisis de las implicaciones de eliminar la ley de pasantía médica </w:t>
            </w:r>
          </w:p>
        </w:tc>
        <w:tc>
          <w:tcPr>
            <w:tcW w:w="2628"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Binario</w:t>
            </w:r>
          </w:p>
        </w:tc>
        <w:tc>
          <w:tcPr>
            <w:tcW w:w="1602" w:type="dxa"/>
            <w:shd w:val="clear" w:color="auto" w:fill="auto"/>
            <w:vAlign w:val="center"/>
          </w:tcPr>
          <w:p w:rsidR="003B75D2" w:rsidRDefault="003B75D2" w:rsidP="00DA798F">
            <w:pPr>
              <w:spacing w:after="0" w:line="240" w:lineRule="auto"/>
              <w:jc w:val="center"/>
            </w:pPr>
            <w:r w:rsidRPr="00C77E0D">
              <w:rPr>
                <w:sz w:val="20"/>
                <w:szCs w:val="20"/>
                <w:lang w:val="es-ES_tradnl"/>
              </w:rPr>
              <w:t>Anual</w:t>
            </w:r>
          </w:p>
        </w:tc>
        <w:tc>
          <w:tcPr>
            <w:tcW w:w="3874"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Informe de consultoría</w:t>
            </w:r>
          </w:p>
        </w:tc>
      </w:tr>
      <w:tr w:rsidR="003B75D2" w:rsidRPr="00E6287C" w:rsidTr="00DA798F">
        <w:trPr>
          <w:trHeight w:val="698"/>
        </w:trPr>
        <w:tc>
          <w:tcPr>
            <w:tcW w:w="5065" w:type="dxa"/>
            <w:tcBorders>
              <w:bottom w:val="single" w:sz="4" w:space="0" w:color="auto"/>
            </w:tcBorders>
            <w:vAlign w:val="center"/>
          </w:tcPr>
          <w:p w:rsidR="003B75D2" w:rsidRPr="00FC715A" w:rsidRDefault="00B57236" w:rsidP="00DA798F">
            <w:pPr>
              <w:spacing w:after="0" w:line="240" w:lineRule="auto"/>
              <w:rPr>
                <w:sz w:val="20"/>
                <w:szCs w:val="20"/>
                <w:lang w:val="es-ES_tradnl"/>
              </w:rPr>
            </w:pPr>
            <w:r>
              <w:rPr>
                <w:sz w:val="20"/>
                <w:szCs w:val="20"/>
                <w:lang w:val="es-ES_tradnl"/>
              </w:rPr>
              <w:t xml:space="preserve">4. Análisis </w:t>
            </w:r>
            <w:r w:rsidR="003B75D2" w:rsidRPr="00FC715A">
              <w:rPr>
                <w:sz w:val="20"/>
                <w:szCs w:val="20"/>
                <w:lang w:val="es-ES_tradnl"/>
              </w:rPr>
              <w:t>de esquemas de incentivo a recursos humanos en salud para trabajar en áreas geográficas apartadas</w:t>
            </w:r>
          </w:p>
        </w:tc>
        <w:tc>
          <w:tcPr>
            <w:tcW w:w="2628" w:type="dxa"/>
            <w:shd w:val="clear" w:color="auto" w:fill="auto"/>
            <w:vAlign w:val="center"/>
          </w:tcPr>
          <w:p w:rsidR="003B75D2" w:rsidRPr="007122B1" w:rsidRDefault="003B75D2" w:rsidP="00DA798F">
            <w:pPr>
              <w:spacing w:after="0" w:line="240" w:lineRule="auto"/>
              <w:jc w:val="center"/>
              <w:rPr>
                <w:sz w:val="20"/>
                <w:szCs w:val="20"/>
                <w:lang w:val="es-ES_tradnl"/>
              </w:rPr>
            </w:pPr>
            <w:r>
              <w:rPr>
                <w:sz w:val="20"/>
                <w:szCs w:val="20"/>
                <w:lang w:val="es-ES_tradnl"/>
              </w:rPr>
              <w:t>Binario</w:t>
            </w:r>
          </w:p>
        </w:tc>
        <w:tc>
          <w:tcPr>
            <w:tcW w:w="1602" w:type="dxa"/>
            <w:shd w:val="clear" w:color="auto" w:fill="auto"/>
            <w:vAlign w:val="center"/>
          </w:tcPr>
          <w:p w:rsidR="003B75D2" w:rsidRDefault="003B75D2" w:rsidP="00DA798F">
            <w:pPr>
              <w:spacing w:after="0" w:line="240" w:lineRule="auto"/>
              <w:jc w:val="center"/>
            </w:pPr>
            <w:r w:rsidRPr="00C77E0D">
              <w:rPr>
                <w:sz w:val="20"/>
                <w:szCs w:val="20"/>
                <w:lang w:val="es-ES_tradnl"/>
              </w:rPr>
              <w:t>Anual</w:t>
            </w:r>
          </w:p>
        </w:tc>
        <w:tc>
          <w:tcPr>
            <w:tcW w:w="3874" w:type="dxa"/>
            <w:shd w:val="clear" w:color="auto" w:fill="auto"/>
            <w:vAlign w:val="center"/>
          </w:tcPr>
          <w:p w:rsidR="003B75D2" w:rsidRDefault="003B75D2" w:rsidP="00DA798F">
            <w:pPr>
              <w:spacing w:after="0" w:line="240" w:lineRule="auto"/>
              <w:jc w:val="center"/>
              <w:rPr>
                <w:sz w:val="20"/>
                <w:szCs w:val="20"/>
                <w:lang w:val="es-ES_tradnl"/>
              </w:rPr>
            </w:pPr>
            <w:r>
              <w:rPr>
                <w:sz w:val="20"/>
                <w:szCs w:val="20"/>
                <w:lang w:val="es-ES_tradnl"/>
              </w:rPr>
              <w:t>Informe de consultoría</w:t>
            </w:r>
          </w:p>
        </w:tc>
      </w:tr>
      <w:tr w:rsidR="003B75D2" w:rsidRPr="00E6287C" w:rsidTr="00DA798F">
        <w:trPr>
          <w:trHeight w:val="475"/>
        </w:trPr>
        <w:tc>
          <w:tcPr>
            <w:tcW w:w="5065" w:type="dxa"/>
            <w:tcBorders>
              <w:bottom w:val="single" w:sz="4" w:space="0" w:color="auto"/>
            </w:tcBorders>
            <w:vAlign w:val="center"/>
          </w:tcPr>
          <w:p w:rsidR="003B75D2" w:rsidRPr="00FC715A" w:rsidRDefault="003B75D2" w:rsidP="00DA798F">
            <w:pPr>
              <w:spacing w:after="0" w:line="240" w:lineRule="auto"/>
              <w:rPr>
                <w:sz w:val="20"/>
                <w:szCs w:val="20"/>
                <w:lang w:val="es-ES_tradnl"/>
              </w:rPr>
            </w:pPr>
            <w:r w:rsidRPr="00FC715A">
              <w:rPr>
                <w:sz w:val="20"/>
                <w:szCs w:val="20"/>
                <w:lang w:val="es-ES_tradnl"/>
              </w:rPr>
              <w:t>5. Análisis de factibilidad de la implementación de una tarjeta electrónica de salud vinculada al Sistema de Gestión Clínica</w:t>
            </w:r>
          </w:p>
        </w:tc>
        <w:tc>
          <w:tcPr>
            <w:tcW w:w="2628" w:type="dxa"/>
            <w:tcBorders>
              <w:bottom w:val="single" w:sz="4" w:space="0" w:color="auto"/>
            </w:tcBorders>
            <w:shd w:val="clear" w:color="auto" w:fill="auto"/>
            <w:vAlign w:val="center"/>
          </w:tcPr>
          <w:p w:rsidR="003B75D2" w:rsidRDefault="003B75D2" w:rsidP="00DA798F">
            <w:pPr>
              <w:spacing w:after="0" w:line="240" w:lineRule="auto"/>
              <w:jc w:val="center"/>
              <w:rPr>
                <w:sz w:val="20"/>
                <w:szCs w:val="20"/>
                <w:lang w:val="es-ES_tradnl"/>
              </w:rPr>
            </w:pPr>
            <w:r>
              <w:rPr>
                <w:sz w:val="20"/>
                <w:szCs w:val="20"/>
                <w:lang w:val="es-ES_tradnl"/>
              </w:rPr>
              <w:t>Binario</w:t>
            </w:r>
          </w:p>
        </w:tc>
        <w:tc>
          <w:tcPr>
            <w:tcW w:w="1602" w:type="dxa"/>
            <w:tcBorders>
              <w:bottom w:val="single" w:sz="4" w:space="0" w:color="auto"/>
            </w:tcBorders>
            <w:shd w:val="clear" w:color="auto" w:fill="auto"/>
            <w:vAlign w:val="center"/>
          </w:tcPr>
          <w:p w:rsidR="003B75D2" w:rsidRDefault="003B75D2" w:rsidP="00DA798F">
            <w:pPr>
              <w:spacing w:after="0" w:line="240" w:lineRule="auto"/>
              <w:jc w:val="center"/>
              <w:rPr>
                <w:sz w:val="20"/>
                <w:szCs w:val="20"/>
                <w:lang w:val="es-ES_tradnl"/>
              </w:rPr>
            </w:pPr>
            <w:r>
              <w:rPr>
                <w:sz w:val="20"/>
                <w:szCs w:val="20"/>
                <w:lang w:val="es-ES_tradnl"/>
              </w:rPr>
              <w:t>Anual</w:t>
            </w:r>
          </w:p>
        </w:tc>
        <w:tc>
          <w:tcPr>
            <w:tcW w:w="3874" w:type="dxa"/>
            <w:tcBorders>
              <w:bottom w:val="single" w:sz="4" w:space="0" w:color="auto"/>
            </w:tcBorders>
            <w:shd w:val="clear" w:color="auto" w:fill="auto"/>
            <w:vAlign w:val="center"/>
          </w:tcPr>
          <w:p w:rsidR="003B75D2" w:rsidRDefault="003B75D2" w:rsidP="00DA798F">
            <w:pPr>
              <w:spacing w:after="0" w:line="240" w:lineRule="auto"/>
              <w:jc w:val="center"/>
              <w:rPr>
                <w:sz w:val="20"/>
                <w:szCs w:val="20"/>
                <w:lang w:val="es-ES_tradnl"/>
              </w:rPr>
            </w:pPr>
            <w:r>
              <w:rPr>
                <w:sz w:val="20"/>
                <w:szCs w:val="20"/>
                <w:lang w:val="es-ES_tradnl"/>
              </w:rPr>
              <w:t>Informe de consultoría</w:t>
            </w:r>
          </w:p>
        </w:tc>
      </w:tr>
    </w:tbl>
    <w:p w:rsidR="003B75D2" w:rsidRPr="00DA798F" w:rsidRDefault="003B75D2" w:rsidP="00DA798F">
      <w:pPr>
        <w:spacing w:after="0" w:line="240" w:lineRule="auto"/>
        <w:rPr>
          <w:sz w:val="16"/>
          <w:szCs w:val="16"/>
          <w:lang w:val="es-ES_tradnl"/>
        </w:rPr>
      </w:pPr>
    </w:p>
    <w:p w:rsidR="001421E3" w:rsidRDefault="001421E3" w:rsidP="003B75D2">
      <w:pPr>
        <w:rPr>
          <w:lang w:val="es-ES_tradnl"/>
        </w:rPr>
        <w:sectPr w:rsidR="001421E3" w:rsidSect="001421E3">
          <w:pgSz w:w="15840" w:h="12240" w:orient="landscape"/>
          <w:pgMar w:top="1440" w:right="1440" w:bottom="1627" w:left="1440" w:header="720" w:footer="720" w:gutter="0"/>
          <w:cols w:space="720"/>
          <w:docGrid w:linePitch="360"/>
        </w:sectPr>
      </w:pPr>
    </w:p>
    <w:p w:rsidR="001B5186" w:rsidRPr="00001E2B" w:rsidRDefault="000B1C8A" w:rsidP="001421E3">
      <w:pPr>
        <w:pStyle w:val="ColorfulList-Accent11"/>
        <w:numPr>
          <w:ilvl w:val="1"/>
          <w:numId w:val="2"/>
        </w:numPr>
        <w:spacing w:after="0" w:line="240" w:lineRule="auto"/>
        <w:jc w:val="both"/>
        <w:rPr>
          <w:rFonts w:ascii="Times New Roman" w:hAnsi="Times New Roman"/>
          <w:b/>
        </w:rPr>
      </w:pPr>
      <w:r w:rsidRPr="00001E2B">
        <w:rPr>
          <w:rFonts w:ascii="Times New Roman" w:hAnsi="Times New Roman"/>
          <w:b/>
        </w:rPr>
        <w:t>Recopilación de datos e instrumento</w:t>
      </w:r>
      <w:r w:rsidR="00F9679A" w:rsidRPr="00001E2B">
        <w:rPr>
          <w:rFonts w:ascii="Times New Roman" w:hAnsi="Times New Roman"/>
          <w:b/>
        </w:rPr>
        <w:t>s</w:t>
      </w:r>
    </w:p>
    <w:p w:rsidR="008C22F2" w:rsidRPr="00CC2E51" w:rsidRDefault="008C22F2" w:rsidP="008A25B6">
      <w:pPr>
        <w:spacing w:after="0" w:line="240" w:lineRule="auto"/>
        <w:jc w:val="both"/>
        <w:rPr>
          <w:rFonts w:ascii="Times New Roman" w:hAnsi="Times New Roman"/>
        </w:rPr>
      </w:pPr>
    </w:p>
    <w:p w:rsidR="005329DF" w:rsidRDefault="00905AFD" w:rsidP="008F5915">
      <w:pPr>
        <w:pStyle w:val="Style1"/>
        <w:spacing w:line="240" w:lineRule="auto"/>
        <w:ind w:left="360"/>
        <w:rPr>
          <w:color w:val="auto"/>
          <w:lang w:val="es-ES"/>
        </w:rPr>
      </w:pPr>
      <w:r w:rsidRPr="00905AFD">
        <w:rPr>
          <w:color w:val="auto"/>
          <w:lang w:val="es-ES"/>
        </w:rPr>
        <w:t>E</w:t>
      </w:r>
      <w:r w:rsidR="00E1439C" w:rsidRPr="00905AFD">
        <w:rPr>
          <w:color w:val="auto"/>
          <w:lang w:val="es-ES"/>
        </w:rPr>
        <w:t>l</w:t>
      </w:r>
      <w:r w:rsidR="00C17A42" w:rsidRPr="00905AFD">
        <w:rPr>
          <w:color w:val="auto"/>
          <w:lang w:val="es-ES"/>
        </w:rPr>
        <w:t xml:space="preserve"> MSP cuenta con sistemas </w:t>
      </w:r>
      <w:r w:rsidR="008854D8">
        <w:rPr>
          <w:color w:val="auto"/>
          <w:lang w:val="es-ES"/>
        </w:rPr>
        <w:t xml:space="preserve">de información </w:t>
      </w:r>
      <w:r w:rsidR="00C17A42" w:rsidRPr="008F5915">
        <w:rPr>
          <w:color w:val="auto"/>
          <w:lang w:val="es-ES"/>
        </w:rPr>
        <w:t>que</w:t>
      </w:r>
      <w:r w:rsidR="008854D8">
        <w:rPr>
          <w:color w:val="auto"/>
          <w:lang w:val="es-ES"/>
        </w:rPr>
        <w:t xml:space="preserve"> proveerán insumos</w:t>
      </w:r>
      <w:r w:rsidR="00C17A42" w:rsidRPr="008F5915">
        <w:rPr>
          <w:color w:val="auto"/>
          <w:lang w:val="es-ES"/>
        </w:rPr>
        <w:t xml:space="preserve"> para repor</w:t>
      </w:r>
      <w:r w:rsidR="00D95078" w:rsidRPr="008F5915">
        <w:rPr>
          <w:color w:val="auto"/>
          <w:lang w:val="es-ES"/>
        </w:rPr>
        <w:t>tar el progreso del Programa</w:t>
      </w:r>
      <w:r w:rsidR="008744A6">
        <w:rPr>
          <w:color w:val="auto"/>
          <w:lang w:val="es-ES"/>
        </w:rPr>
        <w:t>, adicionalmente se estará contando con la información</w:t>
      </w:r>
      <w:r w:rsidR="00D95078" w:rsidRPr="008F5915">
        <w:rPr>
          <w:color w:val="auto"/>
          <w:lang w:val="es-ES"/>
        </w:rPr>
        <w:t xml:space="preserve"> administrativa </w:t>
      </w:r>
      <w:r w:rsidR="008744A6">
        <w:rPr>
          <w:color w:val="auto"/>
          <w:lang w:val="es-ES"/>
        </w:rPr>
        <w:t>d</w:t>
      </w:r>
      <w:r w:rsidR="00D95078" w:rsidRPr="008F5915">
        <w:rPr>
          <w:color w:val="auto"/>
          <w:lang w:val="es-ES"/>
        </w:rPr>
        <w:t>el Seguro Nacional de Salud (SENASA)</w:t>
      </w:r>
      <w:r w:rsidR="008744A6">
        <w:rPr>
          <w:color w:val="auto"/>
          <w:lang w:val="es-ES"/>
        </w:rPr>
        <w:t>, a</w:t>
      </w:r>
      <w:r w:rsidR="00131DAD">
        <w:rPr>
          <w:color w:val="auto"/>
          <w:lang w:val="es-ES"/>
        </w:rPr>
        <w:t>mbas instituciones</w:t>
      </w:r>
      <w:r w:rsidR="00D95078" w:rsidRPr="008F5915">
        <w:rPr>
          <w:color w:val="auto"/>
          <w:lang w:val="es-ES"/>
        </w:rPr>
        <w:t xml:space="preserve"> enviarán las informaciones a </w:t>
      </w:r>
      <w:r w:rsidR="008854D8">
        <w:rPr>
          <w:color w:val="auto"/>
          <w:lang w:val="es-ES"/>
        </w:rPr>
        <w:t xml:space="preserve">la UCP y esta última, reportará al Banco siguiendo los acuerdos del presente plan de Monitoreo y Evaluación. </w:t>
      </w:r>
      <w:r w:rsidR="00806FED" w:rsidRPr="008F5915">
        <w:rPr>
          <w:color w:val="auto"/>
          <w:lang w:val="es-ES"/>
        </w:rPr>
        <w:t>E</w:t>
      </w:r>
      <w:r w:rsidR="008744A6">
        <w:rPr>
          <w:color w:val="auto"/>
          <w:lang w:val="es-ES"/>
        </w:rPr>
        <w:t>n particular, e</w:t>
      </w:r>
      <w:r w:rsidR="00806FED" w:rsidRPr="008F5915">
        <w:rPr>
          <w:color w:val="auto"/>
          <w:lang w:val="es-ES"/>
        </w:rPr>
        <w:t>l Ministerio</w:t>
      </w:r>
      <w:r w:rsidR="002D30BE" w:rsidRPr="008F5915">
        <w:rPr>
          <w:color w:val="auto"/>
          <w:lang w:val="es-ES"/>
        </w:rPr>
        <w:t xml:space="preserve"> cuenta con la herramienta</w:t>
      </w:r>
      <w:r w:rsidR="00806FED" w:rsidRPr="008F5915">
        <w:rPr>
          <w:color w:val="auto"/>
          <w:lang w:val="es-ES"/>
        </w:rPr>
        <w:t xml:space="preserve"> </w:t>
      </w:r>
      <w:r w:rsidR="002D30BE" w:rsidRPr="008F5915">
        <w:rPr>
          <w:color w:val="auto"/>
          <w:lang w:val="es-ES"/>
        </w:rPr>
        <w:t xml:space="preserve">del </w:t>
      </w:r>
      <w:r w:rsidR="007129BC" w:rsidRPr="008F5915">
        <w:rPr>
          <w:color w:val="auto"/>
          <w:lang w:val="es-ES"/>
        </w:rPr>
        <w:t xml:space="preserve">Sistema de </w:t>
      </w:r>
      <w:r w:rsidR="00745200" w:rsidRPr="004D1F50">
        <w:rPr>
          <w:color w:val="auto"/>
          <w:lang w:val="es-ES"/>
        </w:rPr>
        <w:t>Gestión</w:t>
      </w:r>
      <w:r w:rsidR="00745200" w:rsidRPr="008F5915">
        <w:rPr>
          <w:color w:val="auto"/>
          <w:lang w:val="es-ES"/>
        </w:rPr>
        <w:t xml:space="preserve"> Clínica </w:t>
      </w:r>
      <w:r w:rsidR="007831DF" w:rsidRPr="008F5915">
        <w:rPr>
          <w:color w:val="auto"/>
          <w:lang w:val="es-ES"/>
        </w:rPr>
        <w:t xml:space="preserve">(SGC) en el </w:t>
      </w:r>
      <w:r w:rsidR="007129BC" w:rsidRPr="008F5915">
        <w:rPr>
          <w:color w:val="auto"/>
          <w:lang w:val="es-ES"/>
        </w:rPr>
        <w:t xml:space="preserve">primer nivel </w:t>
      </w:r>
      <w:r w:rsidR="00FC7FD2" w:rsidRPr="008F5915">
        <w:rPr>
          <w:color w:val="auto"/>
          <w:lang w:val="es-ES"/>
        </w:rPr>
        <w:t xml:space="preserve">de </w:t>
      </w:r>
      <w:r w:rsidR="00D3001A" w:rsidRPr="008F5915">
        <w:rPr>
          <w:color w:val="auto"/>
          <w:lang w:val="es-ES"/>
        </w:rPr>
        <w:t>atención</w:t>
      </w:r>
      <w:r w:rsidR="007831DF" w:rsidRPr="008F5915">
        <w:rPr>
          <w:color w:val="auto"/>
          <w:lang w:val="es-ES"/>
        </w:rPr>
        <w:t xml:space="preserve"> de salud</w:t>
      </w:r>
      <w:r w:rsidR="00D905A3">
        <w:rPr>
          <w:color w:val="auto"/>
          <w:lang w:val="es-ES"/>
        </w:rPr>
        <w:t xml:space="preserve">, que </w:t>
      </w:r>
      <w:r w:rsidR="00BA1398" w:rsidRPr="008F5915">
        <w:rPr>
          <w:color w:val="auto"/>
          <w:lang w:val="es-ES"/>
        </w:rPr>
        <w:t xml:space="preserve"> proveerá información administrativa </w:t>
      </w:r>
      <w:r w:rsidR="00611571">
        <w:rPr>
          <w:color w:val="auto"/>
          <w:lang w:val="es-ES"/>
        </w:rPr>
        <w:t>para el</w:t>
      </w:r>
      <w:r w:rsidR="00653F7F">
        <w:rPr>
          <w:color w:val="auto"/>
          <w:lang w:val="es-ES"/>
        </w:rPr>
        <w:t xml:space="preserve"> seguimiento </w:t>
      </w:r>
      <w:r w:rsidR="00D905A3">
        <w:rPr>
          <w:color w:val="auto"/>
          <w:lang w:val="es-ES"/>
        </w:rPr>
        <w:t>a los indicadores de resultado</w:t>
      </w:r>
      <w:r w:rsidR="00F60E29">
        <w:rPr>
          <w:color w:val="auto"/>
          <w:lang w:val="es-ES"/>
        </w:rPr>
        <w:t xml:space="preserve"> </w:t>
      </w:r>
      <w:r w:rsidR="004567EC">
        <w:rPr>
          <w:color w:val="auto"/>
          <w:lang w:val="es-ES"/>
        </w:rPr>
        <w:t xml:space="preserve">del modelo FBR </w:t>
      </w:r>
      <w:r w:rsidR="00D905A3">
        <w:rPr>
          <w:color w:val="auto"/>
          <w:lang w:val="es-ES"/>
        </w:rPr>
        <w:t>del Componente 1.</w:t>
      </w:r>
    </w:p>
    <w:p w:rsidR="00D153A8" w:rsidRDefault="00D153A8" w:rsidP="00D153A8">
      <w:pPr>
        <w:autoSpaceDE w:val="0"/>
        <w:autoSpaceDN w:val="0"/>
        <w:adjustRightInd w:val="0"/>
        <w:spacing w:after="0" w:line="240" w:lineRule="auto"/>
        <w:rPr>
          <w:rFonts w:ascii="Times New Roman" w:eastAsia="Times New Roman" w:hAnsi="Times New Roman"/>
        </w:rPr>
      </w:pPr>
    </w:p>
    <w:p w:rsidR="00965A34" w:rsidRPr="00EF1275" w:rsidRDefault="005A04E7" w:rsidP="00EF1275">
      <w:pPr>
        <w:pStyle w:val="Style1"/>
        <w:spacing w:line="240" w:lineRule="auto"/>
        <w:ind w:left="360"/>
        <w:rPr>
          <w:color w:val="auto"/>
          <w:lang w:val="es-ES"/>
        </w:rPr>
      </w:pPr>
      <w:r w:rsidRPr="00653F7F">
        <w:rPr>
          <w:color w:val="auto"/>
          <w:lang w:val="es-ES"/>
        </w:rPr>
        <w:t>Para los indicadores de mortalidad materno</w:t>
      </w:r>
      <w:r w:rsidR="00A3316A">
        <w:rPr>
          <w:color w:val="auto"/>
          <w:lang w:val="es-ES"/>
        </w:rPr>
        <w:t>-</w:t>
      </w:r>
      <w:r w:rsidRPr="00653F7F">
        <w:rPr>
          <w:color w:val="auto"/>
          <w:lang w:val="es-ES"/>
        </w:rPr>
        <w:t>infantil</w:t>
      </w:r>
      <w:r w:rsidR="00F863C3">
        <w:rPr>
          <w:color w:val="auto"/>
          <w:lang w:val="es-ES"/>
        </w:rPr>
        <w:t xml:space="preserve"> del Componente 2</w:t>
      </w:r>
      <w:r w:rsidR="00A3316A">
        <w:rPr>
          <w:color w:val="auto"/>
          <w:lang w:val="es-ES"/>
        </w:rPr>
        <w:t>,</w:t>
      </w:r>
      <w:r w:rsidR="00653F7F" w:rsidRPr="00653F7F">
        <w:rPr>
          <w:color w:val="auto"/>
          <w:lang w:val="es-ES"/>
        </w:rPr>
        <w:t xml:space="preserve"> la fuente de información será</w:t>
      </w:r>
      <w:r w:rsidR="009D2E1C">
        <w:rPr>
          <w:color w:val="auto"/>
          <w:lang w:val="es-ES"/>
        </w:rPr>
        <w:t xml:space="preserve"> el Sistema de Gestión H</w:t>
      </w:r>
      <w:r w:rsidR="00B84F03">
        <w:rPr>
          <w:color w:val="auto"/>
          <w:lang w:val="es-ES"/>
        </w:rPr>
        <w:t>ospitalaria</w:t>
      </w:r>
      <w:r w:rsidR="009D2E1C">
        <w:rPr>
          <w:color w:val="auto"/>
          <w:lang w:val="es-ES"/>
        </w:rPr>
        <w:t xml:space="preserve"> (SIGHO)</w:t>
      </w:r>
      <w:r w:rsidR="00B84F03">
        <w:rPr>
          <w:color w:val="auto"/>
          <w:lang w:val="es-ES"/>
        </w:rPr>
        <w:t>.</w:t>
      </w:r>
      <w:r w:rsidR="00653F7F" w:rsidRPr="00653F7F">
        <w:rPr>
          <w:color w:val="auto"/>
          <w:lang w:val="es-ES"/>
        </w:rPr>
        <w:t xml:space="preserve"> </w:t>
      </w:r>
    </w:p>
    <w:p w:rsidR="00965A34" w:rsidRPr="00965A34" w:rsidRDefault="00965A34" w:rsidP="00965A34">
      <w:pPr>
        <w:pStyle w:val="Style1"/>
        <w:numPr>
          <w:ilvl w:val="0"/>
          <w:numId w:val="0"/>
        </w:numPr>
        <w:spacing w:line="240" w:lineRule="auto"/>
        <w:ind w:left="360"/>
        <w:rPr>
          <w:color w:val="auto"/>
          <w:lang w:val="es-ES"/>
        </w:rPr>
      </w:pPr>
    </w:p>
    <w:p w:rsidR="00671429" w:rsidRPr="00653F7F" w:rsidRDefault="00E46349" w:rsidP="00A40E24">
      <w:pPr>
        <w:pStyle w:val="Style1"/>
        <w:spacing w:line="240" w:lineRule="auto"/>
        <w:ind w:left="360"/>
        <w:rPr>
          <w:color w:val="auto"/>
          <w:lang w:val="es-ES"/>
        </w:rPr>
      </w:pPr>
      <w:r>
        <w:rPr>
          <w:color w:val="auto"/>
          <w:lang w:val="es-ES"/>
        </w:rPr>
        <w:t xml:space="preserve">Por último, </w:t>
      </w:r>
      <w:r w:rsidR="00006A18">
        <w:rPr>
          <w:color w:val="auto"/>
          <w:lang w:val="es-ES"/>
        </w:rPr>
        <w:t>s</w:t>
      </w:r>
      <w:r w:rsidR="002804F1" w:rsidRPr="00653F7F">
        <w:rPr>
          <w:color w:val="auto"/>
          <w:lang w:val="es-ES"/>
        </w:rPr>
        <w:t xml:space="preserve">e utilizarán fuentes secundarias </w:t>
      </w:r>
      <w:r w:rsidR="00764CF1" w:rsidRPr="00653F7F">
        <w:rPr>
          <w:color w:val="auto"/>
          <w:lang w:val="es-ES"/>
        </w:rPr>
        <w:t xml:space="preserve">de información </w:t>
      </w:r>
      <w:r w:rsidR="002804F1" w:rsidRPr="00653F7F">
        <w:rPr>
          <w:color w:val="auto"/>
          <w:lang w:val="es-ES"/>
        </w:rPr>
        <w:t xml:space="preserve">como antecedentes, informes de resultados de proyectos anteriores, </w:t>
      </w:r>
      <w:r w:rsidR="00F81F28" w:rsidRPr="00653F7F">
        <w:rPr>
          <w:color w:val="auto"/>
          <w:lang w:val="es-ES"/>
        </w:rPr>
        <w:t xml:space="preserve">investigaciones previas sobre el tema del Programa, </w:t>
      </w:r>
      <w:r w:rsidR="00671A8E">
        <w:rPr>
          <w:color w:val="auto"/>
          <w:lang w:val="es-ES"/>
        </w:rPr>
        <w:t>y</w:t>
      </w:r>
      <w:r w:rsidR="00671A8E" w:rsidRPr="00653F7F">
        <w:rPr>
          <w:color w:val="auto"/>
          <w:lang w:val="es-ES"/>
        </w:rPr>
        <w:t xml:space="preserve"> </w:t>
      </w:r>
      <w:r w:rsidR="00F81F28" w:rsidRPr="00653F7F">
        <w:rPr>
          <w:color w:val="auto"/>
          <w:lang w:val="es-ES"/>
        </w:rPr>
        <w:t>análisis de personas expertas en el tema.</w:t>
      </w:r>
    </w:p>
    <w:p w:rsidR="002643E4" w:rsidRPr="00653F7F" w:rsidRDefault="002643E4" w:rsidP="004964D2">
      <w:pPr>
        <w:pStyle w:val="Style1"/>
        <w:numPr>
          <w:ilvl w:val="0"/>
          <w:numId w:val="0"/>
        </w:numPr>
        <w:tabs>
          <w:tab w:val="left" w:pos="3060"/>
        </w:tabs>
        <w:spacing w:line="240" w:lineRule="auto"/>
        <w:ind w:left="720" w:hanging="360"/>
        <w:rPr>
          <w:color w:val="auto"/>
          <w:lang w:val="es-ES"/>
        </w:rPr>
      </w:pPr>
    </w:p>
    <w:p w:rsidR="00EC6317" w:rsidRPr="00653F7F" w:rsidRDefault="004B28FE" w:rsidP="00B50F46">
      <w:pPr>
        <w:pStyle w:val="Style1"/>
        <w:spacing w:line="240" w:lineRule="auto"/>
        <w:ind w:left="360"/>
        <w:rPr>
          <w:color w:val="auto"/>
          <w:lang w:val="es-ES"/>
        </w:rPr>
      </w:pPr>
      <w:r w:rsidRPr="00653F7F">
        <w:rPr>
          <w:color w:val="auto"/>
          <w:lang w:val="es-ES"/>
        </w:rPr>
        <w:t>Se</w:t>
      </w:r>
      <w:r w:rsidR="00A21EE5" w:rsidRPr="00653F7F">
        <w:rPr>
          <w:color w:val="auto"/>
          <w:lang w:val="es-ES"/>
        </w:rPr>
        <w:t xml:space="preserve"> </w:t>
      </w:r>
      <w:r w:rsidR="00653274" w:rsidRPr="00653F7F">
        <w:rPr>
          <w:color w:val="auto"/>
          <w:lang w:val="es-ES"/>
        </w:rPr>
        <w:t>acordó</w:t>
      </w:r>
      <w:r w:rsidR="00A21EE5" w:rsidRPr="00653F7F">
        <w:rPr>
          <w:color w:val="auto"/>
          <w:lang w:val="es-ES"/>
        </w:rPr>
        <w:t xml:space="preserve"> con el prestatario</w:t>
      </w:r>
      <w:r w:rsidR="000172E2">
        <w:rPr>
          <w:color w:val="auto"/>
          <w:lang w:val="es-ES"/>
        </w:rPr>
        <w:t>,</w:t>
      </w:r>
      <w:r w:rsidR="00A21EE5" w:rsidRPr="00653F7F">
        <w:rPr>
          <w:color w:val="auto"/>
          <w:lang w:val="es-ES"/>
        </w:rPr>
        <w:t xml:space="preserve"> que </w:t>
      </w:r>
      <w:r w:rsidR="00A72F7F" w:rsidRPr="00653F7F">
        <w:rPr>
          <w:color w:val="auto"/>
          <w:lang w:val="es-ES"/>
        </w:rPr>
        <w:t xml:space="preserve">la Unidad </w:t>
      </w:r>
      <w:r w:rsidR="00DF7264">
        <w:rPr>
          <w:color w:val="auto"/>
          <w:lang w:val="es-ES"/>
        </w:rPr>
        <w:t xml:space="preserve">Coordinadora </w:t>
      </w:r>
      <w:r w:rsidR="0016324D" w:rsidRPr="00653F7F">
        <w:rPr>
          <w:color w:val="auto"/>
          <w:lang w:val="es-ES"/>
        </w:rPr>
        <w:t>de Proyectos</w:t>
      </w:r>
      <w:r w:rsidR="00265547" w:rsidRPr="00653F7F">
        <w:rPr>
          <w:color w:val="auto"/>
          <w:lang w:val="es-ES"/>
        </w:rPr>
        <w:t xml:space="preserve"> (U</w:t>
      </w:r>
      <w:r w:rsidR="00DF7264">
        <w:rPr>
          <w:color w:val="auto"/>
          <w:lang w:val="es-ES"/>
        </w:rPr>
        <w:t>C</w:t>
      </w:r>
      <w:r w:rsidR="00265547" w:rsidRPr="00653F7F">
        <w:rPr>
          <w:color w:val="auto"/>
          <w:lang w:val="es-ES"/>
        </w:rPr>
        <w:t>P)</w:t>
      </w:r>
      <w:r w:rsidR="00A72F7F" w:rsidRPr="00653F7F">
        <w:rPr>
          <w:color w:val="auto"/>
          <w:lang w:val="es-ES"/>
        </w:rPr>
        <w:t xml:space="preserve">, adscrita al </w:t>
      </w:r>
      <w:r w:rsidR="00ED25F8" w:rsidRPr="00653F7F">
        <w:rPr>
          <w:color w:val="auto"/>
          <w:lang w:val="es-ES"/>
        </w:rPr>
        <w:t>MSP</w:t>
      </w:r>
      <w:r w:rsidR="00A72F7F" w:rsidRPr="00653F7F">
        <w:rPr>
          <w:color w:val="auto"/>
          <w:lang w:val="es-ES"/>
        </w:rPr>
        <w:t xml:space="preserve"> y encargada de la ejecución del </w:t>
      </w:r>
      <w:r w:rsidR="00F56D78" w:rsidRPr="00653F7F">
        <w:rPr>
          <w:color w:val="auto"/>
          <w:lang w:val="es-ES"/>
        </w:rPr>
        <w:t>Proyecto</w:t>
      </w:r>
      <w:r w:rsidR="006B43C4" w:rsidRPr="00653F7F">
        <w:rPr>
          <w:color w:val="auto"/>
          <w:lang w:val="es-ES"/>
        </w:rPr>
        <w:t>,</w:t>
      </w:r>
      <w:r w:rsidR="00A72F7F" w:rsidRPr="00653F7F">
        <w:rPr>
          <w:color w:val="auto"/>
          <w:lang w:val="es-ES"/>
        </w:rPr>
        <w:t xml:space="preserve"> </w:t>
      </w:r>
      <w:r w:rsidR="00653274" w:rsidRPr="00653F7F">
        <w:rPr>
          <w:color w:val="auto"/>
          <w:lang w:val="es-ES"/>
        </w:rPr>
        <w:t>será</w:t>
      </w:r>
      <w:r w:rsidR="00594D0E" w:rsidRPr="00653F7F">
        <w:rPr>
          <w:color w:val="auto"/>
          <w:lang w:val="es-ES"/>
        </w:rPr>
        <w:t xml:space="preserve"> </w:t>
      </w:r>
      <w:r w:rsidR="006B43C4" w:rsidRPr="00653F7F">
        <w:rPr>
          <w:color w:val="auto"/>
          <w:lang w:val="es-ES"/>
        </w:rPr>
        <w:t xml:space="preserve">la </w:t>
      </w:r>
      <w:r w:rsidR="00594D0E" w:rsidRPr="00653F7F">
        <w:rPr>
          <w:color w:val="auto"/>
          <w:lang w:val="es-ES"/>
        </w:rPr>
        <w:t>responsable</w:t>
      </w:r>
      <w:r w:rsidR="00A72F7F" w:rsidRPr="00653F7F">
        <w:rPr>
          <w:color w:val="auto"/>
          <w:lang w:val="es-ES"/>
        </w:rPr>
        <w:t xml:space="preserve"> de recopilar la información de las múltiples</w:t>
      </w:r>
      <w:r w:rsidR="00653274" w:rsidRPr="00653F7F">
        <w:rPr>
          <w:color w:val="auto"/>
          <w:lang w:val="es-ES"/>
        </w:rPr>
        <w:t xml:space="preserve"> fuentes y consolidarlas </w:t>
      </w:r>
      <w:r w:rsidR="00A72F7F" w:rsidRPr="00653F7F">
        <w:rPr>
          <w:color w:val="auto"/>
          <w:lang w:val="es-ES"/>
        </w:rPr>
        <w:t xml:space="preserve">en el Informe </w:t>
      </w:r>
      <w:r w:rsidR="00772FBE">
        <w:rPr>
          <w:color w:val="auto"/>
          <w:lang w:val="es-ES"/>
        </w:rPr>
        <w:t>Semestral</w:t>
      </w:r>
      <w:r w:rsidR="00653274" w:rsidRPr="00653F7F">
        <w:rPr>
          <w:color w:val="auto"/>
          <w:lang w:val="es-ES"/>
        </w:rPr>
        <w:t xml:space="preserve">. </w:t>
      </w:r>
    </w:p>
    <w:p w:rsidR="002643E4" w:rsidRPr="00CC2E51" w:rsidRDefault="002643E4" w:rsidP="00C17027">
      <w:pPr>
        <w:spacing w:after="0" w:line="240" w:lineRule="auto"/>
        <w:jc w:val="both"/>
        <w:rPr>
          <w:rFonts w:ascii="Times New Roman" w:hAnsi="Times New Roman"/>
        </w:rPr>
      </w:pPr>
    </w:p>
    <w:p w:rsidR="000B1C8A" w:rsidRPr="00CC2E51" w:rsidRDefault="000B1C8A" w:rsidP="00B83663">
      <w:pPr>
        <w:pStyle w:val="ColorfulList-Accent11"/>
        <w:numPr>
          <w:ilvl w:val="1"/>
          <w:numId w:val="2"/>
        </w:numPr>
        <w:spacing w:after="0" w:line="240" w:lineRule="auto"/>
        <w:jc w:val="both"/>
        <w:rPr>
          <w:rFonts w:ascii="Times New Roman" w:hAnsi="Times New Roman"/>
          <w:b/>
        </w:rPr>
      </w:pPr>
      <w:r w:rsidRPr="00CC2E51">
        <w:rPr>
          <w:rFonts w:ascii="Times New Roman" w:hAnsi="Times New Roman"/>
          <w:b/>
        </w:rPr>
        <w:t>Presentación de informes</w:t>
      </w:r>
    </w:p>
    <w:p w:rsidR="00D23FD7" w:rsidRPr="00CC2E51" w:rsidRDefault="00D23FD7" w:rsidP="008A25B6">
      <w:pPr>
        <w:spacing w:after="0" w:line="240" w:lineRule="auto"/>
        <w:ind w:left="360"/>
        <w:jc w:val="both"/>
        <w:rPr>
          <w:rFonts w:ascii="Times New Roman" w:hAnsi="Times New Roman"/>
          <w:b/>
        </w:rPr>
      </w:pPr>
    </w:p>
    <w:p w:rsidR="008C22F2" w:rsidRPr="00CC2E51" w:rsidRDefault="00790688" w:rsidP="008A25B6">
      <w:pPr>
        <w:pStyle w:val="Style1"/>
        <w:spacing w:line="240" w:lineRule="auto"/>
        <w:ind w:left="360"/>
        <w:rPr>
          <w:color w:val="auto"/>
          <w:lang w:val="es-ES"/>
        </w:rPr>
      </w:pPr>
      <w:r w:rsidRPr="00CC2E51">
        <w:rPr>
          <w:b/>
          <w:color w:val="auto"/>
          <w:lang w:val="es-ES"/>
        </w:rPr>
        <w:t xml:space="preserve">El </w:t>
      </w:r>
      <w:r w:rsidR="00A82888" w:rsidRPr="00CC2E51">
        <w:rPr>
          <w:b/>
          <w:color w:val="auto"/>
          <w:lang w:val="es-ES"/>
        </w:rPr>
        <w:t>I</w:t>
      </w:r>
      <w:r w:rsidRPr="00CC2E51">
        <w:rPr>
          <w:b/>
          <w:color w:val="auto"/>
          <w:lang w:val="es-ES"/>
        </w:rPr>
        <w:t xml:space="preserve">nforme </w:t>
      </w:r>
      <w:r w:rsidR="007A228E">
        <w:rPr>
          <w:b/>
          <w:color w:val="auto"/>
          <w:lang w:val="es-ES"/>
        </w:rPr>
        <w:t>Semestral</w:t>
      </w:r>
      <w:r w:rsidRPr="00F758D2">
        <w:rPr>
          <w:b/>
          <w:color w:val="auto"/>
          <w:lang w:val="es-ES"/>
        </w:rPr>
        <w:t>:</w:t>
      </w:r>
      <w:r w:rsidR="008C22F2" w:rsidRPr="00CC2E51">
        <w:rPr>
          <w:color w:val="auto"/>
          <w:lang w:val="es-ES"/>
        </w:rPr>
        <w:t xml:space="preserve"> </w:t>
      </w:r>
      <w:r w:rsidR="00EB03BB" w:rsidRPr="00CC2E51">
        <w:rPr>
          <w:color w:val="auto"/>
          <w:lang w:val="es-ES"/>
        </w:rPr>
        <w:t>Este informe</w:t>
      </w:r>
      <w:r w:rsidR="007A228E">
        <w:rPr>
          <w:color w:val="auto"/>
          <w:lang w:val="es-ES"/>
        </w:rPr>
        <w:t xml:space="preserve"> c</w:t>
      </w:r>
      <w:r w:rsidR="008C22F2" w:rsidRPr="00CC2E51">
        <w:rPr>
          <w:color w:val="auto"/>
          <w:lang w:val="es-ES"/>
        </w:rPr>
        <w:t>ontiene información detallada sobre el nivel de avance alcanzado en los distintos componentes</w:t>
      </w:r>
      <w:r w:rsidR="00D723CB">
        <w:rPr>
          <w:color w:val="auto"/>
          <w:lang w:val="es-ES"/>
        </w:rPr>
        <w:t>, productos y actividades</w:t>
      </w:r>
      <w:r w:rsidR="008C22F2" w:rsidRPr="00CC2E51">
        <w:rPr>
          <w:color w:val="auto"/>
          <w:lang w:val="es-ES"/>
        </w:rPr>
        <w:t xml:space="preserve"> del proyecto, tanto en su ejecución física como financiera. El In</w:t>
      </w:r>
      <w:r w:rsidR="00A46FD4" w:rsidRPr="00CC2E51">
        <w:rPr>
          <w:color w:val="auto"/>
          <w:lang w:val="es-ES"/>
        </w:rPr>
        <w:t xml:space="preserve">forme </w:t>
      </w:r>
      <w:r w:rsidR="007A228E">
        <w:rPr>
          <w:color w:val="auto"/>
          <w:lang w:val="es-ES"/>
        </w:rPr>
        <w:t>Semestral</w:t>
      </w:r>
      <w:r w:rsidR="00A46FD4" w:rsidRPr="00CC2E51">
        <w:rPr>
          <w:color w:val="auto"/>
          <w:lang w:val="es-ES"/>
        </w:rPr>
        <w:t xml:space="preserve"> </w:t>
      </w:r>
      <w:r w:rsidR="008C22F2" w:rsidRPr="00CC2E51">
        <w:rPr>
          <w:color w:val="auto"/>
          <w:lang w:val="es-ES"/>
        </w:rPr>
        <w:t>para cada producto y actividad</w:t>
      </w:r>
      <w:r w:rsidR="00A46FD4" w:rsidRPr="00CC2E51">
        <w:rPr>
          <w:color w:val="auto"/>
          <w:lang w:val="es-ES"/>
        </w:rPr>
        <w:t xml:space="preserve"> del</w:t>
      </w:r>
      <w:r w:rsidR="00286A15" w:rsidRPr="00CC2E51">
        <w:rPr>
          <w:color w:val="auto"/>
          <w:lang w:val="es-ES"/>
        </w:rPr>
        <w:t xml:space="preserve"> p</w:t>
      </w:r>
      <w:r w:rsidR="00A46FD4" w:rsidRPr="00CC2E51">
        <w:rPr>
          <w:color w:val="auto"/>
          <w:lang w:val="es-ES"/>
        </w:rPr>
        <w:t>rograma</w:t>
      </w:r>
      <w:r w:rsidR="007A228E">
        <w:rPr>
          <w:color w:val="auto"/>
          <w:lang w:val="es-ES"/>
        </w:rPr>
        <w:t>, est</w:t>
      </w:r>
      <w:r w:rsidR="00E341B3">
        <w:rPr>
          <w:color w:val="auto"/>
          <w:lang w:val="es-ES"/>
        </w:rPr>
        <w:t>á</w:t>
      </w:r>
      <w:r w:rsidR="0021308A">
        <w:rPr>
          <w:color w:val="auto"/>
          <w:lang w:val="es-ES"/>
        </w:rPr>
        <w:t xml:space="preserve"> </w:t>
      </w:r>
      <w:r w:rsidR="007A228E">
        <w:rPr>
          <w:color w:val="auto"/>
          <w:lang w:val="es-ES"/>
        </w:rPr>
        <w:t>conformado por</w:t>
      </w:r>
      <w:r w:rsidR="008C22F2" w:rsidRPr="00CC2E51">
        <w:rPr>
          <w:color w:val="auto"/>
          <w:lang w:val="es-ES"/>
        </w:rPr>
        <w:t>: el nivel de logro alcanzado, en ejecución física y monetaria; las dificultades encontradas; el responsable actual</w:t>
      </w:r>
      <w:r w:rsidR="00A759B4">
        <w:rPr>
          <w:color w:val="auto"/>
          <w:lang w:val="es-ES"/>
        </w:rPr>
        <w:t xml:space="preserve"> </w:t>
      </w:r>
      <w:r w:rsidR="00A759B4" w:rsidRPr="00CC2E51">
        <w:rPr>
          <w:color w:val="auto"/>
          <w:lang w:val="es-ES"/>
        </w:rPr>
        <w:t>en quien recae el avance de la ejecución</w:t>
      </w:r>
      <w:r w:rsidR="008C22F2" w:rsidRPr="00CC2E51">
        <w:rPr>
          <w:color w:val="auto"/>
          <w:lang w:val="es-ES"/>
        </w:rPr>
        <w:t>, sea institución o funcionario; y finalmente una relación de las acciones previas de la actividad o producto. Presenta, además, una revisión cons</w:t>
      </w:r>
      <w:r w:rsidR="0071718A" w:rsidRPr="00CC2E51">
        <w:rPr>
          <w:color w:val="auto"/>
          <w:lang w:val="es-ES"/>
        </w:rPr>
        <w:t>olidada de lecciones aprendidas</w:t>
      </w:r>
      <w:r w:rsidR="008C22F2" w:rsidRPr="00CC2E51">
        <w:rPr>
          <w:color w:val="auto"/>
          <w:lang w:val="es-ES"/>
        </w:rPr>
        <w:t xml:space="preserve"> y recomendaciones para retroalimentar al </w:t>
      </w:r>
      <w:r w:rsidR="009860E4" w:rsidRPr="00CC2E51">
        <w:rPr>
          <w:color w:val="auto"/>
          <w:lang w:val="es-ES"/>
        </w:rPr>
        <w:t>Programa</w:t>
      </w:r>
      <w:r w:rsidR="008C22F2" w:rsidRPr="00CC2E51">
        <w:rPr>
          <w:color w:val="auto"/>
          <w:lang w:val="es-ES"/>
        </w:rPr>
        <w:t xml:space="preserve"> y al propio </w:t>
      </w:r>
      <w:r w:rsidR="007A228E">
        <w:rPr>
          <w:color w:val="auto"/>
          <w:lang w:val="es-ES"/>
        </w:rPr>
        <w:t>Ministerio</w:t>
      </w:r>
      <w:r w:rsidR="008C22F2" w:rsidRPr="00CC2E51">
        <w:rPr>
          <w:color w:val="auto"/>
          <w:lang w:val="es-ES"/>
        </w:rPr>
        <w:t xml:space="preserve">. La elaboración de los Informes </w:t>
      </w:r>
      <w:r w:rsidR="007A228E">
        <w:rPr>
          <w:color w:val="auto"/>
          <w:lang w:val="es-ES"/>
        </w:rPr>
        <w:t>Semestrales</w:t>
      </w:r>
      <w:r w:rsidR="008C22F2" w:rsidRPr="00CC2E51">
        <w:rPr>
          <w:color w:val="auto"/>
          <w:lang w:val="es-ES"/>
        </w:rPr>
        <w:t xml:space="preserve"> </w:t>
      </w:r>
      <w:r w:rsidR="007A1B45">
        <w:rPr>
          <w:color w:val="auto"/>
          <w:lang w:val="es-ES"/>
        </w:rPr>
        <w:t>será</w:t>
      </w:r>
      <w:r w:rsidR="007A1B45" w:rsidRPr="00CC2E51">
        <w:rPr>
          <w:color w:val="auto"/>
          <w:lang w:val="es-ES"/>
        </w:rPr>
        <w:t xml:space="preserve"> </w:t>
      </w:r>
      <w:r w:rsidR="008C22F2" w:rsidRPr="00CC2E51">
        <w:rPr>
          <w:color w:val="auto"/>
          <w:lang w:val="es-ES"/>
        </w:rPr>
        <w:t xml:space="preserve">responsabilidad del </w:t>
      </w:r>
      <w:r w:rsidR="007A228E">
        <w:rPr>
          <w:color w:val="auto"/>
          <w:lang w:val="es-ES"/>
        </w:rPr>
        <w:t>Ministerio</w:t>
      </w:r>
      <w:r w:rsidR="008C22F2" w:rsidRPr="00CC2E51">
        <w:rPr>
          <w:color w:val="auto"/>
          <w:lang w:val="es-ES"/>
        </w:rPr>
        <w:t xml:space="preserve"> </w:t>
      </w:r>
      <w:r w:rsidR="007A1B45">
        <w:rPr>
          <w:color w:val="auto"/>
          <w:lang w:val="es-ES"/>
        </w:rPr>
        <w:t xml:space="preserve">de Salud Pública </w:t>
      </w:r>
      <w:r w:rsidR="008C22F2" w:rsidRPr="00CC2E51">
        <w:rPr>
          <w:color w:val="auto"/>
          <w:lang w:val="es-ES"/>
        </w:rPr>
        <w:t xml:space="preserve">a través de la </w:t>
      </w:r>
      <w:r w:rsidR="00A139E4">
        <w:rPr>
          <w:color w:val="auto"/>
          <w:lang w:val="es-ES"/>
        </w:rPr>
        <w:t>U</w:t>
      </w:r>
      <w:r w:rsidR="00A337A1">
        <w:rPr>
          <w:color w:val="auto"/>
          <w:lang w:val="es-ES"/>
        </w:rPr>
        <w:t>C</w:t>
      </w:r>
      <w:r w:rsidR="00DD6051">
        <w:rPr>
          <w:color w:val="auto"/>
          <w:lang w:val="es-ES"/>
        </w:rPr>
        <w:t>P</w:t>
      </w:r>
      <w:r w:rsidR="008C22F2" w:rsidRPr="00CC2E51">
        <w:rPr>
          <w:color w:val="auto"/>
          <w:lang w:val="es-ES"/>
        </w:rPr>
        <w:t xml:space="preserve">. Se acordó con </w:t>
      </w:r>
      <w:r w:rsidR="00D30045" w:rsidRPr="00CC2E51">
        <w:rPr>
          <w:color w:val="auto"/>
          <w:lang w:val="es-ES"/>
        </w:rPr>
        <w:t xml:space="preserve">el Organismo Ejecutor </w:t>
      </w:r>
      <w:r w:rsidR="008C22F2" w:rsidRPr="00CC2E51">
        <w:rPr>
          <w:color w:val="auto"/>
          <w:lang w:val="es-ES"/>
        </w:rPr>
        <w:t xml:space="preserve">que la información de los Informes de </w:t>
      </w:r>
      <w:r w:rsidR="007A228E">
        <w:rPr>
          <w:color w:val="auto"/>
          <w:lang w:val="es-ES"/>
        </w:rPr>
        <w:t xml:space="preserve">Semestrales </w:t>
      </w:r>
      <w:r w:rsidR="008C22F2" w:rsidRPr="00CC2E51">
        <w:rPr>
          <w:color w:val="auto"/>
          <w:lang w:val="es-ES"/>
        </w:rPr>
        <w:t>est</w:t>
      </w:r>
      <w:r w:rsidR="00F009DE">
        <w:rPr>
          <w:color w:val="auto"/>
          <w:lang w:val="es-ES"/>
        </w:rPr>
        <w:t>é</w:t>
      </w:r>
      <w:r w:rsidR="008C22F2" w:rsidRPr="00CC2E51">
        <w:rPr>
          <w:color w:val="auto"/>
          <w:lang w:val="es-ES"/>
        </w:rPr>
        <w:t xml:space="preserve"> en consonancia con </w:t>
      </w:r>
      <w:r w:rsidR="00AB5D95">
        <w:rPr>
          <w:color w:val="auto"/>
          <w:lang w:val="es-ES"/>
        </w:rPr>
        <w:t>la Matriz de</w:t>
      </w:r>
      <w:r w:rsidR="007A228E">
        <w:rPr>
          <w:color w:val="auto"/>
          <w:lang w:val="es-ES"/>
        </w:rPr>
        <w:t xml:space="preserve"> Resultados </w:t>
      </w:r>
      <w:r w:rsidR="008C22F2" w:rsidRPr="00CC2E51">
        <w:rPr>
          <w:color w:val="auto"/>
          <w:lang w:val="es-ES"/>
        </w:rPr>
        <w:t xml:space="preserve">y que además contenga la información necesaria para alimentar </w:t>
      </w:r>
      <w:r w:rsidR="00BE7A16" w:rsidRPr="00CC2E51">
        <w:rPr>
          <w:color w:val="auto"/>
          <w:lang w:val="es-ES"/>
        </w:rPr>
        <w:t>el Informe de Monitoreo del Proyecto (</w:t>
      </w:r>
      <w:r w:rsidR="008C22F2" w:rsidRPr="00CC2E51">
        <w:rPr>
          <w:color w:val="auto"/>
          <w:lang w:val="es-ES"/>
        </w:rPr>
        <w:t>PMR</w:t>
      </w:r>
      <w:r w:rsidR="00BE7A16" w:rsidRPr="00CC2E51">
        <w:rPr>
          <w:color w:val="auto"/>
          <w:lang w:val="es-ES"/>
        </w:rPr>
        <w:t>)</w:t>
      </w:r>
      <w:r w:rsidR="008C22F2" w:rsidRPr="00CC2E51">
        <w:rPr>
          <w:color w:val="auto"/>
          <w:lang w:val="es-ES"/>
        </w:rPr>
        <w:t xml:space="preserve">. </w:t>
      </w:r>
    </w:p>
    <w:p w:rsidR="00F75A17" w:rsidRPr="00CC2E51" w:rsidRDefault="00F75A17" w:rsidP="008A25B6">
      <w:pPr>
        <w:spacing w:after="0" w:line="240" w:lineRule="auto"/>
        <w:ind w:left="360"/>
        <w:jc w:val="both"/>
        <w:rPr>
          <w:rFonts w:ascii="Times New Roman" w:hAnsi="Times New Roman"/>
        </w:rPr>
      </w:pPr>
    </w:p>
    <w:p w:rsidR="00A66337" w:rsidRPr="000C475B" w:rsidRDefault="00F75A17" w:rsidP="00A66337">
      <w:pPr>
        <w:pStyle w:val="Style1"/>
        <w:spacing w:line="240" w:lineRule="auto"/>
        <w:ind w:left="360"/>
        <w:rPr>
          <w:color w:val="auto"/>
          <w:lang w:val="es-ES"/>
        </w:rPr>
      </w:pPr>
      <w:r w:rsidRPr="000C475B">
        <w:rPr>
          <w:b/>
          <w:color w:val="auto"/>
          <w:lang w:val="es-ES"/>
        </w:rPr>
        <w:t xml:space="preserve">Las </w:t>
      </w:r>
      <w:r w:rsidR="00D96FE4" w:rsidRPr="000C475B">
        <w:rPr>
          <w:b/>
          <w:color w:val="auto"/>
          <w:lang w:val="es-ES"/>
        </w:rPr>
        <w:t>A</w:t>
      </w:r>
      <w:r w:rsidRPr="000C475B">
        <w:rPr>
          <w:b/>
          <w:color w:val="auto"/>
          <w:lang w:val="es-ES"/>
        </w:rPr>
        <w:t xml:space="preserve">uditorías </w:t>
      </w:r>
      <w:r w:rsidR="00D96FE4" w:rsidRPr="000C475B">
        <w:rPr>
          <w:b/>
          <w:color w:val="auto"/>
          <w:lang w:val="es-ES"/>
        </w:rPr>
        <w:t>R</w:t>
      </w:r>
      <w:r w:rsidRPr="000C475B">
        <w:rPr>
          <w:b/>
          <w:color w:val="auto"/>
          <w:lang w:val="es-ES"/>
        </w:rPr>
        <w:t>ecurrentes</w:t>
      </w:r>
      <w:r w:rsidR="00D96FE4" w:rsidRPr="000C475B">
        <w:rPr>
          <w:b/>
          <w:color w:val="auto"/>
          <w:lang w:val="es-ES"/>
        </w:rPr>
        <w:t xml:space="preserve"> (AR´s)</w:t>
      </w:r>
      <w:r w:rsidR="00790688" w:rsidRPr="00F758D2">
        <w:rPr>
          <w:b/>
          <w:color w:val="auto"/>
          <w:lang w:val="es-ES"/>
        </w:rPr>
        <w:t>:</w:t>
      </w:r>
      <w:r w:rsidRPr="000C475B">
        <w:rPr>
          <w:color w:val="auto"/>
          <w:lang w:val="es-ES"/>
        </w:rPr>
        <w:t xml:space="preserve"> </w:t>
      </w:r>
      <w:r w:rsidR="00A66337" w:rsidRPr="000C475B">
        <w:rPr>
          <w:lang w:val="es-ES"/>
        </w:rPr>
        <w:t>El objetivo general de las auditorías recurrentes externas</w:t>
      </w:r>
      <w:r w:rsidR="00752AFE">
        <w:rPr>
          <w:lang w:val="es-ES"/>
        </w:rPr>
        <w:t xml:space="preserve"> es</w:t>
      </w:r>
      <w:r w:rsidR="00A66337" w:rsidRPr="000C475B">
        <w:rPr>
          <w:lang w:val="es-ES"/>
        </w:rPr>
        <w:t xml:space="preserve"> verificar que</w:t>
      </w:r>
      <w:r w:rsidR="00771A39" w:rsidRPr="000C475B">
        <w:rPr>
          <w:lang w:val="es-ES"/>
        </w:rPr>
        <w:t xml:space="preserve"> l</w:t>
      </w:r>
      <w:r w:rsidR="00220BAF" w:rsidRPr="000C475B">
        <w:rPr>
          <w:lang w:val="es-ES"/>
        </w:rPr>
        <w:t>as</w:t>
      </w:r>
      <w:r w:rsidR="00752AFE">
        <w:rPr>
          <w:lang w:val="es-ES"/>
        </w:rPr>
        <w:t xml:space="preserve"> regionales de salud participando en el</w:t>
      </w:r>
      <w:r w:rsidR="00503977" w:rsidRPr="000C475B">
        <w:rPr>
          <w:lang w:val="es-ES"/>
        </w:rPr>
        <w:t xml:space="preserve"> proyecto cumplen con las normas </w:t>
      </w:r>
      <w:r w:rsidR="00752AFE">
        <w:rPr>
          <w:lang w:val="es-ES"/>
        </w:rPr>
        <w:t xml:space="preserve">y procedimientos </w:t>
      </w:r>
      <w:r w:rsidR="00503977" w:rsidRPr="000C475B">
        <w:rPr>
          <w:lang w:val="es-ES"/>
        </w:rPr>
        <w:t xml:space="preserve">de gestión del modelo de financiamiento basado en resultados. </w:t>
      </w:r>
      <w:r w:rsidR="00CA12CA" w:rsidRPr="000C475B">
        <w:rPr>
          <w:color w:val="auto"/>
          <w:lang w:val="es-ES"/>
        </w:rPr>
        <w:t xml:space="preserve">Las AR´s se realizarán cuatrimestralmente y constituirán el instrumento </w:t>
      </w:r>
      <w:r w:rsidR="00AF380A">
        <w:rPr>
          <w:color w:val="auto"/>
          <w:lang w:val="es-ES"/>
        </w:rPr>
        <w:t xml:space="preserve">mediante el cual el prestatario </w:t>
      </w:r>
      <w:r w:rsidR="00CA12CA" w:rsidRPr="000C475B">
        <w:rPr>
          <w:color w:val="auto"/>
          <w:lang w:val="es-ES"/>
        </w:rPr>
        <w:t>justificar</w:t>
      </w:r>
      <w:r w:rsidR="00AF380A">
        <w:rPr>
          <w:color w:val="auto"/>
          <w:lang w:val="es-ES"/>
        </w:rPr>
        <w:t>á</w:t>
      </w:r>
      <w:r w:rsidR="00CA12CA" w:rsidRPr="000C475B">
        <w:rPr>
          <w:color w:val="auto"/>
          <w:lang w:val="es-ES"/>
        </w:rPr>
        <w:t xml:space="preserve"> los desembolsos</w:t>
      </w:r>
      <w:r w:rsidR="004A098B">
        <w:rPr>
          <w:color w:val="auto"/>
          <w:lang w:val="es-ES"/>
        </w:rPr>
        <w:t xml:space="preserve"> correspondiente</w:t>
      </w:r>
      <w:r w:rsidR="00EE5D32">
        <w:rPr>
          <w:color w:val="auto"/>
          <w:lang w:val="es-ES"/>
        </w:rPr>
        <w:t>s</w:t>
      </w:r>
      <w:r w:rsidR="004A098B">
        <w:rPr>
          <w:color w:val="auto"/>
          <w:lang w:val="es-ES"/>
        </w:rPr>
        <w:t xml:space="preserve"> a las cápitas del Régimen Subsidiado</w:t>
      </w:r>
      <w:r w:rsidR="00BF79A5">
        <w:rPr>
          <w:color w:val="auto"/>
          <w:lang w:val="es-ES"/>
        </w:rPr>
        <w:t xml:space="preserve"> del SENANA y la población pobre no asegurada recibiendo</w:t>
      </w:r>
      <w:r w:rsidR="004A098B">
        <w:rPr>
          <w:color w:val="auto"/>
          <w:lang w:val="es-ES"/>
        </w:rPr>
        <w:t xml:space="preserve"> </w:t>
      </w:r>
      <w:r w:rsidR="00BF79A5">
        <w:rPr>
          <w:color w:val="auto"/>
          <w:lang w:val="es-ES"/>
        </w:rPr>
        <w:t>prestaciones</w:t>
      </w:r>
      <w:r w:rsidR="004A098B">
        <w:rPr>
          <w:color w:val="auto"/>
          <w:lang w:val="es-ES"/>
        </w:rPr>
        <w:t xml:space="preserve"> de servicios en el primer nivel</w:t>
      </w:r>
      <w:r w:rsidR="000C475B">
        <w:rPr>
          <w:rStyle w:val="FootnoteReference"/>
          <w:color w:val="auto"/>
          <w:lang w:val="es-ES"/>
        </w:rPr>
        <w:footnoteReference w:id="2"/>
      </w:r>
      <w:r w:rsidR="00CA12CA" w:rsidRPr="000C475B">
        <w:rPr>
          <w:color w:val="auto"/>
          <w:lang w:val="es-ES"/>
        </w:rPr>
        <w:t xml:space="preserve">. </w:t>
      </w:r>
      <w:r w:rsidR="00503977" w:rsidRPr="000C475B">
        <w:rPr>
          <w:lang w:val="es-ES"/>
        </w:rPr>
        <w:t>Específicamente, se contratará una firma ext</w:t>
      </w:r>
      <w:r w:rsidR="00BF79A5">
        <w:rPr>
          <w:lang w:val="es-ES"/>
        </w:rPr>
        <w:t xml:space="preserve">erna que </w:t>
      </w:r>
      <w:r w:rsidR="00503977" w:rsidRPr="000C475B">
        <w:rPr>
          <w:lang w:val="es-ES"/>
        </w:rPr>
        <w:t xml:space="preserve">verificará </w:t>
      </w:r>
      <w:r w:rsidR="00DD5252">
        <w:rPr>
          <w:lang w:val="es-ES"/>
        </w:rPr>
        <w:t xml:space="preserve">la información consolidada </w:t>
      </w:r>
      <w:r w:rsidR="00AA47A2">
        <w:rPr>
          <w:lang w:val="es-ES"/>
        </w:rPr>
        <w:t xml:space="preserve">de población objetivo, población adscrita e indicadores de resultado, tanto </w:t>
      </w:r>
      <w:r w:rsidR="00503977" w:rsidRPr="000C475B">
        <w:rPr>
          <w:lang w:val="es-ES"/>
        </w:rPr>
        <w:t>en los sistemas</w:t>
      </w:r>
      <w:r w:rsidR="00CA12CA" w:rsidRPr="000C475B">
        <w:rPr>
          <w:lang w:val="es-ES"/>
        </w:rPr>
        <w:t xml:space="preserve"> de las regionales</w:t>
      </w:r>
      <w:r w:rsidR="00D866DC">
        <w:rPr>
          <w:lang w:val="es-ES"/>
        </w:rPr>
        <w:t xml:space="preserve"> de salud</w:t>
      </w:r>
      <w:r w:rsidR="00065D79">
        <w:rPr>
          <w:lang w:val="es-ES"/>
        </w:rPr>
        <w:t xml:space="preserve"> </w:t>
      </w:r>
      <w:r w:rsidR="00CA12CA" w:rsidRPr="000C475B">
        <w:rPr>
          <w:lang w:val="es-ES"/>
        </w:rPr>
        <w:t xml:space="preserve">y </w:t>
      </w:r>
      <w:r w:rsidR="00976AAD">
        <w:rPr>
          <w:lang w:val="es-ES"/>
        </w:rPr>
        <w:t>como en los d</w:t>
      </w:r>
      <w:r w:rsidR="00CA12CA" w:rsidRPr="000C475B">
        <w:rPr>
          <w:lang w:val="es-ES"/>
        </w:rPr>
        <w:t>el SENASA</w:t>
      </w:r>
      <w:r w:rsidR="00065D79">
        <w:rPr>
          <w:lang w:val="es-ES"/>
        </w:rPr>
        <w:t>. La firma validará la información</w:t>
      </w:r>
      <w:r w:rsidR="00F14E7E">
        <w:rPr>
          <w:lang w:val="es-ES"/>
        </w:rPr>
        <w:t xml:space="preserve"> en los sistemas</w:t>
      </w:r>
      <w:r w:rsidR="00065D79">
        <w:rPr>
          <w:lang w:val="es-ES"/>
        </w:rPr>
        <w:t xml:space="preserve"> con chequeos aleatorios in situ </w:t>
      </w:r>
      <w:r w:rsidR="00743FB3">
        <w:rPr>
          <w:lang w:val="es-ES"/>
        </w:rPr>
        <w:t xml:space="preserve">a </w:t>
      </w:r>
      <w:r w:rsidR="009E1D29">
        <w:rPr>
          <w:lang w:val="es-ES"/>
        </w:rPr>
        <w:t xml:space="preserve">nivel de </w:t>
      </w:r>
      <w:r w:rsidR="00743FB3">
        <w:rPr>
          <w:lang w:val="es-ES"/>
        </w:rPr>
        <w:t>beneficiarios (verificación de población adscrita a través de Fichas Familiares)</w:t>
      </w:r>
      <w:r w:rsidR="009E1D29">
        <w:rPr>
          <w:lang w:val="es-ES"/>
        </w:rPr>
        <w:t xml:space="preserve"> y de</w:t>
      </w:r>
      <w:r w:rsidR="00743FB3">
        <w:rPr>
          <w:lang w:val="es-ES"/>
        </w:rPr>
        <w:t xml:space="preserve"> UNAPs (verificación de información de prestación de servicios de acuerdo a registros del Sistema de Gestión Clínica).</w:t>
      </w:r>
    </w:p>
    <w:p w:rsidR="0043178B" w:rsidRPr="00CC2E51" w:rsidRDefault="0043178B" w:rsidP="004964D2">
      <w:pPr>
        <w:pStyle w:val="Style1"/>
        <w:numPr>
          <w:ilvl w:val="0"/>
          <w:numId w:val="0"/>
        </w:numPr>
        <w:spacing w:line="240" w:lineRule="auto"/>
        <w:rPr>
          <w:color w:val="auto"/>
          <w:lang w:val="es-ES"/>
        </w:rPr>
      </w:pPr>
    </w:p>
    <w:p w:rsidR="005465BD" w:rsidRPr="00CC2E51" w:rsidRDefault="006846AF" w:rsidP="008A25B6">
      <w:pPr>
        <w:pStyle w:val="Style1"/>
        <w:spacing w:line="240" w:lineRule="auto"/>
        <w:ind w:left="360"/>
        <w:rPr>
          <w:color w:val="auto"/>
          <w:lang w:val="es-ES"/>
        </w:rPr>
      </w:pPr>
      <w:r w:rsidRPr="00CC2E51">
        <w:rPr>
          <w:b/>
          <w:color w:val="auto"/>
          <w:lang w:val="es-ES"/>
        </w:rPr>
        <w:t>El P</w:t>
      </w:r>
      <w:r w:rsidR="00400846" w:rsidRPr="00CC2E51">
        <w:rPr>
          <w:b/>
          <w:color w:val="auto"/>
          <w:lang w:val="es-ES"/>
        </w:rPr>
        <w:t xml:space="preserve">lan </w:t>
      </w:r>
      <w:r w:rsidRPr="00CC2E51">
        <w:rPr>
          <w:b/>
          <w:color w:val="auto"/>
          <w:lang w:val="es-ES"/>
        </w:rPr>
        <w:t>de Ejecución del Proyecto</w:t>
      </w:r>
      <w:r w:rsidR="00F83F26" w:rsidRPr="00CC2E51">
        <w:rPr>
          <w:b/>
          <w:color w:val="auto"/>
          <w:lang w:val="es-ES"/>
        </w:rPr>
        <w:t xml:space="preserve"> (PEP)</w:t>
      </w:r>
      <w:r w:rsidR="009F52D7" w:rsidRPr="00F758D2">
        <w:rPr>
          <w:b/>
          <w:color w:val="auto"/>
          <w:lang w:val="es-ES"/>
        </w:rPr>
        <w:t>:</w:t>
      </w:r>
      <w:r w:rsidR="003466DF" w:rsidRPr="00CC2E51">
        <w:rPr>
          <w:color w:val="auto"/>
          <w:lang w:val="es-ES"/>
        </w:rPr>
        <w:t xml:space="preserve"> </w:t>
      </w:r>
      <w:r w:rsidRPr="00CC2E51">
        <w:rPr>
          <w:color w:val="auto"/>
          <w:lang w:val="es-ES"/>
        </w:rPr>
        <w:t xml:space="preserve">La UTP </w:t>
      </w:r>
      <w:r w:rsidR="002F7D6E" w:rsidRPr="00CC2E51">
        <w:rPr>
          <w:color w:val="auto"/>
          <w:lang w:val="es-ES"/>
        </w:rPr>
        <w:t xml:space="preserve">en conjunto </w:t>
      </w:r>
      <w:r w:rsidRPr="00CC2E51">
        <w:rPr>
          <w:color w:val="auto"/>
          <w:lang w:val="es-ES"/>
        </w:rPr>
        <w:t>con el Banco</w:t>
      </w:r>
      <w:r w:rsidR="001100F4" w:rsidRPr="00CC2E51">
        <w:rPr>
          <w:color w:val="auto"/>
          <w:lang w:val="es-ES"/>
        </w:rPr>
        <w:t xml:space="preserve">, </w:t>
      </w:r>
      <w:r w:rsidRPr="00CC2E51">
        <w:rPr>
          <w:color w:val="auto"/>
          <w:lang w:val="es-ES"/>
        </w:rPr>
        <w:t>elabo</w:t>
      </w:r>
      <w:r w:rsidR="001100F4" w:rsidRPr="00CC2E51">
        <w:rPr>
          <w:color w:val="auto"/>
          <w:lang w:val="es-ES"/>
        </w:rPr>
        <w:t xml:space="preserve">ró </w:t>
      </w:r>
      <w:r w:rsidRPr="00CC2E51">
        <w:rPr>
          <w:color w:val="auto"/>
          <w:lang w:val="es-ES"/>
        </w:rPr>
        <w:t>el Plan de Ejecución del Proyecto</w:t>
      </w:r>
      <w:r w:rsidR="00A314ED" w:rsidRPr="00CC2E51">
        <w:rPr>
          <w:color w:val="auto"/>
          <w:lang w:val="es-ES"/>
        </w:rPr>
        <w:t xml:space="preserve"> (PEP)</w:t>
      </w:r>
      <w:r w:rsidRPr="00CC2E51">
        <w:rPr>
          <w:color w:val="auto"/>
          <w:lang w:val="es-ES"/>
        </w:rPr>
        <w:t>. Este contiene la especificación</w:t>
      </w:r>
      <w:r w:rsidR="004D4700" w:rsidRPr="00CC2E51">
        <w:rPr>
          <w:color w:val="auto"/>
          <w:lang w:val="es-ES"/>
        </w:rPr>
        <w:t>, costeo y programación</w:t>
      </w:r>
      <w:r w:rsidRPr="00CC2E51">
        <w:rPr>
          <w:color w:val="auto"/>
          <w:lang w:val="es-ES"/>
        </w:rPr>
        <w:t xml:space="preserve"> de </w:t>
      </w:r>
      <w:r w:rsidR="004D4700" w:rsidRPr="00CC2E51">
        <w:rPr>
          <w:color w:val="auto"/>
          <w:lang w:val="es-ES"/>
        </w:rPr>
        <w:t xml:space="preserve">todas </w:t>
      </w:r>
      <w:r w:rsidRPr="00CC2E51">
        <w:rPr>
          <w:color w:val="auto"/>
          <w:lang w:val="es-ES"/>
        </w:rPr>
        <w:t>l</w:t>
      </w:r>
      <w:r w:rsidR="00AA3988" w:rsidRPr="00CC2E51">
        <w:rPr>
          <w:color w:val="auto"/>
          <w:lang w:val="es-ES"/>
        </w:rPr>
        <w:t xml:space="preserve">as </w:t>
      </w:r>
      <w:r w:rsidR="004D4700" w:rsidRPr="00CC2E51">
        <w:rPr>
          <w:color w:val="auto"/>
          <w:lang w:val="es-ES"/>
        </w:rPr>
        <w:t xml:space="preserve">actividades y productos </w:t>
      </w:r>
      <w:r w:rsidR="00AA3988" w:rsidRPr="00CC2E51">
        <w:rPr>
          <w:color w:val="auto"/>
          <w:lang w:val="es-ES"/>
        </w:rPr>
        <w:t>de</w:t>
      </w:r>
      <w:r w:rsidR="00F909E7" w:rsidRPr="00CC2E51">
        <w:rPr>
          <w:color w:val="auto"/>
          <w:lang w:val="es-ES"/>
        </w:rPr>
        <w:t>l Proyecto durante su período de ejecución, para el logro de los objetivos del mismo</w:t>
      </w:r>
      <w:r w:rsidR="0026228A" w:rsidRPr="00CC2E51">
        <w:rPr>
          <w:color w:val="auto"/>
          <w:lang w:val="es-ES"/>
        </w:rPr>
        <w:t>.</w:t>
      </w:r>
      <w:r w:rsidR="00AA3988" w:rsidRPr="00CC2E51">
        <w:rPr>
          <w:color w:val="auto"/>
          <w:lang w:val="es-ES"/>
        </w:rPr>
        <w:t xml:space="preserve"> </w:t>
      </w:r>
      <w:r w:rsidR="0026228A" w:rsidRPr="00CC2E51">
        <w:rPr>
          <w:color w:val="auto"/>
          <w:lang w:val="es-ES"/>
        </w:rPr>
        <w:t>La versión anual del PEP se debe entender como un P</w:t>
      </w:r>
      <w:r w:rsidR="00C23CA9" w:rsidRPr="00CC2E51">
        <w:rPr>
          <w:color w:val="auto"/>
          <w:lang w:val="es-ES"/>
        </w:rPr>
        <w:t>lan Operativo Anual (P</w:t>
      </w:r>
      <w:r w:rsidR="0026228A" w:rsidRPr="00CC2E51">
        <w:rPr>
          <w:color w:val="auto"/>
          <w:lang w:val="es-ES"/>
        </w:rPr>
        <w:t>OA</w:t>
      </w:r>
      <w:r w:rsidR="00C23CA9" w:rsidRPr="00CC2E51">
        <w:rPr>
          <w:color w:val="auto"/>
          <w:lang w:val="es-ES"/>
        </w:rPr>
        <w:t>)</w:t>
      </w:r>
      <w:r w:rsidR="00741562" w:rsidRPr="00CC2E51">
        <w:rPr>
          <w:color w:val="auto"/>
          <w:lang w:val="es-ES"/>
        </w:rPr>
        <w:t xml:space="preserve"> </w:t>
      </w:r>
      <w:r w:rsidR="009C15DD" w:rsidRPr="00CC2E51">
        <w:rPr>
          <w:color w:val="auto"/>
          <w:lang w:val="es-ES"/>
        </w:rPr>
        <w:t>típico</w:t>
      </w:r>
      <w:r w:rsidR="0026228A" w:rsidRPr="00CC2E51">
        <w:rPr>
          <w:color w:val="auto"/>
          <w:lang w:val="es-ES"/>
        </w:rPr>
        <w:t xml:space="preserve">. </w:t>
      </w:r>
      <w:r w:rsidR="00F83F26" w:rsidRPr="00102936">
        <w:rPr>
          <w:color w:val="auto"/>
          <w:lang w:val="es-ES"/>
        </w:rPr>
        <w:t xml:space="preserve">La UTP </w:t>
      </w:r>
      <w:r w:rsidR="000911FA" w:rsidRPr="004964D2">
        <w:rPr>
          <w:color w:val="auto"/>
          <w:lang w:val="es-ES"/>
        </w:rPr>
        <w:t xml:space="preserve">será capacitada en el </w:t>
      </w:r>
      <w:r w:rsidR="00102936" w:rsidRPr="004964D2">
        <w:rPr>
          <w:color w:val="auto"/>
          <w:lang w:val="es-ES"/>
        </w:rPr>
        <w:t>manejo</w:t>
      </w:r>
      <w:r w:rsidR="000911FA" w:rsidRPr="004964D2">
        <w:rPr>
          <w:color w:val="auto"/>
          <w:lang w:val="es-ES"/>
        </w:rPr>
        <w:t xml:space="preserve"> del</w:t>
      </w:r>
      <w:r w:rsidR="00F83F26" w:rsidRPr="00102936">
        <w:rPr>
          <w:color w:val="auto"/>
          <w:lang w:val="es-ES"/>
        </w:rPr>
        <w:t xml:space="preserve"> </w:t>
      </w:r>
      <w:r w:rsidR="00453314" w:rsidRPr="00102936">
        <w:rPr>
          <w:color w:val="auto"/>
          <w:lang w:val="es-ES"/>
        </w:rPr>
        <w:t xml:space="preserve">MS </w:t>
      </w:r>
      <w:r w:rsidR="00F83F26" w:rsidRPr="00102936">
        <w:rPr>
          <w:color w:val="auto"/>
          <w:lang w:val="es-ES"/>
        </w:rPr>
        <w:t xml:space="preserve">PROJECT para llevar </w:t>
      </w:r>
      <w:r w:rsidR="00974DBE" w:rsidRPr="00102936">
        <w:rPr>
          <w:color w:val="auto"/>
          <w:lang w:val="es-ES"/>
        </w:rPr>
        <w:t xml:space="preserve">a </w:t>
      </w:r>
      <w:r w:rsidR="00F83F26" w:rsidRPr="00102936">
        <w:rPr>
          <w:color w:val="auto"/>
          <w:lang w:val="es-ES"/>
        </w:rPr>
        <w:t>cabo el seguimiento y actualización del PEP.</w:t>
      </w:r>
      <w:r w:rsidR="00CE46DE" w:rsidRPr="00102936">
        <w:rPr>
          <w:color w:val="auto"/>
          <w:lang w:val="es-ES"/>
        </w:rPr>
        <w:t xml:space="preserve"> A</w:t>
      </w:r>
      <w:r w:rsidR="00CE46DE" w:rsidRPr="00CC2E51">
        <w:rPr>
          <w:color w:val="auto"/>
          <w:lang w:val="es-ES"/>
        </w:rPr>
        <w:t xml:space="preserve"> inicios de cada año, el Banco </w:t>
      </w:r>
      <w:r w:rsidR="00AC5529" w:rsidRPr="00CC2E51">
        <w:rPr>
          <w:color w:val="auto"/>
          <w:lang w:val="es-ES"/>
        </w:rPr>
        <w:t xml:space="preserve">revisará </w:t>
      </w:r>
      <w:r w:rsidR="00CE46DE" w:rsidRPr="00CC2E51">
        <w:rPr>
          <w:color w:val="auto"/>
          <w:lang w:val="es-ES"/>
        </w:rPr>
        <w:t xml:space="preserve">y </w:t>
      </w:r>
      <w:r w:rsidR="00AC5529" w:rsidRPr="00CC2E51">
        <w:rPr>
          <w:color w:val="auto"/>
          <w:lang w:val="es-ES"/>
        </w:rPr>
        <w:t xml:space="preserve">acordará </w:t>
      </w:r>
      <w:r w:rsidR="00CE46DE" w:rsidRPr="00CC2E51">
        <w:rPr>
          <w:color w:val="auto"/>
          <w:lang w:val="es-ES"/>
        </w:rPr>
        <w:t xml:space="preserve">las actividades a incluirse dentro del PEP. </w:t>
      </w:r>
      <w:r w:rsidR="00B72C09" w:rsidRPr="00CC2E51">
        <w:rPr>
          <w:color w:val="auto"/>
          <w:lang w:val="es-ES"/>
        </w:rPr>
        <w:t>El PEP</w:t>
      </w:r>
      <w:r w:rsidR="009C15DD" w:rsidRPr="00CC2E51">
        <w:rPr>
          <w:color w:val="auto"/>
          <w:lang w:val="es-ES"/>
        </w:rPr>
        <w:t xml:space="preserve"> </w:t>
      </w:r>
      <w:r w:rsidR="00B72C09" w:rsidRPr="00CC2E51">
        <w:rPr>
          <w:color w:val="auto"/>
          <w:lang w:val="es-ES"/>
        </w:rPr>
        <w:t xml:space="preserve">será sometido semestralmente </w:t>
      </w:r>
      <w:r w:rsidR="009C15DD" w:rsidRPr="00CC2E51">
        <w:rPr>
          <w:color w:val="auto"/>
          <w:lang w:val="es-ES"/>
        </w:rPr>
        <w:t xml:space="preserve">al Banco </w:t>
      </w:r>
      <w:r w:rsidR="00B72C09" w:rsidRPr="00CC2E51">
        <w:rPr>
          <w:color w:val="auto"/>
          <w:lang w:val="es-ES"/>
        </w:rPr>
        <w:t>para no objeción de cualquier modificación realizada al documento.</w:t>
      </w:r>
      <w:r w:rsidR="008C6112" w:rsidRPr="00CC2E51">
        <w:rPr>
          <w:color w:val="auto"/>
          <w:lang w:val="es-ES"/>
        </w:rPr>
        <w:t xml:space="preserve"> </w:t>
      </w:r>
    </w:p>
    <w:p w:rsidR="005465BD" w:rsidRPr="00CC2E51" w:rsidRDefault="005465BD" w:rsidP="008A25B6">
      <w:pPr>
        <w:spacing w:after="0" w:line="240" w:lineRule="auto"/>
        <w:ind w:left="360"/>
        <w:jc w:val="both"/>
        <w:rPr>
          <w:rFonts w:ascii="Times New Roman" w:hAnsi="Times New Roman"/>
        </w:rPr>
      </w:pPr>
    </w:p>
    <w:p w:rsidR="00C75ECE" w:rsidRPr="00CC2E51" w:rsidRDefault="009F52D7" w:rsidP="008A25B6">
      <w:pPr>
        <w:pStyle w:val="Style1"/>
        <w:spacing w:line="240" w:lineRule="auto"/>
        <w:ind w:left="360"/>
        <w:rPr>
          <w:color w:val="auto"/>
          <w:lang w:val="es-ES"/>
        </w:rPr>
      </w:pPr>
      <w:r w:rsidRPr="00CC2E51">
        <w:rPr>
          <w:b/>
          <w:color w:val="auto"/>
          <w:lang w:val="es-ES"/>
        </w:rPr>
        <w:t xml:space="preserve">El </w:t>
      </w:r>
      <w:r w:rsidR="00A16B54" w:rsidRPr="00CC2E51">
        <w:rPr>
          <w:b/>
          <w:color w:val="auto"/>
          <w:lang w:val="es-ES"/>
        </w:rPr>
        <w:t>P</w:t>
      </w:r>
      <w:r w:rsidRPr="00CC2E51">
        <w:rPr>
          <w:b/>
          <w:color w:val="auto"/>
          <w:lang w:val="es-ES"/>
        </w:rPr>
        <w:t>lan de Adquisiciones</w:t>
      </w:r>
      <w:r w:rsidR="0096151A" w:rsidRPr="00CC2E51">
        <w:rPr>
          <w:b/>
          <w:color w:val="auto"/>
          <w:lang w:val="es-ES"/>
        </w:rPr>
        <w:t xml:space="preserve"> (PA)</w:t>
      </w:r>
      <w:r w:rsidRPr="00F758D2">
        <w:rPr>
          <w:b/>
          <w:color w:val="auto"/>
          <w:lang w:val="es-ES"/>
        </w:rPr>
        <w:t>:</w:t>
      </w:r>
      <w:r w:rsidR="00C75ECE" w:rsidRPr="00CC2E51">
        <w:rPr>
          <w:color w:val="auto"/>
          <w:lang w:val="es-ES"/>
        </w:rPr>
        <w:t xml:space="preserve"> </w:t>
      </w:r>
      <w:r w:rsidR="00793571" w:rsidRPr="00CC2E51">
        <w:rPr>
          <w:color w:val="auto"/>
          <w:lang w:val="es-ES"/>
        </w:rPr>
        <w:t xml:space="preserve">El </w:t>
      </w:r>
      <w:r w:rsidR="00C75ECE" w:rsidRPr="00CC2E51">
        <w:rPr>
          <w:color w:val="auto"/>
          <w:lang w:val="es-ES"/>
        </w:rPr>
        <w:t xml:space="preserve">Plan de </w:t>
      </w:r>
      <w:r w:rsidR="00B77783" w:rsidRPr="00CC2E51">
        <w:rPr>
          <w:color w:val="auto"/>
          <w:lang w:val="es-ES"/>
        </w:rPr>
        <w:t>Adquisiciones</w:t>
      </w:r>
      <w:r w:rsidR="00B82EBC" w:rsidRPr="00CC2E51">
        <w:rPr>
          <w:color w:val="auto"/>
          <w:lang w:val="es-ES"/>
        </w:rPr>
        <w:t xml:space="preserve"> (PA)</w:t>
      </w:r>
      <w:r w:rsidR="00C75ECE" w:rsidRPr="00CC2E51">
        <w:rPr>
          <w:color w:val="auto"/>
          <w:lang w:val="es-ES"/>
        </w:rPr>
        <w:t xml:space="preserve"> de la </w:t>
      </w:r>
      <w:r w:rsidR="00B77783" w:rsidRPr="00CC2E51">
        <w:rPr>
          <w:color w:val="auto"/>
          <w:lang w:val="es-ES"/>
        </w:rPr>
        <w:t>operación</w:t>
      </w:r>
      <w:r w:rsidR="00C75ECE" w:rsidRPr="00CC2E51">
        <w:rPr>
          <w:color w:val="auto"/>
          <w:lang w:val="es-ES"/>
        </w:rPr>
        <w:t xml:space="preserve"> </w:t>
      </w:r>
      <w:r w:rsidR="00B77783" w:rsidRPr="00CC2E51">
        <w:rPr>
          <w:color w:val="auto"/>
          <w:lang w:val="es-ES"/>
        </w:rPr>
        <w:t>será</w:t>
      </w:r>
      <w:r w:rsidR="00C75ECE" w:rsidRPr="00CC2E51">
        <w:rPr>
          <w:color w:val="auto"/>
          <w:lang w:val="es-ES"/>
        </w:rPr>
        <w:t xml:space="preserve"> actualizado trimestralmente</w:t>
      </w:r>
      <w:r w:rsidR="00B77783" w:rsidRPr="00CC2E51">
        <w:rPr>
          <w:color w:val="auto"/>
          <w:lang w:val="es-ES"/>
        </w:rPr>
        <w:t xml:space="preserve">. La UTP </w:t>
      </w:r>
      <w:r w:rsidR="00091434" w:rsidRPr="00CC2E51">
        <w:rPr>
          <w:color w:val="auto"/>
          <w:lang w:val="es-ES"/>
        </w:rPr>
        <w:t>deberá</w:t>
      </w:r>
      <w:r w:rsidR="00B77783" w:rsidRPr="00CC2E51">
        <w:rPr>
          <w:color w:val="auto"/>
          <w:lang w:val="es-ES"/>
        </w:rPr>
        <w:t xml:space="preserve"> enviar al Banco para no objeción</w:t>
      </w:r>
      <w:r w:rsidR="00C75ECE" w:rsidRPr="00CC2E51">
        <w:rPr>
          <w:color w:val="auto"/>
          <w:lang w:val="es-ES"/>
        </w:rPr>
        <w:t xml:space="preserve"> a </w:t>
      </w:r>
      <w:r w:rsidR="00B77783" w:rsidRPr="00CC2E51">
        <w:rPr>
          <w:color w:val="auto"/>
          <w:lang w:val="es-ES"/>
        </w:rPr>
        <w:t>través</w:t>
      </w:r>
      <w:r w:rsidR="00C75ECE" w:rsidRPr="00CC2E51">
        <w:rPr>
          <w:color w:val="auto"/>
          <w:lang w:val="es-ES"/>
        </w:rPr>
        <w:t xml:space="preserve"> del SEPA. </w:t>
      </w:r>
      <w:r w:rsidR="003E205C" w:rsidRPr="00CC2E51">
        <w:rPr>
          <w:color w:val="auto"/>
          <w:lang w:val="es-ES"/>
        </w:rPr>
        <w:t xml:space="preserve">El PA abarca </w:t>
      </w:r>
      <w:r w:rsidR="002B6A35" w:rsidRPr="00CC2E51">
        <w:rPr>
          <w:color w:val="auto"/>
          <w:lang w:val="es-ES"/>
        </w:rPr>
        <w:t xml:space="preserve">los </w:t>
      </w:r>
      <w:r w:rsidR="00A3316A">
        <w:rPr>
          <w:color w:val="auto"/>
          <w:lang w:val="es-ES"/>
        </w:rPr>
        <w:t>48</w:t>
      </w:r>
      <w:r w:rsidR="00C75ECE" w:rsidRPr="00CC2E51">
        <w:rPr>
          <w:color w:val="auto"/>
          <w:lang w:val="es-ES"/>
        </w:rPr>
        <w:t xml:space="preserve"> meses de ejecución del Programa y contiene: (i) los contratos de obras, bienes y servicios diferentes de </w:t>
      </w:r>
      <w:r w:rsidR="00974DBE" w:rsidRPr="00CC2E51">
        <w:rPr>
          <w:color w:val="auto"/>
          <w:lang w:val="es-ES"/>
        </w:rPr>
        <w:t>consulto</w:t>
      </w:r>
      <w:r w:rsidR="00091434" w:rsidRPr="00CC2E51">
        <w:rPr>
          <w:color w:val="auto"/>
          <w:lang w:val="es-ES"/>
        </w:rPr>
        <w:t>ría</w:t>
      </w:r>
      <w:r w:rsidR="00C75ECE" w:rsidRPr="00CC2E51">
        <w:rPr>
          <w:color w:val="auto"/>
          <w:lang w:val="es-ES"/>
        </w:rPr>
        <w:t xml:space="preserve">, los cuales </w:t>
      </w:r>
      <w:r w:rsidR="00091434" w:rsidRPr="00CC2E51">
        <w:rPr>
          <w:color w:val="auto"/>
          <w:lang w:val="es-ES"/>
        </w:rPr>
        <w:t>seguirán</w:t>
      </w:r>
      <w:r w:rsidR="00C75ECE" w:rsidRPr="00CC2E51">
        <w:rPr>
          <w:color w:val="auto"/>
          <w:lang w:val="es-ES"/>
        </w:rPr>
        <w:t xml:space="preserve"> las </w:t>
      </w:r>
      <w:r w:rsidR="00091434" w:rsidRPr="00CC2E51">
        <w:rPr>
          <w:color w:val="auto"/>
          <w:lang w:val="es-ES"/>
        </w:rPr>
        <w:t>políticas</w:t>
      </w:r>
      <w:r w:rsidR="00C75ECE" w:rsidRPr="00CC2E51">
        <w:rPr>
          <w:color w:val="auto"/>
          <w:lang w:val="es-ES"/>
        </w:rPr>
        <w:t xml:space="preserve"> del Banco (GN-2349-9</w:t>
      </w:r>
      <w:r w:rsidR="00974DBE" w:rsidRPr="00CC2E51">
        <w:rPr>
          <w:color w:val="auto"/>
          <w:lang w:val="es-ES"/>
        </w:rPr>
        <w:t>; GN-2350-9</w:t>
      </w:r>
      <w:r w:rsidR="00C75ECE" w:rsidRPr="00CC2E51">
        <w:rPr>
          <w:color w:val="auto"/>
          <w:lang w:val="es-ES"/>
        </w:rPr>
        <w:t>)</w:t>
      </w:r>
      <w:r w:rsidR="00A30CBC" w:rsidRPr="00CC2E51">
        <w:rPr>
          <w:color w:val="auto"/>
          <w:lang w:val="es-ES"/>
        </w:rPr>
        <w:t>; y</w:t>
      </w:r>
      <w:r w:rsidR="00C75ECE" w:rsidRPr="00CC2E51">
        <w:rPr>
          <w:color w:val="auto"/>
          <w:lang w:val="es-ES"/>
        </w:rPr>
        <w:t xml:space="preserve"> (ii) los contratos de servicios de </w:t>
      </w:r>
      <w:r w:rsidR="00974DBE" w:rsidRPr="00CC2E51">
        <w:rPr>
          <w:color w:val="auto"/>
          <w:lang w:val="es-ES"/>
        </w:rPr>
        <w:t>consulto</w:t>
      </w:r>
      <w:r w:rsidR="00091434" w:rsidRPr="00CC2E51">
        <w:rPr>
          <w:color w:val="auto"/>
          <w:lang w:val="es-ES"/>
        </w:rPr>
        <w:t>ría</w:t>
      </w:r>
      <w:r w:rsidR="00C75ECE" w:rsidRPr="00CC2E51">
        <w:rPr>
          <w:color w:val="auto"/>
          <w:lang w:val="es-ES"/>
        </w:rPr>
        <w:t xml:space="preserve">. </w:t>
      </w:r>
    </w:p>
    <w:p w:rsidR="000B4639" w:rsidRPr="00CC2E51" w:rsidRDefault="000B4639" w:rsidP="008A25B6">
      <w:pPr>
        <w:spacing w:after="0" w:line="240" w:lineRule="auto"/>
        <w:ind w:left="360"/>
        <w:jc w:val="both"/>
        <w:rPr>
          <w:rFonts w:ascii="Times New Roman" w:hAnsi="Times New Roman"/>
          <w:b/>
          <w:u w:val="single"/>
        </w:rPr>
      </w:pPr>
    </w:p>
    <w:p w:rsidR="00C75ECE" w:rsidRPr="007A228E" w:rsidRDefault="000B4639" w:rsidP="008A25B6">
      <w:pPr>
        <w:pStyle w:val="Style1"/>
        <w:spacing w:line="240" w:lineRule="auto"/>
        <w:ind w:left="360"/>
        <w:rPr>
          <w:color w:val="auto"/>
          <w:lang w:val="es-ES"/>
        </w:rPr>
      </w:pPr>
      <w:r w:rsidRPr="00CC2E51">
        <w:rPr>
          <w:b/>
          <w:color w:val="auto"/>
          <w:lang w:val="es-ES"/>
        </w:rPr>
        <w:t xml:space="preserve">Informe de </w:t>
      </w:r>
      <w:r w:rsidR="00444DBB" w:rsidRPr="00CC2E51">
        <w:rPr>
          <w:b/>
          <w:color w:val="auto"/>
          <w:lang w:val="es-ES"/>
        </w:rPr>
        <w:t xml:space="preserve">Monitoreo </w:t>
      </w:r>
      <w:r w:rsidRPr="00CC2E51">
        <w:rPr>
          <w:b/>
          <w:color w:val="auto"/>
          <w:lang w:val="es-ES"/>
        </w:rPr>
        <w:t xml:space="preserve">del </w:t>
      </w:r>
      <w:r w:rsidR="00444DBB" w:rsidRPr="00CC2E51">
        <w:rPr>
          <w:b/>
          <w:color w:val="auto"/>
          <w:lang w:val="es-ES"/>
        </w:rPr>
        <w:t xml:space="preserve">Progreso </w:t>
      </w:r>
      <w:r w:rsidRPr="00CC2E51">
        <w:rPr>
          <w:b/>
          <w:color w:val="auto"/>
          <w:lang w:val="es-ES"/>
        </w:rPr>
        <w:t>(PMR)</w:t>
      </w:r>
      <w:r w:rsidRPr="00F758D2">
        <w:rPr>
          <w:b/>
          <w:color w:val="auto"/>
          <w:lang w:val="es-ES"/>
        </w:rPr>
        <w:t>:</w:t>
      </w:r>
      <w:r w:rsidRPr="00CC2E51">
        <w:rPr>
          <w:color w:val="auto"/>
          <w:lang w:val="es-ES"/>
        </w:rPr>
        <w:t xml:space="preserve"> El desarrollo de la actividad de seguimiento está </w:t>
      </w:r>
      <w:r w:rsidR="0088738B" w:rsidRPr="00CC2E51">
        <w:rPr>
          <w:color w:val="auto"/>
          <w:lang w:val="es-ES"/>
        </w:rPr>
        <w:t>íntegramente asociada</w:t>
      </w:r>
      <w:r w:rsidRPr="00CC2E51">
        <w:rPr>
          <w:color w:val="auto"/>
          <w:lang w:val="es-ES"/>
        </w:rPr>
        <w:t xml:space="preserve"> con las metas propuestas en la Matriz de Resultados del</w:t>
      </w:r>
      <w:r w:rsidR="00C131DF" w:rsidRPr="00CC2E51">
        <w:rPr>
          <w:color w:val="auto"/>
          <w:lang w:val="es-ES"/>
        </w:rPr>
        <w:t xml:space="preserve"> Proyecto</w:t>
      </w:r>
      <w:r w:rsidRPr="00CC2E51">
        <w:rPr>
          <w:color w:val="auto"/>
          <w:lang w:val="es-ES"/>
        </w:rPr>
        <w:t xml:space="preserve"> y las actividades establecidas en el PMR. La </w:t>
      </w:r>
      <w:r w:rsidR="00FD0563" w:rsidRPr="00CC2E51">
        <w:rPr>
          <w:color w:val="auto"/>
          <w:lang w:val="es-ES"/>
        </w:rPr>
        <w:t>M</w:t>
      </w:r>
      <w:r w:rsidRPr="00CC2E51">
        <w:rPr>
          <w:color w:val="auto"/>
          <w:lang w:val="es-ES"/>
        </w:rPr>
        <w:t xml:space="preserve">atriz de </w:t>
      </w:r>
      <w:r w:rsidR="00FD0563" w:rsidRPr="00CC2E51">
        <w:rPr>
          <w:color w:val="auto"/>
          <w:lang w:val="es-ES"/>
        </w:rPr>
        <w:t>R</w:t>
      </w:r>
      <w:r w:rsidRPr="00CC2E51">
        <w:rPr>
          <w:color w:val="auto"/>
          <w:lang w:val="es-ES"/>
        </w:rPr>
        <w:t xml:space="preserve">esultados incluye indicadores </w:t>
      </w:r>
      <w:r w:rsidR="00AB44AA" w:rsidRPr="00CC2E51">
        <w:rPr>
          <w:color w:val="auto"/>
          <w:lang w:val="es-ES"/>
        </w:rPr>
        <w:t>relacionados con los</w:t>
      </w:r>
      <w:r w:rsidRPr="00CC2E51">
        <w:rPr>
          <w:color w:val="auto"/>
          <w:lang w:val="es-ES"/>
        </w:rPr>
        <w:t xml:space="preserve"> resultados últimos esperados (indicadores de impacto), con resultados intermedios (indicadores de efectos) y con</w:t>
      </w:r>
      <w:r w:rsidR="00E30C06" w:rsidRPr="00CC2E51">
        <w:rPr>
          <w:color w:val="auto"/>
          <w:lang w:val="es-ES"/>
        </w:rPr>
        <w:t xml:space="preserve"> las</w:t>
      </w:r>
      <w:r w:rsidRPr="00CC2E51">
        <w:rPr>
          <w:color w:val="auto"/>
          <w:lang w:val="es-ES"/>
        </w:rPr>
        <w:t xml:space="preserve"> actividades/procesos (indicadores de productos y resultados) que se ejecutarán durante el desarrollo del programa. Estas actividades se reflejarán en el PMR como herramienta que integra la información de metas a corto y mediano plazo, el </w:t>
      </w:r>
      <w:r w:rsidR="006B4E91" w:rsidRPr="00CC2E51">
        <w:rPr>
          <w:color w:val="auto"/>
          <w:lang w:val="es-ES"/>
        </w:rPr>
        <w:t>P</w:t>
      </w:r>
      <w:r w:rsidRPr="00CC2E51">
        <w:rPr>
          <w:color w:val="auto"/>
          <w:lang w:val="es-ES"/>
        </w:rPr>
        <w:t xml:space="preserve">lan de </w:t>
      </w:r>
      <w:r w:rsidR="006B4E91" w:rsidRPr="00CC2E51">
        <w:rPr>
          <w:color w:val="auto"/>
          <w:lang w:val="es-ES"/>
        </w:rPr>
        <w:t>A</w:t>
      </w:r>
      <w:r w:rsidRPr="00CC2E51">
        <w:rPr>
          <w:color w:val="auto"/>
          <w:lang w:val="es-ES"/>
        </w:rPr>
        <w:t>dquisiciones y los recursos</w:t>
      </w:r>
      <w:r w:rsidR="0007281F" w:rsidRPr="00CC2E51">
        <w:rPr>
          <w:color w:val="auto"/>
          <w:lang w:val="es-ES"/>
        </w:rPr>
        <w:t xml:space="preserve"> </w:t>
      </w:r>
      <w:r w:rsidR="0007281F" w:rsidRPr="007A228E">
        <w:rPr>
          <w:color w:val="auto"/>
          <w:lang w:val="es-ES"/>
        </w:rPr>
        <w:t>ejecutados</w:t>
      </w:r>
      <w:r w:rsidRPr="007A228E">
        <w:rPr>
          <w:color w:val="auto"/>
          <w:lang w:val="es-ES"/>
        </w:rPr>
        <w:t>.</w:t>
      </w:r>
      <w:r w:rsidR="002B2715" w:rsidRPr="007A228E">
        <w:rPr>
          <w:color w:val="auto"/>
          <w:lang w:val="es-ES"/>
        </w:rPr>
        <w:t xml:space="preserve"> El </w:t>
      </w:r>
      <w:r w:rsidR="00A16EB3" w:rsidRPr="007A228E">
        <w:rPr>
          <w:color w:val="auto"/>
          <w:lang w:val="es-ES"/>
        </w:rPr>
        <w:t xml:space="preserve">MSP </w:t>
      </w:r>
      <w:r w:rsidR="002B2715" w:rsidRPr="007A228E">
        <w:rPr>
          <w:color w:val="auto"/>
          <w:lang w:val="es-ES"/>
        </w:rPr>
        <w:t>debe</w:t>
      </w:r>
      <w:r w:rsidR="00C109F0" w:rsidRPr="007A228E">
        <w:rPr>
          <w:color w:val="auto"/>
          <w:lang w:val="es-ES"/>
        </w:rPr>
        <w:t xml:space="preserve">rá </w:t>
      </w:r>
      <w:r w:rsidR="002B2715" w:rsidRPr="007A228E">
        <w:rPr>
          <w:color w:val="auto"/>
          <w:lang w:val="es-ES"/>
        </w:rPr>
        <w:t>presentar una actualización de la información del PMR a más tardar la primera semana de Septiembre y la primera semana de Febrero</w:t>
      </w:r>
      <w:r w:rsidR="00C109F0" w:rsidRPr="007A228E">
        <w:rPr>
          <w:color w:val="auto"/>
          <w:lang w:val="es-ES"/>
        </w:rPr>
        <w:t xml:space="preserve"> </w:t>
      </w:r>
      <w:r w:rsidR="002B2715" w:rsidRPr="007A228E">
        <w:rPr>
          <w:color w:val="auto"/>
          <w:lang w:val="es-ES"/>
        </w:rPr>
        <w:t>de cada año que el programa se encuentre en ejecución.</w:t>
      </w:r>
    </w:p>
    <w:p w:rsidR="000B4639" w:rsidRPr="00CC2E51" w:rsidRDefault="000B4639" w:rsidP="008A25B6">
      <w:pPr>
        <w:spacing w:after="0" w:line="240" w:lineRule="auto"/>
        <w:ind w:left="360"/>
        <w:jc w:val="both"/>
        <w:rPr>
          <w:rFonts w:ascii="Times New Roman" w:hAnsi="Times New Roman"/>
          <w:b/>
        </w:rPr>
      </w:pPr>
    </w:p>
    <w:p w:rsidR="009F52D7" w:rsidRPr="00CC2E51" w:rsidRDefault="000B4639" w:rsidP="008A25B6">
      <w:pPr>
        <w:pStyle w:val="Style1"/>
        <w:spacing w:line="240" w:lineRule="auto"/>
        <w:ind w:left="360"/>
        <w:rPr>
          <w:color w:val="auto"/>
          <w:lang w:val="es-ES"/>
        </w:rPr>
      </w:pPr>
      <w:r w:rsidRPr="00CC2E51">
        <w:rPr>
          <w:b/>
          <w:color w:val="auto"/>
          <w:lang w:val="es-ES"/>
        </w:rPr>
        <w:t>Informe de Revisión del Préstamo (LRR)</w:t>
      </w:r>
      <w:r w:rsidRPr="00F758D2">
        <w:rPr>
          <w:b/>
          <w:color w:val="auto"/>
          <w:lang w:val="es-ES"/>
        </w:rPr>
        <w:t>:</w:t>
      </w:r>
      <w:r w:rsidRPr="00CC2E51">
        <w:rPr>
          <w:color w:val="auto"/>
          <w:lang w:val="es-ES"/>
        </w:rPr>
        <w:t xml:space="preserve"> A ser elaborado por el equipo del proyecto </w:t>
      </w:r>
      <w:r w:rsidR="00B66F13" w:rsidRPr="00CC2E51">
        <w:rPr>
          <w:color w:val="auto"/>
          <w:lang w:val="es-ES"/>
        </w:rPr>
        <w:t xml:space="preserve">del BID </w:t>
      </w:r>
      <w:r w:rsidRPr="00CC2E51">
        <w:rPr>
          <w:color w:val="auto"/>
          <w:lang w:val="es-ES"/>
        </w:rPr>
        <w:t xml:space="preserve">a los 18 meses del inicio de la ejecución del Programa, con </w:t>
      </w:r>
      <w:r w:rsidR="004D2B38" w:rsidRPr="00CC2E51">
        <w:rPr>
          <w:color w:val="auto"/>
          <w:lang w:val="es-ES"/>
        </w:rPr>
        <w:t xml:space="preserve">base en los </w:t>
      </w:r>
      <w:r w:rsidR="009A6555" w:rsidRPr="00CC2E51">
        <w:rPr>
          <w:color w:val="auto"/>
          <w:lang w:val="es-ES"/>
        </w:rPr>
        <w:t>I</w:t>
      </w:r>
      <w:r w:rsidR="004D2B38" w:rsidRPr="00CC2E51">
        <w:rPr>
          <w:color w:val="auto"/>
          <w:lang w:val="es-ES"/>
        </w:rPr>
        <w:t>nformes de Status Actual</w:t>
      </w:r>
      <w:r w:rsidRPr="00CC2E51">
        <w:rPr>
          <w:color w:val="auto"/>
          <w:lang w:val="es-ES"/>
        </w:rPr>
        <w:t xml:space="preserve">. </w:t>
      </w:r>
    </w:p>
    <w:p w:rsidR="000B4639" w:rsidRPr="00CC2E51" w:rsidRDefault="000B4639" w:rsidP="008A25B6">
      <w:pPr>
        <w:spacing w:after="0" w:line="240" w:lineRule="auto"/>
        <w:ind w:left="360"/>
        <w:jc w:val="both"/>
        <w:rPr>
          <w:rFonts w:ascii="Times New Roman" w:hAnsi="Times New Roman"/>
          <w:b/>
        </w:rPr>
      </w:pPr>
    </w:p>
    <w:p w:rsidR="000B4639" w:rsidRPr="00CC2E51" w:rsidRDefault="000B4639" w:rsidP="008A25B6">
      <w:pPr>
        <w:pStyle w:val="Style1"/>
        <w:spacing w:line="240" w:lineRule="auto"/>
        <w:ind w:left="360"/>
        <w:rPr>
          <w:color w:val="auto"/>
          <w:lang w:val="es-ES"/>
        </w:rPr>
      </w:pPr>
      <w:r w:rsidRPr="00CC2E51">
        <w:rPr>
          <w:b/>
          <w:color w:val="auto"/>
          <w:lang w:val="es-ES"/>
        </w:rPr>
        <w:t xml:space="preserve">Informe de </w:t>
      </w:r>
      <w:r w:rsidR="00444DBB" w:rsidRPr="00CC2E51">
        <w:rPr>
          <w:b/>
          <w:color w:val="auto"/>
          <w:lang w:val="es-ES"/>
        </w:rPr>
        <w:t xml:space="preserve">Monitoreo </w:t>
      </w:r>
      <w:r w:rsidRPr="00CC2E51">
        <w:rPr>
          <w:b/>
          <w:color w:val="auto"/>
          <w:lang w:val="es-ES"/>
        </w:rPr>
        <w:t xml:space="preserve">del </w:t>
      </w:r>
      <w:r w:rsidR="00444DBB" w:rsidRPr="00CC2E51">
        <w:rPr>
          <w:b/>
          <w:color w:val="auto"/>
          <w:lang w:val="es-ES"/>
        </w:rPr>
        <w:t xml:space="preserve">Progreso </w:t>
      </w:r>
      <w:r w:rsidRPr="00CC2E51">
        <w:rPr>
          <w:b/>
          <w:color w:val="auto"/>
          <w:lang w:val="es-ES"/>
        </w:rPr>
        <w:t>Expandido (XPMR)</w:t>
      </w:r>
      <w:r w:rsidRPr="00F758D2">
        <w:rPr>
          <w:b/>
          <w:color w:val="auto"/>
          <w:lang w:val="es-ES"/>
        </w:rPr>
        <w:t>:</w:t>
      </w:r>
      <w:r w:rsidRPr="00CC2E51">
        <w:rPr>
          <w:color w:val="auto"/>
          <w:lang w:val="es-ES"/>
        </w:rPr>
        <w:t xml:space="preserve"> Al cierre del proyecto el equipo del Banco </w:t>
      </w:r>
      <w:r w:rsidR="005750E2" w:rsidRPr="00CC2E51">
        <w:rPr>
          <w:color w:val="auto"/>
          <w:lang w:val="es-ES"/>
        </w:rPr>
        <w:t xml:space="preserve">elaborará </w:t>
      </w:r>
      <w:r w:rsidRPr="00CC2E51">
        <w:rPr>
          <w:color w:val="auto"/>
          <w:lang w:val="es-ES"/>
        </w:rPr>
        <w:t xml:space="preserve">el documento XPMR, con una evaluación ampliada de los progresos de los indicadores establecidos en la </w:t>
      </w:r>
      <w:r w:rsidR="00B313AB" w:rsidRPr="00CC2E51">
        <w:rPr>
          <w:color w:val="auto"/>
          <w:lang w:val="es-ES"/>
        </w:rPr>
        <w:t>M</w:t>
      </w:r>
      <w:r w:rsidRPr="00CC2E51">
        <w:rPr>
          <w:color w:val="auto"/>
          <w:lang w:val="es-ES"/>
        </w:rPr>
        <w:t xml:space="preserve">atriz de </w:t>
      </w:r>
      <w:r w:rsidR="00B313AB" w:rsidRPr="00CC2E51">
        <w:rPr>
          <w:color w:val="auto"/>
          <w:lang w:val="es-ES"/>
        </w:rPr>
        <w:t>R</w:t>
      </w:r>
      <w:r w:rsidRPr="00CC2E51">
        <w:rPr>
          <w:color w:val="auto"/>
          <w:lang w:val="es-ES"/>
        </w:rPr>
        <w:t>esultados</w:t>
      </w:r>
      <w:r w:rsidR="006C6B63" w:rsidRPr="00CC2E51">
        <w:rPr>
          <w:color w:val="auto"/>
          <w:lang w:val="es-ES"/>
        </w:rPr>
        <w:t xml:space="preserve"> durante el ciclo de vida de la operación.</w:t>
      </w:r>
    </w:p>
    <w:p w:rsidR="00B66F13" w:rsidRPr="00CC2E51" w:rsidRDefault="00B66F13" w:rsidP="00B66F13">
      <w:pPr>
        <w:pStyle w:val="ListParagraph"/>
        <w:rPr>
          <w:lang w:val="es-ES"/>
        </w:rPr>
      </w:pPr>
    </w:p>
    <w:p w:rsidR="00B66F13" w:rsidRPr="00CC2E51" w:rsidRDefault="00B66F13" w:rsidP="008A25B6">
      <w:pPr>
        <w:pStyle w:val="Style1"/>
        <w:spacing w:line="240" w:lineRule="auto"/>
        <w:ind w:left="360"/>
        <w:rPr>
          <w:color w:val="auto"/>
          <w:lang w:val="es-ES"/>
        </w:rPr>
      </w:pPr>
      <w:r w:rsidRPr="00CC2E51">
        <w:rPr>
          <w:b/>
          <w:color w:val="auto"/>
          <w:lang w:val="es-ES"/>
        </w:rPr>
        <w:t xml:space="preserve">Informe de </w:t>
      </w:r>
      <w:r w:rsidR="00974DBE" w:rsidRPr="00CC2E51">
        <w:rPr>
          <w:b/>
          <w:color w:val="auto"/>
          <w:lang w:val="es-ES"/>
        </w:rPr>
        <w:t>auditoría</w:t>
      </w:r>
      <w:r w:rsidR="007E5C05">
        <w:rPr>
          <w:b/>
          <w:color w:val="auto"/>
          <w:lang w:val="es-ES"/>
        </w:rPr>
        <w:t xml:space="preserve">: </w:t>
      </w:r>
      <w:r w:rsidR="00974DBE" w:rsidRPr="007E5C05">
        <w:rPr>
          <w:color w:val="auto"/>
          <w:lang w:val="es-ES"/>
        </w:rPr>
        <w:t>El organismo ejecutor</w:t>
      </w:r>
      <w:r w:rsidR="00C109F0" w:rsidRPr="007E5C05">
        <w:rPr>
          <w:color w:val="auto"/>
          <w:lang w:val="es-ES"/>
        </w:rPr>
        <w:t xml:space="preserve">, a través de la UTP, </w:t>
      </w:r>
      <w:r w:rsidRPr="007E5C05">
        <w:rPr>
          <w:color w:val="auto"/>
          <w:lang w:val="es-ES"/>
        </w:rPr>
        <w:t xml:space="preserve">presentará al Banco: </w:t>
      </w:r>
      <w:r w:rsidR="00555EC4" w:rsidRPr="007E5C05">
        <w:rPr>
          <w:color w:val="auto"/>
          <w:lang w:val="es-ES"/>
        </w:rPr>
        <w:t xml:space="preserve">(i) estados </w:t>
      </w:r>
      <w:r w:rsidR="00555EC4" w:rsidRPr="007A228E">
        <w:rPr>
          <w:color w:val="auto"/>
          <w:lang w:val="es-ES"/>
        </w:rPr>
        <w:t xml:space="preserve">financieros auditados intermedios al 30 de Junio de cada </w:t>
      </w:r>
      <w:r w:rsidR="00974DBE" w:rsidRPr="007A228E">
        <w:rPr>
          <w:color w:val="auto"/>
          <w:lang w:val="es-ES"/>
        </w:rPr>
        <w:t>año</w:t>
      </w:r>
      <w:r w:rsidR="00555EC4" w:rsidRPr="007A228E">
        <w:rPr>
          <w:color w:val="auto"/>
          <w:lang w:val="es-ES"/>
        </w:rPr>
        <w:t xml:space="preserve"> de ejecución del proyecto </w:t>
      </w:r>
      <w:r w:rsidRPr="007A228E">
        <w:rPr>
          <w:color w:val="auto"/>
          <w:lang w:val="es-ES"/>
        </w:rPr>
        <w:t>(</w:t>
      </w:r>
      <w:r w:rsidR="00555EC4" w:rsidRPr="007A228E">
        <w:rPr>
          <w:color w:val="auto"/>
          <w:lang w:val="es-ES"/>
        </w:rPr>
        <w:t>i</w:t>
      </w:r>
      <w:r w:rsidRPr="007A228E">
        <w:rPr>
          <w:color w:val="auto"/>
          <w:lang w:val="es-ES"/>
        </w:rPr>
        <w:t>i) estados</w:t>
      </w:r>
      <w:r w:rsidRPr="007E5C05">
        <w:rPr>
          <w:color w:val="auto"/>
          <w:lang w:val="es-ES"/>
        </w:rPr>
        <w:t xml:space="preserve"> financieros auditados anuales del proyecto, dentro de los 120 días del cierre del ejercic</w:t>
      </w:r>
      <w:r w:rsidR="00974DBE" w:rsidRPr="007E5C05">
        <w:rPr>
          <w:color w:val="auto"/>
          <w:lang w:val="es-ES"/>
        </w:rPr>
        <w:t>io fiscal del organismo ejecutor</w:t>
      </w:r>
      <w:r w:rsidRPr="007E5C05">
        <w:rPr>
          <w:color w:val="auto"/>
          <w:lang w:val="es-ES"/>
        </w:rPr>
        <w:t>; y (ii</w:t>
      </w:r>
      <w:r w:rsidR="00555EC4" w:rsidRPr="007E5C05">
        <w:rPr>
          <w:color w:val="auto"/>
          <w:lang w:val="es-ES"/>
        </w:rPr>
        <w:t>i</w:t>
      </w:r>
      <w:r w:rsidRPr="007E5C05">
        <w:rPr>
          <w:color w:val="auto"/>
          <w:lang w:val="es-ES"/>
        </w:rPr>
        <w:t>) estados financieros auditados finales del Proyecto, dentro de los 120 días siguientes al último desembolso. Las auditorías serán realizadas por una firma de auditores independientes aceptables al Banco.</w:t>
      </w:r>
    </w:p>
    <w:p w:rsidR="003466DF" w:rsidRPr="00CC2E51" w:rsidRDefault="003466DF" w:rsidP="008A25B6">
      <w:pPr>
        <w:spacing w:after="0" w:line="240" w:lineRule="auto"/>
        <w:ind w:left="360"/>
        <w:jc w:val="both"/>
        <w:rPr>
          <w:rFonts w:ascii="Times New Roman" w:eastAsia="Times New Roman" w:hAnsi="Times New Roman"/>
        </w:rPr>
      </w:pPr>
    </w:p>
    <w:p w:rsidR="009219F4" w:rsidRPr="00CC2E51" w:rsidRDefault="009219F4" w:rsidP="008A25B6">
      <w:pPr>
        <w:spacing w:after="0" w:line="240" w:lineRule="auto"/>
        <w:jc w:val="both"/>
        <w:rPr>
          <w:rFonts w:ascii="Times New Roman" w:hAnsi="Times New Roman"/>
        </w:rPr>
      </w:pPr>
    </w:p>
    <w:p w:rsidR="009219F4" w:rsidRPr="00CC2E51" w:rsidRDefault="009219F4" w:rsidP="008A25B6">
      <w:pPr>
        <w:spacing w:after="0" w:line="240" w:lineRule="auto"/>
        <w:jc w:val="both"/>
        <w:rPr>
          <w:rFonts w:ascii="Times New Roman" w:hAnsi="Times New Roman"/>
        </w:rPr>
      </w:pPr>
    </w:p>
    <w:p w:rsidR="000D0889" w:rsidRPr="00CC2E51" w:rsidRDefault="000D0889" w:rsidP="008A25B6">
      <w:pPr>
        <w:pStyle w:val="ColorfulList-Accent11"/>
        <w:spacing w:after="0" w:line="240" w:lineRule="auto"/>
        <w:rPr>
          <w:rFonts w:ascii="Times New Roman" w:hAnsi="Times New Roman"/>
        </w:rPr>
        <w:sectPr w:rsidR="000D0889" w:rsidRPr="00CC2E51" w:rsidSect="001421E3">
          <w:pgSz w:w="12240" w:h="15840"/>
          <w:pgMar w:top="1440" w:right="1627" w:bottom="1440" w:left="1440" w:header="720" w:footer="720" w:gutter="0"/>
          <w:cols w:space="720"/>
          <w:docGrid w:linePitch="360"/>
        </w:sectPr>
      </w:pPr>
    </w:p>
    <w:p w:rsidR="000D0889" w:rsidRPr="008F2EEC" w:rsidRDefault="009860E4" w:rsidP="008F2EEC">
      <w:pPr>
        <w:pStyle w:val="ColorfulList-Accent11"/>
        <w:numPr>
          <w:ilvl w:val="1"/>
          <w:numId w:val="2"/>
        </w:numPr>
        <w:spacing w:after="0" w:line="240" w:lineRule="auto"/>
        <w:jc w:val="both"/>
        <w:rPr>
          <w:rFonts w:ascii="Times New Roman" w:hAnsi="Times New Roman"/>
          <w:b/>
        </w:rPr>
      </w:pPr>
      <w:r w:rsidRPr="008F2EEC">
        <w:rPr>
          <w:rFonts w:ascii="Times New Roman" w:hAnsi="Times New Roman"/>
          <w:b/>
        </w:rPr>
        <w:t>Plan de trabajo y presupuesto para el monitoreo</w:t>
      </w:r>
    </w:p>
    <w:p w:rsidR="009A20DF" w:rsidRPr="00CC2E51" w:rsidRDefault="009A20DF" w:rsidP="008A25B6">
      <w:pPr>
        <w:pStyle w:val="ColorfulList-Accent11"/>
        <w:spacing w:after="0" w:line="240" w:lineRule="auto"/>
        <w:rPr>
          <w:rFonts w:ascii="Times New Roman" w:hAnsi="Times New Roman"/>
          <w:b/>
          <w:szCs w:val="20"/>
        </w:rPr>
      </w:pPr>
    </w:p>
    <w:p w:rsidR="001B5186" w:rsidRPr="004169FF" w:rsidRDefault="009860E4" w:rsidP="008A25B6">
      <w:pPr>
        <w:spacing w:after="0" w:line="240" w:lineRule="auto"/>
        <w:jc w:val="center"/>
        <w:rPr>
          <w:rFonts w:ascii="Times New Roman" w:hAnsi="Times New Roman"/>
          <w:b/>
          <w:sz w:val="20"/>
          <w:szCs w:val="20"/>
        </w:rPr>
      </w:pPr>
      <w:r w:rsidRPr="004169FF">
        <w:rPr>
          <w:rFonts w:ascii="Times New Roman" w:hAnsi="Times New Roman"/>
          <w:b/>
          <w:sz w:val="20"/>
          <w:szCs w:val="20"/>
        </w:rPr>
        <w:t>Tabla 2</w:t>
      </w:r>
    </w:p>
    <w:p w:rsidR="001B5186" w:rsidRPr="00CC2E51" w:rsidRDefault="009860E4" w:rsidP="008A25B6">
      <w:pPr>
        <w:spacing w:after="0" w:line="240" w:lineRule="auto"/>
        <w:jc w:val="center"/>
        <w:rPr>
          <w:rFonts w:ascii="Times New Roman" w:hAnsi="Times New Roman"/>
          <w:b/>
          <w:sz w:val="20"/>
          <w:szCs w:val="20"/>
        </w:rPr>
      </w:pPr>
      <w:r w:rsidRPr="004169FF">
        <w:rPr>
          <w:rFonts w:ascii="Times New Roman" w:hAnsi="Times New Roman"/>
          <w:b/>
          <w:sz w:val="20"/>
          <w:szCs w:val="20"/>
        </w:rPr>
        <w:t>Plan de trabajo para el monitoreo</w:t>
      </w:r>
    </w:p>
    <w:p w:rsidR="001B5186" w:rsidRPr="00CC2E51" w:rsidRDefault="001B5186" w:rsidP="008A25B6">
      <w:pPr>
        <w:spacing w:after="0" w:line="240" w:lineRule="auto"/>
        <w:jc w:val="both"/>
        <w:rPr>
          <w:rFonts w:ascii="Times New Roman" w:hAnsi="Times New Roman"/>
          <w:b/>
        </w:rPr>
      </w:pPr>
    </w:p>
    <w:tbl>
      <w:tblPr>
        <w:tblW w:w="1377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05"/>
        <w:gridCol w:w="505"/>
        <w:gridCol w:w="460"/>
        <w:gridCol w:w="450"/>
        <w:gridCol w:w="450"/>
        <w:gridCol w:w="360"/>
        <w:gridCol w:w="450"/>
        <w:gridCol w:w="450"/>
        <w:gridCol w:w="450"/>
        <w:gridCol w:w="450"/>
        <w:gridCol w:w="540"/>
        <w:gridCol w:w="450"/>
        <w:gridCol w:w="450"/>
        <w:gridCol w:w="1710"/>
        <w:gridCol w:w="1170"/>
        <w:gridCol w:w="1620"/>
      </w:tblGrid>
      <w:tr w:rsidR="0015568F" w:rsidRPr="00866213" w:rsidTr="008F2EEC">
        <w:tc>
          <w:tcPr>
            <w:tcW w:w="3805" w:type="dxa"/>
            <w:vMerge w:val="restart"/>
          </w:tcPr>
          <w:p w:rsidR="006D2D02" w:rsidRPr="00CC2E51" w:rsidRDefault="006D2D02"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Principales instrumentos/actividades para el monitoreo</w:t>
            </w:r>
          </w:p>
        </w:tc>
        <w:tc>
          <w:tcPr>
            <w:tcW w:w="1865" w:type="dxa"/>
            <w:gridSpan w:val="4"/>
            <w:shd w:val="clear" w:color="auto" w:fill="auto"/>
          </w:tcPr>
          <w:p w:rsidR="006D2D02" w:rsidRPr="00CC2E51" w:rsidRDefault="008B34B4"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2014</w:t>
            </w:r>
          </w:p>
        </w:tc>
        <w:tc>
          <w:tcPr>
            <w:tcW w:w="1710" w:type="dxa"/>
            <w:gridSpan w:val="4"/>
            <w:shd w:val="clear" w:color="auto" w:fill="auto"/>
          </w:tcPr>
          <w:p w:rsidR="006D2D02" w:rsidRPr="00CC2E51" w:rsidRDefault="008B34B4"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2015</w:t>
            </w:r>
          </w:p>
        </w:tc>
        <w:tc>
          <w:tcPr>
            <w:tcW w:w="1890" w:type="dxa"/>
            <w:gridSpan w:val="4"/>
          </w:tcPr>
          <w:p w:rsidR="006D2D02" w:rsidRPr="00CC2E51" w:rsidRDefault="008B34B4"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2016</w:t>
            </w:r>
          </w:p>
        </w:tc>
        <w:tc>
          <w:tcPr>
            <w:tcW w:w="1710" w:type="dxa"/>
            <w:vMerge w:val="restart"/>
          </w:tcPr>
          <w:p w:rsidR="006D2D02" w:rsidRPr="00CC2E51" w:rsidRDefault="006D2D02"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Responsable</w:t>
            </w:r>
          </w:p>
        </w:tc>
        <w:tc>
          <w:tcPr>
            <w:tcW w:w="1170" w:type="dxa"/>
            <w:vMerge w:val="restart"/>
          </w:tcPr>
          <w:p w:rsidR="006D2D02" w:rsidRPr="00CC2E51" w:rsidRDefault="006D2D02"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Costo</w:t>
            </w:r>
          </w:p>
          <w:p w:rsidR="006D2D02" w:rsidRPr="00CC2E51" w:rsidRDefault="006D2D02"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(US$)</w:t>
            </w:r>
          </w:p>
        </w:tc>
        <w:tc>
          <w:tcPr>
            <w:tcW w:w="1620" w:type="dxa"/>
            <w:vMerge w:val="restart"/>
          </w:tcPr>
          <w:p w:rsidR="006D2D02" w:rsidRPr="00CC2E51" w:rsidRDefault="006D2D02" w:rsidP="008A25B6">
            <w:pPr>
              <w:spacing w:after="0" w:line="240" w:lineRule="auto"/>
              <w:jc w:val="center"/>
              <w:rPr>
                <w:rFonts w:ascii="Times New Roman" w:hAnsi="Times New Roman"/>
                <w:b/>
                <w:sz w:val="20"/>
                <w:szCs w:val="18"/>
              </w:rPr>
            </w:pPr>
            <w:r w:rsidRPr="00CC2E51">
              <w:rPr>
                <w:rFonts w:ascii="Times New Roman" w:hAnsi="Times New Roman"/>
                <w:b/>
                <w:sz w:val="20"/>
                <w:szCs w:val="18"/>
              </w:rPr>
              <w:t>Financiamiento</w:t>
            </w:r>
          </w:p>
        </w:tc>
      </w:tr>
      <w:tr w:rsidR="009A4AEC" w:rsidRPr="00866213" w:rsidTr="008F2EEC">
        <w:tc>
          <w:tcPr>
            <w:tcW w:w="3805" w:type="dxa"/>
            <w:vMerge/>
          </w:tcPr>
          <w:p w:rsidR="006D2D02" w:rsidRPr="00CC2E51" w:rsidRDefault="006D2D02" w:rsidP="008A25B6">
            <w:pPr>
              <w:spacing w:after="0" w:line="240" w:lineRule="auto"/>
              <w:jc w:val="center"/>
              <w:rPr>
                <w:rFonts w:ascii="Times New Roman" w:hAnsi="Times New Roman"/>
                <w:sz w:val="20"/>
                <w:szCs w:val="18"/>
              </w:rPr>
            </w:pPr>
          </w:p>
        </w:tc>
        <w:tc>
          <w:tcPr>
            <w:tcW w:w="505"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1</w:t>
            </w:r>
          </w:p>
        </w:tc>
        <w:tc>
          <w:tcPr>
            <w:tcW w:w="46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2</w:t>
            </w:r>
          </w:p>
        </w:tc>
        <w:tc>
          <w:tcPr>
            <w:tcW w:w="45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3</w:t>
            </w:r>
          </w:p>
        </w:tc>
        <w:tc>
          <w:tcPr>
            <w:tcW w:w="45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4</w:t>
            </w:r>
          </w:p>
        </w:tc>
        <w:tc>
          <w:tcPr>
            <w:tcW w:w="36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1</w:t>
            </w:r>
          </w:p>
        </w:tc>
        <w:tc>
          <w:tcPr>
            <w:tcW w:w="45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2</w:t>
            </w:r>
          </w:p>
        </w:tc>
        <w:tc>
          <w:tcPr>
            <w:tcW w:w="45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3</w:t>
            </w:r>
          </w:p>
        </w:tc>
        <w:tc>
          <w:tcPr>
            <w:tcW w:w="450" w:type="dxa"/>
            <w:shd w:val="clear" w:color="auto" w:fill="auto"/>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4</w:t>
            </w:r>
          </w:p>
        </w:tc>
        <w:tc>
          <w:tcPr>
            <w:tcW w:w="450" w:type="dxa"/>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1</w:t>
            </w:r>
          </w:p>
        </w:tc>
        <w:tc>
          <w:tcPr>
            <w:tcW w:w="540" w:type="dxa"/>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2</w:t>
            </w:r>
          </w:p>
        </w:tc>
        <w:tc>
          <w:tcPr>
            <w:tcW w:w="450" w:type="dxa"/>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3</w:t>
            </w:r>
          </w:p>
        </w:tc>
        <w:tc>
          <w:tcPr>
            <w:tcW w:w="450" w:type="dxa"/>
          </w:tcPr>
          <w:p w:rsidR="006D2D02" w:rsidRPr="00CC2E51" w:rsidRDefault="006D2D02" w:rsidP="00A16EB3">
            <w:pPr>
              <w:spacing w:after="0" w:line="240" w:lineRule="auto"/>
              <w:rPr>
                <w:rFonts w:ascii="Times New Roman" w:hAnsi="Times New Roman"/>
                <w:sz w:val="20"/>
                <w:szCs w:val="18"/>
              </w:rPr>
            </w:pPr>
            <w:r w:rsidRPr="00CC2E51">
              <w:rPr>
                <w:rFonts w:ascii="Times New Roman" w:hAnsi="Times New Roman"/>
                <w:sz w:val="20"/>
                <w:szCs w:val="18"/>
              </w:rPr>
              <w:t>4</w:t>
            </w:r>
          </w:p>
        </w:tc>
        <w:tc>
          <w:tcPr>
            <w:tcW w:w="1710" w:type="dxa"/>
            <w:vMerge/>
          </w:tcPr>
          <w:p w:rsidR="006D2D02" w:rsidRPr="00CC2E51" w:rsidRDefault="006D2D02" w:rsidP="008A25B6">
            <w:pPr>
              <w:spacing w:after="0" w:line="240" w:lineRule="auto"/>
              <w:jc w:val="center"/>
              <w:rPr>
                <w:rFonts w:ascii="Times New Roman" w:hAnsi="Times New Roman"/>
                <w:sz w:val="20"/>
                <w:szCs w:val="18"/>
              </w:rPr>
            </w:pPr>
          </w:p>
        </w:tc>
        <w:tc>
          <w:tcPr>
            <w:tcW w:w="1170" w:type="dxa"/>
            <w:vMerge/>
          </w:tcPr>
          <w:p w:rsidR="006D2D02" w:rsidRPr="00CC2E51" w:rsidRDefault="006D2D02" w:rsidP="008A25B6">
            <w:pPr>
              <w:spacing w:after="0" w:line="240" w:lineRule="auto"/>
              <w:jc w:val="center"/>
              <w:rPr>
                <w:rFonts w:ascii="Times New Roman" w:hAnsi="Times New Roman"/>
                <w:sz w:val="20"/>
                <w:szCs w:val="18"/>
              </w:rPr>
            </w:pPr>
          </w:p>
        </w:tc>
        <w:tc>
          <w:tcPr>
            <w:tcW w:w="1620" w:type="dxa"/>
            <w:vMerge/>
          </w:tcPr>
          <w:p w:rsidR="006D2D02" w:rsidRPr="00CC2E51" w:rsidRDefault="006D2D02" w:rsidP="008A25B6">
            <w:pPr>
              <w:spacing w:after="0" w:line="240" w:lineRule="auto"/>
              <w:jc w:val="center"/>
              <w:rPr>
                <w:rFonts w:ascii="Times New Roman" w:hAnsi="Times New Roman"/>
                <w:sz w:val="20"/>
                <w:szCs w:val="18"/>
              </w:rPr>
            </w:pPr>
          </w:p>
        </w:tc>
      </w:tr>
      <w:tr w:rsidR="00FC444A" w:rsidRPr="00866213" w:rsidTr="008F2EEC">
        <w:trPr>
          <w:trHeight w:val="361"/>
        </w:trPr>
        <w:tc>
          <w:tcPr>
            <w:tcW w:w="3805" w:type="dxa"/>
            <w:vAlign w:val="center"/>
          </w:tcPr>
          <w:p w:rsidR="00FC444A" w:rsidRPr="00CC2E51" w:rsidRDefault="00FC444A" w:rsidP="006D2D02">
            <w:pPr>
              <w:spacing w:after="0" w:line="240" w:lineRule="auto"/>
              <w:rPr>
                <w:rFonts w:ascii="Times New Roman" w:hAnsi="Times New Roman"/>
                <w:sz w:val="20"/>
                <w:szCs w:val="18"/>
              </w:rPr>
            </w:pPr>
            <w:r w:rsidRPr="00CC2E51">
              <w:rPr>
                <w:rFonts w:ascii="Times New Roman" w:hAnsi="Times New Roman"/>
                <w:sz w:val="20"/>
                <w:szCs w:val="18"/>
              </w:rPr>
              <w:t xml:space="preserve">Informe de </w:t>
            </w:r>
            <w:r w:rsidR="00E678B3">
              <w:rPr>
                <w:rFonts w:ascii="Times New Roman" w:hAnsi="Times New Roman"/>
                <w:sz w:val="20"/>
                <w:szCs w:val="18"/>
              </w:rPr>
              <w:t>Semestral</w:t>
            </w:r>
          </w:p>
          <w:p w:rsidR="00FC444A" w:rsidRPr="00CC2E51" w:rsidRDefault="00FC444A" w:rsidP="006D2D02">
            <w:pPr>
              <w:spacing w:after="0" w:line="240" w:lineRule="auto"/>
              <w:rPr>
                <w:rFonts w:ascii="Times New Roman" w:hAnsi="Times New Roman"/>
                <w:sz w:val="20"/>
                <w:szCs w:val="18"/>
              </w:rPr>
            </w:pPr>
          </w:p>
        </w:tc>
        <w:tc>
          <w:tcPr>
            <w:tcW w:w="505" w:type="dxa"/>
            <w:shd w:val="clear" w:color="auto" w:fill="auto"/>
          </w:tcPr>
          <w:p w:rsidR="00FC444A" w:rsidRPr="00A16EB3" w:rsidRDefault="00FC444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60" w:type="dxa"/>
            <w:shd w:val="clear" w:color="auto" w:fill="auto"/>
          </w:tcPr>
          <w:p w:rsidR="00FC444A" w:rsidRPr="00CC2E51" w:rsidRDefault="00FC444A" w:rsidP="00653F7F">
            <w:pPr>
              <w:spacing w:after="0" w:line="240" w:lineRule="auto"/>
              <w:jc w:val="center"/>
              <w:textAlignment w:val="top"/>
              <w:rPr>
                <w:rFonts w:ascii="Times New Roman" w:hAnsi="Times New Roman"/>
                <w:sz w:val="20"/>
                <w:szCs w:val="18"/>
              </w:rPr>
            </w:pPr>
          </w:p>
        </w:tc>
        <w:tc>
          <w:tcPr>
            <w:tcW w:w="450" w:type="dxa"/>
            <w:shd w:val="clear" w:color="auto" w:fill="auto"/>
          </w:tcPr>
          <w:p w:rsidR="00FC444A" w:rsidRPr="00A16EB3" w:rsidRDefault="00FC444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FC444A" w:rsidRPr="00CC2E51" w:rsidRDefault="00FC444A" w:rsidP="00653F7F">
            <w:pPr>
              <w:spacing w:after="0" w:line="240" w:lineRule="auto"/>
              <w:jc w:val="center"/>
              <w:textAlignment w:val="top"/>
              <w:rPr>
                <w:rFonts w:ascii="Times New Roman" w:hAnsi="Times New Roman"/>
                <w:sz w:val="20"/>
                <w:szCs w:val="18"/>
              </w:rPr>
            </w:pPr>
          </w:p>
        </w:tc>
        <w:tc>
          <w:tcPr>
            <w:tcW w:w="360" w:type="dxa"/>
            <w:shd w:val="clear" w:color="auto" w:fill="auto"/>
          </w:tcPr>
          <w:p w:rsidR="00FC444A" w:rsidRPr="00CC2E51" w:rsidRDefault="00FC444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FC444A" w:rsidRPr="00CC2E51" w:rsidRDefault="00FC444A" w:rsidP="00653F7F">
            <w:pPr>
              <w:spacing w:after="0" w:line="240" w:lineRule="auto"/>
              <w:ind w:left="360"/>
              <w:jc w:val="center"/>
              <w:textAlignment w:val="top"/>
              <w:rPr>
                <w:rFonts w:ascii="Times New Roman" w:hAnsi="Times New Roman"/>
                <w:sz w:val="20"/>
                <w:szCs w:val="18"/>
              </w:rPr>
            </w:pPr>
          </w:p>
        </w:tc>
        <w:tc>
          <w:tcPr>
            <w:tcW w:w="450" w:type="dxa"/>
            <w:shd w:val="clear" w:color="auto" w:fill="auto"/>
          </w:tcPr>
          <w:p w:rsidR="00FC444A" w:rsidRPr="00CC2E51" w:rsidRDefault="00FC444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FC444A" w:rsidRPr="00CC2E51" w:rsidRDefault="00FC444A" w:rsidP="00653F7F">
            <w:pPr>
              <w:spacing w:after="0" w:line="240" w:lineRule="auto"/>
              <w:jc w:val="center"/>
              <w:textAlignment w:val="top"/>
              <w:rPr>
                <w:rFonts w:ascii="Times New Roman" w:hAnsi="Times New Roman"/>
                <w:sz w:val="20"/>
                <w:szCs w:val="18"/>
              </w:rPr>
            </w:pPr>
          </w:p>
        </w:tc>
        <w:tc>
          <w:tcPr>
            <w:tcW w:w="450" w:type="dxa"/>
          </w:tcPr>
          <w:p w:rsidR="00FC444A" w:rsidRPr="00CC2E51" w:rsidRDefault="00FC444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540" w:type="dxa"/>
          </w:tcPr>
          <w:p w:rsidR="00FC444A" w:rsidRPr="00CC2E51" w:rsidRDefault="00FC444A" w:rsidP="00653F7F">
            <w:pPr>
              <w:spacing w:after="0" w:line="240" w:lineRule="auto"/>
              <w:ind w:left="360"/>
              <w:jc w:val="center"/>
              <w:textAlignment w:val="top"/>
              <w:rPr>
                <w:rFonts w:ascii="Times New Roman" w:hAnsi="Times New Roman"/>
                <w:sz w:val="20"/>
                <w:szCs w:val="18"/>
              </w:rPr>
            </w:pPr>
          </w:p>
        </w:tc>
        <w:tc>
          <w:tcPr>
            <w:tcW w:w="450" w:type="dxa"/>
          </w:tcPr>
          <w:p w:rsidR="00FC444A" w:rsidRPr="00CC2E51" w:rsidRDefault="00FC444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tcPr>
          <w:p w:rsidR="00FC444A" w:rsidRPr="00CC2E51" w:rsidRDefault="00FC444A" w:rsidP="00653F7F">
            <w:pPr>
              <w:spacing w:after="0" w:line="240" w:lineRule="auto"/>
              <w:jc w:val="center"/>
              <w:textAlignment w:val="top"/>
              <w:rPr>
                <w:rFonts w:ascii="Times New Roman" w:hAnsi="Times New Roman"/>
                <w:sz w:val="20"/>
                <w:szCs w:val="18"/>
              </w:rPr>
            </w:pPr>
          </w:p>
        </w:tc>
        <w:tc>
          <w:tcPr>
            <w:tcW w:w="1710" w:type="dxa"/>
            <w:vAlign w:val="center"/>
          </w:tcPr>
          <w:p w:rsidR="00FC444A" w:rsidRPr="00CC2E51" w:rsidRDefault="00FC444A" w:rsidP="00CF3316">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UTP</w:t>
            </w:r>
          </w:p>
        </w:tc>
        <w:tc>
          <w:tcPr>
            <w:tcW w:w="1170" w:type="dxa"/>
          </w:tcPr>
          <w:p w:rsidR="00FC444A" w:rsidRPr="00CC2E51" w:rsidRDefault="00FC444A" w:rsidP="00CC2E51">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Costo fijo</w:t>
            </w:r>
          </w:p>
        </w:tc>
        <w:tc>
          <w:tcPr>
            <w:tcW w:w="1620" w:type="dxa"/>
          </w:tcPr>
          <w:p w:rsidR="00FC444A" w:rsidRPr="00CC2E51" w:rsidRDefault="00FC444A" w:rsidP="00A16EB3">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 xml:space="preserve"> DR - L10</w:t>
            </w:r>
            <w:r>
              <w:rPr>
                <w:rFonts w:ascii="Times New Roman" w:hAnsi="Times New Roman"/>
                <w:sz w:val="20"/>
                <w:szCs w:val="18"/>
              </w:rPr>
              <w:t>67</w:t>
            </w:r>
          </w:p>
        </w:tc>
      </w:tr>
      <w:tr w:rsidR="00A3316A" w:rsidRPr="00866213" w:rsidTr="008F2EEC">
        <w:trPr>
          <w:trHeight w:val="433"/>
        </w:trPr>
        <w:tc>
          <w:tcPr>
            <w:tcW w:w="3805" w:type="dxa"/>
          </w:tcPr>
          <w:p w:rsidR="00A3316A" w:rsidRPr="00CC2E51" w:rsidRDefault="00A3316A" w:rsidP="00C436BF">
            <w:pPr>
              <w:spacing w:after="0" w:line="240" w:lineRule="auto"/>
              <w:rPr>
                <w:rFonts w:ascii="Times New Roman" w:hAnsi="Times New Roman"/>
                <w:sz w:val="20"/>
                <w:szCs w:val="18"/>
              </w:rPr>
            </w:pPr>
            <w:r w:rsidRPr="00D2393B">
              <w:rPr>
                <w:rFonts w:ascii="Times New Roman" w:hAnsi="Times New Roman"/>
                <w:sz w:val="20"/>
                <w:szCs w:val="18"/>
              </w:rPr>
              <w:t>Auditorías recurrentes</w:t>
            </w:r>
          </w:p>
        </w:tc>
        <w:tc>
          <w:tcPr>
            <w:tcW w:w="505"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p>
        </w:tc>
        <w:tc>
          <w:tcPr>
            <w:tcW w:w="460" w:type="dxa"/>
            <w:shd w:val="clear" w:color="auto" w:fill="auto"/>
          </w:tcPr>
          <w:p w:rsidR="00A3316A" w:rsidRPr="00A16EB3" w:rsidRDefault="00A3316A" w:rsidP="00F72DEB">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360" w:type="dxa"/>
            <w:shd w:val="clear" w:color="auto" w:fill="auto"/>
          </w:tcPr>
          <w:p w:rsidR="00A3316A" w:rsidRPr="00CC2E51" w:rsidRDefault="00A3316A" w:rsidP="00F72DEB">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A3316A" w:rsidRPr="00A16EB3" w:rsidRDefault="00A3316A" w:rsidP="00F72DEB">
            <w:pPr>
              <w:spacing w:after="0" w:line="240" w:lineRule="auto"/>
              <w:jc w:val="center"/>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A3316A" w:rsidRPr="00CC2E51" w:rsidRDefault="00A3316A" w:rsidP="00653F7F">
            <w:pPr>
              <w:spacing w:after="0" w:line="240" w:lineRule="auto"/>
              <w:jc w:val="center"/>
              <w:textAlignment w:val="top"/>
              <w:rPr>
                <w:rFonts w:ascii="Times New Roman" w:hAnsi="Times New Roman"/>
                <w:sz w:val="20"/>
                <w:szCs w:val="18"/>
              </w:rPr>
            </w:pPr>
          </w:p>
        </w:tc>
        <w:tc>
          <w:tcPr>
            <w:tcW w:w="450" w:type="dxa"/>
          </w:tcPr>
          <w:p w:rsidR="00A3316A" w:rsidRPr="00A16EB3" w:rsidRDefault="00A3316A" w:rsidP="00653F7F">
            <w:pPr>
              <w:spacing w:after="0" w:line="240" w:lineRule="auto"/>
              <w:jc w:val="center"/>
              <w:rPr>
                <w:rFonts w:ascii="Times New Roman" w:hAnsi="Times New Roman"/>
                <w:sz w:val="20"/>
                <w:szCs w:val="18"/>
              </w:rPr>
            </w:pPr>
            <w:r>
              <w:rPr>
                <w:rFonts w:ascii="Times New Roman" w:hAnsi="Times New Roman"/>
                <w:sz w:val="20"/>
                <w:szCs w:val="18"/>
              </w:rPr>
              <w:t>X</w:t>
            </w:r>
          </w:p>
        </w:tc>
        <w:tc>
          <w:tcPr>
            <w:tcW w:w="540" w:type="dxa"/>
          </w:tcPr>
          <w:p w:rsidR="00A3316A" w:rsidRPr="00A16EB3"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1710" w:type="dxa"/>
          </w:tcPr>
          <w:p w:rsidR="00A3316A" w:rsidRPr="00A3316A" w:rsidRDefault="00A3316A" w:rsidP="00CF3316">
            <w:pPr>
              <w:spacing w:after="0" w:line="240" w:lineRule="auto"/>
              <w:textAlignment w:val="top"/>
              <w:rPr>
                <w:rFonts w:ascii="Times New Roman" w:hAnsi="Times New Roman"/>
                <w:sz w:val="20"/>
                <w:szCs w:val="18"/>
              </w:rPr>
            </w:pPr>
            <w:r w:rsidRPr="00A3316A">
              <w:rPr>
                <w:rFonts w:ascii="Times New Roman" w:hAnsi="Times New Roman"/>
                <w:sz w:val="20"/>
                <w:szCs w:val="18"/>
              </w:rPr>
              <w:t>UTP</w:t>
            </w:r>
          </w:p>
        </w:tc>
        <w:tc>
          <w:tcPr>
            <w:tcW w:w="1170" w:type="dxa"/>
          </w:tcPr>
          <w:p w:rsidR="00A3316A" w:rsidRPr="00A3316A" w:rsidRDefault="00A3316A" w:rsidP="00A3316A">
            <w:pPr>
              <w:spacing w:after="0" w:line="240" w:lineRule="auto"/>
              <w:textAlignment w:val="top"/>
              <w:rPr>
                <w:rFonts w:ascii="Times New Roman" w:eastAsia="Times New Roman" w:hAnsi="Times New Roman"/>
                <w:color w:val="000000"/>
                <w:sz w:val="20"/>
                <w:szCs w:val="18"/>
              </w:rPr>
            </w:pPr>
            <w:r w:rsidRPr="00A3316A">
              <w:rPr>
                <w:rFonts w:ascii="Times New Roman" w:eastAsia="Times New Roman" w:hAnsi="Times New Roman"/>
                <w:color w:val="000000"/>
                <w:sz w:val="20"/>
                <w:szCs w:val="18"/>
              </w:rPr>
              <w:t>2,500.000</w:t>
            </w:r>
          </w:p>
        </w:tc>
        <w:tc>
          <w:tcPr>
            <w:tcW w:w="1620" w:type="dxa"/>
          </w:tcPr>
          <w:p w:rsidR="00A3316A" w:rsidRDefault="00A3316A">
            <w:r w:rsidRPr="006F649A">
              <w:rPr>
                <w:rFonts w:ascii="Times New Roman" w:hAnsi="Times New Roman"/>
                <w:sz w:val="20"/>
                <w:szCs w:val="18"/>
              </w:rPr>
              <w:t>DR - L1067</w:t>
            </w:r>
          </w:p>
        </w:tc>
      </w:tr>
      <w:tr w:rsidR="00A3316A" w:rsidRPr="00866213" w:rsidTr="008F2EEC">
        <w:trPr>
          <w:trHeight w:val="226"/>
        </w:trPr>
        <w:tc>
          <w:tcPr>
            <w:tcW w:w="3805" w:type="dxa"/>
          </w:tcPr>
          <w:p w:rsidR="00A3316A" w:rsidRPr="00CC2E51" w:rsidRDefault="00A3316A" w:rsidP="008A25B6">
            <w:pPr>
              <w:spacing w:after="0" w:line="240" w:lineRule="auto"/>
              <w:rPr>
                <w:rFonts w:ascii="Times New Roman" w:hAnsi="Times New Roman"/>
                <w:sz w:val="20"/>
                <w:szCs w:val="18"/>
              </w:rPr>
            </w:pPr>
            <w:r w:rsidRPr="00CC2E51">
              <w:rPr>
                <w:rFonts w:ascii="Times New Roman" w:hAnsi="Times New Roman"/>
                <w:sz w:val="20"/>
                <w:szCs w:val="18"/>
              </w:rPr>
              <w:t>Plan de Ejecución del Proyecto</w:t>
            </w:r>
            <w:r>
              <w:rPr>
                <w:rFonts w:ascii="Times New Roman" w:hAnsi="Times New Roman"/>
                <w:sz w:val="20"/>
                <w:szCs w:val="18"/>
              </w:rPr>
              <w:t xml:space="preserve"> y Plan Operativo Anual</w:t>
            </w:r>
          </w:p>
        </w:tc>
        <w:tc>
          <w:tcPr>
            <w:tcW w:w="505" w:type="dxa"/>
            <w:shd w:val="clear" w:color="auto" w:fill="auto"/>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6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360" w:type="dxa"/>
            <w:shd w:val="clear" w:color="auto" w:fill="auto"/>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A3316A" w:rsidRPr="00CC2E51" w:rsidRDefault="00A3316A" w:rsidP="00653F7F">
            <w:pPr>
              <w:spacing w:after="0" w:line="240" w:lineRule="auto"/>
              <w:ind w:left="360"/>
              <w:jc w:val="center"/>
              <w:textAlignment w:val="top"/>
              <w:rPr>
                <w:rFonts w:ascii="Times New Roman" w:hAnsi="Times New Roman"/>
                <w:sz w:val="20"/>
                <w:szCs w:val="18"/>
              </w:rPr>
            </w:pPr>
          </w:p>
        </w:tc>
        <w:tc>
          <w:tcPr>
            <w:tcW w:w="450" w:type="dxa"/>
            <w:shd w:val="clear" w:color="auto" w:fill="auto"/>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540" w:type="dxa"/>
          </w:tcPr>
          <w:p w:rsidR="00A3316A" w:rsidRPr="00CC2E51" w:rsidRDefault="00A3316A" w:rsidP="00653F7F">
            <w:pPr>
              <w:spacing w:after="0" w:line="240" w:lineRule="auto"/>
              <w:ind w:left="360"/>
              <w:jc w:val="center"/>
              <w:textAlignment w:val="top"/>
              <w:rPr>
                <w:rFonts w:ascii="Times New Roman" w:hAnsi="Times New Roman"/>
                <w:sz w:val="20"/>
                <w:szCs w:val="18"/>
              </w:rPr>
            </w:pPr>
          </w:p>
        </w:tc>
        <w:tc>
          <w:tcPr>
            <w:tcW w:w="450" w:type="dxa"/>
          </w:tcPr>
          <w:p w:rsidR="00A3316A" w:rsidRPr="00CC2E51" w:rsidRDefault="00A3316A" w:rsidP="00653F7F">
            <w:pPr>
              <w:spacing w:after="0" w:line="240" w:lineRule="auto"/>
              <w:jc w:val="center"/>
              <w:textAlignment w:val="top"/>
              <w:rPr>
                <w:rFonts w:ascii="Times New Roman" w:hAnsi="Times New Roman"/>
                <w:sz w:val="20"/>
                <w:szCs w:val="18"/>
              </w:rPr>
            </w:pPr>
            <w:r>
              <w:rPr>
                <w:rFonts w:ascii="Times New Roman" w:hAnsi="Times New Roman"/>
                <w:sz w:val="20"/>
                <w:szCs w:val="18"/>
              </w:rPr>
              <w:t>X</w:t>
            </w:r>
          </w:p>
        </w:tc>
        <w:tc>
          <w:tcPr>
            <w:tcW w:w="450" w:type="dxa"/>
          </w:tcPr>
          <w:p w:rsidR="00A3316A" w:rsidRPr="00CC2E51" w:rsidRDefault="00A3316A" w:rsidP="00653F7F">
            <w:pPr>
              <w:spacing w:after="0" w:line="240" w:lineRule="auto"/>
              <w:jc w:val="center"/>
              <w:textAlignment w:val="top"/>
              <w:rPr>
                <w:rFonts w:ascii="Times New Roman" w:hAnsi="Times New Roman"/>
                <w:sz w:val="20"/>
                <w:szCs w:val="18"/>
              </w:rPr>
            </w:pPr>
          </w:p>
        </w:tc>
        <w:tc>
          <w:tcPr>
            <w:tcW w:w="1710" w:type="dxa"/>
          </w:tcPr>
          <w:p w:rsidR="00A3316A" w:rsidRPr="00CC2E51" w:rsidRDefault="00A3316A" w:rsidP="00CF3316">
            <w:pPr>
              <w:spacing w:after="0" w:line="240" w:lineRule="auto"/>
              <w:textAlignment w:val="top"/>
              <w:rPr>
                <w:rFonts w:ascii="Times New Roman" w:hAnsi="Times New Roman"/>
                <w:sz w:val="20"/>
                <w:szCs w:val="18"/>
              </w:rPr>
            </w:pPr>
            <w:r w:rsidRPr="00CC2E51">
              <w:rPr>
                <w:rFonts w:ascii="Times New Roman" w:hAnsi="Times New Roman"/>
                <w:sz w:val="20"/>
                <w:szCs w:val="18"/>
              </w:rPr>
              <w:t>UTP</w:t>
            </w:r>
          </w:p>
        </w:tc>
        <w:tc>
          <w:tcPr>
            <w:tcW w:w="1170" w:type="dxa"/>
          </w:tcPr>
          <w:p w:rsidR="00A3316A" w:rsidRPr="00CC2E51" w:rsidRDefault="00A3316A" w:rsidP="00CC2E51">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Costo Fijo</w:t>
            </w:r>
          </w:p>
        </w:tc>
        <w:tc>
          <w:tcPr>
            <w:tcW w:w="1620" w:type="dxa"/>
          </w:tcPr>
          <w:p w:rsidR="00A3316A" w:rsidRDefault="00A3316A">
            <w:r w:rsidRPr="006F649A">
              <w:rPr>
                <w:rFonts w:ascii="Times New Roman" w:hAnsi="Times New Roman"/>
                <w:sz w:val="20"/>
                <w:szCs w:val="18"/>
              </w:rPr>
              <w:t>DR - L1067</w:t>
            </w:r>
          </w:p>
        </w:tc>
      </w:tr>
      <w:tr w:rsidR="00A3316A" w:rsidRPr="00866213" w:rsidTr="008F2EEC">
        <w:tc>
          <w:tcPr>
            <w:tcW w:w="3805" w:type="dxa"/>
          </w:tcPr>
          <w:p w:rsidR="00A3316A" w:rsidRPr="00CC2E51" w:rsidRDefault="00A3316A" w:rsidP="008A25B6">
            <w:pPr>
              <w:spacing w:after="0" w:line="240" w:lineRule="auto"/>
              <w:rPr>
                <w:rFonts w:ascii="Times New Roman" w:hAnsi="Times New Roman"/>
                <w:sz w:val="20"/>
                <w:szCs w:val="18"/>
              </w:rPr>
            </w:pPr>
            <w:r w:rsidRPr="00CC2E51">
              <w:rPr>
                <w:rFonts w:ascii="Times New Roman" w:hAnsi="Times New Roman"/>
                <w:sz w:val="20"/>
                <w:szCs w:val="18"/>
              </w:rPr>
              <w:t>Plan de adquisiciones</w:t>
            </w:r>
          </w:p>
        </w:tc>
        <w:tc>
          <w:tcPr>
            <w:tcW w:w="505" w:type="dxa"/>
            <w:shd w:val="clear" w:color="auto" w:fill="auto"/>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60" w:type="dxa"/>
            <w:shd w:val="clear" w:color="auto" w:fill="auto"/>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36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A16EB3"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540" w:type="dxa"/>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1710" w:type="dxa"/>
          </w:tcPr>
          <w:p w:rsidR="00A3316A" w:rsidRPr="00CC2E51" w:rsidRDefault="00A3316A" w:rsidP="00CF3316">
            <w:pPr>
              <w:spacing w:after="0" w:line="240" w:lineRule="auto"/>
              <w:textAlignment w:val="top"/>
              <w:rPr>
                <w:rFonts w:ascii="Times New Roman" w:hAnsi="Times New Roman"/>
                <w:sz w:val="20"/>
                <w:szCs w:val="18"/>
              </w:rPr>
            </w:pPr>
            <w:r w:rsidRPr="00CC2E51">
              <w:rPr>
                <w:rFonts w:ascii="Times New Roman" w:hAnsi="Times New Roman"/>
                <w:sz w:val="20"/>
                <w:szCs w:val="18"/>
              </w:rPr>
              <w:t>UTP</w:t>
            </w:r>
          </w:p>
        </w:tc>
        <w:tc>
          <w:tcPr>
            <w:tcW w:w="1170" w:type="dxa"/>
          </w:tcPr>
          <w:p w:rsidR="00A3316A" w:rsidRPr="00CC2E51" w:rsidRDefault="00A3316A" w:rsidP="00CC2E51">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Costo Fijo</w:t>
            </w:r>
          </w:p>
        </w:tc>
        <w:tc>
          <w:tcPr>
            <w:tcW w:w="1620" w:type="dxa"/>
          </w:tcPr>
          <w:p w:rsidR="00A3316A" w:rsidRDefault="00A3316A">
            <w:r w:rsidRPr="006F649A">
              <w:rPr>
                <w:rFonts w:ascii="Times New Roman" w:hAnsi="Times New Roman"/>
                <w:sz w:val="20"/>
                <w:szCs w:val="18"/>
              </w:rPr>
              <w:t>DR - L1067</w:t>
            </w:r>
          </w:p>
        </w:tc>
      </w:tr>
      <w:tr w:rsidR="00A3316A" w:rsidRPr="00866213" w:rsidTr="008F2EEC">
        <w:tc>
          <w:tcPr>
            <w:tcW w:w="3805" w:type="dxa"/>
          </w:tcPr>
          <w:p w:rsidR="00A3316A" w:rsidRPr="007A228E" w:rsidRDefault="00A3316A" w:rsidP="008A25B6">
            <w:pPr>
              <w:spacing w:after="0" w:line="240" w:lineRule="auto"/>
              <w:rPr>
                <w:rFonts w:ascii="Times New Roman" w:hAnsi="Times New Roman"/>
                <w:sz w:val="20"/>
                <w:szCs w:val="18"/>
              </w:rPr>
            </w:pPr>
            <w:r w:rsidRPr="007A228E">
              <w:rPr>
                <w:rFonts w:ascii="Times New Roman" w:hAnsi="Times New Roman"/>
                <w:sz w:val="20"/>
                <w:szCs w:val="18"/>
              </w:rPr>
              <w:t>Informe de Monitoreo del Progreso (PMR)</w:t>
            </w:r>
          </w:p>
        </w:tc>
        <w:tc>
          <w:tcPr>
            <w:tcW w:w="505" w:type="dxa"/>
            <w:shd w:val="clear" w:color="auto" w:fill="auto"/>
          </w:tcPr>
          <w:p w:rsidR="00A3316A" w:rsidRPr="00A16EB3" w:rsidRDefault="00A3316A" w:rsidP="0087587D">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60" w:type="dxa"/>
            <w:shd w:val="clear" w:color="auto" w:fill="auto"/>
          </w:tcPr>
          <w:p w:rsidR="00A3316A" w:rsidRPr="00CC2E51" w:rsidRDefault="00A3316A" w:rsidP="0087587D">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A16EB3" w:rsidRDefault="00A3316A" w:rsidP="0087587D">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7A228E" w:rsidRDefault="00A3316A" w:rsidP="009A4AEC">
            <w:pPr>
              <w:spacing w:after="0" w:line="240" w:lineRule="auto"/>
              <w:jc w:val="center"/>
              <w:textAlignment w:val="top"/>
              <w:rPr>
                <w:rFonts w:ascii="Times New Roman" w:hAnsi="Times New Roman"/>
                <w:sz w:val="20"/>
                <w:szCs w:val="18"/>
              </w:rPr>
            </w:pPr>
          </w:p>
        </w:tc>
        <w:tc>
          <w:tcPr>
            <w:tcW w:w="360" w:type="dxa"/>
            <w:shd w:val="clear" w:color="auto" w:fill="auto"/>
          </w:tcPr>
          <w:p w:rsidR="00A3316A" w:rsidRPr="00A16EB3" w:rsidRDefault="00A3316A" w:rsidP="0087587D">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CC2E51" w:rsidRDefault="00A3316A" w:rsidP="0087587D">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A16EB3" w:rsidRDefault="00A3316A" w:rsidP="0087587D">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7A228E" w:rsidRDefault="00A3316A" w:rsidP="009A4AEC">
            <w:pPr>
              <w:spacing w:after="0" w:line="240" w:lineRule="auto"/>
              <w:jc w:val="center"/>
              <w:textAlignment w:val="top"/>
              <w:rPr>
                <w:rFonts w:ascii="Times New Roman" w:hAnsi="Times New Roman"/>
                <w:sz w:val="20"/>
                <w:szCs w:val="18"/>
              </w:rPr>
            </w:pPr>
          </w:p>
        </w:tc>
        <w:tc>
          <w:tcPr>
            <w:tcW w:w="450" w:type="dxa"/>
          </w:tcPr>
          <w:p w:rsidR="00A3316A" w:rsidRPr="00A16EB3" w:rsidRDefault="00A3316A" w:rsidP="0087587D">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540" w:type="dxa"/>
          </w:tcPr>
          <w:p w:rsidR="00A3316A" w:rsidRPr="00CC2E51" w:rsidRDefault="00A3316A" w:rsidP="0087587D">
            <w:pPr>
              <w:spacing w:after="0" w:line="240" w:lineRule="auto"/>
              <w:jc w:val="center"/>
              <w:textAlignment w:val="top"/>
              <w:rPr>
                <w:rFonts w:ascii="Times New Roman" w:hAnsi="Times New Roman"/>
                <w:sz w:val="20"/>
                <w:szCs w:val="18"/>
              </w:rPr>
            </w:pPr>
          </w:p>
        </w:tc>
        <w:tc>
          <w:tcPr>
            <w:tcW w:w="450" w:type="dxa"/>
          </w:tcPr>
          <w:p w:rsidR="00A3316A" w:rsidRPr="00A16EB3" w:rsidRDefault="00A3316A" w:rsidP="0087587D">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tcPr>
          <w:p w:rsidR="00A3316A" w:rsidRPr="007A228E" w:rsidRDefault="00A3316A" w:rsidP="009A4AEC">
            <w:pPr>
              <w:spacing w:after="0" w:line="240" w:lineRule="auto"/>
              <w:jc w:val="center"/>
              <w:textAlignment w:val="top"/>
              <w:rPr>
                <w:rFonts w:ascii="Times New Roman" w:hAnsi="Times New Roman"/>
                <w:sz w:val="20"/>
                <w:szCs w:val="18"/>
              </w:rPr>
            </w:pPr>
          </w:p>
        </w:tc>
        <w:tc>
          <w:tcPr>
            <w:tcW w:w="1710" w:type="dxa"/>
          </w:tcPr>
          <w:p w:rsidR="00A3316A" w:rsidRPr="007A228E" w:rsidRDefault="00A3316A" w:rsidP="00CF3316">
            <w:pPr>
              <w:spacing w:after="0" w:line="240" w:lineRule="auto"/>
              <w:textAlignment w:val="top"/>
              <w:rPr>
                <w:rFonts w:ascii="Times New Roman" w:hAnsi="Times New Roman"/>
                <w:sz w:val="20"/>
                <w:szCs w:val="18"/>
              </w:rPr>
            </w:pPr>
            <w:r w:rsidRPr="007A228E">
              <w:rPr>
                <w:rFonts w:ascii="Times New Roman" w:hAnsi="Times New Roman"/>
                <w:sz w:val="20"/>
                <w:szCs w:val="18"/>
              </w:rPr>
              <w:t>Equipo BID</w:t>
            </w:r>
          </w:p>
        </w:tc>
        <w:tc>
          <w:tcPr>
            <w:tcW w:w="1170" w:type="dxa"/>
          </w:tcPr>
          <w:p w:rsidR="00A3316A" w:rsidRPr="007A228E" w:rsidRDefault="00A3316A" w:rsidP="00CC2E51">
            <w:pPr>
              <w:spacing w:after="0" w:line="240" w:lineRule="auto"/>
              <w:textAlignment w:val="top"/>
              <w:rPr>
                <w:rFonts w:ascii="Times New Roman" w:eastAsia="Times New Roman" w:hAnsi="Times New Roman"/>
                <w:color w:val="000000"/>
                <w:sz w:val="20"/>
                <w:szCs w:val="18"/>
              </w:rPr>
            </w:pPr>
            <w:r w:rsidRPr="007A228E">
              <w:rPr>
                <w:rFonts w:ascii="Times New Roman" w:hAnsi="Times New Roman"/>
                <w:sz w:val="20"/>
                <w:szCs w:val="18"/>
              </w:rPr>
              <w:t>Costo Fijo</w:t>
            </w:r>
          </w:p>
        </w:tc>
        <w:tc>
          <w:tcPr>
            <w:tcW w:w="1620" w:type="dxa"/>
          </w:tcPr>
          <w:p w:rsidR="00A3316A" w:rsidRPr="007A228E" w:rsidRDefault="00A3316A">
            <w:r w:rsidRPr="007A228E">
              <w:rPr>
                <w:rFonts w:ascii="Times New Roman" w:hAnsi="Times New Roman"/>
                <w:sz w:val="20"/>
                <w:szCs w:val="18"/>
              </w:rPr>
              <w:t>DR - L1067</w:t>
            </w:r>
          </w:p>
        </w:tc>
      </w:tr>
      <w:tr w:rsidR="00A3316A" w:rsidRPr="00866213" w:rsidTr="008F2EEC">
        <w:trPr>
          <w:trHeight w:val="604"/>
        </w:trPr>
        <w:tc>
          <w:tcPr>
            <w:tcW w:w="3805" w:type="dxa"/>
          </w:tcPr>
          <w:p w:rsidR="00A3316A" w:rsidRPr="00C67AE0" w:rsidRDefault="00A3316A" w:rsidP="00C67AE0">
            <w:pPr>
              <w:spacing w:after="0" w:line="240" w:lineRule="auto"/>
              <w:rPr>
                <w:rFonts w:ascii="Times New Roman" w:hAnsi="Times New Roman"/>
                <w:sz w:val="20"/>
                <w:szCs w:val="18"/>
              </w:rPr>
            </w:pPr>
            <w:r w:rsidRPr="00CC2E51">
              <w:rPr>
                <w:rFonts w:ascii="Times New Roman" w:hAnsi="Times New Roman"/>
                <w:sz w:val="20"/>
                <w:szCs w:val="18"/>
              </w:rPr>
              <w:t>Informe de Revisión del Préstamo (LRR)</w:t>
            </w:r>
          </w:p>
        </w:tc>
        <w:tc>
          <w:tcPr>
            <w:tcW w:w="505" w:type="dxa"/>
            <w:shd w:val="clear" w:color="auto" w:fill="auto"/>
          </w:tcPr>
          <w:p w:rsidR="00A3316A" w:rsidRPr="00CC2E51" w:rsidRDefault="00A3316A" w:rsidP="00C67AE0">
            <w:pPr>
              <w:spacing w:after="0" w:line="240" w:lineRule="auto"/>
              <w:jc w:val="center"/>
              <w:textAlignment w:val="top"/>
              <w:rPr>
                <w:rFonts w:ascii="Times New Roman" w:hAnsi="Times New Roman"/>
                <w:sz w:val="20"/>
                <w:szCs w:val="18"/>
              </w:rPr>
            </w:pPr>
          </w:p>
        </w:tc>
        <w:tc>
          <w:tcPr>
            <w:tcW w:w="460" w:type="dxa"/>
            <w:shd w:val="clear" w:color="auto" w:fill="auto"/>
          </w:tcPr>
          <w:p w:rsidR="00A3316A" w:rsidRPr="00CC2E51" w:rsidRDefault="00A3316A" w:rsidP="00C67AE0">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C67AE0">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C67AE0">
            <w:pPr>
              <w:spacing w:after="0" w:line="240" w:lineRule="auto"/>
              <w:jc w:val="center"/>
              <w:textAlignment w:val="top"/>
              <w:rPr>
                <w:rFonts w:ascii="Times New Roman" w:hAnsi="Times New Roman"/>
                <w:sz w:val="20"/>
                <w:szCs w:val="18"/>
              </w:rPr>
            </w:pPr>
          </w:p>
        </w:tc>
        <w:tc>
          <w:tcPr>
            <w:tcW w:w="360" w:type="dxa"/>
            <w:shd w:val="clear" w:color="auto" w:fill="auto"/>
          </w:tcPr>
          <w:p w:rsidR="00A3316A" w:rsidRPr="00CC2E51" w:rsidRDefault="00A3316A" w:rsidP="00C67AE0">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653F7F">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450" w:type="dxa"/>
            <w:shd w:val="clear" w:color="auto" w:fill="auto"/>
          </w:tcPr>
          <w:p w:rsidR="00A3316A" w:rsidRPr="00CC2E51" w:rsidRDefault="00A3316A" w:rsidP="00C67AE0">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C67AE0">
            <w:pPr>
              <w:spacing w:after="0" w:line="240" w:lineRule="auto"/>
              <w:ind w:left="360"/>
              <w:jc w:val="center"/>
              <w:textAlignment w:val="top"/>
              <w:rPr>
                <w:rFonts w:ascii="Times New Roman" w:hAnsi="Times New Roman"/>
                <w:sz w:val="20"/>
                <w:szCs w:val="18"/>
              </w:rPr>
            </w:pPr>
          </w:p>
        </w:tc>
        <w:tc>
          <w:tcPr>
            <w:tcW w:w="450" w:type="dxa"/>
          </w:tcPr>
          <w:p w:rsidR="00A3316A" w:rsidRPr="00CC2E51" w:rsidRDefault="00A3316A" w:rsidP="00C67AE0">
            <w:pPr>
              <w:spacing w:after="0" w:line="240" w:lineRule="auto"/>
              <w:ind w:left="360"/>
              <w:jc w:val="center"/>
              <w:textAlignment w:val="top"/>
              <w:rPr>
                <w:rFonts w:ascii="Times New Roman" w:hAnsi="Times New Roman"/>
                <w:sz w:val="20"/>
                <w:szCs w:val="18"/>
              </w:rPr>
            </w:pPr>
          </w:p>
        </w:tc>
        <w:tc>
          <w:tcPr>
            <w:tcW w:w="540" w:type="dxa"/>
          </w:tcPr>
          <w:p w:rsidR="00A3316A" w:rsidRPr="00C67AE0" w:rsidRDefault="00A3316A" w:rsidP="00C67AE0">
            <w:pPr>
              <w:jc w:val="center"/>
              <w:rPr>
                <w:rFonts w:ascii="Times New Roman" w:hAnsi="Times New Roman"/>
                <w:sz w:val="20"/>
                <w:szCs w:val="18"/>
              </w:rPr>
            </w:pPr>
          </w:p>
        </w:tc>
        <w:tc>
          <w:tcPr>
            <w:tcW w:w="450" w:type="dxa"/>
          </w:tcPr>
          <w:p w:rsidR="00A3316A" w:rsidRPr="00CC2E51" w:rsidRDefault="00A3316A" w:rsidP="009A4AEC">
            <w:pPr>
              <w:spacing w:after="0" w:line="240" w:lineRule="auto"/>
              <w:ind w:left="360"/>
              <w:jc w:val="center"/>
              <w:textAlignment w:val="top"/>
              <w:rPr>
                <w:rFonts w:ascii="Times New Roman" w:hAnsi="Times New Roman"/>
                <w:sz w:val="20"/>
                <w:szCs w:val="18"/>
              </w:rPr>
            </w:pPr>
          </w:p>
        </w:tc>
        <w:tc>
          <w:tcPr>
            <w:tcW w:w="450" w:type="dxa"/>
          </w:tcPr>
          <w:p w:rsidR="00A3316A" w:rsidRPr="00CC2E51" w:rsidRDefault="00A3316A" w:rsidP="009A4AEC">
            <w:pPr>
              <w:spacing w:after="0" w:line="240" w:lineRule="auto"/>
              <w:jc w:val="center"/>
              <w:textAlignment w:val="top"/>
              <w:rPr>
                <w:rFonts w:ascii="Times New Roman" w:hAnsi="Times New Roman"/>
                <w:sz w:val="20"/>
                <w:szCs w:val="18"/>
              </w:rPr>
            </w:pPr>
          </w:p>
        </w:tc>
        <w:tc>
          <w:tcPr>
            <w:tcW w:w="1710" w:type="dxa"/>
          </w:tcPr>
          <w:p w:rsidR="00A3316A" w:rsidRPr="00C67AE0" w:rsidRDefault="00A3316A" w:rsidP="00CF3316">
            <w:pPr>
              <w:spacing w:after="0" w:line="240" w:lineRule="auto"/>
              <w:textAlignment w:val="top"/>
              <w:rPr>
                <w:rFonts w:ascii="Times New Roman" w:hAnsi="Times New Roman"/>
                <w:sz w:val="20"/>
                <w:szCs w:val="18"/>
              </w:rPr>
            </w:pPr>
            <w:r w:rsidRPr="00CC2E51">
              <w:rPr>
                <w:rFonts w:ascii="Times New Roman" w:hAnsi="Times New Roman"/>
                <w:sz w:val="20"/>
                <w:szCs w:val="18"/>
              </w:rPr>
              <w:t>Equipo BID</w:t>
            </w:r>
          </w:p>
        </w:tc>
        <w:tc>
          <w:tcPr>
            <w:tcW w:w="1170" w:type="dxa"/>
          </w:tcPr>
          <w:p w:rsidR="00A3316A" w:rsidRPr="00C67AE0" w:rsidRDefault="00A3316A" w:rsidP="00C67AE0">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Costo Fijo</w:t>
            </w:r>
          </w:p>
        </w:tc>
        <w:tc>
          <w:tcPr>
            <w:tcW w:w="1620" w:type="dxa"/>
          </w:tcPr>
          <w:p w:rsidR="00A3316A" w:rsidRDefault="00A3316A">
            <w:r w:rsidRPr="006F649A">
              <w:rPr>
                <w:rFonts w:ascii="Times New Roman" w:hAnsi="Times New Roman"/>
                <w:sz w:val="20"/>
                <w:szCs w:val="18"/>
              </w:rPr>
              <w:t>DR - L1067</w:t>
            </w:r>
          </w:p>
        </w:tc>
      </w:tr>
      <w:tr w:rsidR="00A3316A" w:rsidRPr="00866213" w:rsidTr="008F2EEC">
        <w:tc>
          <w:tcPr>
            <w:tcW w:w="3805" w:type="dxa"/>
          </w:tcPr>
          <w:p w:rsidR="00A3316A" w:rsidRPr="00CC2E51" w:rsidRDefault="00A3316A" w:rsidP="008A25B6">
            <w:pPr>
              <w:spacing w:after="0" w:line="240" w:lineRule="auto"/>
              <w:rPr>
                <w:rFonts w:ascii="Times New Roman" w:hAnsi="Times New Roman"/>
                <w:sz w:val="20"/>
                <w:szCs w:val="18"/>
              </w:rPr>
            </w:pPr>
            <w:r w:rsidRPr="00CC2E51">
              <w:rPr>
                <w:rFonts w:ascii="Times New Roman" w:hAnsi="Times New Roman"/>
                <w:sz w:val="20"/>
                <w:szCs w:val="18"/>
              </w:rPr>
              <w:t>Informe de Monitoreo del Progreso Expandido (XPMR)</w:t>
            </w:r>
          </w:p>
        </w:tc>
        <w:tc>
          <w:tcPr>
            <w:tcW w:w="505"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6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36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shd w:val="clear" w:color="auto" w:fill="auto"/>
          </w:tcPr>
          <w:p w:rsidR="00A3316A" w:rsidRPr="00CC2E51" w:rsidRDefault="00A3316A" w:rsidP="009A4AEC">
            <w:pPr>
              <w:spacing w:after="0" w:line="240" w:lineRule="auto"/>
              <w:jc w:val="center"/>
              <w:textAlignment w:val="top"/>
              <w:rPr>
                <w:rFonts w:ascii="Times New Roman" w:hAnsi="Times New Roman"/>
                <w:sz w:val="20"/>
                <w:szCs w:val="18"/>
              </w:rPr>
            </w:pPr>
          </w:p>
        </w:tc>
        <w:tc>
          <w:tcPr>
            <w:tcW w:w="450" w:type="dxa"/>
          </w:tcPr>
          <w:p w:rsidR="00A3316A" w:rsidRPr="00CC2E51" w:rsidRDefault="00A3316A" w:rsidP="009A4AEC">
            <w:pPr>
              <w:spacing w:after="0" w:line="240" w:lineRule="auto"/>
              <w:ind w:left="360"/>
              <w:jc w:val="center"/>
              <w:textAlignment w:val="top"/>
              <w:rPr>
                <w:rFonts w:ascii="Times New Roman" w:hAnsi="Times New Roman"/>
                <w:sz w:val="20"/>
                <w:szCs w:val="18"/>
              </w:rPr>
            </w:pPr>
          </w:p>
        </w:tc>
        <w:tc>
          <w:tcPr>
            <w:tcW w:w="540" w:type="dxa"/>
          </w:tcPr>
          <w:p w:rsidR="00A3316A" w:rsidRPr="00CC2E51" w:rsidRDefault="00A3316A" w:rsidP="009A4AEC">
            <w:pPr>
              <w:spacing w:after="0" w:line="240" w:lineRule="auto"/>
              <w:ind w:left="360"/>
              <w:jc w:val="center"/>
              <w:textAlignment w:val="top"/>
              <w:rPr>
                <w:rFonts w:ascii="Times New Roman" w:hAnsi="Times New Roman"/>
                <w:sz w:val="20"/>
                <w:szCs w:val="18"/>
              </w:rPr>
            </w:pPr>
          </w:p>
        </w:tc>
        <w:tc>
          <w:tcPr>
            <w:tcW w:w="450" w:type="dxa"/>
          </w:tcPr>
          <w:p w:rsidR="00A3316A" w:rsidRPr="00CC2E51" w:rsidRDefault="00A3316A" w:rsidP="009A4AEC">
            <w:pPr>
              <w:spacing w:after="0" w:line="240" w:lineRule="auto"/>
              <w:ind w:left="360"/>
              <w:jc w:val="center"/>
              <w:textAlignment w:val="top"/>
              <w:rPr>
                <w:rFonts w:ascii="Times New Roman" w:hAnsi="Times New Roman"/>
                <w:sz w:val="20"/>
                <w:szCs w:val="18"/>
              </w:rPr>
            </w:pPr>
          </w:p>
        </w:tc>
        <w:tc>
          <w:tcPr>
            <w:tcW w:w="450" w:type="dxa"/>
          </w:tcPr>
          <w:p w:rsidR="00A3316A" w:rsidRPr="00A16EB3" w:rsidRDefault="00A3316A" w:rsidP="009A4AEC">
            <w:pPr>
              <w:spacing w:after="0" w:line="240" w:lineRule="auto"/>
              <w:jc w:val="center"/>
              <w:textAlignment w:val="top"/>
              <w:rPr>
                <w:rFonts w:ascii="Times New Roman" w:hAnsi="Times New Roman"/>
                <w:sz w:val="20"/>
                <w:szCs w:val="18"/>
              </w:rPr>
            </w:pPr>
            <w:r w:rsidRPr="00CC2E51">
              <w:rPr>
                <w:rFonts w:ascii="Times New Roman" w:hAnsi="Times New Roman"/>
                <w:sz w:val="20"/>
                <w:szCs w:val="18"/>
              </w:rPr>
              <w:t>X</w:t>
            </w:r>
          </w:p>
        </w:tc>
        <w:tc>
          <w:tcPr>
            <w:tcW w:w="1710" w:type="dxa"/>
          </w:tcPr>
          <w:p w:rsidR="00A3316A" w:rsidRPr="00CC2E51" w:rsidRDefault="00A3316A" w:rsidP="00CF3316">
            <w:pPr>
              <w:spacing w:after="0" w:line="240" w:lineRule="auto"/>
              <w:textAlignment w:val="top"/>
              <w:rPr>
                <w:rFonts w:ascii="Times New Roman" w:hAnsi="Times New Roman"/>
                <w:sz w:val="20"/>
                <w:szCs w:val="18"/>
              </w:rPr>
            </w:pPr>
            <w:r w:rsidRPr="00CC2E51">
              <w:rPr>
                <w:rFonts w:ascii="Times New Roman" w:hAnsi="Times New Roman"/>
                <w:sz w:val="20"/>
                <w:szCs w:val="18"/>
              </w:rPr>
              <w:t>Equipo BID</w:t>
            </w:r>
          </w:p>
        </w:tc>
        <w:tc>
          <w:tcPr>
            <w:tcW w:w="1170" w:type="dxa"/>
          </w:tcPr>
          <w:p w:rsidR="00A3316A" w:rsidRPr="00CC2E51" w:rsidRDefault="00A3316A" w:rsidP="00CC2E51">
            <w:pPr>
              <w:spacing w:after="0" w:line="240" w:lineRule="auto"/>
              <w:textAlignment w:val="top"/>
              <w:rPr>
                <w:rFonts w:ascii="Times New Roman" w:eastAsia="Times New Roman" w:hAnsi="Times New Roman"/>
                <w:color w:val="000000"/>
                <w:sz w:val="20"/>
                <w:szCs w:val="18"/>
              </w:rPr>
            </w:pPr>
            <w:r w:rsidRPr="00CC2E51">
              <w:rPr>
                <w:rFonts w:ascii="Times New Roman" w:hAnsi="Times New Roman"/>
                <w:sz w:val="20"/>
                <w:szCs w:val="18"/>
              </w:rPr>
              <w:t>Costo Fijo</w:t>
            </w:r>
          </w:p>
        </w:tc>
        <w:tc>
          <w:tcPr>
            <w:tcW w:w="1620" w:type="dxa"/>
          </w:tcPr>
          <w:p w:rsidR="00A3316A" w:rsidRDefault="00A3316A">
            <w:r w:rsidRPr="006F649A">
              <w:rPr>
                <w:rFonts w:ascii="Times New Roman" w:hAnsi="Times New Roman"/>
                <w:sz w:val="20"/>
                <w:szCs w:val="18"/>
              </w:rPr>
              <w:t>DR - L1067</w:t>
            </w:r>
          </w:p>
        </w:tc>
      </w:tr>
      <w:tr w:rsidR="00A3316A" w:rsidRPr="00866213" w:rsidTr="008F2EEC">
        <w:tc>
          <w:tcPr>
            <w:tcW w:w="3805" w:type="dxa"/>
          </w:tcPr>
          <w:p w:rsidR="00A3316A" w:rsidRPr="00CC2E51" w:rsidRDefault="00A3316A" w:rsidP="008A25B6">
            <w:pPr>
              <w:spacing w:after="0" w:line="240" w:lineRule="auto"/>
              <w:jc w:val="right"/>
              <w:rPr>
                <w:rFonts w:ascii="Times New Roman" w:hAnsi="Times New Roman"/>
                <w:b/>
                <w:sz w:val="20"/>
                <w:szCs w:val="18"/>
              </w:rPr>
            </w:pPr>
          </w:p>
        </w:tc>
        <w:tc>
          <w:tcPr>
            <w:tcW w:w="8345" w:type="dxa"/>
            <w:gridSpan w:val="14"/>
          </w:tcPr>
          <w:p w:rsidR="00A3316A" w:rsidRPr="00A3316A" w:rsidRDefault="00A3316A" w:rsidP="008A25B6">
            <w:pPr>
              <w:spacing w:after="0" w:line="240" w:lineRule="auto"/>
              <w:ind w:left="360"/>
              <w:jc w:val="right"/>
              <w:textAlignment w:val="top"/>
              <w:rPr>
                <w:rFonts w:ascii="Times New Roman" w:hAnsi="Times New Roman"/>
                <w:b/>
                <w:sz w:val="20"/>
                <w:szCs w:val="18"/>
              </w:rPr>
            </w:pPr>
            <w:r w:rsidRPr="00A3316A">
              <w:rPr>
                <w:rFonts w:ascii="Times New Roman" w:hAnsi="Times New Roman"/>
                <w:b/>
                <w:sz w:val="20"/>
                <w:szCs w:val="18"/>
              </w:rPr>
              <w:t>Total Costo:</w:t>
            </w:r>
          </w:p>
        </w:tc>
        <w:tc>
          <w:tcPr>
            <w:tcW w:w="1620" w:type="dxa"/>
          </w:tcPr>
          <w:p w:rsidR="00A3316A" w:rsidRPr="00A3316A" w:rsidRDefault="00A3316A" w:rsidP="008A25B6">
            <w:pPr>
              <w:spacing w:after="0" w:line="240" w:lineRule="auto"/>
              <w:ind w:left="360"/>
              <w:jc w:val="both"/>
              <w:textAlignment w:val="top"/>
              <w:rPr>
                <w:rFonts w:ascii="Times New Roman" w:hAnsi="Times New Roman"/>
                <w:sz w:val="20"/>
                <w:szCs w:val="18"/>
              </w:rPr>
            </w:pPr>
            <w:r w:rsidRPr="00A3316A">
              <w:rPr>
                <w:rFonts w:ascii="Times New Roman" w:hAnsi="Times New Roman"/>
                <w:sz w:val="20"/>
                <w:szCs w:val="18"/>
              </w:rPr>
              <w:t xml:space="preserve">US$ </w:t>
            </w:r>
            <w:r w:rsidRPr="00A3316A">
              <w:rPr>
                <w:rFonts w:ascii="Times New Roman" w:eastAsia="Times New Roman" w:hAnsi="Times New Roman"/>
                <w:color w:val="000000"/>
                <w:sz w:val="20"/>
                <w:szCs w:val="18"/>
              </w:rPr>
              <w:t>2,500.000</w:t>
            </w:r>
          </w:p>
        </w:tc>
      </w:tr>
    </w:tbl>
    <w:p w:rsidR="001B5186" w:rsidRPr="00CC2E51" w:rsidRDefault="001B5186" w:rsidP="008A25B6">
      <w:pPr>
        <w:spacing w:after="0" w:line="240" w:lineRule="auto"/>
        <w:jc w:val="both"/>
        <w:rPr>
          <w:rFonts w:ascii="Times New Roman" w:hAnsi="Times New Roman"/>
        </w:rPr>
        <w:sectPr w:rsidR="001B5186" w:rsidRPr="00CC2E51" w:rsidSect="001516B2">
          <w:pgSz w:w="15840" w:h="12240" w:orient="landscape"/>
          <w:pgMar w:top="1440" w:right="1440" w:bottom="1627" w:left="1440" w:header="720" w:footer="720" w:gutter="0"/>
          <w:cols w:space="720"/>
          <w:docGrid w:linePitch="360"/>
        </w:sectPr>
      </w:pPr>
    </w:p>
    <w:p w:rsidR="000A4579" w:rsidRPr="00CC2E51" w:rsidRDefault="000A4579" w:rsidP="000A4579">
      <w:pPr>
        <w:pStyle w:val="ColorfulList-Accent11"/>
        <w:spacing w:after="0" w:line="240" w:lineRule="auto"/>
        <w:ind w:left="0"/>
        <w:rPr>
          <w:rFonts w:ascii="Times New Roman" w:hAnsi="Times New Roman"/>
        </w:rPr>
      </w:pPr>
    </w:p>
    <w:p w:rsidR="000A4579" w:rsidRDefault="000A4579" w:rsidP="000A4579">
      <w:pPr>
        <w:pStyle w:val="ColorfulList-Accent11"/>
        <w:numPr>
          <w:ilvl w:val="1"/>
          <w:numId w:val="3"/>
        </w:numPr>
        <w:spacing w:after="0" w:line="240" w:lineRule="auto"/>
        <w:jc w:val="both"/>
        <w:rPr>
          <w:rFonts w:ascii="Times New Roman" w:hAnsi="Times New Roman"/>
          <w:b/>
        </w:rPr>
      </w:pPr>
      <w:r w:rsidRPr="00CC2E51">
        <w:rPr>
          <w:rFonts w:ascii="Times New Roman" w:hAnsi="Times New Roman"/>
          <w:b/>
        </w:rPr>
        <w:t>Evaluación</w:t>
      </w:r>
    </w:p>
    <w:p w:rsidR="000A4579" w:rsidRPr="00427ABC" w:rsidRDefault="000A4579" w:rsidP="000A4579">
      <w:pPr>
        <w:pStyle w:val="ColorfulList-Accent11"/>
        <w:spacing w:after="0" w:line="240" w:lineRule="auto"/>
        <w:jc w:val="both"/>
        <w:rPr>
          <w:rFonts w:ascii="Times New Roman" w:hAnsi="Times New Roman"/>
          <w:b/>
        </w:rPr>
      </w:pPr>
    </w:p>
    <w:p w:rsidR="000A4579" w:rsidRDefault="000A4579" w:rsidP="000A4579">
      <w:pPr>
        <w:pStyle w:val="ColorfulList-Accent11"/>
        <w:numPr>
          <w:ilvl w:val="0"/>
          <w:numId w:val="5"/>
        </w:numPr>
        <w:spacing w:after="0" w:line="240" w:lineRule="auto"/>
        <w:ind w:left="1080"/>
        <w:jc w:val="both"/>
        <w:rPr>
          <w:rFonts w:ascii="Times New Roman" w:hAnsi="Times New Roman"/>
          <w:b/>
        </w:rPr>
      </w:pPr>
      <w:r>
        <w:rPr>
          <w:rFonts w:ascii="Times New Roman" w:hAnsi="Times New Roman"/>
          <w:b/>
        </w:rPr>
        <w:t>Principales preguntas de evaluación</w:t>
      </w:r>
    </w:p>
    <w:p w:rsidR="000A4579" w:rsidRDefault="000A4579" w:rsidP="000A4579">
      <w:pPr>
        <w:pStyle w:val="ColorfulList-Accent11"/>
        <w:spacing w:after="0" w:line="240" w:lineRule="auto"/>
        <w:jc w:val="both"/>
        <w:rPr>
          <w:rFonts w:ascii="Times New Roman" w:hAnsi="Times New Roman"/>
          <w:b/>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 xml:space="preserve">La evaluación propuesta para el proyecto se centra en el análisis del primer componente del préstamo </w:t>
      </w:r>
      <w:r w:rsidR="00983924">
        <w:rPr>
          <w:rFonts w:ascii="Times New Roman" w:hAnsi="Times New Roman"/>
        </w:rPr>
        <w:t>puesto que concentra</w:t>
      </w:r>
      <w:r>
        <w:rPr>
          <w:rFonts w:ascii="Times New Roman" w:hAnsi="Times New Roman"/>
        </w:rPr>
        <w:t xml:space="preserve"> la mayor parte de los recursos de la operación. Además, la posibilidad de evaluar el impacto del modelo de financiamiento basado en resultados en el sector salud constituye una oportunidad importante de generar conocimiento acerca de un tipo de intervención cada vez más popular en la región, pero en donde aún es necesario generar evidencia sobre su efectividad y replicabilidad.  </w:t>
      </w:r>
    </w:p>
    <w:p w:rsidR="000A4579" w:rsidRDefault="000A4579" w:rsidP="000A4579">
      <w:pPr>
        <w:pStyle w:val="ColorfulList-Accent11"/>
        <w:spacing w:after="0" w:line="240" w:lineRule="auto"/>
        <w:ind w:left="0"/>
        <w:jc w:val="both"/>
        <w:rPr>
          <w:rFonts w:ascii="Times New Roman" w:hAnsi="Times New Roman"/>
        </w:rPr>
      </w:pPr>
    </w:p>
    <w:p w:rsidR="000A4579" w:rsidRPr="007D1E66" w:rsidRDefault="000A4579" w:rsidP="000A4579">
      <w:pPr>
        <w:pStyle w:val="ColorfulList-Accent11"/>
        <w:spacing w:after="0" w:line="240" w:lineRule="auto"/>
        <w:ind w:left="0"/>
        <w:jc w:val="both"/>
        <w:rPr>
          <w:rFonts w:ascii="Times New Roman" w:hAnsi="Times New Roman"/>
        </w:rPr>
      </w:pPr>
      <w:r>
        <w:rPr>
          <w:rFonts w:ascii="Times New Roman" w:hAnsi="Times New Roman"/>
        </w:rPr>
        <w:t>Las principales preguntas de evaluación que se pretenden resolver con los análisis aquí propuestos están relacionadas con la estimación del impacto del financiamiento basado en resultados</w:t>
      </w:r>
      <w:r w:rsidR="0029362A">
        <w:rPr>
          <w:rFonts w:ascii="Times New Roman" w:hAnsi="Times New Roman"/>
        </w:rPr>
        <w:t>. Los</w:t>
      </w:r>
      <w:r>
        <w:rPr>
          <w:rFonts w:ascii="Times New Roman" w:hAnsi="Times New Roman"/>
        </w:rPr>
        <w:t xml:space="preserve"> indicadores</w:t>
      </w:r>
      <w:r w:rsidR="0029362A">
        <w:rPr>
          <w:rFonts w:ascii="Times New Roman" w:hAnsi="Times New Roman"/>
        </w:rPr>
        <w:t xml:space="preserve"> asociados y de interés para la evaluación son aquellos que miden</w:t>
      </w:r>
      <w:r w:rsidRPr="00A66337">
        <w:rPr>
          <w:rFonts w:ascii="Times New Roman" w:hAnsi="Times New Roman"/>
        </w:rPr>
        <w:t xml:space="preserve"> la gestión de los centr</w:t>
      </w:r>
      <w:r w:rsidR="004E774A">
        <w:rPr>
          <w:rFonts w:ascii="Times New Roman" w:hAnsi="Times New Roman"/>
        </w:rPr>
        <w:t>os de salud</w:t>
      </w:r>
      <w:r w:rsidRPr="00A66337">
        <w:rPr>
          <w:rFonts w:ascii="Times New Roman" w:hAnsi="Times New Roman"/>
        </w:rPr>
        <w:t xml:space="preserve"> </w:t>
      </w:r>
      <w:r w:rsidR="0029362A">
        <w:rPr>
          <w:rFonts w:ascii="Times New Roman" w:hAnsi="Times New Roman"/>
        </w:rPr>
        <w:t xml:space="preserve">y lo que proveen información sobre </w:t>
      </w:r>
      <w:r w:rsidRPr="00A66337">
        <w:rPr>
          <w:rFonts w:ascii="Times New Roman" w:hAnsi="Times New Roman"/>
        </w:rPr>
        <w:t>los resultados finales de salud de la población objetivo. Pensando en la teoría de cambio detrás de la intervención, se propone medir los cambios atribuibles a la intervención en resultados de: i) producción (recursos humanos y físicos); ii) acceso y cobertura; y iii) estado de salud de la población. De</w:t>
      </w:r>
      <w:r>
        <w:rPr>
          <w:rFonts w:ascii="Times New Roman" w:hAnsi="Times New Roman"/>
        </w:rPr>
        <w:t xml:space="preserve"> esta manera, no sólo será posible cuantificar el efecto del modelo en los indicadores básicos de salud de los individuos, sino que se podrá identificar el mecanismo por medio del cual se generan o no los cambios observados.</w:t>
      </w:r>
    </w:p>
    <w:p w:rsidR="000A4579" w:rsidRPr="005B24FE"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numPr>
          <w:ilvl w:val="0"/>
          <w:numId w:val="5"/>
        </w:numPr>
        <w:spacing w:after="0" w:line="240" w:lineRule="auto"/>
        <w:ind w:left="1080"/>
        <w:jc w:val="both"/>
        <w:rPr>
          <w:rFonts w:ascii="Times New Roman" w:hAnsi="Times New Roman"/>
          <w:b/>
        </w:rPr>
      </w:pPr>
      <w:r>
        <w:rPr>
          <w:rFonts w:ascii="Times New Roman" w:hAnsi="Times New Roman"/>
          <w:b/>
        </w:rPr>
        <w:t>Indicadores clave de resultado</w:t>
      </w:r>
    </w:p>
    <w:p w:rsidR="000A4579" w:rsidRPr="008D5C07" w:rsidRDefault="000A4579" w:rsidP="000A4579">
      <w:pPr>
        <w:pStyle w:val="ColorfulList-Accent11"/>
        <w:spacing w:after="0" w:line="240" w:lineRule="auto"/>
        <w:ind w:left="108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Los indicadores de resultado de la evaluación están directamente relacionados con aquellos incluidos en la matriz de resultados de la operación. Sin embargo, dado que, como se explicará más adelante, la evaluación está basada en datos secundarios existentes en el país, es necesario realizar ajustes en los indicadores de acuerdo con la disponibilidad de datos. Teniendo esta limitación en cuenta, la evaluación toma los siguientes indicadores clave de resultado:</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numPr>
          <w:ilvl w:val="0"/>
          <w:numId w:val="13"/>
        </w:numPr>
        <w:spacing w:after="0" w:line="240" w:lineRule="auto"/>
        <w:jc w:val="both"/>
        <w:rPr>
          <w:rFonts w:ascii="Times New Roman" w:hAnsi="Times New Roman"/>
        </w:rPr>
      </w:pPr>
      <w:r>
        <w:rPr>
          <w:rFonts w:ascii="Times New Roman" w:hAnsi="Times New Roman"/>
        </w:rPr>
        <w:t>Producción:</w:t>
      </w:r>
    </w:p>
    <w:p w:rsidR="000A4579" w:rsidRPr="00A30FB1" w:rsidRDefault="00A30FB1" w:rsidP="00A30FB1">
      <w:pPr>
        <w:pStyle w:val="ColorfulList-Accent11"/>
        <w:numPr>
          <w:ilvl w:val="1"/>
          <w:numId w:val="13"/>
        </w:numPr>
        <w:spacing w:after="0" w:line="240" w:lineRule="auto"/>
        <w:jc w:val="both"/>
        <w:rPr>
          <w:rFonts w:ascii="Times New Roman" w:hAnsi="Times New Roman"/>
          <w:lang w:val="pt-BR"/>
        </w:rPr>
      </w:pPr>
      <w:r w:rsidRPr="00A30FB1">
        <w:rPr>
          <w:rFonts w:ascii="Times New Roman" w:hAnsi="Times New Roman"/>
          <w:lang w:val="pt-BR"/>
        </w:rPr>
        <w:t xml:space="preserve">Número de consultas médicas </w:t>
      </w:r>
      <w:r>
        <w:rPr>
          <w:rFonts w:ascii="Times New Roman" w:hAnsi="Times New Roman"/>
          <w:lang w:val="pt-BR"/>
        </w:rPr>
        <w:t xml:space="preserve">outorgadas a menores de </w:t>
      </w:r>
      <w:r w:rsidR="00F758D2">
        <w:rPr>
          <w:rFonts w:ascii="Times New Roman" w:hAnsi="Times New Roman"/>
          <w:lang w:val="pt-BR"/>
        </w:rPr>
        <w:t>cinco</w:t>
      </w:r>
      <w:r>
        <w:rPr>
          <w:rFonts w:ascii="Times New Roman" w:hAnsi="Times New Roman"/>
          <w:lang w:val="pt-BR"/>
        </w:rPr>
        <w:t xml:space="preserve"> a</w:t>
      </w:r>
      <w:r>
        <w:rPr>
          <w:rFonts w:ascii="Times New Roman" w:hAnsi="Times New Roman"/>
        </w:rPr>
        <w:t>ñ</w:t>
      </w:r>
      <w:r>
        <w:rPr>
          <w:rFonts w:ascii="Times New Roman" w:hAnsi="Times New Roman"/>
          <w:lang w:val="pt-BR"/>
        </w:rPr>
        <w:t>os</w:t>
      </w:r>
    </w:p>
    <w:p w:rsidR="00A30FB1" w:rsidRPr="00A30FB1" w:rsidRDefault="00A30FB1" w:rsidP="00A30FB1">
      <w:pPr>
        <w:pStyle w:val="ColorfulList-Accent11"/>
        <w:numPr>
          <w:ilvl w:val="1"/>
          <w:numId w:val="13"/>
        </w:numPr>
        <w:spacing w:after="0" w:line="240" w:lineRule="auto"/>
        <w:jc w:val="both"/>
        <w:rPr>
          <w:rFonts w:ascii="Times New Roman" w:hAnsi="Times New Roman"/>
          <w:lang w:val="pt-BR"/>
        </w:rPr>
      </w:pPr>
      <w:r w:rsidRPr="00A30FB1">
        <w:rPr>
          <w:rFonts w:ascii="Times New Roman" w:hAnsi="Times New Roman"/>
          <w:lang w:val="pt-BR"/>
        </w:rPr>
        <w:t xml:space="preserve">Número de consultas </w:t>
      </w:r>
      <w:r>
        <w:rPr>
          <w:rFonts w:ascii="Times New Roman" w:hAnsi="Times New Roman"/>
          <w:lang w:val="pt-BR"/>
        </w:rPr>
        <w:t xml:space="preserve">de control prenatal </w:t>
      </w:r>
      <w:r w:rsidRPr="00A30FB1">
        <w:rPr>
          <w:rFonts w:ascii="Times New Roman" w:hAnsi="Times New Roman"/>
          <w:lang w:val="pt-BR"/>
        </w:rPr>
        <w:t xml:space="preserve">médicas </w:t>
      </w:r>
      <w:r>
        <w:rPr>
          <w:rFonts w:ascii="Times New Roman" w:hAnsi="Times New Roman"/>
          <w:lang w:val="pt-BR"/>
        </w:rPr>
        <w:t>outorgadas a mujeres embarazadas</w:t>
      </w:r>
    </w:p>
    <w:p w:rsidR="00A30FB1" w:rsidRPr="00A30FB1" w:rsidRDefault="00A30FB1" w:rsidP="00A30FB1">
      <w:pPr>
        <w:pStyle w:val="ColorfulList-Accent11"/>
        <w:numPr>
          <w:ilvl w:val="1"/>
          <w:numId w:val="13"/>
        </w:numPr>
        <w:spacing w:after="0" w:line="240" w:lineRule="auto"/>
        <w:jc w:val="both"/>
        <w:rPr>
          <w:rFonts w:ascii="Times New Roman" w:hAnsi="Times New Roman"/>
          <w:lang w:val="pt-BR"/>
        </w:rPr>
      </w:pPr>
      <w:r w:rsidRPr="00A30FB1">
        <w:rPr>
          <w:rFonts w:ascii="Times New Roman" w:hAnsi="Times New Roman"/>
          <w:lang w:val="pt-BR"/>
        </w:rPr>
        <w:t xml:space="preserve">Número de consultas </w:t>
      </w:r>
      <w:r>
        <w:rPr>
          <w:rFonts w:ascii="Times New Roman" w:hAnsi="Times New Roman"/>
          <w:lang w:val="pt-BR"/>
        </w:rPr>
        <w:t>preventivas outorgadas a mayores de 18 a</w:t>
      </w:r>
      <w:r>
        <w:rPr>
          <w:rFonts w:ascii="Times New Roman" w:hAnsi="Times New Roman"/>
        </w:rPr>
        <w:t>ñ</w:t>
      </w:r>
      <w:r>
        <w:rPr>
          <w:rFonts w:ascii="Times New Roman" w:hAnsi="Times New Roman"/>
          <w:lang w:val="pt-BR"/>
        </w:rPr>
        <w:t xml:space="preserve">os </w:t>
      </w:r>
    </w:p>
    <w:p w:rsidR="000A4579" w:rsidRDefault="000A4579" w:rsidP="000A4579">
      <w:pPr>
        <w:pStyle w:val="ColorfulList-Accent11"/>
        <w:numPr>
          <w:ilvl w:val="0"/>
          <w:numId w:val="13"/>
        </w:numPr>
        <w:spacing w:after="0" w:line="240" w:lineRule="auto"/>
        <w:jc w:val="both"/>
        <w:rPr>
          <w:rFonts w:ascii="Times New Roman" w:hAnsi="Times New Roman"/>
        </w:rPr>
      </w:pPr>
      <w:r>
        <w:rPr>
          <w:rFonts w:ascii="Times New Roman" w:hAnsi="Times New Roman"/>
        </w:rPr>
        <w:t>Acceso y cobertura:</w:t>
      </w:r>
    </w:p>
    <w:p w:rsidR="000A4579"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Proporción de población menor de un año con esquema de vacunación completo</w:t>
      </w:r>
    </w:p>
    <w:p w:rsidR="000A4579"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Proporción de nacimientos cuyas madres reciben atención de personal profesional durante el embarazo (en cinco años)</w:t>
      </w:r>
    </w:p>
    <w:p w:rsidR="000A4579"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 xml:space="preserve">Proporción de nacimientos en establecimientos de salud </w:t>
      </w:r>
    </w:p>
    <w:p w:rsidR="000A4579" w:rsidRPr="001C18C0"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Proporción de nacimientos cuyas madres reciben atención de personal profesional durante el parto (en cinco años)</w:t>
      </w:r>
    </w:p>
    <w:p w:rsidR="000A4579" w:rsidRDefault="000A4579" w:rsidP="000A4579">
      <w:pPr>
        <w:pStyle w:val="ColorfulList-Accent11"/>
        <w:numPr>
          <w:ilvl w:val="0"/>
          <w:numId w:val="13"/>
        </w:numPr>
        <w:spacing w:after="0" w:line="240" w:lineRule="auto"/>
        <w:jc w:val="both"/>
        <w:rPr>
          <w:rFonts w:ascii="Times New Roman" w:hAnsi="Times New Roman"/>
        </w:rPr>
      </w:pPr>
      <w:r>
        <w:rPr>
          <w:rFonts w:ascii="Times New Roman" w:hAnsi="Times New Roman"/>
        </w:rPr>
        <w:t>Estado de salud:</w:t>
      </w:r>
    </w:p>
    <w:p w:rsidR="000A4579"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 xml:space="preserve">Casos de </w:t>
      </w:r>
      <w:r w:rsidR="00A30FB1">
        <w:rPr>
          <w:rFonts w:ascii="Times New Roman" w:hAnsi="Times New Roman"/>
        </w:rPr>
        <w:t xml:space="preserve">sepsis neonatal </w:t>
      </w:r>
      <w:r>
        <w:rPr>
          <w:rFonts w:ascii="Times New Roman" w:hAnsi="Times New Roman"/>
        </w:rPr>
        <w:t>por 1</w:t>
      </w:r>
      <w:r w:rsidR="00A30FB1">
        <w:rPr>
          <w:rFonts w:ascii="Times New Roman" w:hAnsi="Times New Roman"/>
        </w:rPr>
        <w:t>,</w:t>
      </w:r>
      <w:r>
        <w:rPr>
          <w:rFonts w:ascii="Times New Roman" w:hAnsi="Times New Roman"/>
        </w:rPr>
        <w:t>00</w:t>
      </w:r>
      <w:r w:rsidR="00A30FB1">
        <w:rPr>
          <w:rFonts w:ascii="Times New Roman" w:hAnsi="Times New Roman"/>
        </w:rPr>
        <w:t>0</w:t>
      </w:r>
      <w:r>
        <w:rPr>
          <w:rFonts w:ascii="Times New Roman" w:hAnsi="Times New Roman"/>
        </w:rPr>
        <w:t xml:space="preserve"> nacidos vivos</w:t>
      </w:r>
    </w:p>
    <w:p w:rsidR="000A4579"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Casos de desnutrición crónica por 100 mil menores de cinco años</w:t>
      </w:r>
    </w:p>
    <w:p w:rsidR="000A4579" w:rsidRDefault="000A4579"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Casos de mortalidad materna por 100 mil nacidos vivos</w:t>
      </w:r>
    </w:p>
    <w:p w:rsidR="000A4579" w:rsidRPr="000427C9" w:rsidRDefault="000A4579" w:rsidP="000A4579">
      <w:pPr>
        <w:pStyle w:val="ColorfulList-Accent11"/>
        <w:numPr>
          <w:ilvl w:val="1"/>
          <w:numId w:val="13"/>
        </w:numPr>
        <w:spacing w:after="0" w:line="240" w:lineRule="auto"/>
        <w:jc w:val="both"/>
        <w:rPr>
          <w:rFonts w:ascii="Times New Roman" w:hAnsi="Times New Roman"/>
        </w:rPr>
      </w:pPr>
      <w:r w:rsidRPr="000427C9">
        <w:rPr>
          <w:rFonts w:ascii="Times New Roman" w:hAnsi="Times New Roman"/>
        </w:rPr>
        <w:t>Casos de mortalidad infantil por 1,000 menores de un año</w:t>
      </w:r>
    </w:p>
    <w:p w:rsidR="000A4579" w:rsidRDefault="00A30FB1" w:rsidP="000A4579">
      <w:pPr>
        <w:pStyle w:val="ColorfulList-Accent11"/>
        <w:numPr>
          <w:ilvl w:val="1"/>
          <w:numId w:val="13"/>
        </w:numPr>
        <w:spacing w:after="0" w:line="240" w:lineRule="auto"/>
        <w:jc w:val="both"/>
        <w:rPr>
          <w:rFonts w:ascii="Times New Roman" w:hAnsi="Times New Roman"/>
        </w:rPr>
      </w:pPr>
      <w:r>
        <w:rPr>
          <w:rFonts w:ascii="Times New Roman" w:hAnsi="Times New Roman"/>
        </w:rPr>
        <w:t xml:space="preserve">Casos </w:t>
      </w:r>
      <w:r w:rsidR="000A4579">
        <w:rPr>
          <w:rFonts w:ascii="Times New Roman" w:hAnsi="Times New Roman"/>
        </w:rPr>
        <w:t xml:space="preserve">de </w:t>
      </w:r>
      <w:r>
        <w:rPr>
          <w:rFonts w:ascii="Times New Roman" w:hAnsi="Times New Roman"/>
        </w:rPr>
        <w:t>mortalidad</w:t>
      </w:r>
      <w:r w:rsidR="000A4579">
        <w:rPr>
          <w:rFonts w:ascii="Times New Roman" w:hAnsi="Times New Roman"/>
        </w:rPr>
        <w:t xml:space="preserve"> por </w:t>
      </w:r>
      <w:r>
        <w:rPr>
          <w:rFonts w:ascii="Times New Roman" w:hAnsi="Times New Roman"/>
        </w:rPr>
        <w:t xml:space="preserve">tuberculosis </w:t>
      </w:r>
    </w:p>
    <w:p w:rsidR="000A4579" w:rsidRDefault="000A4579" w:rsidP="000A4579">
      <w:pPr>
        <w:pStyle w:val="ColorfulList-Accent11"/>
        <w:spacing w:after="0" w:line="240" w:lineRule="auto"/>
        <w:ind w:left="0"/>
        <w:jc w:val="both"/>
        <w:rPr>
          <w:rFonts w:ascii="Times New Roman" w:hAnsi="Times New Roman"/>
        </w:rPr>
      </w:pPr>
    </w:p>
    <w:p w:rsidR="000A4579" w:rsidRPr="008D5C07" w:rsidRDefault="000A4579" w:rsidP="000A4579">
      <w:pPr>
        <w:pStyle w:val="ColorfulList-Accent11"/>
        <w:spacing w:after="0" w:line="240" w:lineRule="auto"/>
        <w:ind w:left="0"/>
        <w:jc w:val="both"/>
        <w:rPr>
          <w:rFonts w:ascii="Times New Roman" w:hAnsi="Times New Roman"/>
        </w:rPr>
      </w:pPr>
      <w:r>
        <w:rPr>
          <w:rFonts w:ascii="Times New Roman" w:hAnsi="Times New Roman"/>
        </w:rPr>
        <w:t>Estos indicadores serán ajustados en la medida en que se tenga un mejor entendimiento de la información disponible con el  fin de lograr una mayor consistencia con la matriz de resultados del proyecto y de resolver las preguntas de interés prioritario para el país como es el tema de acceso a aseguramiento en salud. Los indicadores incluidos en este listado están disponibles con representatividad nacional, regional y hasta provincial, dependiendo de la fuente utilizada.</w:t>
      </w:r>
    </w:p>
    <w:p w:rsidR="000A4579" w:rsidRDefault="000A4579" w:rsidP="000A4579">
      <w:pPr>
        <w:pStyle w:val="ColorfulList-Accent11"/>
        <w:spacing w:after="0" w:line="240" w:lineRule="auto"/>
        <w:ind w:left="1080"/>
        <w:jc w:val="both"/>
        <w:rPr>
          <w:rFonts w:ascii="Times New Roman" w:hAnsi="Times New Roman"/>
          <w:b/>
        </w:rPr>
      </w:pPr>
    </w:p>
    <w:p w:rsidR="000A4579" w:rsidRDefault="000A4579" w:rsidP="000A4579">
      <w:pPr>
        <w:pStyle w:val="ColorfulList-Accent11"/>
        <w:numPr>
          <w:ilvl w:val="0"/>
          <w:numId w:val="5"/>
        </w:numPr>
        <w:spacing w:after="0" w:line="240" w:lineRule="auto"/>
        <w:ind w:left="1080"/>
        <w:jc w:val="both"/>
        <w:rPr>
          <w:rFonts w:ascii="Times New Roman" w:hAnsi="Times New Roman"/>
          <w:b/>
        </w:rPr>
      </w:pPr>
      <w:r>
        <w:rPr>
          <w:rFonts w:ascii="Times New Roman" w:hAnsi="Times New Roman"/>
          <w:b/>
        </w:rPr>
        <w:t>Metodología de evaluación</w:t>
      </w:r>
    </w:p>
    <w:p w:rsidR="000A4579" w:rsidRDefault="000A4579" w:rsidP="000A4579">
      <w:pPr>
        <w:pStyle w:val="ColorfulList-Accent11"/>
        <w:spacing w:after="0" w:line="240" w:lineRule="auto"/>
        <w:ind w:left="0"/>
        <w:jc w:val="both"/>
        <w:rPr>
          <w:rFonts w:ascii="Times New Roman" w:hAnsi="Times New Roman"/>
          <w:b/>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El desarrollo de una evaluación de impacto rigurosa del modelo de financiamiento basado en resultados que se va a financiar con esta operación presenta retos importantes. En primer lugar, dado que la unidad de tratamiento principal es la región de salud, son pocas las observaciones disponibles en un país tan pequeño, a saber: sólo existen nueve regiones de salud y, por lo tanto, nueve unidades de análisis. En segundo lugar, dado que ya dos de la regiones han sido intervenidas, que una lo será este año y que cinco lo serán simultáneamente a partir de 2014, sólo queda una región sin intervención, lo que dificulta encontrar un grupo de comparación valido para realizar la evaluación. Aún más, teniendo en cuenta que la región que queda por fuera es Santo Domingo, la capital, la estrategia de identificación se hace incluso más complicada.</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Teniendo en cuenta estas limitaciones, la evaluación aquí propuesta plantea dos tipos de análisis: retrospectivo y prospectivo. El análisis retrospectivo busca cuantificar el impacto del modelo de financiamiento basado en resultados en las dos regiones ya intervenidas desde 2010. Por su parte, el análisis prospectivo busca medir el impacto inverso de la intervención, es decir, el impacto de no tener el financiamiento basado en resultados en Santo Domingo (mientras que todas las demás regiones lo tienen). Obviamente, este último ejercicio debe tener en consideración que la capital, Santo Domingo, es diferente de las demás regiones del país, por lo que puede ser necesario limitar el análisis a ciertas áreas de la ciudad que sean más comparables con el resto del país.</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 xml:space="preserve">Para realizar los análisis mencionados se utilizará la metodología de controles sintéticos que utiliza series de tiempo para las unidades tratadas y las no tratadas, y construye un control ficticio que simula muy de cerca la tendencia de la unidad tratada antes del tratamiento. De esta manera, es posible tener una aproximación al contrafactual, es decir, a lo que sucedería en la ausencia de la intervención, para después comparar con lo observado bajo la intervención. Bajo esta metodología, la diferencia en los indicadores de interés, después de la intervención, entre la unidad tratada y el control sintético, constituye el impacto del proyecto. </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Esta metodología requiere idealmente de series de tiempo largas, así como de un universo numeroso de potenciales controles, para construir con mayor precisión el control sintético. Sin embargo, es posible aplicarla con mínimo dos observaciones anteriores a la intervención y un grupo de potenciales controles. En República Dominicana están disponibles dos fuentes de datos importantes que cumplen con estos requisitos. Primero, están los datos administrativos del Ministerio de Salud Pública que se publican anualmente en el reporte de Indicadores Básicos de Salud. Estos datos están disponibles desde 2008, y para algunos años entre 1999 y 2003. Segundo, están los datos de la Encuesta de Demografía y Salud (ENDESA) que se ha realizado en el país en 1986, 1991, 1996, 1999, 2002, 2007 y está actualmente en campo la de 2013. Si bien estas dos fuentes tienen limitaciones importantes en cuanto a la calidad de los datos (e.g. subregistro) y su comparabilidad a través de los años, constituyen un recurso valioso que utilizado con precaución puede permitir llevar a cabo la evaluación propuesta. Los indicadores presentados en la sección anterior provienen, precisamente, de alguna de estas dos fuentes de datos.</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numPr>
          <w:ilvl w:val="0"/>
          <w:numId w:val="5"/>
        </w:numPr>
        <w:spacing w:after="0" w:line="240" w:lineRule="auto"/>
        <w:ind w:left="1080"/>
        <w:jc w:val="both"/>
        <w:rPr>
          <w:rFonts w:ascii="Times New Roman" w:hAnsi="Times New Roman"/>
          <w:b/>
        </w:rPr>
      </w:pPr>
      <w:r>
        <w:rPr>
          <w:rFonts w:ascii="Times New Roman" w:hAnsi="Times New Roman"/>
          <w:b/>
        </w:rPr>
        <w:t>Aspectos técnicos de la metodología propuesta</w:t>
      </w:r>
    </w:p>
    <w:p w:rsidR="000A4579" w:rsidRPr="002948AD"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La metodología de los controles sintéticos fue desarrollada por Abadie y Gardeazabal (2003) como una herramienta de evaluación de impacto que permite construir un estimado de lo que hubiera pasado en la ausencia de un programa y, por consiguiente, proporciona una forma de cuantificar el impacto del programa, al comparar dicho estimado con el resultado observado b</w:t>
      </w:r>
      <w:r w:rsidR="00F758D2">
        <w:rPr>
          <w:rFonts w:ascii="Times New Roman" w:hAnsi="Times New Roman"/>
        </w:rPr>
        <w:t>ajo el programa en cuestión. La </w:t>
      </w:r>
      <w:r>
        <w:rPr>
          <w:rFonts w:ascii="Times New Roman" w:hAnsi="Times New Roman"/>
        </w:rPr>
        <w:t>metodología se basa en la generación de un control sintético que replique a nivel agregado los resultados de interés de la unidad bajo tratamiento, durante los periodos anteriores a la entrada en operación del programa. El control sintético se obtiene a través de un algoritmo que selecciona unidades de control de manera que se minimicen las diferencias observadas en una serie de características agregadas entre la unidad de tratamiento y el control sintético. Este algoritmo otorga ponderaciones a cada control y característica para replicar la unidad tratada con la mayor precisión posible.</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De esta manera, se logra una unidad de control que, al momento de la intervención (y en los periodos anteriores), sólo se diferencia de la unidad tratada en que no recibe el tratamiento. Cuando se obtiene un control sintético que replica con precisión la tendencia de la unidad tratada antes de la intervención, se puede asumir que la tendencia del control sintético después de la intervención corresponde a lo que le hubiera pasado a la unidad tratada en la ausencia del programa. Por lo tanto, la comparación del control sintético y la unidad tratada después de la intervención corresponde al impacto del programa.</w:t>
      </w:r>
    </w:p>
    <w:p w:rsidR="000A4579" w:rsidRDefault="000A4579" w:rsidP="000A4579">
      <w:pPr>
        <w:pStyle w:val="ColorfulList-Accent11"/>
        <w:spacing w:after="0" w:line="240" w:lineRule="auto"/>
        <w:ind w:left="0"/>
        <w:jc w:val="both"/>
        <w:rPr>
          <w:rFonts w:ascii="Times New Roman" w:hAnsi="Times New Roman"/>
        </w:rPr>
      </w:pPr>
    </w:p>
    <w:p w:rsidR="000A4579" w:rsidRPr="002948AD" w:rsidRDefault="000A4579" w:rsidP="000A4579">
      <w:pPr>
        <w:pStyle w:val="ColorfulList-Accent11"/>
        <w:spacing w:after="0" w:line="240" w:lineRule="auto"/>
        <w:ind w:left="0"/>
        <w:jc w:val="both"/>
        <w:rPr>
          <w:rFonts w:ascii="Times New Roman" w:hAnsi="Times New Roman"/>
        </w:rPr>
      </w:pPr>
      <w:r>
        <w:rPr>
          <w:rFonts w:ascii="Times New Roman" w:hAnsi="Times New Roman"/>
        </w:rPr>
        <w:t>Como se menciona en la sección anterior, si bien esta metodología puede aplicarse con tan sólo dos observaciones anteriores a la entrada en operación del programa y un grupo de potenciales controles, la calidad de la estimación mejora en la medida en que hay una serie de tiempo más larga, un universo de controles más grande y una variedad de características observadas mayor. En casos en los que se considere necesario hacer pruebas de robustez de la validez del contrafactual, se puede verificar el balance entre la unidad tratada y el control sintético en variables dependientes e independientes, e incluso realizar pruebas de placebo utilizando regiones o periodos de tiempo que no son relevantes para el programa estudiado.</w:t>
      </w:r>
    </w:p>
    <w:p w:rsidR="000A4579" w:rsidRPr="002948AD" w:rsidRDefault="000A4579" w:rsidP="000A4579">
      <w:pPr>
        <w:pStyle w:val="ColorfulList-Accent11"/>
        <w:spacing w:after="0" w:line="240" w:lineRule="auto"/>
        <w:ind w:left="0"/>
        <w:jc w:val="both"/>
        <w:rPr>
          <w:rFonts w:ascii="Times New Roman" w:hAnsi="Times New Roman"/>
        </w:rPr>
      </w:pPr>
    </w:p>
    <w:p w:rsidR="000A4579" w:rsidRPr="005B24FE" w:rsidRDefault="000A4579" w:rsidP="000A4579">
      <w:pPr>
        <w:pStyle w:val="ColorfulList-Accent11"/>
        <w:spacing w:after="0" w:line="240" w:lineRule="auto"/>
        <w:ind w:left="0"/>
        <w:jc w:val="both"/>
        <w:rPr>
          <w:rFonts w:ascii="Times New Roman" w:hAnsi="Times New Roman"/>
        </w:rPr>
      </w:pPr>
    </w:p>
    <w:p w:rsidR="000A4579" w:rsidRPr="005B24FE" w:rsidRDefault="000A4579" w:rsidP="000A4579">
      <w:pPr>
        <w:pStyle w:val="ColorfulList-Accent11"/>
        <w:numPr>
          <w:ilvl w:val="0"/>
          <w:numId w:val="5"/>
        </w:numPr>
        <w:spacing w:after="0" w:line="240" w:lineRule="auto"/>
        <w:ind w:left="1080"/>
        <w:jc w:val="both"/>
        <w:rPr>
          <w:rFonts w:ascii="Times New Roman" w:hAnsi="Times New Roman"/>
          <w:b/>
        </w:rPr>
      </w:pPr>
      <w:r w:rsidRPr="00CC2E51">
        <w:rPr>
          <w:rFonts w:ascii="Times New Roman" w:hAnsi="Times New Roman"/>
          <w:b/>
        </w:rPr>
        <w:t>Reporte de los resultados</w:t>
      </w:r>
      <w:r>
        <w:rPr>
          <w:rFonts w:ascii="Times New Roman" w:hAnsi="Times New Roman"/>
          <w:b/>
        </w:rPr>
        <w:t xml:space="preserve"> de la evaluación</w:t>
      </w:r>
    </w:p>
    <w:p w:rsidR="000A4579" w:rsidRDefault="000A4579" w:rsidP="000A4579">
      <w:pPr>
        <w:pStyle w:val="ListParagrap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r>
        <w:rPr>
          <w:rFonts w:ascii="Times New Roman" w:hAnsi="Times New Roman"/>
        </w:rPr>
        <w:t>Los resultados de la evaluación propuesta serán presentados a través de informes de evaluación que serán compartidos con las contrapartes en el gobierno y otros sectores relevantes. Además se podrá participar en eventos como seminarios en los que se presenten los resultados obtenidos.</w:t>
      </w: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pPr>
    </w:p>
    <w:p w:rsidR="000A4579" w:rsidRDefault="000A4579" w:rsidP="000A4579">
      <w:pPr>
        <w:pStyle w:val="ColorfulList-Accent11"/>
        <w:spacing w:after="0" w:line="240" w:lineRule="auto"/>
        <w:ind w:left="0"/>
        <w:jc w:val="both"/>
        <w:rPr>
          <w:rFonts w:ascii="Times New Roman" w:hAnsi="Times New Roman"/>
        </w:rPr>
        <w:sectPr w:rsidR="000A4579" w:rsidSect="001421E3">
          <w:pgSz w:w="12240" w:h="15840"/>
          <w:pgMar w:top="1440" w:right="1627" w:bottom="1440" w:left="1440" w:header="720" w:footer="720" w:gutter="0"/>
          <w:cols w:space="720"/>
          <w:docGrid w:linePitch="360"/>
        </w:sectPr>
      </w:pPr>
    </w:p>
    <w:p w:rsidR="000A4579" w:rsidRPr="00B83663" w:rsidRDefault="000A4579" w:rsidP="000A4579">
      <w:pPr>
        <w:pStyle w:val="ColorfulList-Accent11"/>
        <w:numPr>
          <w:ilvl w:val="0"/>
          <w:numId w:val="5"/>
        </w:numPr>
        <w:spacing w:after="0" w:line="240" w:lineRule="auto"/>
        <w:ind w:left="1080"/>
        <w:jc w:val="both"/>
        <w:rPr>
          <w:rFonts w:ascii="Times New Roman" w:hAnsi="Times New Roman"/>
          <w:b/>
        </w:rPr>
      </w:pPr>
      <w:r w:rsidRPr="00B83663">
        <w:rPr>
          <w:rFonts w:ascii="Times New Roman" w:hAnsi="Times New Roman"/>
          <w:b/>
        </w:rPr>
        <w:t xml:space="preserve">Plan de trabajo para la evaluación </w:t>
      </w:r>
    </w:p>
    <w:p w:rsidR="000A4579" w:rsidRPr="00CC2E51" w:rsidRDefault="000A4579" w:rsidP="000A4579">
      <w:pPr>
        <w:spacing w:after="0" w:line="240" w:lineRule="auto"/>
        <w:jc w:val="center"/>
        <w:rPr>
          <w:rFonts w:ascii="Times New Roman" w:hAnsi="Times New Roman"/>
          <w:sz w:val="20"/>
          <w:szCs w:val="20"/>
        </w:rPr>
      </w:pPr>
    </w:p>
    <w:p w:rsidR="000A4579" w:rsidRPr="00CC2E51" w:rsidRDefault="000A4579" w:rsidP="000A4579">
      <w:pPr>
        <w:spacing w:after="0" w:line="240" w:lineRule="auto"/>
        <w:jc w:val="center"/>
        <w:rPr>
          <w:rFonts w:ascii="Times New Roman" w:hAnsi="Times New Roman"/>
          <w:b/>
          <w:sz w:val="20"/>
          <w:szCs w:val="20"/>
        </w:rPr>
      </w:pPr>
      <w:r w:rsidRPr="00CC2E51">
        <w:rPr>
          <w:rFonts w:ascii="Times New Roman" w:hAnsi="Times New Roman"/>
          <w:b/>
          <w:sz w:val="20"/>
          <w:szCs w:val="20"/>
        </w:rPr>
        <w:t xml:space="preserve">Tabla </w:t>
      </w:r>
      <w:r w:rsidR="00DE467F">
        <w:rPr>
          <w:rFonts w:ascii="Times New Roman" w:hAnsi="Times New Roman"/>
          <w:b/>
          <w:sz w:val="20"/>
          <w:szCs w:val="20"/>
        </w:rPr>
        <w:t>3</w:t>
      </w:r>
    </w:p>
    <w:p w:rsidR="000A4579" w:rsidRPr="00CC2E51" w:rsidRDefault="000A4579" w:rsidP="000A4579">
      <w:pPr>
        <w:spacing w:after="0" w:line="240" w:lineRule="auto"/>
        <w:jc w:val="center"/>
        <w:rPr>
          <w:rFonts w:ascii="Times New Roman" w:hAnsi="Times New Roman"/>
          <w:b/>
          <w:sz w:val="20"/>
          <w:szCs w:val="20"/>
        </w:rPr>
      </w:pPr>
      <w:r w:rsidRPr="00CC2E51">
        <w:rPr>
          <w:rFonts w:ascii="Times New Roman" w:hAnsi="Times New Roman"/>
          <w:b/>
          <w:sz w:val="20"/>
          <w:szCs w:val="20"/>
        </w:rPr>
        <w:t>Plan de trabajo para la evaluación de impacto</w:t>
      </w:r>
    </w:p>
    <w:p w:rsidR="000A4579" w:rsidRPr="00CC2E51" w:rsidRDefault="000A4579" w:rsidP="000A4579">
      <w:pPr>
        <w:spacing w:after="0" w:line="240" w:lineRule="auto"/>
        <w:jc w:val="both"/>
        <w:rPr>
          <w:rFonts w:ascii="Times New Roman" w:hAnsi="Times New Roman"/>
        </w:rPr>
      </w:pPr>
    </w:p>
    <w:tbl>
      <w:tblPr>
        <w:tblW w:w="13267" w:type="dxa"/>
        <w:jc w:val="center"/>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7"/>
        <w:gridCol w:w="450"/>
        <w:gridCol w:w="360"/>
        <w:gridCol w:w="450"/>
        <w:gridCol w:w="451"/>
        <w:gridCol w:w="360"/>
        <w:gridCol w:w="360"/>
        <w:gridCol w:w="360"/>
        <w:gridCol w:w="360"/>
        <w:gridCol w:w="382"/>
        <w:gridCol w:w="383"/>
        <w:gridCol w:w="382"/>
        <w:gridCol w:w="293"/>
        <w:gridCol w:w="405"/>
        <w:gridCol w:w="405"/>
        <w:gridCol w:w="405"/>
        <w:gridCol w:w="404"/>
        <w:gridCol w:w="1260"/>
        <w:gridCol w:w="990"/>
        <w:gridCol w:w="1260"/>
      </w:tblGrid>
      <w:tr w:rsidR="000A4579" w:rsidRPr="00866213" w:rsidTr="00505DA3">
        <w:trPr>
          <w:jc w:val="center"/>
        </w:trPr>
        <w:tc>
          <w:tcPr>
            <w:tcW w:w="3547" w:type="dxa"/>
          </w:tcPr>
          <w:p w:rsidR="000A4579" w:rsidRPr="007A7954" w:rsidRDefault="000A4579" w:rsidP="0087587D">
            <w:pPr>
              <w:spacing w:after="0" w:line="240" w:lineRule="auto"/>
              <w:rPr>
                <w:rFonts w:ascii="Times New Roman" w:hAnsi="Times New Roman"/>
                <w:b/>
                <w:sz w:val="18"/>
                <w:szCs w:val="18"/>
              </w:rPr>
            </w:pPr>
            <w:r w:rsidRPr="007A7954">
              <w:rPr>
                <w:rFonts w:ascii="Times New Roman" w:hAnsi="Times New Roman"/>
                <w:b/>
                <w:sz w:val="18"/>
                <w:szCs w:val="18"/>
              </w:rPr>
              <w:t>Principales actividades para la evaluación</w:t>
            </w:r>
          </w:p>
        </w:tc>
        <w:tc>
          <w:tcPr>
            <w:tcW w:w="1711" w:type="dxa"/>
            <w:gridSpan w:val="4"/>
            <w:shd w:val="clear" w:color="auto" w:fill="auto"/>
          </w:tcPr>
          <w:p w:rsidR="000A4579" w:rsidRPr="007A7954" w:rsidRDefault="000A4579" w:rsidP="0087587D">
            <w:pPr>
              <w:spacing w:after="0" w:line="240" w:lineRule="auto"/>
              <w:jc w:val="center"/>
              <w:rPr>
                <w:rFonts w:ascii="Times New Roman" w:hAnsi="Times New Roman"/>
                <w:b/>
                <w:sz w:val="18"/>
                <w:szCs w:val="18"/>
              </w:rPr>
            </w:pPr>
            <w:r w:rsidRPr="007A7954">
              <w:rPr>
                <w:rFonts w:ascii="Times New Roman" w:hAnsi="Times New Roman"/>
                <w:b/>
                <w:sz w:val="18"/>
                <w:szCs w:val="18"/>
              </w:rPr>
              <w:t>2014</w:t>
            </w:r>
          </w:p>
        </w:tc>
        <w:tc>
          <w:tcPr>
            <w:tcW w:w="1440" w:type="dxa"/>
            <w:gridSpan w:val="4"/>
            <w:shd w:val="clear" w:color="auto" w:fill="auto"/>
          </w:tcPr>
          <w:p w:rsidR="000A4579" w:rsidRPr="007A7954" w:rsidRDefault="000A4579" w:rsidP="0087587D">
            <w:pPr>
              <w:spacing w:after="0" w:line="240" w:lineRule="auto"/>
              <w:jc w:val="center"/>
              <w:rPr>
                <w:rFonts w:ascii="Times New Roman" w:hAnsi="Times New Roman"/>
                <w:b/>
                <w:sz w:val="18"/>
                <w:szCs w:val="18"/>
              </w:rPr>
            </w:pPr>
            <w:r w:rsidRPr="007A7954">
              <w:rPr>
                <w:rFonts w:ascii="Times New Roman" w:hAnsi="Times New Roman"/>
                <w:b/>
                <w:sz w:val="18"/>
                <w:szCs w:val="18"/>
              </w:rPr>
              <w:t>2015</w:t>
            </w:r>
          </w:p>
        </w:tc>
        <w:tc>
          <w:tcPr>
            <w:tcW w:w="1440" w:type="dxa"/>
            <w:gridSpan w:val="4"/>
          </w:tcPr>
          <w:p w:rsidR="000A4579" w:rsidRPr="007A7954" w:rsidRDefault="000A4579" w:rsidP="0087587D">
            <w:pPr>
              <w:spacing w:after="0" w:line="240" w:lineRule="auto"/>
              <w:jc w:val="center"/>
              <w:rPr>
                <w:rFonts w:ascii="Times New Roman" w:hAnsi="Times New Roman"/>
                <w:b/>
                <w:sz w:val="18"/>
                <w:szCs w:val="18"/>
              </w:rPr>
            </w:pPr>
            <w:r w:rsidRPr="007A7954">
              <w:rPr>
                <w:rFonts w:ascii="Times New Roman" w:hAnsi="Times New Roman"/>
                <w:b/>
                <w:sz w:val="18"/>
                <w:szCs w:val="18"/>
              </w:rPr>
              <w:t>2016</w:t>
            </w:r>
          </w:p>
        </w:tc>
        <w:tc>
          <w:tcPr>
            <w:tcW w:w="1619" w:type="dxa"/>
            <w:gridSpan w:val="4"/>
          </w:tcPr>
          <w:p w:rsidR="000A4579" w:rsidRPr="007A7954" w:rsidRDefault="000A4579" w:rsidP="0087587D">
            <w:pPr>
              <w:spacing w:after="0" w:line="240" w:lineRule="auto"/>
              <w:jc w:val="center"/>
              <w:rPr>
                <w:rFonts w:ascii="Times New Roman" w:hAnsi="Times New Roman"/>
                <w:b/>
                <w:sz w:val="18"/>
                <w:szCs w:val="18"/>
              </w:rPr>
            </w:pPr>
            <w:r w:rsidRPr="007A7954">
              <w:rPr>
                <w:rFonts w:ascii="Times New Roman" w:hAnsi="Times New Roman"/>
                <w:b/>
                <w:sz w:val="18"/>
                <w:szCs w:val="18"/>
              </w:rPr>
              <w:t>2017</w:t>
            </w:r>
          </w:p>
        </w:tc>
        <w:tc>
          <w:tcPr>
            <w:tcW w:w="1260" w:type="dxa"/>
          </w:tcPr>
          <w:p w:rsidR="000A4579" w:rsidRPr="00F4263A" w:rsidRDefault="000A4579" w:rsidP="0087587D">
            <w:pPr>
              <w:spacing w:after="0" w:line="240" w:lineRule="auto"/>
              <w:jc w:val="center"/>
              <w:rPr>
                <w:rFonts w:ascii="Times New Roman" w:hAnsi="Times New Roman"/>
                <w:b/>
                <w:sz w:val="18"/>
                <w:szCs w:val="18"/>
              </w:rPr>
            </w:pPr>
            <w:r w:rsidRPr="00F4263A">
              <w:rPr>
                <w:rFonts w:ascii="Times New Roman" w:hAnsi="Times New Roman"/>
                <w:b/>
                <w:sz w:val="18"/>
                <w:szCs w:val="18"/>
              </w:rPr>
              <w:t>Responsable</w:t>
            </w:r>
          </w:p>
        </w:tc>
        <w:tc>
          <w:tcPr>
            <w:tcW w:w="990" w:type="dxa"/>
          </w:tcPr>
          <w:p w:rsidR="000A4579" w:rsidRPr="00F4263A" w:rsidRDefault="000A4579" w:rsidP="0087587D">
            <w:pPr>
              <w:spacing w:after="0" w:line="240" w:lineRule="auto"/>
              <w:jc w:val="center"/>
              <w:rPr>
                <w:rFonts w:ascii="Times New Roman" w:hAnsi="Times New Roman"/>
                <w:b/>
                <w:sz w:val="18"/>
                <w:szCs w:val="18"/>
              </w:rPr>
            </w:pPr>
            <w:r w:rsidRPr="00F4263A">
              <w:rPr>
                <w:rFonts w:ascii="Times New Roman" w:hAnsi="Times New Roman"/>
                <w:b/>
                <w:sz w:val="18"/>
                <w:szCs w:val="18"/>
              </w:rPr>
              <w:t>Costo</w:t>
            </w:r>
          </w:p>
          <w:p w:rsidR="000A4579" w:rsidRPr="00F4263A" w:rsidRDefault="000A4579" w:rsidP="0087587D">
            <w:pPr>
              <w:spacing w:after="0" w:line="240" w:lineRule="auto"/>
              <w:jc w:val="center"/>
              <w:rPr>
                <w:rFonts w:ascii="Times New Roman" w:hAnsi="Times New Roman"/>
                <w:b/>
                <w:sz w:val="18"/>
                <w:szCs w:val="18"/>
              </w:rPr>
            </w:pPr>
            <w:r w:rsidRPr="00F4263A">
              <w:rPr>
                <w:rFonts w:ascii="Times New Roman" w:hAnsi="Times New Roman"/>
                <w:b/>
                <w:sz w:val="18"/>
                <w:szCs w:val="18"/>
              </w:rPr>
              <w:t>(US$)</w:t>
            </w:r>
          </w:p>
        </w:tc>
        <w:tc>
          <w:tcPr>
            <w:tcW w:w="1260" w:type="dxa"/>
          </w:tcPr>
          <w:p w:rsidR="000A4579" w:rsidRPr="00F4263A" w:rsidRDefault="000A4579" w:rsidP="00821106">
            <w:pPr>
              <w:spacing w:after="0" w:line="240" w:lineRule="auto"/>
              <w:rPr>
                <w:rFonts w:ascii="Times New Roman" w:hAnsi="Times New Roman"/>
                <w:b/>
                <w:sz w:val="18"/>
                <w:szCs w:val="18"/>
              </w:rPr>
            </w:pPr>
            <w:r w:rsidRPr="00F4263A">
              <w:rPr>
                <w:rFonts w:ascii="Times New Roman" w:hAnsi="Times New Roman"/>
                <w:b/>
                <w:sz w:val="18"/>
                <w:szCs w:val="18"/>
              </w:rPr>
              <w:t xml:space="preserve">Financiamiento </w:t>
            </w:r>
          </w:p>
        </w:tc>
      </w:tr>
      <w:tr w:rsidR="000A4579" w:rsidRPr="00866213" w:rsidTr="00505DA3">
        <w:trPr>
          <w:jc w:val="center"/>
        </w:trPr>
        <w:tc>
          <w:tcPr>
            <w:tcW w:w="3547" w:type="dxa"/>
          </w:tcPr>
          <w:p w:rsidR="000A4579" w:rsidRPr="00CC2E51" w:rsidRDefault="000A4579" w:rsidP="0087587D">
            <w:pPr>
              <w:spacing w:after="0" w:line="240" w:lineRule="auto"/>
              <w:rPr>
                <w:rFonts w:ascii="Times New Roman" w:hAnsi="Times New Roman"/>
                <w:sz w:val="18"/>
                <w:szCs w:val="18"/>
              </w:rPr>
            </w:pPr>
            <w:r>
              <w:rPr>
                <w:rFonts w:ascii="Times New Roman" w:hAnsi="Times New Roman"/>
                <w:sz w:val="18"/>
                <w:szCs w:val="18"/>
              </w:rPr>
              <w:t>Diseño detallado de la evaluación</w:t>
            </w:r>
          </w:p>
        </w:tc>
        <w:tc>
          <w:tcPr>
            <w:tcW w:w="450" w:type="dxa"/>
            <w:shd w:val="clear" w:color="auto" w:fill="auto"/>
          </w:tcPr>
          <w:p w:rsidR="000A4579" w:rsidRPr="00CC2E51" w:rsidRDefault="000A4579" w:rsidP="0087587D">
            <w:pPr>
              <w:spacing w:after="0" w:line="240" w:lineRule="auto"/>
              <w:rPr>
                <w:rFonts w:ascii="Times New Roman" w:hAnsi="Times New Roman"/>
                <w:sz w:val="18"/>
                <w:szCs w:val="18"/>
              </w:rPr>
            </w:pPr>
            <w:r>
              <w:rPr>
                <w:rFonts w:ascii="Times New Roman" w:hAnsi="Times New Roman"/>
                <w:sz w:val="18"/>
                <w:szCs w:val="18"/>
              </w:rPr>
              <w:t>X</w:t>
            </w:r>
          </w:p>
        </w:tc>
        <w:tc>
          <w:tcPr>
            <w:tcW w:w="360"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450"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451"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360"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360"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360"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360" w:type="dxa"/>
            <w:shd w:val="clear" w:color="auto" w:fill="auto"/>
          </w:tcPr>
          <w:p w:rsidR="000A4579" w:rsidRPr="00CC2E51" w:rsidRDefault="000A4579" w:rsidP="0087587D">
            <w:pPr>
              <w:spacing w:after="0" w:line="240" w:lineRule="auto"/>
              <w:rPr>
                <w:rFonts w:ascii="Times New Roman" w:hAnsi="Times New Roman"/>
                <w:sz w:val="18"/>
                <w:szCs w:val="18"/>
              </w:rPr>
            </w:pPr>
          </w:p>
        </w:tc>
        <w:tc>
          <w:tcPr>
            <w:tcW w:w="382" w:type="dxa"/>
          </w:tcPr>
          <w:p w:rsidR="000A4579" w:rsidRPr="00CC2E51" w:rsidRDefault="000A4579" w:rsidP="0087587D">
            <w:pPr>
              <w:spacing w:after="0" w:line="240" w:lineRule="auto"/>
              <w:rPr>
                <w:rFonts w:ascii="Times New Roman" w:hAnsi="Times New Roman"/>
                <w:sz w:val="18"/>
                <w:szCs w:val="18"/>
              </w:rPr>
            </w:pPr>
          </w:p>
        </w:tc>
        <w:tc>
          <w:tcPr>
            <w:tcW w:w="383" w:type="dxa"/>
          </w:tcPr>
          <w:p w:rsidR="000A4579" w:rsidRPr="00CC2E51" w:rsidRDefault="000A4579" w:rsidP="0087587D">
            <w:pPr>
              <w:spacing w:after="0" w:line="240" w:lineRule="auto"/>
              <w:rPr>
                <w:rFonts w:ascii="Times New Roman" w:hAnsi="Times New Roman"/>
                <w:sz w:val="18"/>
                <w:szCs w:val="18"/>
              </w:rPr>
            </w:pPr>
          </w:p>
        </w:tc>
        <w:tc>
          <w:tcPr>
            <w:tcW w:w="382" w:type="dxa"/>
          </w:tcPr>
          <w:p w:rsidR="000A4579" w:rsidRPr="00CC2E51" w:rsidRDefault="000A4579" w:rsidP="0087587D">
            <w:pPr>
              <w:spacing w:after="0" w:line="240" w:lineRule="auto"/>
              <w:rPr>
                <w:rFonts w:ascii="Times New Roman" w:hAnsi="Times New Roman"/>
                <w:sz w:val="18"/>
                <w:szCs w:val="18"/>
              </w:rPr>
            </w:pPr>
          </w:p>
        </w:tc>
        <w:tc>
          <w:tcPr>
            <w:tcW w:w="293" w:type="dxa"/>
          </w:tcPr>
          <w:p w:rsidR="000A4579" w:rsidRPr="00CC2E51" w:rsidRDefault="000A4579" w:rsidP="0087587D">
            <w:pPr>
              <w:spacing w:after="0" w:line="240" w:lineRule="auto"/>
              <w:rPr>
                <w:rFonts w:ascii="Times New Roman" w:hAnsi="Times New Roman"/>
                <w:sz w:val="18"/>
                <w:szCs w:val="18"/>
              </w:rPr>
            </w:pPr>
          </w:p>
        </w:tc>
        <w:tc>
          <w:tcPr>
            <w:tcW w:w="405" w:type="dxa"/>
          </w:tcPr>
          <w:p w:rsidR="000A4579" w:rsidRPr="00CC2E51" w:rsidRDefault="000A4579" w:rsidP="0087587D">
            <w:pPr>
              <w:spacing w:after="0" w:line="240" w:lineRule="auto"/>
              <w:jc w:val="center"/>
              <w:rPr>
                <w:rFonts w:ascii="Times New Roman" w:hAnsi="Times New Roman"/>
                <w:sz w:val="18"/>
                <w:szCs w:val="18"/>
              </w:rPr>
            </w:pPr>
          </w:p>
        </w:tc>
        <w:tc>
          <w:tcPr>
            <w:tcW w:w="405" w:type="dxa"/>
          </w:tcPr>
          <w:p w:rsidR="000A4579" w:rsidRPr="00CC2E51" w:rsidRDefault="000A4579" w:rsidP="0087587D">
            <w:pPr>
              <w:spacing w:after="0" w:line="240" w:lineRule="auto"/>
              <w:jc w:val="center"/>
              <w:rPr>
                <w:rFonts w:ascii="Times New Roman" w:hAnsi="Times New Roman"/>
                <w:sz w:val="18"/>
                <w:szCs w:val="18"/>
              </w:rPr>
            </w:pPr>
          </w:p>
        </w:tc>
        <w:tc>
          <w:tcPr>
            <w:tcW w:w="405" w:type="dxa"/>
          </w:tcPr>
          <w:p w:rsidR="000A4579" w:rsidRPr="00CC2E51" w:rsidRDefault="000A4579" w:rsidP="0087587D">
            <w:pPr>
              <w:spacing w:after="0" w:line="240" w:lineRule="auto"/>
              <w:jc w:val="center"/>
              <w:rPr>
                <w:rFonts w:ascii="Times New Roman" w:hAnsi="Times New Roman"/>
                <w:sz w:val="18"/>
                <w:szCs w:val="18"/>
              </w:rPr>
            </w:pPr>
          </w:p>
        </w:tc>
        <w:tc>
          <w:tcPr>
            <w:tcW w:w="404" w:type="dxa"/>
          </w:tcPr>
          <w:p w:rsidR="000A4579" w:rsidRPr="00CC2E51" w:rsidRDefault="000A4579" w:rsidP="0087587D">
            <w:pPr>
              <w:spacing w:after="0" w:line="240" w:lineRule="auto"/>
              <w:jc w:val="center"/>
              <w:rPr>
                <w:rFonts w:ascii="Times New Roman" w:hAnsi="Times New Roman"/>
                <w:sz w:val="18"/>
                <w:szCs w:val="18"/>
              </w:rPr>
            </w:pPr>
          </w:p>
        </w:tc>
        <w:tc>
          <w:tcPr>
            <w:tcW w:w="1260" w:type="dxa"/>
          </w:tcPr>
          <w:p w:rsidR="000A4579" w:rsidRPr="00CC2E51" w:rsidRDefault="00E678B3" w:rsidP="001D42F7">
            <w:pPr>
              <w:spacing w:after="0" w:line="240" w:lineRule="auto"/>
              <w:jc w:val="center"/>
              <w:rPr>
                <w:rFonts w:ascii="Times New Roman" w:hAnsi="Times New Roman"/>
                <w:sz w:val="18"/>
                <w:szCs w:val="18"/>
              </w:rPr>
            </w:pPr>
            <w:r>
              <w:rPr>
                <w:rFonts w:ascii="Times New Roman" w:hAnsi="Times New Roman"/>
                <w:sz w:val="18"/>
                <w:szCs w:val="18"/>
              </w:rPr>
              <w:t>BID</w:t>
            </w:r>
          </w:p>
        </w:tc>
        <w:tc>
          <w:tcPr>
            <w:tcW w:w="990" w:type="dxa"/>
          </w:tcPr>
          <w:p w:rsidR="000A4579" w:rsidRPr="00CC2E51" w:rsidRDefault="000A4579" w:rsidP="0087587D">
            <w:pPr>
              <w:spacing w:after="0" w:line="240" w:lineRule="auto"/>
              <w:rPr>
                <w:rFonts w:ascii="Times New Roman" w:hAnsi="Times New Roman"/>
                <w:sz w:val="18"/>
                <w:szCs w:val="18"/>
              </w:rPr>
            </w:pPr>
          </w:p>
        </w:tc>
        <w:tc>
          <w:tcPr>
            <w:tcW w:w="1260" w:type="dxa"/>
          </w:tcPr>
          <w:p w:rsidR="000A4579" w:rsidRPr="00CC2E51" w:rsidRDefault="000A4579" w:rsidP="0087587D">
            <w:pPr>
              <w:spacing w:after="0" w:line="240" w:lineRule="auto"/>
              <w:ind w:left="360"/>
              <w:jc w:val="both"/>
              <w:textAlignment w:val="top"/>
              <w:rPr>
                <w:rFonts w:ascii="Times New Roman" w:hAnsi="Times New Roman"/>
                <w:sz w:val="18"/>
                <w:szCs w:val="18"/>
              </w:rPr>
            </w:pPr>
          </w:p>
        </w:tc>
      </w:tr>
      <w:tr w:rsidR="00821106" w:rsidRPr="00866213" w:rsidTr="00505DA3">
        <w:trPr>
          <w:jc w:val="center"/>
        </w:trPr>
        <w:tc>
          <w:tcPr>
            <w:tcW w:w="3547" w:type="dxa"/>
          </w:tcPr>
          <w:p w:rsidR="00821106" w:rsidRPr="00CC2E51" w:rsidRDefault="00821106" w:rsidP="0087587D">
            <w:pPr>
              <w:spacing w:after="0" w:line="240" w:lineRule="auto"/>
              <w:rPr>
                <w:rFonts w:ascii="Times New Roman" w:hAnsi="Times New Roman"/>
                <w:sz w:val="18"/>
                <w:szCs w:val="18"/>
              </w:rPr>
            </w:pPr>
            <w:r>
              <w:rPr>
                <w:rFonts w:ascii="Times New Roman" w:hAnsi="Times New Roman"/>
                <w:sz w:val="18"/>
                <w:szCs w:val="18"/>
              </w:rPr>
              <w:t>Análisis de datos de la evaluación retrospectiva</w:t>
            </w:r>
          </w:p>
        </w:tc>
        <w:tc>
          <w:tcPr>
            <w:tcW w:w="450" w:type="dxa"/>
            <w:shd w:val="clear" w:color="auto" w:fill="auto"/>
          </w:tcPr>
          <w:p w:rsidR="00821106" w:rsidRPr="00CC2E51" w:rsidRDefault="00821106" w:rsidP="0087587D">
            <w:pPr>
              <w:spacing w:after="0" w:line="240" w:lineRule="auto"/>
              <w:rPr>
                <w:rFonts w:ascii="Times New Roman" w:hAnsi="Times New Roman"/>
                <w:sz w:val="18"/>
                <w:szCs w:val="18"/>
              </w:rPr>
            </w:pPr>
            <w:r>
              <w:rPr>
                <w:rFonts w:ascii="Times New Roman" w:hAnsi="Times New Roman"/>
                <w:sz w:val="18"/>
                <w:szCs w:val="18"/>
              </w:rPr>
              <w:t>X</w:t>
            </w: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450" w:type="dxa"/>
            <w:shd w:val="clear" w:color="auto" w:fill="auto"/>
          </w:tcPr>
          <w:p w:rsidR="00821106" w:rsidRPr="00CC2E51" w:rsidRDefault="00821106" w:rsidP="0087587D">
            <w:pPr>
              <w:spacing w:after="0" w:line="240" w:lineRule="auto"/>
              <w:ind w:left="360"/>
              <w:jc w:val="both"/>
              <w:textAlignment w:val="top"/>
              <w:rPr>
                <w:rFonts w:ascii="Times New Roman" w:hAnsi="Times New Roman"/>
                <w:sz w:val="18"/>
                <w:szCs w:val="18"/>
              </w:rPr>
            </w:pPr>
          </w:p>
        </w:tc>
        <w:tc>
          <w:tcPr>
            <w:tcW w:w="451"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82" w:type="dxa"/>
          </w:tcPr>
          <w:p w:rsidR="00821106" w:rsidRPr="00CC2E51" w:rsidRDefault="00821106" w:rsidP="0087587D">
            <w:pPr>
              <w:spacing w:after="0" w:line="240" w:lineRule="auto"/>
              <w:rPr>
                <w:rFonts w:ascii="Times New Roman" w:hAnsi="Times New Roman"/>
                <w:sz w:val="18"/>
                <w:szCs w:val="18"/>
              </w:rPr>
            </w:pPr>
          </w:p>
        </w:tc>
        <w:tc>
          <w:tcPr>
            <w:tcW w:w="383" w:type="dxa"/>
          </w:tcPr>
          <w:p w:rsidR="00821106" w:rsidRPr="00CC2E51" w:rsidRDefault="00821106" w:rsidP="0087587D">
            <w:pPr>
              <w:spacing w:after="0" w:line="240" w:lineRule="auto"/>
              <w:rPr>
                <w:rFonts w:ascii="Times New Roman" w:hAnsi="Times New Roman"/>
                <w:sz w:val="18"/>
                <w:szCs w:val="18"/>
              </w:rPr>
            </w:pPr>
          </w:p>
        </w:tc>
        <w:tc>
          <w:tcPr>
            <w:tcW w:w="382" w:type="dxa"/>
          </w:tcPr>
          <w:p w:rsidR="00821106" w:rsidRPr="00CC2E51" w:rsidRDefault="00821106" w:rsidP="0087587D">
            <w:pPr>
              <w:spacing w:after="0" w:line="240" w:lineRule="auto"/>
              <w:rPr>
                <w:rFonts w:ascii="Times New Roman" w:hAnsi="Times New Roman"/>
                <w:sz w:val="18"/>
                <w:szCs w:val="18"/>
              </w:rPr>
            </w:pPr>
          </w:p>
        </w:tc>
        <w:tc>
          <w:tcPr>
            <w:tcW w:w="293" w:type="dxa"/>
          </w:tcPr>
          <w:p w:rsidR="00821106" w:rsidRPr="00CC2E51" w:rsidRDefault="00821106" w:rsidP="0087587D">
            <w:pPr>
              <w:spacing w:after="0" w:line="240" w:lineRule="auto"/>
              <w:rPr>
                <w:rFonts w:ascii="Times New Roman" w:hAnsi="Times New Roman"/>
                <w:sz w:val="18"/>
                <w:szCs w:val="18"/>
              </w:rPr>
            </w:pPr>
          </w:p>
        </w:tc>
        <w:tc>
          <w:tcPr>
            <w:tcW w:w="405" w:type="dxa"/>
          </w:tcPr>
          <w:p w:rsidR="00821106" w:rsidRPr="00CC2E51" w:rsidRDefault="00821106" w:rsidP="0087587D">
            <w:pPr>
              <w:spacing w:after="0" w:line="240" w:lineRule="auto"/>
              <w:jc w:val="center"/>
              <w:rPr>
                <w:rFonts w:ascii="Times New Roman" w:hAnsi="Times New Roman"/>
                <w:sz w:val="18"/>
                <w:szCs w:val="18"/>
              </w:rPr>
            </w:pPr>
          </w:p>
        </w:tc>
        <w:tc>
          <w:tcPr>
            <w:tcW w:w="405" w:type="dxa"/>
          </w:tcPr>
          <w:p w:rsidR="00821106" w:rsidRPr="00CC2E51" w:rsidRDefault="00821106" w:rsidP="0087587D">
            <w:pPr>
              <w:spacing w:after="0" w:line="240" w:lineRule="auto"/>
              <w:jc w:val="center"/>
              <w:rPr>
                <w:rFonts w:ascii="Times New Roman" w:hAnsi="Times New Roman"/>
                <w:sz w:val="18"/>
                <w:szCs w:val="18"/>
              </w:rPr>
            </w:pPr>
          </w:p>
        </w:tc>
        <w:tc>
          <w:tcPr>
            <w:tcW w:w="405" w:type="dxa"/>
          </w:tcPr>
          <w:p w:rsidR="00821106" w:rsidRPr="00CC2E51" w:rsidRDefault="00821106" w:rsidP="0087587D">
            <w:pPr>
              <w:spacing w:after="0" w:line="240" w:lineRule="auto"/>
              <w:jc w:val="center"/>
              <w:rPr>
                <w:rFonts w:ascii="Times New Roman" w:hAnsi="Times New Roman"/>
                <w:sz w:val="18"/>
                <w:szCs w:val="18"/>
              </w:rPr>
            </w:pPr>
          </w:p>
        </w:tc>
        <w:tc>
          <w:tcPr>
            <w:tcW w:w="404" w:type="dxa"/>
          </w:tcPr>
          <w:p w:rsidR="00821106" w:rsidRPr="00CC2E51" w:rsidRDefault="00821106" w:rsidP="0087587D">
            <w:pPr>
              <w:spacing w:after="0" w:line="240" w:lineRule="auto"/>
              <w:jc w:val="center"/>
              <w:rPr>
                <w:rFonts w:ascii="Times New Roman" w:hAnsi="Times New Roman"/>
                <w:sz w:val="18"/>
                <w:szCs w:val="18"/>
              </w:rPr>
            </w:pPr>
          </w:p>
        </w:tc>
        <w:tc>
          <w:tcPr>
            <w:tcW w:w="1260" w:type="dxa"/>
          </w:tcPr>
          <w:p w:rsidR="00821106" w:rsidRPr="00CC2E51" w:rsidRDefault="00821106"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UCP</w:t>
            </w:r>
          </w:p>
        </w:tc>
        <w:tc>
          <w:tcPr>
            <w:tcW w:w="990" w:type="dxa"/>
          </w:tcPr>
          <w:p w:rsidR="00821106" w:rsidRPr="00253AD9" w:rsidRDefault="00253AD9" w:rsidP="00821106">
            <w:pPr>
              <w:spacing w:after="0" w:line="240" w:lineRule="auto"/>
              <w:textAlignment w:val="top"/>
              <w:rPr>
                <w:rFonts w:ascii="Times New Roman" w:hAnsi="Times New Roman"/>
                <w:sz w:val="18"/>
                <w:szCs w:val="18"/>
              </w:rPr>
            </w:pPr>
            <w:r w:rsidRPr="00253AD9">
              <w:rPr>
                <w:rFonts w:ascii="Times New Roman" w:hAnsi="Times New Roman"/>
                <w:sz w:val="18"/>
                <w:szCs w:val="18"/>
              </w:rPr>
              <w:t>10</w:t>
            </w:r>
            <w:r w:rsidR="00821106" w:rsidRPr="00253AD9">
              <w:rPr>
                <w:rFonts w:ascii="Times New Roman" w:hAnsi="Times New Roman"/>
                <w:sz w:val="18"/>
                <w:szCs w:val="18"/>
              </w:rPr>
              <w:t>.000</w:t>
            </w:r>
          </w:p>
        </w:tc>
        <w:tc>
          <w:tcPr>
            <w:tcW w:w="1260" w:type="dxa"/>
          </w:tcPr>
          <w:p w:rsidR="00821106" w:rsidRPr="00CC2E51" w:rsidRDefault="00821106" w:rsidP="00505DA3">
            <w:pPr>
              <w:spacing w:after="0" w:line="240" w:lineRule="auto"/>
              <w:jc w:val="both"/>
              <w:textAlignment w:val="top"/>
              <w:rPr>
                <w:rFonts w:ascii="Times New Roman" w:hAnsi="Times New Roman"/>
                <w:sz w:val="18"/>
                <w:szCs w:val="18"/>
              </w:rPr>
            </w:pPr>
            <w:r>
              <w:rPr>
                <w:rFonts w:ascii="Times New Roman" w:hAnsi="Times New Roman"/>
                <w:sz w:val="18"/>
                <w:szCs w:val="18"/>
              </w:rPr>
              <w:t>DR-L1067</w:t>
            </w:r>
          </w:p>
        </w:tc>
      </w:tr>
      <w:tr w:rsidR="00821106" w:rsidRPr="00866213" w:rsidTr="00505DA3">
        <w:trPr>
          <w:jc w:val="center"/>
        </w:trPr>
        <w:tc>
          <w:tcPr>
            <w:tcW w:w="3547" w:type="dxa"/>
          </w:tcPr>
          <w:p w:rsidR="00821106" w:rsidRPr="00CC2E51" w:rsidRDefault="00821106" w:rsidP="0087587D">
            <w:pPr>
              <w:spacing w:after="0" w:line="240" w:lineRule="auto"/>
              <w:rPr>
                <w:rFonts w:ascii="Times New Roman" w:hAnsi="Times New Roman"/>
                <w:sz w:val="18"/>
                <w:szCs w:val="18"/>
              </w:rPr>
            </w:pPr>
            <w:r>
              <w:rPr>
                <w:rFonts w:ascii="Times New Roman" w:hAnsi="Times New Roman"/>
                <w:sz w:val="18"/>
                <w:szCs w:val="18"/>
              </w:rPr>
              <w:t>Resultados de la evaluación retrospectiva</w:t>
            </w:r>
          </w:p>
        </w:tc>
        <w:tc>
          <w:tcPr>
            <w:tcW w:w="45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r>
              <w:rPr>
                <w:rFonts w:ascii="Times New Roman" w:hAnsi="Times New Roman"/>
                <w:sz w:val="18"/>
                <w:szCs w:val="18"/>
              </w:rPr>
              <w:t>X</w:t>
            </w:r>
          </w:p>
        </w:tc>
        <w:tc>
          <w:tcPr>
            <w:tcW w:w="45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451" w:type="dxa"/>
            <w:shd w:val="clear" w:color="auto" w:fill="auto"/>
          </w:tcPr>
          <w:p w:rsidR="00821106" w:rsidRPr="00CC2E51" w:rsidRDefault="00821106" w:rsidP="0087587D">
            <w:pPr>
              <w:spacing w:after="0" w:line="240" w:lineRule="auto"/>
              <w:ind w:left="360"/>
              <w:jc w:val="both"/>
              <w:textAlignment w:val="top"/>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60" w:type="dxa"/>
            <w:shd w:val="clear" w:color="auto" w:fill="auto"/>
          </w:tcPr>
          <w:p w:rsidR="00821106" w:rsidRPr="00CC2E51" w:rsidRDefault="00821106" w:rsidP="0087587D">
            <w:pPr>
              <w:spacing w:after="0" w:line="240" w:lineRule="auto"/>
              <w:rPr>
                <w:rFonts w:ascii="Times New Roman" w:hAnsi="Times New Roman"/>
                <w:sz w:val="18"/>
                <w:szCs w:val="18"/>
              </w:rPr>
            </w:pPr>
          </w:p>
        </w:tc>
        <w:tc>
          <w:tcPr>
            <w:tcW w:w="382" w:type="dxa"/>
          </w:tcPr>
          <w:p w:rsidR="00821106" w:rsidRPr="00CC2E51" w:rsidRDefault="00821106" w:rsidP="0087587D">
            <w:pPr>
              <w:spacing w:after="0" w:line="240" w:lineRule="auto"/>
              <w:rPr>
                <w:rFonts w:ascii="Times New Roman" w:hAnsi="Times New Roman"/>
                <w:sz w:val="18"/>
                <w:szCs w:val="18"/>
              </w:rPr>
            </w:pPr>
          </w:p>
        </w:tc>
        <w:tc>
          <w:tcPr>
            <w:tcW w:w="383" w:type="dxa"/>
          </w:tcPr>
          <w:p w:rsidR="00821106" w:rsidRPr="00CC2E51" w:rsidRDefault="00821106" w:rsidP="0087587D">
            <w:pPr>
              <w:spacing w:after="0" w:line="240" w:lineRule="auto"/>
              <w:rPr>
                <w:rFonts w:ascii="Times New Roman" w:hAnsi="Times New Roman"/>
                <w:sz w:val="18"/>
                <w:szCs w:val="18"/>
              </w:rPr>
            </w:pPr>
          </w:p>
        </w:tc>
        <w:tc>
          <w:tcPr>
            <w:tcW w:w="382" w:type="dxa"/>
          </w:tcPr>
          <w:p w:rsidR="00821106" w:rsidRPr="00CC2E51" w:rsidRDefault="00821106" w:rsidP="0087587D">
            <w:pPr>
              <w:spacing w:after="0" w:line="240" w:lineRule="auto"/>
              <w:rPr>
                <w:rFonts w:ascii="Times New Roman" w:hAnsi="Times New Roman"/>
                <w:sz w:val="18"/>
                <w:szCs w:val="18"/>
              </w:rPr>
            </w:pPr>
          </w:p>
        </w:tc>
        <w:tc>
          <w:tcPr>
            <w:tcW w:w="293" w:type="dxa"/>
          </w:tcPr>
          <w:p w:rsidR="00821106" w:rsidRPr="00CC2E51" w:rsidRDefault="00821106" w:rsidP="0087587D">
            <w:pPr>
              <w:spacing w:after="0" w:line="240" w:lineRule="auto"/>
              <w:rPr>
                <w:rFonts w:ascii="Times New Roman" w:hAnsi="Times New Roman"/>
                <w:sz w:val="18"/>
                <w:szCs w:val="18"/>
              </w:rPr>
            </w:pPr>
          </w:p>
        </w:tc>
        <w:tc>
          <w:tcPr>
            <w:tcW w:w="405" w:type="dxa"/>
          </w:tcPr>
          <w:p w:rsidR="00821106" w:rsidRPr="00CC2E51" w:rsidRDefault="00821106" w:rsidP="0087587D">
            <w:pPr>
              <w:spacing w:after="0" w:line="240" w:lineRule="auto"/>
              <w:jc w:val="center"/>
              <w:rPr>
                <w:rFonts w:ascii="Times New Roman" w:hAnsi="Times New Roman"/>
                <w:sz w:val="18"/>
                <w:szCs w:val="18"/>
              </w:rPr>
            </w:pPr>
          </w:p>
        </w:tc>
        <w:tc>
          <w:tcPr>
            <w:tcW w:w="405" w:type="dxa"/>
          </w:tcPr>
          <w:p w:rsidR="00821106" w:rsidRPr="00CC2E51" w:rsidRDefault="00821106" w:rsidP="0087587D">
            <w:pPr>
              <w:spacing w:after="0" w:line="240" w:lineRule="auto"/>
              <w:jc w:val="center"/>
              <w:rPr>
                <w:rFonts w:ascii="Times New Roman" w:hAnsi="Times New Roman"/>
                <w:sz w:val="18"/>
                <w:szCs w:val="18"/>
              </w:rPr>
            </w:pPr>
          </w:p>
        </w:tc>
        <w:tc>
          <w:tcPr>
            <w:tcW w:w="405" w:type="dxa"/>
          </w:tcPr>
          <w:p w:rsidR="00821106" w:rsidRPr="00CC2E51" w:rsidRDefault="00821106" w:rsidP="0087587D">
            <w:pPr>
              <w:spacing w:after="0" w:line="240" w:lineRule="auto"/>
              <w:jc w:val="center"/>
              <w:rPr>
                <w:rFonts w:ascii="Times New Roman" w:hAnsi="Times New Roman"/>
                <w:sz w:val="18"/>
                <w:szCs w:val="18"/>
              </w:rPr>
            </w:pPr>
          </w:p>
        </w:tc>
        <w:tc>
          <w:tcPr>
            <w:tcW w:w="404" w:type="dxa"/>
          </w:tcPr>
          <w:p w:rsidR="00821106" w:rsidRPr="00CC2E51" w:rsidRDefault="00821106" w:rsidP="0087587D">
            <w:pPr>
              <w:spacing w:after="0" w:line="240" w:lineRule="auto"/>
              <w:jc w:val="center"/>
              <w:rPr>
                <w:rFonts w:ascii="Times New Roman" w:hAnsi="Times New Roman"/>
                <w:sz w:val="18"/>
                <w:szCs w:val="18"/>
              </w:rPr>
            </w:pPr>
          </w:p>
        </w:tc>
        <w:tc>
          <w:tcPr>
            <w:tcW w:w="1260" w:type="dxa"/>
          </w:tcPr>
          <w:p w:rsidR="00821106" w:rsidRPr="00CC2E51" w:rsidRDefault="00821106"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BID</w:t>
            </w:r>
          </w:p>
        </w:tc>
        <w:tc>
          <w:tcPr>
            <w:tcW w:w="990" w:type="dxa"/>
          </w:tcPr>
          <w:p w:rsidR="00821106" w:rsidRPr="00253AD9" w:rsidRDefault="00821106" w:rsidP="0087587D">
            <w:pPr>
              <w:spacing w:after="0" w:line="240" w:lineRule="auto"/>
              <w:ind w:left="360"/>
              <w:jc w:val="center"/>
              <w:textAlignment w:val="top"/>
              <w:rPr>
                <w:rFonts w:ascii="Times New Roman" w:hAnsi="Times New Roman"/>
                <w:sz w:val="18"/>
                <w:szCs w:val="18"/>
              </w:rPr>
            </w:pPr>
          </w:p>
        </w:tc>
        <w:tc>
          <w:tcPr>
            <w:tcW w:w="1260" w:type="dxa"/>
          </w:tcPr>
          <w:p w:rsidR="00821106" w:rsidRPr="00CC2E51" w:rsidRDefault="00821106" w:rsidP="00505DA3">
            <w:pPr>
              <w:spacing w:after="0" w:line="240" w:lineRule="auto"/>
              <w:jc w:val="both"/>
              <w:textAlignment w:val="top"/>
              <w:rPr>
                <w:rFonts w:ascii="Times New Roman" w:hAnsi="Times New Roman"/>
                <w:sz w:val="18"/>
                <w:szCs w:val="18"/>
              </w:rPr>
            </w:pPr>
          </w:p>
        </w:tc>
      </w:tr>
      <w:tr w:rsidR="00F4263A" w:rsidRPr="00866213" w:rsidTr="00505DA3">
        <w:trPr>
          <w:jc w:val="center"/>
        </w:trPr>
        <w:tc>
          <w:tcPr>
            <w:tcW w:w="3547" w:type="dxa"/>
          </w:tcPr>
          <w:p w:rsidR="00F4263A" w:rsidRPr="00CC2E51" w:rsidRDefault="00F4263A" w:rsidP="0087587D">
            <w:pPr>
              <w:spacing w:after="0" w:line="240" w:lineRule="auto"/>
              <w:rPr>
                <w:rFonts w:ascii="Times New Roman" w:hAnsi="Times New Roman"/>
                <w:sz w:val="18"/>
                <w:szCs w:val="18"/>
              </w:rPr>
            </w:pPr>
            <w:r>
              <w:rPr>
                <w:rFonts w:ascii="Times New Roman" w:hAnsi="Times New Roman"/>
                <w:sz w:val="18"/>
                <w:szCs w:val="18"/>
              </w:rPr>
              <w:t>Análisis preliminar de datos de la evaluación prospectiva</w:t>
            </w:r>
          </w:p>
        </w:tc>
        <w:tc>
          <w:tcPr>
            <w:tcW w:w="45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450" w:type="dxa"/>
            <w:shd w:val="clear" w:color="auto" w:fill="auto"/>
          </w:tcPr>
          <w:p w:rsidR="00F4263A" w:rsidRPr="00CC2E51" w:rsidRDefault="00F4263A" w:rsidP="00F71AEA">
            <w:pPr>
              <w:spacing w:after="0" w:line="240" w:lineRule="auto"/>
              <w:rPr>
                <w:rFonts w:ascii="Times New Roman" w:hAnsi="Times New Roman"/>
                <w:sz w:val="18"/>
                <w:szCs w:val="18"/>
              </w:rPr>
            </w:pPr>
            <w:r>
              <w:rPr>
                <w:rFonts w:ascii="Times New Roman" w:hAnsi="Times New Roman"/>
                <w:sz w:val="18"/>
                <w:szCs w:val="18"/>
              </w:rPr>
              <w:t>X</w:t>
            </w:r>
          </w:p>
        </w:tc>
        <w:tc>
          <w:tcPr>
            <w:tcW w:w="451"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383" w:type="dxa"/>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293" w:type="dxa"/>
          </w:tcPr>
          <w:p w:rsidR="00F4263A" w:rsidRPr="00CC2E51" w:rsidRDefault="00F4263A" w:rsidP="0087587D">
            <w:pPr>
              <w:spacing w:after="0" w:line="240" w:lineRule="auto"/>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4" w:type="dxa"/>
          </w:tcPr>
          <w:p w:rsidR="00F4263A" w:rsidRPr="00CC2E51" w:rsidRDefault="00F4263A" w:rsidP="0087587D">
            <w:pPr>
              <w:spacing w:after="0" w:line="240" w:lineRule="auto"/>
              <w:jc w:val="center"/>
              <w:rPr>
                <w:rFonts w:ascii="Times New Roman" w:hAnsi="Times New Roman"/>
                <w:sz w:val="18"/>
                <w:szCs w:val="18"/>
              </w:rPr>
            </w:pPr>
          </w:p>
        </w:tc>
        <w:tc>
          <w:tcPr>
            <w:tcW w:w="1260" w:type="dxa"/>
          </w:tcPr>
          <w:p w:rsidR="00F4263A" w:rsidRPr="00CC2E51" w:rsidRDefault="00F4263A"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UCP</w:t>
            </w:r>
          </w:p>
        </w:tc>
        <w:tc>
          <w:tcPr>
            <w:tcW w:w="990" w:type="dxa"/>
          </w:tcPr>
          <w:p w:rsidR="00F4263A" w:rsidRPr="00253AD9" w:rsidRDefault="00F4263A" w:rsidP="00821106">
            <w:pPr>
              <w:spacing w:after="0" w:line="240" w:lineRule="auto"/>
              <w:textAlignment w:val="top"/>
              <w:rPr>
                <w:rFonts w:ascii="Times New Roman" w:hAnsi="Times New Roman"/>
                <w:sz w:val="18"/>
                <w:szCs w:val="18"/>
              </w:rPr>
            </w:pPr>
            <w:r w:rsidRPr="00253AD9">
              <w:rPr>
                <w:rFonts w:ascii="Times New Roman" w:hAnsi="Times New Roman"/>
                <w:sz w:val="18"/>
                <w:szCs w:val="18"/>
              </w:rPr>
              <w:t>10.000</w:t>
            </w:r>
          </w:p>
        </w:tc>
        <w:tc>
          <w:tcPr>
            <w:tcW w:w="1260" w:type="dxa"/>
          </w:tcPr>
          <w:p w:rsidR="00F4263A" w:rsidRPr="00CC2E51" w:rsidRDefault="00F4263A" w:rsidP="00505DA3">
            <w:pPr>
              <w:spacing w:after="0" w:line="240" w:lineRule="auto"/>
              <w:jc w:val="both"/>
              <w:textAlignment w:val="top"/>
              <w:rPr>
                <w:rFonts w:ascii="Times New Roman" w:hAnsi="Times New Roman"/>
                <w:sz w:val="18"/>
                <w:szCs w:val="18"/>
              </w:rPr>
            </w:pPr>
            <w:r>
              <w:rPr>
                <w:rFonts w:ascii="Times New Roman" w:hAnsi="Times New Roman"/>
                <w:sz w:val="18"/>
                <w:szCs w:val="18"/>
              </w:rPr>
              <w:t>DR-L1067</w:t>
            </w:r>
          </w:p>
        </w:tc>
      </w:tr>
      <w:tr w:rsidR="00F4263A" w:rsidRPr="00866213" w:rsidTr="008C02F1">
        <w:trPr>
          <w:trHeight w:val="242"/>
          <w:jc w:val="center"/>
        </w:trPr>
        <w:tc>
          <w:tcPr>
            <w:tcW w:w="3547" w:type="dxa"/>
          </w:tcPr>
          <w:p w:rsidR="00F4263A" w:rsidRDefault="00F4263A" w:rsidP="0087587D">
            <w:pPr>
              <w:spacing w:after="0" w:line="240" w:lineRule="auto"/>
              <w:rPr>
                <w:rFonts w:ascii="Times New Roman" w:hAnsi="Times New Roman"/>
                <w:sz w:val="18"/>
                <w:szCs w:val="18"/>
              </w:rPr>
            </w:pPr>
            <w:r>
              <w:rPr>
                <w:rFonts w:ascii="Times New Roman" w:hAnsi="Times New Roman"/>
                <w:sz w:val="18"/>
                <w:szCs w:val="18"/>
              </w:rPr>
              <w:t>Diseminación inicial de resultados</w:t>
            </w:r>
          </w:p>
        </w:tc>
        <w:tc>
          <w:tcPr>
            <w:tcW w:w="45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45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451" w:type="dxa"/>
            <w:shd w:val="clear" w:color="auto" w:fill="auto"/>
          </w:tcPr>
          <w:p w:rsidR="00F4263A" w:rsidRPr="00CC2E51" w:rsidRDefault="00F4263A" w:rsidP="00F71AEA">
            <w:pPr>
              <w:spacing w:after="0" w:line="240" w:lineRule="auto"/>
              <w:rPr>
                <w:rFonts w:ascii="Times New Roman" w:hAnsi="Times New Roman"/>
                <w:sz w:val="18"/>
                <w:szCs w:val="18"/>
              </w:rPr>
            </w:pPr>
            <w:r>
              <w:rPr>
                <w:rFonts w:ascii="Times New Roman" w:hAnsi="Times New Roman"/>
                <w:sz w:val="18"/>
                <w:szCs w:val="18"/>
              </w:rPr>
              <w:t>X</w:t>
            </w: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383" w:type="dxa"/>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293" w:type="dxa"/>
          </w:tcPr>
          <w:p w:rsidR="00F4263A" w:rsidRPr="00CC2E51" w:rsidRDefault="00F4263A" w:rsidP="0087587D">
            <w:pPr>
              <w:spacing w:after="0" w:line="240" w:lineRule="auto"/>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4" w:type="dxa"/>
          </w:tcPr>
          <w:p w:rsidR="00F4263A" w:rsidRPr="00CC2E51" w:rsidRDefault="00F4263A" w:rsidP="0087587D">
            <w:pPr>
              <w:spacing w:after="0" w:line="240" w:lineRule="auto"/>
              <w:jc w:val="center"/>
              <w:rPr>
                <w:rFonts w:ascii="Times New Roman" w:hAnsi="Times New Roman"/>
                <w:sz w:val="18"/>
                <w:szCs w:val="18"/>
              </w:rPr>
            </w:pPr>
          </w:p>
        </w:tc>
        <w:tc>
          <w:tcPr>
            <w:tcW w:w="1260" w:type="dxa"/>
          </w:tcPr>
          <w:p w:rsidR="00F4263A" w:rsidRPr="00CC2E51" w:rsidRDefault="00F4263A"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UCP</w:t>
            </w:r>
          </w:p>
        </w:tc>
        <w:tc>
          <w:tcPr>
            <w:tcW w:w="990" w:type="dxa"/>
          </w:tcPr>
          <w:p w:rsidR="00F4263A" w:rsidRPr="00253AD9" w:rsidRDefault="00F4263A" w:rsidP="00821106">
            <w:pPr>
              <w:spacing w:after="0" w:line="240" w:lineRule="auto"/>
              <w:textAlignment w:val="top"/>
              <w:rPr>
                <w:rFonts w:ascii="Times New Roman" w:hAnsi="Times New Roman"/>
                <w:sz w:val="18"/>
                <w:szCs w:val="18"/>
              </w:rPr>
            </w:pPr>
          </w:p>
        </w:tc>
        <w:tc>
          <w:tcPr>
            <w:tcW w:w="1260" w:type="dxa"/>
          </w:tcPr>
          <w:p w:rsidR="00F4263A" w:rsidRPr="00CC2E51" w:rsidRDefault="00F4263A" w:rsidP="00505DA3">
            <w:pPr>
              <w:spacing w:after="0" w:line="240" w:lineRule="auto"/>
              <w:jc w:val="both"/>
              <w:textAlignment w:val="top"/>
              <w:rPr>
                <w:rFonts w:ascii="Times New Roman" w:hAnsi="Times New Roman"/>
                <w:sz w:val="18"/>
                <w:szCs w:val="18"/>
              </w:rPr>
            </w:pPr>
          </w:p>
        </w:tc>
      </w:tr>
      <w:tr w:rsidR="00F4263A" w:rsidRPr="00866213" w:rsidTr="00505DA3">
        <w:trPr>
          <w:jc w:val="center"/>
        </w:trPr>
        <w:tc>
          <w:tcPr>
            <w:tcW w:w="3547" w:type="dxa"/>
          </w:tcPr>
          <w:p w:rsidR="00F4263A" w:rsidRPr="00CC2E51" w:rsidRDefault="00F4263A" w:rsidP="0087587D">
            <w:pPr>
              <w:spacing w:after="0" w:line="240" w:lineRule="auto"/>
              <w:rPr>
                <w:rFonts w:ascii="Times New Roman" w:hAnsi="Times New Roman"/>
                <w:sz w:val="18"/>
                <w:szCs w:val="18"/>
              </w:rPr>
            </w:pPr>
            <w:r>
              <w:rPr>
                <w:rFonts w:ascii="Times New Roman" w:hAnsi="Times New Roman"/>
                <w:sz w:val="18"/>
                <w:szCs w:val="18"/>
              </w:rPr>
              <w:t>Análisis final de datos de la evaluación prospectiva</w:t>
            </w:r>
          </w:p>
        </w:tc>
        <w:tc>
          <w:tcPr>
            <w:tcW w:w="45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45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451"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383" w:type="dxa"/>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293" w:type="dxa"/>
          </w:tcPr>
          <w:p w:rsidR="00F4263A" w:rsidRPr="00CC2E51" w:rsidRDefault="00F4263A" w:rsidP="0087587D">
            <w:pPr>
              <w:spacing w:after="0" w:line="240" w:lineRule="auto"/>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r>
              <w:rPr>
                <w:rFonts w:ascii="Times New Roman" w:hAnsi="Times New Roman"/>
                <w:sz w:val="18"/>
                <w:szCs w:val="18"/>
              </w:rPr>
              <w:t>X</w:t>
            </w: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4" w:type="dxa"/>
          </w:tcPr>
          <w:p w:rsidR="00F4263A" w:rsidRPr="00CC2E51" w:rsidRDefault="00F4263A" w:rsidP="0087587D">
            <w:pPr>
              <w:spacing w:after="0" w:line="240" w:lineRule="auto"/>
              <w:jc w:val="center"/>
              <w:rPr>
                <w:rFonts w:ascii="Times New Roman" w:hAnsi="Times New Roman"/>
                <w:sz w:val="18"/>
                <w:szCs w:val="18"/>
              </w:rPr>
            </w:pPr>
          </w:p>
        </w:tc>
        <w:tc>
          <w:tcPr>
            <w:tcW w:w="1260" w:type="dxa"/>
          </w:tcPr>
          <w:p w:rsidR="00F4263A" w:rsidRPr="00CC2E51" w:rsidRDefault="00F4263A"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UCP</w:t>
            </w:r>
          </w:p>
        </w:tc>
        <w:tc>
          <w:tcPr>
            <w:tcW w:w="990" w:type="dxa"/>
          </w:tcPr>
          <w:p w:rsidR="00F4263A" w:rsidRPr="00253AD9" w:rsidRDefault="00F4263A" w:rsidP="00821106">
            <w:pPr>
              <w:spacing w:after="0" w:line="240" w:lineRule="auto"/>
              <w:textAlignment w:val="top"/>
              <w:rPr>
                <w:rFonts w:ascii="Times New Roman" w:hAnsi="Times New Roman"/>
                <w:sz w:val="18"/>
                <w:szCs w:val="18"/>
              </w:rPr>
            </w:pPr>
            <w:r w:rsidRPr="00253AD9">
              <w:rPr>
                <w:rFonts w:ascii="Times New Roman" w:hAnsi="Times New Roman"/>
                <w:sz w:val="18"/>
                <w:szCs w:val="18"/>
              </w:rPr>
              <w:t>20.000</w:t>
            </w:r>
          </w:p>
        </w:tc>
        <w:tc>
          <w:tcPr>
            <w:tcW w:w="1260" w:type="dxa"/>
          </w:tcPr>
          <w:p w:rsidR="00F4263A" w:rsidRPr="00CC2E51" w:rsidRDefault="00F4263A" w:rsidP="00505DA3">
            <w:pPr>
              <w:spacing w:after="0" w:line="240" w:lineRule="auto"/>
              <w:jc w:val="both"/>
              <w:textAlignment w:val="top"/>
              <w:rPr>
                <w:rFonts w:ascii="Times New Roman" w:hAnsi="Times New Roman"/>
                <w:sz w:val="18"/>
                <w:szCs w:val="18"/>
              </w:rPr>
            </w:pPr>
            <w:r>
              <w:rPr>
                <w:rFonts w:ascii="Times New Roman" w:hAnsi="Times New Roman"/>
                <w:sz w:val="18"/>
                <w:szCs w:val="18"/>
              </w:rPr>
              <w:t>DR-L1067</w:t>
            </w:r>
          </w:p>
        </w:tc>
      </w:tr>
      <w:tr w:rsidR="00F4263A" w:rsidRPr="00866213" w:rsidTr="00505DA3">
        <w:trPr>
          <w:trHeight w:val="280"/>
          <w:jc w:val="center"/>
        </w:trPr>
        <w:tc>
          <w:tcPr>
            <w:tcW w:w="3547" w:type="dxa"/>
          </w:tcPr>
          <w:p w:rsidR="00F4263A" w:rsidRPr="007B127F" w:rsidRDefault="00F4263A" w:rsidP="0087587D">
            <w:pPr>
              <w:spacing w:after="0" w:line="240" w:lineRule="auto"/>
              <w:rPr>
                <w:rFonts w:ascii="Times New Roman" w:hAnsi="Times New Roman"/>
                <w:sz w:val="18"/>
                <w:szCs w:val="18"/>
              </w:rPr>
            </w:pPr>
            <w:r w:rsidRPr="007B127F">
              <w:rPr>
                <w:rFonts w:ascii="Times New Roman" w:hAnsi="Times New Roman"/>
                <w:sz w:val="18"/>
                <w:szCs w:val="18"/>
              </w:rPr>
              <w:t>Resultados de la evaluación prospectiva</w:t>
            </w:r>
          </w:p>
        </w:tc>
        <w:tc>
          <w:tcPr>
            <w:tcW w:w="450"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450"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451"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A7954"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A7954"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A7954"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383" w:type="dxa"/>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293" w:type="dxa"/>
          </w:tcPr>
          <w:p w:rsidR="00F4263A" w:rsidRPr="00CC2E51" w:rsidRDefault="00F4263A" w:rsidP="0087587D">
            <w:pPr>
              <w:spacing w:after="0" w:line="240" w:lineRule="auto"/>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r>
              <w:rPr>
                <w:rFonts w:ascii="Times New Roman" w:hAnsi="Times New Roman"/>
                <w:sz w:val="18"/>
                <w:szCs w:val="18"/>
              </w:rPr>
              <w:t>X</w:t>
            </w: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4" w:type="dxa"/>
          </w:tcPr>
          <w:p w:rsidR="00F4263A" w:rsidRPr="00CC2E51" w:rsidRDefault="00F4263A" w:rsidP="0087587D">
            <w:pPr>
              <w:spacing w:after="0" w:line="240" w:lineRule="auto"/>
              <w:jc w:val="center"/>
              <w:rPr>
                <w:rFonts w:ascii="Times New Roman" w:hAnsi="Times New Roman"/>
                <w:sz w:val="18"/>
                <w:szCs w:val="18"/>
              </w:rPr>
            </w:pPr>
          </w:p>
        </w:tc>
        <w:tc>
          <w:tcPr>
            <w:tcW w:w="1260" w:type="dxa"/>
          </w:tcPr>
          <w:p w:rsidR="00F4263A" w:rsidRPr="00CC2E51" w:rsidRDefault="00F4263A"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BID</w:t>
            </w:r>
          </w:p>
        </w:tc>
        <w:tc>
          <w:tcPr>
            <w:tcW w:w="990" w:type="dxa"/>
          </w:tcPr>
          <w:p w:rsidR="00F4263A" w:rsidRPr="00CC2E51" w:rsidRDefault="00F4263A" w:rsidP="0087587D">
            <w:pPr>
              <w:spacing w:after="0" w:line="240" w:lineRule="auto"/>
              <w:ind w:left="360"/>
              <w:jc w:val="center"/>
              <w:textAlignment w:val="top"/>
              <w:rPr>
                <w:rFonts w:ascii="Times New Roman" w:hAnsi="Times New Roman"/>
                <w:sz w:val="18"/>
                <w:szCs w:val="18"/>
              </w:rPr>
            </w:pPr>
          </w:p>
        </w:tc>
        <w:tc>
          <w:tcPr>
            <w:tcW w:w="1260" w:type="dxa"/>
          </w:tcPr>
          <w:p w:rsidR="00F4263A" w:rsidRPr="00CC2E51" w:rsidRDefault="00F4263A" w:rsidP="00505DA3">
            <w:pPr>
              <w:spacing w:after="0" w:line="240" w:lineRule="auto"/>
              <w:jc w:val="both"/>
              <w:textAlignment w:val="top"/>
              <w:rPr>
                <w:rFonts w:ascii="Times New Roman" w:hAnsi="Times New Roman"/>
                <w:sz w:val="18"/>
                <w:szCs w:val="18"/>
              </w:rPr>
            </w:pPr>
          </w:p>
        </w:tc>
      </w:tr>
      <w:tr w:rsidR="00F4263A" w:rsidRPr="00866213" w:rsidTr="00505DA3">
        <w:trPr>
          <w:trHeight w:val="280"/>
          <w:jc w:val="center"/>
        </w:trPr>
        <w:tc>
          <w:tcPr>
            <w:tcW w:w="3547" w:type="dxa"/>
          </w:tcPr>
          <w:p w:rsidR="00F4263A" w:rsidRPr="007B127F" w:rsidRDefault="00F4263A" w:rsidP="0087587D">
            <w:pPr>
              <w:spacing w:after="0" w:line="240" w:lineRule="auto"/>
              <w:rPr>
                <w:rFonts w:ascii="Times New Roman" w:hAnsi="Times New Roman"/>
                <w:sz w:val="18"/>
                <w:szCs w:val="18"/>
              </w:rPr>
            </w:pPr>
            <w:r>
              <w:rPr>
                <w:rFonts w:ascii="Times New Roman" w:hAnsi="Times New Roman"/>
                <w:sz w:val="18"/>
                <w:szCs w:val="18"/>
              </w:rPr>
              <w:t>Diseminación final de resultados</w:t>
            </w:r>
          </w:p>
        </w:tc>
        <w:tc>
          <w:tcPr>
            <w:tcW w:w="450"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450"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451" w:type="dxa"/>
            <w:shd w:val="clear" w:color="auto" w:fill="auto"/>
          </w:tcPr>
          <w:p w:rsidR="00F4263A" w:rsidRPr="007B127F"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A7954"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A7954"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7A7954" w:rsidRDefault="00F4263A" w:rsidP="0087587D">
            <w:pPr>
              <w:spacing w:after="0" w:line="240" w:lineRule="auto"/>
              <w:rPr>
                <w:rFonts w:ascii="Times New Roman" w:hAnsi="Times New Roman"/>
                <w:sz w:val="18"/>
                <w:szCs w:val="18"/>
              </w:rPr>
            </w:pPr>
          </w:p>
        </w:tc>
        <w:tc>
          <w:tcPr>
            <w:tcW w:w="360" w:type="dxa"/>
            <w:shd w:val="clear" w:color="auto" w:fill="auto"/>
          </w:tcPr>
          <w:p w:rsidR="00F4263A" w:rsidRPr="00CC2E51" w:rsidRDefault="00F4263A" w:rsidP="0087587D">
            <w:pPr>
              <w:spacing w:after="0" w:line="240" w:lineRule="auto"/>
              <w:ind w:left="360"/>
              <w:jc w:val="both"/>
              <w:textAlignment w:val="top"/>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383" w:type="dxa"/>
          </w:tcPr>
          <w:p w:rsidR="00F4263A" w:rsidRPr="00CC2E51" w:rsidRDefault="00F4263A" w:rsidP="0087587D">
            <w:pPr>
              <w:spacing w:after="0" w:line="240" w:lineRule="auto"/>
              <w:rPr>
                <w:rFonts w:ascii="Times New Roman" w:hAnsi="Times New Roman"/>
                <w:sz w:val="18"/>
                <w:szCs w:val="18"/>
              </w:rPr>
            </w:pPr>
          </w:p>
        </w:tc>
        <w:tc>
          <w:tcPr>
            <w:tcW w:w="382" w:type="dxa"/>
          </w:tcPr>
          <w:p w:rsidR="00F4263A" w:rsidRPr="00CC2E51" w:rsidRDefault="00F4263A" w:rsidP="0087587D">
            <w:pPr>
              <w:spacing w:after="0" w:line="240" w:lineRule="auto"/>
              <w:rPr>
                <w:rFonts w:ascii="Times New Roman" w:hAnsi="Times New Roman"/>
                <w:sz w:val="18"/>
                <w:szCs w:val="18"/>
              </w:rPr>
            </w:pPr>
          </w:p>
        </w:tc>
        <w:tc>
          <w:tcPr>
            <w:tcW w:w="293" w:type="dxa"/>
          </w:tcPr>
          <w:p w:rsidR="00F4263A" w:rsidRPr="00CC2E51" w:rsidRDefault="00F4263A" w:rsidP="0087587D">
            <w:pPr>
              <w:spacing w:after="0" w:line="240" w:lineRule="auto"/>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p>
        </w:tc>
        <w:tc>
          <w:tcPr>
            <w:tcW w:w="405" w:type="dxa"/>
          </w:tcPr>
          <w:p w:rsidR="00F4263A" w:rsidRDefault="00F4263A" w:rsidP="0087587D">
            <w:pPr>
              <w:spacing w:after="0" w:line="240" w:lineRule="auto"/>
              <w:jc w:val="center"/>
              <w:rPr>
                <w:rFonts w:ascii="Times New Roman" w:hAnsi="Times New Roman"/>
                <w:sz w:val="18"/>
                <w:szCs w:val="18"/>
              </w:rPr>
            </w:pPr>
          </w:p>
        </w:tc>
        <w:tc>
          <w:tcPr>
            <w:tcW w:w="405" w:type="dxa"/>
          </w:tcPr>
          <w:p w:rsidR="00F4263A" w:rsidRPr="00CC2E51" w:rsidRDefault="00F4263A" w:rsidP="0087587D">
            <w:pPr>
              <w:spacing w:after="0" w:line="240" w:lineRule="auto"/>
              <w:jc w:val="center"/>
              <w:rPr>
                <w:rFonts w:ascii="Times New Roman" w:hAnsi="Times New Roman"/>
                <w:sz w:val="18"/>
                <w:szCs w:val="18"/>
              </w:rPr>
            </w:pPr>
            <w:r>
              <w:rPr>
                <w:rFonts w:ascii="Times New Roman" w:hAnsi="Times New Roman"/>
                <w:sz w:val="18"/>
                <w:szCs w:val="18"/>
              </w:rPr>
              <w:t>X</w:t>
            </w:r>
          </w:p>
        </w:tc>
        <w:tc>
          <w:tcPr>
            <w:tcW w:w="404" w:type="dxa"/>
          </w:tcPr>
          <w:p w:rsidR="00F4263A" w:rsidRPr="00CC2E51" w:rsidRDefault="00F4263A" w:rsidP="0087587D">
            <w:pPr>
              <w:spacing w:after="0" w:line="240" w:lineRule="auto"/>
              <w:jc w:val="center"/>
              <w:rPr>
                <w:rFonts w:ascii="Times New Roman" w:hAnsi="Times New Roman"/>
                <w:sz w:val="18"/>
                <w:szCs w:val="18"/>
              </w:rPr>
            </w:pPr>
          </w:p>
        </w:tc>
        <w:tc>
          <w:tcPr>
            <w:tcW w:w="1260" w:type="dxa"/>
          </w:tcPr>
          <w:p w:rsidR="00F4263A" w:rsidRPr="00CC2E51" w:rsidRDefault="00F4263A" w:rsidP="0087587D">
            <w:pPr>
              <w:spacing w:after="0" w:line="240" w:lineRule="auto"/>
              <w:ind w:left="360"/>
              <w:jc w:val="both"/>
              <w:textAlignment w:val="top"/>
              <w:rPr>
                <w:rFonts w:ascii="Times New Roman" w:hAnsi="Times New Roman"/>
                <w:sz w:val="18"/>
                <w:szCs w:val="18"/>
              </w:rPr>
            </w:pPr>
            <w:r>
              <w:rPr>
                <w:rFonts w:ascii="Times New Roman" w:hAnsi="Times New Roman"/>
                <w:sz w:val="18"/>
                <w:szCs w:val="18"/>
              </w:rPr>
              <w:t>UCP</w:t>
            </w:r>
          </w:p>
        </w:tc>
        <w:tc>
          <w:tcPr>
            <w:tcW w:w="990" w:type="dxa"/>
          </w:tcPr>
          <w:p w:rsidR="00F4263A" w:rsidRPr="00CC2E51" w:rsidRDefault="00F4263A" w:rsidP="00253AD9">
            <w:pPr>
              <w:spacing w:after="0" w:line="240" w:lineRule="auto"/>
              <w:textAlignment w:val="top"/>
              <w:rPr>
                <w:rFonts w:ascii="Times New Roman" w:hAnsi="Times New Roman"/>
                <w:sz w:val="18"/>
                <w:szCs w:val="18"/>
              </w:rPr>
            </w:pPr>
            <w:r>
              <w:rPr>
                <w:rFonts w:ascii="Times New Roman" w:hAnsi="Times New Roman"/>
                <w:sz w:val="18"/>
                <w:szCs w:val="18"/>
              </w:rPr>
              <w:t>10.000</w:t>
            </w:r>
          </w:p>
        </w:tc>
        <w:tc>
          <w:tcPr>
            <w:tcW w:w="1260" w:type="dxa"/>
          </w:tcPr>
          <w:p w:rsidR="00F4263A" w:rsidRPr="00CC2E51" w:rsidRDefault="00F4263A" w:rsidP="00505DA3">
            <w:pPr>
              <w:spacing w:after="0" w:line="240" w:lineRule="auto"/>
              <w:jc w:val="both"/>
              <w:textAlignment w:val="top"/>
              <w:rPr>
                <w:rFonts w:ascii="Times New Roman" w:hAnsi="Times New Roman"/>
                <w:sz w:val="18"/>
                <w:szCs w:val="18"/>
              </w:rPr>
            </w:pPr>
            <w:r>
              <w:rPr>
                <w:rFonts w:ascii="Times New Roman" w:hAnsi="Times New Roman"/>
                <w:sz w:val="18"/>
                <w:szCs w:val="18"/>
              </w:rPr>
              <w:t>DR-L1067</w:t>
            </w:r>
          </w:p>
        </w:tc>
      </w:tr>
      <w:tr w:rsidR="00F4263A" w:rsidRPr="00866213" w:rsidTr="00505DA3">
        <w:trPr>
          <w:jc w:val="center"/>
        </w:trPr>
        <w:tc>
          <w:tcPr>
            <w:tcW w:w="11017" w:type="dxa"/>
            <w:gridSpan w:val="18"/>
          </w:tcPr>
          <w:p w:rsidR="00F4263A" w:rsidRPr="00CC2E51" w:rsidRDefault="00F4263A" w:rsidP="00505DA3">
            <w:pPr>
              <w:spacing w:after="0" w:line="240" w:lineRule="auto"/>
              <w:ind w:left="360"/>
              <w:jc w:val="right"/>
              <w:textAlignment w:val="top"/>
              <w:rPr>
                <w:rFonts w:ascii="Times New Roman" w:hAnsi="Times New Roman"/>
                <w:b/>
                <w:sz w:val="18"/>
                <w:szCs w:val="18"/>
              </w:rPr>
            </w:pPr>
            <w:r w:rsidRPr="00CC2E51">
              <w:rPr>
                <w:rFonts w:ascii="Times New Roman" w:hAnsi="Times New Roman"/>
                <w:b/>
                <w:sz w:val="18"/>
                <w:szCs w:val="18"/>
              </w:rPr>
              <w:t>Costo Total:</w:t>
            </w:r>
          </w:p>
        </w:tc>
        <w:tc>
          <w:tcPr>
            <w:tcW w:w="990" w:type="dxa"/>
          </w:tcPr>
          <w:p w:rsidR="00F4263A" w:rsidRPr="00CC2E51" w:rsidRDefault="00F4263A" w:rsidP="001516B2">
            <w:pPr>
              <w:spacing w:after="0" w:line="240" w:lineRule="auto"/>
              <w:textAlignment w:val="top"/>
              <w:rPr>
                <w:rFonts w:ascii="Times New Roman" w:hAnsi="Times New Roman"/>
                <w:b/>
                <w:sz w:val="18"/>
                <w:szCs w:val="18"/>
              </w:rPr>
            </w:pPr>
            <w:r>
              <w:rPr>
                <w:rFonts w:ascii="Times New Roman" w:hAnsi="Times New Roman"/>
                <w:b/>
                <w:sz w:val="18"/>
                <w:szCs w:val="18"/>
              </w:rPr>
              <w:t>50.000</w:t>
            </w:r>
          </w:p>
        </w:tc>
        <w:tc>
          <w:tcPr>
            <w:tcW w:w="1260" w:type="dxa"/>
          </w:tcPr>
          <w:p w:rsidR="00F4263A" w:rsidRPr="00CC2E51" w:rsidRDefault="00F4263A" w:rsidP="0087587D">
            <w:pPr>
              <w:spacing w:after="0" w:line="240" w:lineRule="auto"/>
              <w:ind w:left="360"/>
              <w:jc w:val="both"/>
              <w:textAlignment w:val="top"/>
              <w:rPr>
                <w:rFonts w:ascii="Times New Roman" w:hAnsi="Times New Roman"/>
                <w:sz w:val="18"/>
                <w:szCs w:val="18"/>
              </w:rPr>
            </w:pPr>
          </w:p>
        </w:tc>
      </w:tr>
    </w:tbl>
    <w:p w:rsidR="000A4579" w:rsidRPr="00CC2E51" w:rsidRDefault="000A4579" w:rsidP="000A4579">
      <w:pPr>
        <w:spacing w:after="0" w:line="240" w:lineRule="auto"/>
        <w:jc w:val="both"/>
        <w:rPr>
          <w:rFonts w:ascii="Times New Roman" w:hAnsi="Times New Roman"/>
        </w:rPr>
        <w:sectPr w:rsidR="000A4579" w:rsidRPr="00CC2E51" w:rsidSect="00742E55">
          <w:pgSz w:w="15840" w:h="12240" w:orient="landscape"/>
          <w:pgMar w:top="1440" w:right="1440" w:bottom="1627" w:left="1440" w:header="720" w:footer="720" w:gutter="0"/>
          <w:cols w:space="720"/>
          <w:docGrid w:linePitch="360"/>
        </w:sectPr>
      </w:pPr>
    </w:p>
    <w:p w:rsidR="000A4579" w:rsidRPr="00CC2E51" w:rsidRDefault="000A4579" w:rsidP="000A4579">
      <w:pPr>
        <w:spacing w:after="0" w:line="240" w:lineRule="auto"/>
        <w:jc w:val="both"/>
        <w:rPr>
          <w:rFonts w:ascii="Times New Roman" w:hAnsi="Times New Roman"/>
          <w:b/>
        </w:rPr>
      </w:pPr>
      <w:r w:rsidRPr="00B66918">
        <w:rPr>
          <w:rFonts w:ascii="Times New Roman" w:hAnsi="Times New Roman"/>
          <w:b/>
        </w:rPr>
        <w:t>Referencias</w:t>
      </w:r>
    </w:p>
    <w:p w:rsidR="000A4579" w:rsidRPr="00CC2E51" w:rsidRDefault="000A4579" w:rsidP="000A4579">
      <w:pPr>
        <w:spacing w:after="0" w:line="240" w:lineRule="auto"/>
        <w:jc w:val="both"/>
        <w:rPr>
          <w:rFonts w:ascii="Times New Roman" w:hAnsi="Times New Roman"/>
          <w:b/>
        </w:rPr>
      </w:pPr>
    </w:p>
    <w:p w:rsidR="000A4579" w:rsidRPr="00CC2E51" w:rsidRDefault="000A4579" w:rsidP="000A4579">
      <w:pPr>
        <w:pStyle w:val="ListParagraph"/>
        <w:numPr>
          <w:ilvl w:val="0"/>
          <w:numId w:val="9"/>
        </w:numPr>
        <w:spacing w:after="200" w:line="276" w:lineRule="auto"/>
        <w:contextualSpacing w:val="0"/>
        <w:jc w:val="left"/>
        <w:rPr>
          <w:rFonts w:ascii="Times New Roman" w:hAnsi="Times New Roman"/>
          <w:lang w:val="es-ES"/>
        </w:rPr>
      </w:pPr>
      <w:r w:rsidRPr="007953F2">
        <w:rPr>
          <w:rFonts w:ascii="Times New Roman" w:hAnsi="Times New Roman"/>
          <w:lang w:val="en-US"/>
        </w:rPr>
        <w:t>Andaleeb, Syed Saad (2001).</w:t>
      </w:r>
      <w:r>
        <w:rPr>
          <w:rFonts w:ascii="Times New Roman" w:hAnsi="Times New Roman"/>
          <w:lang w:val="en-US"/>
        </w:rPr>
        <w:t xml:space="preserve"> </w:t>
      </w:r>
      <w:r w:rsidRPr="007953F2">
        <w:rPr>
          <w:rFonts w:ascii="Times New Roman" w:hAnsi="Times New Roman"/>
          <w:lang w:val="en-US"/>
        </w:rPr>
        <w:t>Service quality perceptions and patient satisfaction: a study of hospitals in a developing country.</w:t>
      </w:r>
      <w:r>
        <w:rPr>
          <w:rFonts w:ascii="Times New Roman" w:hAnsi="Times New Roman"/>
          <w:lang w:val="en-US"/>
        </w:rPr>
        <w:t xml:space="preserve"> </w:t>
      </w:r>
      <w:r w:rsidRPr="00CC2E51">
        <w:rPr>
          <w:rFonts w:ascii="Times New Roman" w:hAnsi="Times New Roman"/>
          <w:i/>
          <w:lang w:val="es-ES"/>
        </w:rPr>
        <w:t>Social Science and Medicine</w:t>
      </w:r>
      <w:r w:rsidRPr="00CC2E51">
        <w:rPr>
          <w:rFonts w:ascii="Times New Roman" w:hAnsi="Times New Roman"/>
          <w:lang w:val="es-ES"/>
        </w:rPr>
        <w:t>, Volumen 52, Número 9, pp. 1359-1370.</w:t>
      </w:r>
    </w:p>
    <w:p w:rsidR="000A4579" w:rsidRPr="003F663F" w:rsidRDefault="000A4579" w:rsidP="000A4579">
      <w:pPr>
        <w:pStyle w:val="ListParagraph"/>
        <w:numPr>
          <w:ilvl w:val="0"/>
          <w:numId w:val="9"/>
        </w:numPr>
        <w:spacing w:after="200" w:line="276" w:lineRule="auto"/>
        <w:contextualSpacing w:val="0"/>
        <w:jc w:val="left"/>
        <w:rPr>
          <w:rFonts w:ascii="Times New Roman" w:hAnsi="Times New Roman"/>
          <w:lang w:val="en-US"/>
        </w:rPr>
      </w:pPr>
      <w:r w:rsidRPr="007953F2">
        <w:rPr>
          <w:rFonts w:ascii="Times New Roman" w:hAnsi="Times New Roman"/>
          <w:lang w:val="fr-FR"/>
        </w:rPr>
        <w:t xml:space="preserve">DesRoches, Catherine M. et al. </w:t>
      </w:r>
      <w:r w:rsidRPr="007953F2">
        <w:rPr>
          <w:rFonts w:ascii="Times New Roman" w:hAnsi="Times New Roman"/>
          <w:lang w:val="en-US"/>
        </w:rPr>
        <w:t>(2008).</w:t>
      </w:r>
      <w:r>
        <w:rPr>
          <w:rFonts w:ascii="Times New Roman" w:hAnsi="Times New Roman"/>
          <w:lang w:val="en-US"/>
        </w:rPr>
        <w:t xml:space="preserve"> </w:t>
      </w:r>
      <w:r w:rsidRPr="007953F2">
        <w:rPr>
          <w:rFonts w:ascii="Times New Roman" w:hAnsi="Times New Roman"/>
          <w:lang w:val="en-US"/>
        </w:rPr>
        <w:t xml:space="preserve"> </w:t>
      </w:r>
      <w:r w:rsidRPr="007953F2">
        <w:rPr>
          <w:rFonts w:ascii="Times New Roman" w:eastAsiaTheme="minorHAnsi" w:hAnsi="Times New Roman"/>
          <w:lang w:val="en-US"/>
        </w:rPr>
        <w:t xml:space="preserve">Electronic Health Records in Ambulatory Care — A National Survey of Physicians. </w:t>
      </w:r>
      <w:r w:rsidRPr="003F663F">
        <w:rPr>
          <w:rFonts w:ascii="Times New Roman" w:hAnsi="Times New Roman"/>
          <w:i/>
          <w:lang w:val="en-US"/>
        </w:rPr>
        <w:t>New England Journal of Medicine</w:t>
      </w:r>
      <w:r w:rsidRPr="003F663F">
        <w:rPr>
          <w:rFonts w:ascii="Times New Roman" w:hAnsi="Times New Roman"/>
          <w:lang w:val="en-US"/>
        </w:rPr>
        <w:t xml:space="preserve">, Número 359, pp. 50-60. </w:t>
      </w:r>
    </w:p>
    <w:p w:rsidR="000A4579" w:rsidRPr="003F663F" w:rsidRDefault="000A4579" w:rsidP="000A4579">
      <w:pPr>
        <w:pStyle w:val="ListParagraph"/>
        <w:numPr>
          <w:ilvl w:val="0"/>
          <w:numId w:val="9"/>
        </w:numPr>
        <w:spacing w:after="200" w:line="276" w:lineRule="auto"/>
        <w:contextualSpacing w:val="0"/>
        <w:jc w:val="left"/>
        <w:rPr>
          <w:rFonts w:ascii="Times New Roman" w:hAnsi="Times New Roman"/>
          <w:lang w:val="en-US"/>
        </w:rPr>
      </w:pPr>
      <w:r w:rsidRPr="007953F2">
        <w:rPr>
          <w:rFonts w:ascii="Times New Roman" w:hAnsi="Times New Roman"/>
          <w:lang w:val="en-US"/>
        </w:rPr>
        <w:t>Foster, Jennifer et al (2010).</w:t>
      </w:r>
      <w:r>
        <w:rPr>
          <w:rFonts w:ascii="Times New Roman" w:hAnsi="Times New Roman"/>
          <w:lang w:val="en-US"/>
        </w:rPr>
        <w:t xml:space="preserve"> </w:t>
      </w:r>
      <w:r w:rsidRPr="007953F2">
        <w:rPr>
          <w:rFonts w:ascii="Times New Roman" w:hAnsi="Times New Roman"/>
          <w:lang w:val="en-US"/>
        </w:rPr>
        <w:t xml:space="preserve">A community-based participatory research approach to explore community perceptions of the quality of maternal–newborn health services in the Dominican Republic. </w:t>
      </w:r>
      <w:r w:rsidRPr="003F663F">
        <w:rPr>
          <w:rFonts w:ascii="Times New Roman" w:hAnsi="Times New Roman"/>
          <w:i/>
          <w:lang w:val="en-US"/>
        </w:rPr>
        <w:t>Midwifery</w:t>
      </w:r>
      <w:r w:rsidRPr="003F663F">
        <w:rPr>
          <w:rFonts w:ascii="Times New Roman" w:hAnsi="Times New Roman"/>
          <w:lang w:val="en-US"/>
        </w:rPr>
        <w:t>, Volumen 26, Número 5, pp. 504-511.</w:t>
      </w:r>
    </w:p>
    <w:p w:rsidR="000A4579" w:rsidRPr="007953F2" w:rsidRDefault="000A4579" w:rsidP="000A4579">
      <w:pPr>
        <w:pStyle w:val="ListParagraph"/>
        <w:numPr>
          <w:ilvl w:val="0"/>
          <w:numId w:val="9"/>
        </w:numPr>
        <w:spacing w:after="200" w:line="276" w:lineRule="auto"/>
        <w:contextualSpacing w:val="0"/>
        <w:jc w:val="left"/>
        <w:rPr>
          <w:rFonts w:ascii="Times New Roman" w:hAnsi="Times New Roman"/>
          <w:lang w:val="en-US"/>
        </w:rPr>
      </w:pPr>
      <w:r w:rsidRPr="007953F2">
        <w:rPr>
          <w:rFonts w:ascii="Times New Roman" w:hAnsi="Times New Roman"/>
          <w:lang w:val="en-US"/>
        </w:rPr>
        <w:t xml:space="preserve">Haddad, Slim y Pierre et al. (1998). What does quality mean to lay people? Community perceptions of primary health care services in Guinea, </w:t>
      </w:r>
      <w:r w:rsidRPr="007953F2">
        <w:rPr>
          <w:rFonts w:ascii="Times New Roman" w:hAnsi="Times New Roman"/>
          <w:i/>
          <w:lang w:val="en-US"/>
        </w:rPr>
        <w:t>Social Science and Medicine</w:t>
      </w:r>
      <w:r w:rsidRPr="007953F2">
        <w:rPr>
          <w:rFonts w:ascii="Times New Roman" w:hAnsi="Times New Roman"/>
          <w:lang w:val="en-US"/>
        </w:rPr>
        <w:t>, Volumen 47, Número 3, pp. 381-394</w:t>
      </w:r>
    </w:p>
    <w:p w:rsidR="000A4579" w:rsidRPr="00CC2E51" w:rsidRDefault="000A4579" w:rsidP="000A4579">
      <w:pPr>
        <w:pStyle w:val="ListParagraph"/>
        <w:numPr>
          <w:ilvl w:val="0"/>
          <w:numId w:val="9"/>
        </w:numPr>
        <w:spacing w:after="200" w:line="276" w:lineRule="auto"/>
        <w:contextualSpacing w:val="0"/>
        <w:jc w:val="left"/>
        <w:rPr>
          <w:rFonts w:ascii="Times New Roman" w:hAnsi="Times New Roman"/>
          <w:lang w:val="es-ES"/>
        </w:rPr>
      </w:pPr>
      <w:r w:rsidRPr="007953F2">
        <w:rPr>
          <w:rFonts w:ascii="Times New Roman" w:hAnsi="Times New Roman"/>
          <w:lang w:val="en-US"/>
        </w:rPr>
        <w:t xml:space="preserve">Häyrinen, Kristiina et al. (2008). Definition, structure, content, use and impacts of electronic health records: A review of the research literature. </w:t>
      </w:r>
      <w:r w:rsidRPr="00CC2E51">
        <w:rPr>
          <w:rFonts w:ascii="Times New Roman" w:hAnsi="Times New Roman"/>
          <w:i/>
          <w:lang w:val="es-ES"/>
        </w:rPr>
        <w:t>International Journal of Medical Informatics</w:t>
      </w:r>
      <w:r w:rsidRPr="00CC2E51">
        <w:rPr>
          <w:rFonts w:ascii="Times New Roman" w:hAnsi="Times New Roman"/>
          <w:lang w:val="es-ES"/>
        </w:rPr>
        <w:t>, Volumen 77, Número 5, pp. 291-304</w:t>
      </w:r>
    </w:p>
    <w:p w:rsidR="000A4579" w:rsidRPr="00471244" w:rsidRDefault="00104D9C" w:rsidP="000A4579">
      <w:pPr>
        <w:pStyle w:val="ListParagraph"/>
        <w:numPr>
          <w:ilvl w:val="0"/>
          <w:numId w:val="9"/>
        </w:numPr>
        <w:spacing w:after="200" w:line="276" w:lineRule="auto"/>
        <w:contextualSpacing w:val="0"/>
        <w:jc w:val="left"/>
        <w:rPr>
          <w:rFonts w:ascii="Times New Roman" w:eastAsiaTheme="minorHAnsi" w:hAnsi="Times New Roman"/>
          <w:lang w:val="en-US"/>
        </w:rPr>
      </w:pPr>
      <w:hyperlink r:id="rId10" w:history="1">
        <w:r w:rsidR="000A4579" w:rsidRPr="007953F2">
          <w:rPr>
            <w:rFonts w:ascii="Times New Roman" w:eastAsiaTheme="minorHAnsi" w:hAnsi="Times New Roman"/>
            <w:lang w:val="en-US"/>
          </w:rPr>
          <w:t>Kalogriopoulos, Nicholas A</w:t>
        </w:r>
      </w:hyperlink>
      <w:r w:rsidR="000A4579" w:rsidRPr="007953F2">
        <w:rPr>
          <w:rFonts w:ascii="Times New Roman" w:eastAsiaTheme="minorHAnsi" w:hAnsi="Times New Roman"/>
          <w:lang w:val="en-US"/>
        </w:rPr>
        <w:t>. (2009). Electronic medical record systems for developing countries: review.</w:t>
      </w:r>
      <w:r w:rsidR="000A4579" w:rsidRPr="007953F2">
        <w:rPr>
          <w:rFonts w:ascii="Times New Roman" w:hAnsi="Times New Roman"/>
          <w:lang w:val="en-US"/>
        </w:rPr>
        <w:t xml:space="preserve"> </w:t>
      </w:r>
      <w:r w:rsidR="000A4579" w:rsidRPr="00471244">
        <w:rPr>
          <w:rFonts w:ascii="Times New Roman" w:hAnsi="Times New Roman"/>
          <w:lang w:val="en-US"/>
        </w:rPr>
        <w:t>Conference proceedings: Annual International Conference of the IEEE</w:t>
      </w:r>
      <w:r w:rsidR="000A4579" w:rsidRPr="00471244">
        <w:rPr>
          <w:rFonts w:ascii="Times New Roman" w:hAnsi="Times New Roman"/>
          <w:sz w:val="24"/>
          <w:szCs w:val="24"/>
          <w:lang w:val="en-US"/>
        </w:rPr>
        <w:t xml:space="preserve">, pp. </w:t>
      </w:r>
      <w:r w:rsidR="000A4579" w:rsidRPr="00471244">
        <w:rPr>
          <w:rFonts w:ascii="Times New Roman" w:eastAsia="Times New Roman" w:hAnsi="Times New Roman"/>
          <w:sz w:val="24"/>
          <w:szCs w:val="24"/>
          <w:lang w:val="en-US"/>
        </w:rPr>
        <w:t>1730-3.</w:t>
      </w:r>
    </w:p>
    <w:p w:rsidR="000A4579" w:rsidRPr="00CC2E51" w:rsidRDefault="000A4579" w:rsidP="000A4579">
      <w:pPr>
        <w:pStyle w:val="ListParagraph"/>
        <w:numPr>
          <w:ilvl w:val="0"/>
          <w:numId w:val="9"/>
        </w:numPr>
        <w:spacing w:after="200" w:line="276" w:lineRule="auto"/>
        <w:contextualSpacing w:val="0"/>
        <w:jc w:val="left"/>
        <w:rPr>
          <w:rFonts w:ascii="Times New Roman" w:hAnsi="Times New Roman"/>
          <w:lang w:val="es-ES"/>
        </w:rPr>
      </w:pPr>
      <w:r w:rsidRPr="007953F2">
        <w:rPr>
          <w:rFonts w:ascii="Times New Roman" w:hAnsi="Times New Roman"/>
          <w:lang w:val="en-US"/>
        </w:rPr>
        <w:t xml:space="preserve">Linder, Jeffrey A. (2007). </w:t>
      </w:r>
      <w:r w:rsidRPr="007953F2">
        <w:rPr>
          <w:rFonts w:ascii="Times New Roman" w:hAnsi="Times New Roman"/>
          <w:bCs/>
          <w:lang w:val="en-US"/>
        </w:rPr>
        <w:t xml:space="preserve">Electronic Health Record Use and the Quality of Ambulatory Care in the United States. </w:t>
      </w:r>
      <w:r w:rsidRPr="00CC2E51">
        <w:rPr>
          <w:rStyle w:val="Emphasis"/>
          <w:rFonts w:ascii="Times New Roman" w:hAnsi="Times New Roman"/>
          <w:sz w:val="20"/>
          <w:lang w:val="es-ES"/>
        </w:rPr>
        <w:t>Arch</w:t>
      </w:r>
      <w:r w:rsidRPr="00CC2E51">
        <w:rPr>
          <w:rStyle w:val="Emphasis"/>
          <w:rFonts w:ascii="Times New Roman" w:hAnsi="Times New Roman"/>
          <w:sz w:val="20"/>
          <w:szCs w:val="20"/>
          <w:lang w:val="es-ES"/>
        </w:rPr>
        <w:t xml:space="preserve">ives of </w:t>
      </w:r>
      <w:r w:rsidRPr="00CC2E51">
        <w:rPr>
          <w:rStyle w:val="Emphasis"/>
          <w:rFonts w:ascii="Times New Roman" w:hAnsi="Times New Roman"/>
          <w:sz w:val="20"/>
          <w:lang w:val="es-ES"/>
        </w:rPr>
        <w:t>Intern</w:t>
      </w:r>
      <w:r w:rsidRPr="00CC2E51">
        <w:rPr>
          <w:rStyle w:val="Emphasis"/>
          <w:rFonts w:ascii="Times New Roman" w:hAnsi="Times New Roman"/>
          <w:sz w:val="20"/>
          <w:szCs w:val="20"/>
          <w:lang w:val="es-ES"/>
        </w:rPr>
        <w:t>al</w:t>
      </w:r>
      <w:r w:rsidRPr="00CC2E51">
        <w:rPr>
          <w:rStyle w:val="Emphasis"/>
          <w:rFonts w:ascii="Times New Roman" w:hAnsi="Times New Roman"/>
          <w:sz w:val="20"/>
          <w:lang w:val="es-ES"/>
        </w:rPr>
        <w:t xml:space="preserve"> Med</w:t>
      </w:r>
      <w:r w:rsidRPr="00CC2E51">
        <w:rPr>
          <w:rStyle w:val="Emphasis"/>
          <w:rFonts w:ascii="Times New Roman" w:hAnsi="Times New Roman"/>
          <w:sz w:val="20"/>
          <w:szCs w:val="20"/>
          <w:lang w:val="es-ES"/>
        </w:rPr>
        <w:t xml:space="preserve">icine, </w:t>
      </w:r>
      <w:r w:rsidRPr="00CC2E51">
        <w:rPr>
          <w:rStyle w:val="Emphasis"/>
          <w:rFonts w:ascii="Times New Roman" w:hAnsi="Times New Roman"/>
          <w:i w:val="0"/>
          <w:sz w:val="20"/>
          <w:szCs w:val="20"/>
          <w:lang w:val="es-ES"/>
        </w:rPr>
        <w:t>Volumen</w:t>
      </w:r>
      <w:r w:rsidRPr="00CC2E51">
        <w:rPr>
          <w:rStyle w:val="Emphasis"/>
          <w:rFonts w:ascii="Times New Roman" w:hAnsi="Times New Roman"/>
          <w:sz w:val="20"/>
          <w:szCs w:val="20"/>
          <w:lang w:val="es-ES"/>
        </w:rPr>
        <w:t xml:space="preserve"> </w:t>
      </w:r>
      <w:r w:rsidRPr="00CC2E51">
        <w:rPr>
          <w:rFonts w:ascii="Times New Roman" w:hAnsi="Times New Roman"/>
          <w:sz w:val="20"/>
          <w:szCs w:val="20"/>
          <w:lang w:val="es-ES"/>
        </w:rPr>
        <w:t>167, Número 13, pp. 1400-1405.</w:t>
      </w:r>
      <w:r w:rsidRPr="00CC2E51">
        <w:rPr>
          <w:rFonts w:ascii="Times New Roman" w:hAnsi="Times New Roman"/>
          <w:lang w:val="es-ES"/>
        </w:rPr>
        <w:t xml:space="preserve"> </w:t>
      </w:r>
    </w:p>
    <w:p w:rsidR="000A4579" w:rsidRPr="003F663F" w:rsidRDefault="000A4579" w:rsidP="000A4579">
      <w:pPr>
        <w:pStyle w:val="ListParagraph"/>
        <w:numPr>
          <w:ilvl w:val="0"/>
          <w:numId w:val="9"/>
        </w:numPr>
        <w:spacing w:after="200" w:line="276" w:lineRule="auto"/>
        <w:contextualSpacing w:val="0"/>
        <w:jc w:val="left"/>
        <w:rPr>
          <w:rFonts w:ascii="Times New Roman" w:hAnsi="Times New Roman"/>
          <w:lang w:val="en-US"/>
        </w:rPr>
      </w:pPr>
      <w:r w:rsidRPr="007953F2">
        <w:rPr>
          <w:rFonts w:ascii="Times New Roman" w:hAnsi="Times New Roman"/>
          <w:lang w:val="en-US"/>
        </w:rPr>
        <w:t>Mariko, Mamadou (2003).</w:t>
      </w:r>
      <w:r>
        <w:rPr>
          <w:rFonts w:ascii="Times New Roman" w:hAnsi="Times New Roman"/>
          <w:lang w:val="en-US"/>
        </w:rPr>
        <w:t xml:space="preserve"> </w:t>
      </w:r>
      <w:r w:rsidRPr="007953F2">
        <w:rPr>
          <w:rFonts w:ascii="Times New Roman" w:hAnsi="Times New Roman"/>
          <w:lang w:val="en-US"/>
        </w:rPr>
        <w:t xml:space="preserve">Quality of care and the demand for health services in Bamako, Mali: the specific roles of structural, process, and outcome components. </w:t>
      </w:r>
      <w:r w:rsidRPr="003F663F">
        <w:rPr>
          <w:rFonts w:ascii="Times New Roman" w:hAnsi="Times New Roman"/>
          <w:i/>
          <w:lang w:val="en-US"/>
        </w:rPr>
        <w:t>Social Science and Medicine</w:t>
      </w:r>
      <w:r w:rsidRPr="003F663F">
        <w:rPr>
          <w:rFonts w:ascii="Times New Roman" w:hAnsi="Times New Roman"/>
          <w:lang w:val="en-US"/>
        </w:rPr>
        <w:t>, Volumen 56, Número 6, pp. 1183-1196.</w:t>
      </w:r>
    </w:p>
    <w:p w:rsidR="000A4579" w:rsidRPr="00CC2E51" w:rsidRDefault="000A4579" w:rsidP="000A4579">
      <w:pPr>
        <w:pStyle w:val="ListParagraph"/>
        <w:numPr>
          <w:ilvl w:val="0"/>
          <w:numId w:val="9"/>
        </w:numPr>
        <w:spacing w:after="200" w:line="276" w:lineRule="auto"/>
        <w:contextualSpacing w:val="0"/>
        <w:jc w:val="left"/>
        <w:rPr>
          <w:rFonts w:ascii="Times New Roman" w:hAnsi="Times New Roman"/>
          <w:lang w:val="es-ES"/>
        </w:rPr>
      </w:pPr>
      <w:r w:rsidRPr="00CC2E51">
        <w:rPr>
          <w:rFonts w:ascii="Times New Roman" w:hAnsi="Times New Roman"/>
          <w:lang w:val="es-ES"/>
        </w:rPr>
        <w:t>Pérez-Then, Eddy (Ed.) (2010). Calidad de la Atención de la Embarazada y del niño menor de un año en Centros de Primer Nivel de Atención de la Regiones III, IV, V VI de la República Dominicana. CENISMI. Resultados de la Segunda Fase. Serie de Reuniones Técnicas IV.</w:t>
      </w:r>
    </w:p>
    <w:p w:rsidR="000A4579" w:rsidRPr="007953F2" w:rsidRDefault="000A4579" w:rsidP="000A4579">
      <w:pPr>
        <w:pStyle w:val="ListParagraph"/>
        <w:numPr>
          <w:ilvl w:val="0"/>
          <w:numId w:val="9"/>
        </w:numPr>
        <w:spacing w:after="200" w:line="276" w:lineRule="auto"/>
        <w:contextualSpacing w:val="0"/>
        <w:jc w:val="left"/>
        <w:rPr>
          <w:rFonts w:ascii="Times New Roman" w:hAnsi="Times New Roman"/>
          <w:lang w:val="en-US"/>
        </w:rPr>
      </w:pPr>
      <w:r w:rsidRPr="007953F2">
        <w:rPr>
          <w:rFonts w:ascii="Times New Roman" w:hAnsi="Times New Roman"/>
          <w:lang w:val="fr-FR"/>
        </w:rPr>
        <w:t>Poissant, Lise y</w:t>
      </w:r>
      <w:r>
        <w:rPr>
          <w:rFonts w:ascii="Times New Roman" w:hAnsi="Times New Roman"/>
          <w:lang w:val="fr-FR"/>
        </w:rPr>
        <w:t xml:space="preserve"> </w:t>
      </w:r>
      <w:r w:rsidRPr="007953F2">
        <w:rPr>
          <w:rFonts w:ascii="Times New Roman" w:hAnsi="Times New Roman"/>
          <w:lang w:val="fr-FR"/>
        </w:rPr>
        <w:t>Jennifer Pereira, Robyn Tamblyn, Yuko Kawasumi (2005).</w:t>
      </w:r>
      <w:r>
        <w:rPr>
          <w:rFonts w:ascii="Times New Roman" w:hAnsi="Times New Roman"/>
          <w:lang w:val="fr-FR"/>
        </w:rPr>
        <w:t xml:space="preserve"> </w:t>
      </w:r>
      <w:r w:rsidRPr="007953F2">
        <w:rPr>
          <w:rFonts w:ascii="Times New Roman" w:hAnsi="Times New Roman"/>
          <w:lang w:val="en-US"/>
        </w:rPr>
        <w:t xml:space="preserve">The Impact of Electronic Health Records on Time Efficiency of Physicians and Nurses: A Systematic Review. </w:t>
      </w:r>
      <w:r w:rsidRPr="007953F2">
        <w:rPr>
          <w:rFonts w:ascii="Times New Roman" w:hAnsi="Times New Roman"/>
          <w:i/>
          <w:lang w:val="en-US"/>
        </w:rPr>
        <w:t>Journal of the American Medical Informatics Association</w:t>
      </w:r>
      <w:r w:rsidR="00F758D2">
        <w:rPr>
          <w:rFonts w:ascii="Times New Roman" w:hAnsi="Times New Roman"/>
          <w:lang w:val="en-US"/>
        </w:rPr>
        <w:t>, Volumen 12, Número 5, pp. 505</w:t>
      </w:r>
      <w:r w:rsidR="00F758D2">
        <w:rPr>
          <w:rFonts w:ascii="Times New Roman" w:hAnsi="Times New Roman"/>
          <w:lang w:val="en-US"/>
        </w:rPr>
        <w:noBreakHyphen/>
      </w:r>
      <w:r w:rsidRPr="007953F2">
        <w:rPr>
          <w:rFonts w:ascii="Times New Roman" w:hAnsi="Times New Roman"/>
          <w:lang w:val="en-US"/>
        </w:rPr>
        <w:t>516.</w:t>
      </w:r>
    </w:p>
    <w:p w:rsidR="000A4579" w:rsidRPr="007953F2" w:rsidRDefault="000A4579" w:rsidP="000A4579">
      <w:pPr>
        <w:pStyle w:val="ListParagraph"/>
        <w:numPr>
          <w:ilvl w:val="0"/>
          <w:numId w:val="9"/>
        </w:numPr>
        <w:spacing w:after="200" w:line="276" w:lineRule="auto"/>
        <w:contextualSpacing w:val="0"/>
        <w:jc w:val="left"/>
        <w:rPr>
          <w:rFonts w:ascii="Times New Roman" w:eastAsiaTheme="minorHAnsi" w:hAnsi="Times New Roman"/>
          <w:lang w:val="en-US"/>
        </w:rPr>
      </w:pPr>
      <w:r w:rsidRPr="007953F2">
        <w:rPr>
          <w:rFonts w:ascii="Times New Roman" w:hAnsi="Times New Roman"/>
          <w:lang w:val="fr-FR"/>
        </w:rPr>
        <w:t xml:space="preserve">Raudenbush, S. W., et al. </w:t>
      </w:r>
      <w:r w:rsidRPr="007953F2">
        <w:rPr>
          <w:rFonts w:ascii="Times New Roman" w:hAnsi="Times New Roman"/>
          <w:lang w:val="en-US"/>
        </w:rPr>
        <w:t>(2011). Optimal Design Software for Multi-level and Longitudinal Research (Version 3.01) [Software]. Available from www.wtgrantfoundation.org or from sitemaker.umich.edu/group-based.</w:t>
      </w:r>
    </w:p>
    <w:p w:rsidR="001B5186" w:rsidRPr="00F758D2" w:rsidRDefault="000A4579" w:rsidP="00F758D2">
      <w:pPr>
        <w:pStyle w:val="ListParagraph"/>
        <w:numPr>
          <w:ilvl w:val="0"/>
          <w:numId w:val="9"/>
        </w:numPr>
        <w:spacing w:line="276" w:lineRule="auto"/>
        <w:contextualSpacing w:val="0"/>
        <w:jc w:val="left"/>
        <w:rPr>
          <w:rFonts w:ascii="Times New Roman" w:hAnsi="Times New Roman"/>
          <w:lang w:val="en-US"/>
        </w:rPr>
      </w:pPr>
      <w:r w:rsidRPr="007953F2">
        <w:rPr>
          <w:rFonts w:ascii="Times New Roman" w:hAnsi="Times New Roman"/>
          <w:lang w:val="fr-FR"/>
        </w:rPr>
        <w:t>Skordis-Worrall, Jolene et al.</w:t>
      </w:r>
      <w:r>
        <w:rPr>
          <w:rFonts w:ascii="Times New Roman" w:hAnsi="Times New Roman"/>
          <w:lang w:val="fr-FR"/>
        </w:rPr>
        <w:t xml:space="preserve"> </w:t>
      </w:r>
      <w:r w:rsidRPr="007953F2">
        <w:rPr>
          <w:rFonts w:ascii="Times New Roman" w:hAnsi="Times New Roman"/>
          <w:lang w:val="en-US"/>
        </w:rPr>
        <w:t>(2011).</w:t>
      </w:r>
      <w:r>
        <w:rPr>
          <w:rFonts w:ascii="Times New Roman" w:hAnsi="Times New Roman"/>
          <w:lang w:val="en-US"/>
        </w:rPr>
        <w:t xml:space="preserve"> </w:t>
      </w:r>
      <w:r w:rsidRPr="007953F2">
        <w:rPr>
          <w:rFonts w:ascii="Times New Roman" w:hAnsi="Times New Roman"/>
          <w:lang w:val="en-US"/>
        </w:rPr>
        <w:t xml:space="preserve"> Estimating the demand for health services in four poor districts of Cape Town, South Africa. </w:t>
      </w:r>
      <w:r w:rsidRPr="003F663F">
        <w:rPr>
          <w:rFonts w:ascii="Times New Roman" w:hAnsi="Times New Roman"/>
          <w:i/>
          <w:lang w:val="en-US"/>
        </w:rPr>
        <w:t>International Health</w:t>
      </w:r>
      <w:r w:rsidRPr="003F663F">
        <w:rPr>
          <w:rFonts w:ascii="Times New Roman" w:hAnsi="Times New Roman"/>
          <w:lang w:val="en-US"/>
        </w:rPr>
        <w:t>, Volumen 3, Número 1, March 2011, pp. 44-49.</w:t>
      </w:r>
    </w:p>
    <w:sectPr w:rsidR="001B5186" w:rsidRPr="00F758D2" w:rsidSect="001421E3">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D9C" w:rsidRDefault="00104D9C" w:rsidP="001B5186">
      <w:pPr>
        <w:spacing w:after="0" w:line="240" w:lineRule="auto"/>
      </w:pPr>
      <w:r>
        <w:separator/>
      </w:r>
    </w:p>
  </w:endnote>
  <w:endnote w:type="continuationSeparator" w:id="0">
    <w:p w:rsidR="00104D9C" w:rsidRDefault="00104D9C"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850091"/>
      <w:docPartObj>
        <w:docPartGallery w:val="Page Numbers (Bottom of Page)"/>
        <w:docPartUnique/>
      </w:docPartObj>
    </w:sdtPr>
    <w:sdtEndPr>
      <w:rPr>
        <w:noProof/>
      </w:rPr>
    </w:sdtEndPr>
    <w:sdtContent>
      <w:p w:rsidR="00104D9C" w:rsidRDefault="00104D9C">
        <w:pPr>
          <w:pStyle w:val="Footer"/>
          <w:jc w:val="center"/>
        </w:pPr>
        <w:r w:rsidRPr="00C17027">
          <w:rPr>
            <w:sz w:val="20"/>
            <w:szCs w:val="20"/>
          </w:rPr>
          <w:fldChar w:fldCharType="begin"/>
        </w:r>
        <w:r w:rsidRPr="00C17027">
          <w:rPr>
            <w:sz w:val="20"/>
            <w:szCs w:val="20"/>
          </w:rPr>
          <w:instrText xml:space="preserve"> PAGE   \* MERGEFORMAT </w:instrText>
        </w:r>
        <w:r w:rsidRPr="00C17027">
          <w:rPr>
            <w:sz w:val="20"/>
            <w:szCs w:val="20"/>
          </w:rPr>
          <w:fldChar w:fldCharType="separate"/>
        </w:r>
        <w:r w:rsidR="005A17DE">
          <w:rPr>
            <w:noProof/>
            <w:sz w:val="20"/>
            <w:szCs w:val="20"/>
          </w:rPr>
          <w:t>2</w:t>
        </w:r>
        <w:r w:rsidRPr="00C17027">
          <w:rPr>
            <w:noProof/>
            <w:sz w:val="20"/>
            <w:szCs w:val="20"/>
          </w:rPr>
          <w:fldChar w:fldCharType="end"/>
        </w:r>
      </w:p>
    </w:sdtContent>
  </w:sdt>
  <w:p w:rsidR="00104D9C" w:rsidRDefault="00104D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D9C" w:rsidRDefault="00104D9C" w:rsidP="001B5186">
      <w:pPr>
        <w:spacing w:after="0" w:line="240" w:lineRule="auto"/>
      </w:pPr>
      <w:r>
        <w:separator/>
      </w:r>
    </w:p>
  </w:footnote>
  <w:footnote w:type="continuationSeparator" w:id="0">
    <w:p w:rsidR="00104D9C" w:rsidRDefault="00104D9C" w:rsidP="001B5186">
      <w:pPr>
        <w:spacing w:after="0" w:line="240" w:lineRule="auto"/>
      </w:pPr>
      <w:r>
        <w:continuationSeparator/>
      </w:r>
    </w:p>
  </w:footnote>
  <w:footnote w:id="1">
    <w:p w:rsidR="00104D9C" w:rsidRPr="004964D2" w:rsidRDefault="00104D9C">
      <w:pPr>
        <w:pStyle w:val="FootnoteText"/>
        <w:rPr>
          <w:sz w:val="18"/>
          <w:szCs w:val="18"/>
          <w:lang w:val="es-ES_tradnl"/>
        </w:rPr>
      </w:pPr>
      <w:r w:rsidRPr="004964D2">
        <w:rPr>
          <w:rStyle w:val="FootnoteReference"/>
          <w:sz w:val="18"/>
          <w:szCs w:val="18"/>
        </w:rPr>
        <w:footnoteRef/>
      </w:r>
      <w:r w:rsidRPr="004964D2">
        <w:rPr>
          <w:sz w:val="18"/>
          <w:szCs w:val="18"/>
        </w:rPr>
        <w:t xml:space="preserve"> </w:t>
      </w:r>
      <w:r>
        <w:rPr>
          <w:sz w:val="18"/>
          <w:szCs w:val="18"/>
        </w:rPr>
        <w:tab/>
      </w:r>
      <w:r w:rsidRPr="004964D2">
        <w:rPr>
          <w:sz w:val="18"/>
          <w:szCs w:val="18"/>
        </w:rPr>
        <w:t>En el 2001 inicia la Reforma del Sector Salud mediante la Ley No. 87-01, que establece el Sistema Dominicano de Seguridad Social y Ley No. 42-1, Ley General de Salud.</w:t>
      </w:r>
    </w:p>
  </w:footnote>
  <w:footnote w:id="2">
    <w:p w:rsidR="00104D9C" w:rsidRPr="004964D2" w:rsidRDefault="00104D9C" w:rsidP="000C475B">
      <w:pPr>
        <w:pStyle w:val="FootnoteText"/>
        <w:rPr>
          <w:sz w:val="18"/>
          <w:szCs w:val="18"/>
          <w:lang w:val="es-ES_tradnl"/>
        </w:rPr>
      </w:pPr>
      <w:r w:rsidRPr="004964D2">
        <w:rPr>
          <w:rStyle w:val="FootnoteReference"/>
          <w:sz w:val="18"/>
          <w:szCs w:val="18"/>
        </w:rPr>
        <w:footnoteRef/>
      </w:r>
      <w:r w:rsidRPr="004964D2">
        <w:rPr>
          <w:sz w:val="18"/>
          <w:szCs w:val="18"/>
        </w:rPr>
        <w:t xml:space="preserve"> </w:t>
      </w:r>
      <w:r>
        <w:rPr>
          <w:sz w:val="18"/>
          <w:szCs w:val="18"/>
          <w:lang w:val="es-ES_tradnl"/>
        </w:rPr>
        <w:t>50% de las transferencias se hará por adscripción (tramo fijo) y el 50% restante (tramo variable) de acuerdo al desempeño en los 10 indicadores meta en salud.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0CC42D2"/>
    <w:lvl w:ilvl="0">
      <w:start w:val="1"/>
      <w:numFmt w:val="decimal"/>
      <w:pStyle w:val="ListNumber2"/>
      <w:lvlText w:val="%1."/>
      <w:lvlJc w:val="left"/>
      <w:pPr>
        <w:tabs>
          <w:tab w:val="num" w:pos="720"/>
        </w:tabs>
        <w:ind w:left="720" w:hanging="360"/>
      </w:pPr>
      <w:rPr>
        <w:b/>
        <w:color w:val="auto"/>
      </w:rPr>
    </w:lvl>
  </w:abstractNum>
  <w:abstractNum w:abstractNumId="1">
    <w:nsid w:val="FFFFFF88"/>
    <w:multiLevelType w:val="singleLevel"/>
    <w:tmpl w:val="4D203F4E"/>
    <w:lvl w:ilvl="0">
      <w:start w:val="1"/>
      <w:numFmt w:val="decimal"/>
      <w:pStyle w:val="ListNumber"/>
      <w:lvlText w:val="%1."/>
      <w:lvlJc w:val="left"/>
      <w:pPr>
        <w:tabs>
          <w:tab w:val="num" w:pos="450"/>
        </w:tabs>
        <w:ind w:left="450" w:hanging="360"/>
      </w:pPr>
    </w:lvl>
  </w:abstractNum>
  <w:abstractNum w:abstractNumId="2">
    <w:nsid w:val="08FD7577"/>
    <w:multiLevelType w:val="hybridMultilevel"/>
    <w:tmpl w:val="2DF2E3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F02660"/>
    <w:multiLevelType w:val="multilevel"/>
    <w:tmpl w:val="43F8E6EA"/>
    <w:lvl w:ilvl="0">
      <w:start w:val="2"/>
      <w:numFmt w:val="decimal"/>
      <w:lvlText w:val="%1"/>
      <w:lvlJc w:val="left"/>
      <w:pPr>
        <w:ind w:left="360" w:hanging="360"/>
      </w:pPr>
      <w:rPr>
        <w:rFonts w:hint="default"/>
      </w:rPr>
    </w:lvl>
    <w:lvl w:ilvl="1">
      <w:start w:val="1"/>
      <w:numFmt w:val="decimal"/>
      <w:pStyle w:val="AutoNumpar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F6A62E6"/>
    <w:multiLevelType w:val="hybridMultilevel"/>
    <w:tmpl w:val="ECB2EE44"/>
    <w:lvl w:ilvl="0" w:tplc="D88E6D5A">
      <w:start w:val="1"/>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35FC913A">
      <w:start w:val="2"/>
      <w:numFmt w:val="lowerRoman"/>
      <w:lvlText w:val="%5."/>
      <w:lvlJc w:val="left"/>
      <w:pPr>
        <w:ind w:left="3960" w:hanging="720"/>
      </w:pPr>
      <w:rPr>
        <w:rFonts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34B53"/>
    <w:multiLevelType w:val="hybridMultilevel"/>
    <w:tmpl w:val="D7F443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182BD6"/>
    <w:multiLevelType w:val="hybridMultilevel"/>
    <w:tmpl w:val="D66EE2D0"/>
    <w:lvl w:ilvl="0" w:tplc="0908F8D0">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02D4272"/>
    <w:multiLevelType w:val="hybridMultilevel"/>
    <w:tmpl w:val="C2C45A92"/>
    <w:lvl w:ilvl="0" w:tplc="67F0D8E0">
      <w:start w:val="1"/>
      <w:numFmt w:val="upperRoman"/>
      <w:lvlText w:val="%1."/>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B9A7602"/>
    <w:multiLevelType w:val="hybridMultilevel"/>
    <w:tmpl w:val="9A380202"/>
    <w:lvl w:ilvl="0" w:tplc="86BA05BC">
      <w:start w:val="1"/>
      <w:numFmt w:val="upperRoman"/>
      <w:lvlText w:val="%1."/>
      <w:lvlJc w:val="left"/>
      <w:pPr>
        <w:ind w:left="1080" w:hanging="720"/>
      </w:pPr>
      <w:rPr>
        <w:rFonts w:hint="default"/>
      </w:rPr>
    </w:lvl>
    <w:lvl w:ilvl="1" w:tplc="5588A4E4">
      <w:start w:val="1"/>
      <w:numFmt w:val="lowerLetter"/>
      <w:lvlText w:val="%2."/>
      <w:lvlJc w:val="left"/>
      <w:pPr>
        <w:ind w:left="1440" w:hanging="360"/>
      </w:pPr>
    </w:lvl>
    <w:lvl w:ilvl="2" w:tplc="4A88BE5E">
      <w:start w:val="1"/>
      <w:numFmt w:val="lowerRoman"/>
      <w:lvlText w:val="%3)"/>
      <w:lvlJc w:val="left"/>
      <w:pPr>
        <w:ind w:left="2700" w:hanging="720"/>
      </w:pPr>
      <w:rPr>
        <w:rFonts w:hint="default"/>
      </w:rPr>
    </w:lvl>
    <w:lvl w:ilvl="3" w:tplc="A5566618" w:tentative="1">
      <w:start w:val="1"/>
      <w:numFmt w:val="decimal"/>
      <w:lvlText w:val="%4."/>
      <w:lvlJc w:val="left"/>
      <w:pPr>
        <w:ind w:left="2880" w:hanging="360"/>
      </w:pPr>
    </w:lvl>
    <w:lvl w:ilvl="4" w:tplc="3056C46A" w:tentative="1">
      <w:start w:val="1"/>
      <w:numFmt w:val="lowerLetter"/>
      <w:lvlText w:val="%5."/>
      <w:lvlJc w:val="left"/>
      <w:pPr>
        <w:ind w:left="3600" w:hanging="360"/>
      </w:pPr>
    </w:lvl>
    <w:lvl w:ilvl="5" w:tplc="CABAE314" w:tentative="1">
      <w:start w:val="1"/>
      <w:numFmt w:val="lowerRoman"/>
      <w:lvlText w:val="%6."/>
      <w:lvlJc w:val="right"/>
      <w:pPr>
        <w:ind w:left="4320" w:hanging="180"/>
      </w:pPr>
    </w:lvl>
    <w:lvl w:ilvl="6" w:tplc="1BEEE8AC" w:tentative="1">
      <w:start w:val="1"/>
      <w:numFmt w:val="decimal"/>
      <w:lvlText w:val="%7."/>
      <w:lvlJc w:val="left"/>
      <w:pPr>
        <w:ind w:left="5040" w:hanging="360"/>
      </w:pPr>
    </w:lvl>
    <w:lvl w:ilvl="7" w:tplc="D3AC1FBA" w:tentative="1">
      <w:start w:val="1"/>
      <w:numFmt w:val="lowerLetter"/>
      <w:lvlText w:val="%8."/>
      <w:lvlJc w:val="left"/>
      <w:pPr>
        <w:ind w:left="5760" w:hanging="360"/>
      </w:pPr>
    </w:lvl>
    <w:lvl w:ilvl="8" w:tplc="AC5CFB38" w:tentative="1">
      <w:start w:val="1"/>
      <w:numFmt w:val="lowerRoman"/>
      <w:lvlText w:val="%9."/>
      <w:lvlJc w:val="right"/>
      <w:pPr>
        <w:ind w:left="6480" w:hanging="180"/>
      </w:pPr>
    </w:lvl>
  </w:abstractNum>
  <w:abstractNum w:abstractNumId="10">
    <w:nsid w:val="635E58D6"/>
    <w:multiLevelType w:val="hybridMultilevel"/>
    <w:tmpl w:val="BE204ABE"/>
    <w:lvl w:ilvl="0" w:tplc="5CAA4968">
      <w:start w:val="1"/>
      <w:numFmt w:val="decimal"/>
      <w:lvlText w:val="%1."/>
      <w:lvlJc w:val="left"/>
      <w:pPr>
        <w:ind w:left="720" w:hanging="360"/>
      </w:pPr>
    </w:lvl>
    <w:lvl w:ilvl="1" w:tplc="B1AEDA04" w:tentative="1">
      <w:start w:val="1"/>
      <w:numFmt w:val="lowerLetter"/>
      <w:lvlText w:val="%2."/>
      <w:lvlJc w:val="left"/>
      <w:pPr>
        <w:ind w:left="1440" w:hanging="360"/>
      </w:pPr>
    </w:lvl>
    <w:lvl w:ilvl="2" w:tplc="7ED079B8" w:tentative="1">
      <w:start w:val="1"/>
      <w:numFmt w:val="lowerRoman"/>
      <w:lvlText w:val="%3."/>
      <w:lvlJc w:val="right"/>
      <w:pPr>
        <w:ind w:left="2160" w:hanging="180"/>
      </w:pPr>
    </w:lvl>
    <w:lvl w:ilvl="3" w:tplc="1E88BBBE" w:tentative="1">
      <w:start w:val="1"/>
      <w:numFmt w:val="decimal"/>
      <w:lvlText w:val="%4."/>
      <w:lvlJc w:val="left"/>
      <w:pPr>
        <w:ind w:left="2880" w:hanging="360"/>
      </w:pPr>
    </w:lvl>
    <w:lvl w:ilvl="4" w:tplc="DFECEB86" w:tentative="1">
      <w:start w:val="1"/>
      <w:numFmt w:val="lowerLetter"/>
      <w:lvlText w:val="%5."/>
      <w:lvlJc w:val="left"/>
      <w:pPr>
        <w:ind w:left="3600" w:hanging="360"/>
      </w:pPr>
    </w:lvl>
    <w:lvl w:ilvl="5" w:tplc="09B00E2A" w:tentative="1">
      <w:start w:val="1"/>
      <w:numFmt w:val="lowerRoman"/>
      <w:lvlText w:val="%6."/>
      <w:lvlJc w:val="right"/>
      <w:pPr>
        <w:ind w:left="4320" w:hanging="180"/>
      </w:pPr>
    </w:lvl>
    <w:lvl w:ilvl="6" w:tplc="C8CCE9FA" w:tentative="1">
      <w:start w:val="1"/>
      <w:numFmt w:val="decimal"/>
      <w:lvlText w:val="%7."/>
      <w:lvlJc w:val="left"/>
      <w:pPr>
        <w:ind w:left="5040" w:hanging="360"/>
      </w:pPr>
    </w:lvl>
    <w:lvl w:ilvl="7" w:tplc="BD563BD2" w:tentative="1">
      <w:start w:val="1"/>
      <w:numFmt w:val="lowerLetter"/>
      <w:lvlText w:val="%8."/>
      <w:lvlJc w:val="left"/>
      <w:pPr>
        <w:ind w:left="5760" w:hanging="360"/>
      </w:pPr>
    </w:lvl>
    <w:lvl w:ilvl="8" w:tplc="473E7F08" w:tentative="1">
      <w:start w:val="1"/>
      <w:numFmt w:val="lowerRoman"/>
      <w:lvlText w:val="%9."/>
      <w:lvlJc w:val="right"/>
      <w:pPr>
        <w:ind w:left="6480" w:hanging="180"/>
      </w:pPr>
    </w:lvl>
  </w:abstractNum>
  <w:abstractNum w:abstractNumId="11">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2">
    <w:nsid w:val="7CD8434E"/>
    <w:multiLevelType w:val="hybridMultilevel"/>
    <w:tmpl w:val="3C724936"/>
    <w:lvl w:ilvl="0" w:tplc="D88E6D5A">
      <w:start w:val="1"/>
      <w:numFmt w:val="lowerLetter"/>
      <w:lvlText w:val="%1."/>
      <w:lvlJc w:val="left"/>
      <w:pPr>
        <w:ind w:left="1440" w:hanging="360"/>
      </w:pPr>
    </w:lvl>
    <w:lvl w:ilvl="1" w:tplc="04090019" w:tentative="1">
      <w:start w:val="1"/>
      <w:numFmt w:val="lowerLetter"/>
      <w:lvlText w:val="%2."/>
      <w:lvlJc w:val="left"/>
      <w:pPr>
        <w:ind w:left="2160" w:hanging="360"/>
      </w:pPr>
    </w:lvl>
    <w:lvl w:ilvl="2" w:tplc="71624B28"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4"/>
  </w:num>
  <w:num w:numId="3">
    <w:abstractNumId w:val="6"/>
  </w:num>
  <w:num w:numId="4">
    <w:abstractNumId w:val="11"/>
  </w:num>
  <w:num w:numId="5">
    <w:abstractNumId w:val="12"/>
  </w:num>
  <w:num w:numId="6">
    <w:abstractNumId w:val="3"/>
  </w:num>
  <w:num w:numId="7">
    <w:abstractNumId w:val="1"/>
  </w:num>
  <w:num w:numId="8">
    <w:abstractNumId w:val="0"/>
  </w:num>
  <w:num w:numId="9">
    <w:abstractNumId w:val="10"/>
  </w:num>
  <w:num w:numId="10">
    <w:abstractNumId w:val="8"/>
  </w:num>
  <w:num w:numId="11">
    <w:abstractNumId w:val="2"/>
  </w:num>
  <w:num w:numId="12">
    <w:abstractNumId w:val="5"/>
  </w:num>
  <w:num w:numId="1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0154"/>
    <w:rsid w:val="00001E2B"/>
    <w:rsid w:val="00003C3E"/>
    <w:rsid w:val="00003DA6"/>
    <w:rsid w:val="00004048"/>
    <w:rsid w:val="00004B8D"/>
    <w:rsid w:val="000061CD"/>
    <w:rsid w:val="00006251"/>
    <w:rsid w:val="00006531"/>
    <w:rsid w:val="000067EC"/>
    <w:rsid w:val="00006A18"/>
    <w:rsid w:val="00011E07"/>
    <w:rsid w:val="00012D37"/>
    <w:rsid w:val="0001304D"/>
    <w:rsid w:val="0001593E"/>
    <w:rsid w:val="00016E04"/>
    <w:rsid w:val="000172E2"/>
    <w:rsid w:val="000177B4"/>
    <w:rsid w:val="0002143A"/>
    <w:rsid w:val="000223E6"/>
    <w:rsid w:val="000255EF"/>
    <w:rsid w:val="00025810"/>
    <w:rsid w:val="00025B27"/>
    <w:rsid w:val="000273FE"/>
    <w:rsid w:val="00027F76"/>
    <w:rsid w:val="00030235"/>
    <w:rsid w:val="000305ED"/>
    <w:rsid w:val="00030EB1"/>
    <w:rsid w:val="0003353F"/>
    <w:rsid w:val="00034CA9"/>
    <w:rsid w:val="000350C2"/>
    <w:rsid w:val="00036064"/>
    <w:rsid w:val="0003756C"/>
    <w:rsid w:val="000411F8"/>
    <w:rsid w:val="00041693"/>
    <w:rsid w:val="00042381"/>
    <w:rsid w:val="00042DDE"/>
    <w:rsid w:val="00045497"/>
    <w:rsid w:val="00045BD4"/>
    <w:rsid w:val="00046262"/>
    <w:rsid w:val="000465B3"/>
    <w:rsid w:val="00050630"/>
    <w:rsid w:val="00052C65"/>
    <w:rsid w:val="00052DA6"/>
    <w:rsid w:val="00053BAB"/>
    <w:rsid w:val="00054A97"/>
    <w:rsid w:val="00056627"/>
    <w:rsid w:val="00057006"/>
    <w:rsid w:val="000577B9"/>
    <w:rsid w:val="00057C68"/>
    <w:rsid w:val="00057F05"/>
    <w:rsid w:val="00061815"/>
    <w:rsid w:val="00061A5F"/>
    <w:rsid w:val="00062820"/>
    <w:rsid w:val="00062EEC"/>
    <w:rsid w:val="000636B1"/>
    <w:rsid w:val="00064A2C"/>
    <w:rsid w:val="00065D79"/>
    <w:rsid w:val="000714F0"/>
    <w:rsid w:val="0007281F"/>
    <w:rsid w:val="00072FA4"/>
    <w:rsid w:val="000731A3"/>
    <w:rsid w:val="0007345C"/>
    <w:rsid w:val="00073C32"/>
    <w:rsid w:val="00073C3D"/>
    <w:rsid w:val="00074699"/>
    <w:rsid w:val="000749FF"/>
    <w:rsid w:val="00074B0F"/>
    <w:rsid w:val="00074DE1"/>
    <w:rsid w:val="00074E01"/>
    <w:rsid w:val="00074EB4"/>
    <w:rsid w:val="0007580B"/>
    <w:rsid w:val="0007599D"/>
    <w:rsid w:val="00076526"/>
    <w:rsid w:val="000779C6"/>
    <w:rsid w:val="00077F04"/>
    <w:rsid w:val="0008009B"/>
    <w:rsid w:val="000801F2"/>
    <w:rsid w:val="0008022A"/>
    <w:rsid w:val="0008069A"/>
    <w:rsid w:val="00080C6E"/>
    <w:rsid w:val="00081669"/>
    <w:rsid w:val="0008359B"/>
    <w:rsid w:val="000840F6"/>
    <w:rsid w:val="00084E50"/>
    <w:rsid w:val="000858B5"/>
    <w:rsid w:val="000911FA"/>
    <w:rsid w:val="0009132C"/>
    <w:rsid w:val="00091434"/>
    <w:rsid w:val="00092D46"/>
    <w:rsid w:val="00093718"/>
    <w:rsid w:val="00093CDE"/>
    <w:rsid w:val="00093EC9"/>
    <w:rsid w:val="00094A7A"/>
    <w:rsid w:val="000958AF"/>
    <w:rsid w:val="00095DE3"/>
    <w:rsid w:val="000A1342"/>
    <w:rsid w:val="000A188F"/>
    <w:rsid w:val="000A1C58"/>
    <w:rsid w:val="000A2112"/>
    <w:rsid w:val="000A2E7D"/>
    <w:rsid w:val="000A4579"/>
    <w:rsid w:val="000A47CC"/>
    <w:rsid w:val="000A589E"/>
    <w:rsid w:val="000B0014"/>
    <w:rsid w:val="000B155A"/>
    <w:rsid w:val="000B16D2"/>
    <w:rsid w:val="000B1C8A"/>
    <w:rsid w:val="000B1DEB"/>
    <w:rsid w:val="000B25B8"/>
    <w:rsid w:val="000B3198"/>
    <w:rsid w:val="000B4639"/>
    <w:rsid w:val="000B5167"/>
    <w:rsid w:val="000B5670"/>
    <w:rsid w:val="000B6AC2"/>
    <w:rsid w:val="000B6B82"/>
    <w:rsid w:val="000B6D03"/>
    <w:rsid w:val="000C1E33"/>
    <w:rsid w:val="000C2B8C"/>
    <w:rsid w:val="000C475B"/>
    <w:rsid w:val="000C5725"/>
    <w:rsid w:val="000C6CFC"/>
    <w:rsid w:val="000C7C3B"/>
    <w:rsid w:val="000D018D"/>
    <w:rsid w:val="000D0889"/>
    <w:rsid w:val="000D0AE1"/>
    <w:rsid w:val="000D0D0A"/>
    <w:rsid w:val="000D2739"/>
    <w:rsid w:val="000D39EB"/>
    <w:rsid w:val="000D4D3B"/>
    <w:rsid w:val="000D4E2D"/>
    <w:rsid w:val="000D5FDC"/>
    <w:rsid w:val="000E0C5F"/>
    <w:rsid w:val="000E18E0"/>
    <w:rsid w:val="000E23EE"/>
    <w:rsid w:val="000E28C1"/>
    <w:rsid w:val="000E342D"/>
    <w:rsid w:val="000E5750"/>
    <w:rsid w:val="000E5BBA"/>
    <w:rsid w:val="000E6130"/>
    <w:rsid w:val="000E691B"/>
    <w:rsid w:val="000E697B"/>
    <w:rsid w:val="000E7006"/>
    <w:rsid w:val="000E7131"/>
    <w:rsid w:val="000E77E3"/>
    <w:rsid w:val="000F0129"/>
    <w:rsid w:val="000F1AD7"/>
    <w:rsid w:val="000F20FD"/>
    <w:rsid w:val="000F3CA1"/>
    <w:rsid w:val="000F497C"/>
    <w:rsid w:val="000F4F3F"/>
    <w:rsid w:val="000F554E"/>
    <w:rsid w:val="000F63C3"/>
    <w:rsid w:val="000F6D4F"/>
    <w:rsid w:val="000F7F25"/>
    <w:rsid w:val="0010168D"/>
    <w:rsid w:val="00101835"/>
    <w:rsid w:val="0010292D"/>
    <w:rsid w:val="00102936"/>
    <w:rsid w:val="0010294F"/>
    <w:rsid w:val="00103790"/>
    <w:rsid w:val="00103A4E"/>
    <w:rsid w:val="00103DB2"/>
    <w:rsid w:val="00104D9C"/>
    <w:rsid w:val="00105AFA"/>
    <w:rsid w:val="00105C34"/>
    <w:rsid w:val="001060D7"/>
    <w:rsid w:val="00106C47"/>
    <w:rsid w:val="00106DB5"/>
    <w:rsid w:val="001079E7"/>
    <w:rsid w:val="0011004D"/>
    <w:rsid w:val="001100F4"/>
    <w:rsid w:val="00111D66"/>
    <w:rsid w:val="001121B3"/>
    <w:rsid w:val="00112EF4"/>
    <w:rsid w:val="00113E0A"/>
    <w:rsid w:val="001145C3"/>
    <w:rsid w:val="00115681"/>
    <w:rsid w:val="00115941"/>
    <w:rsid w:val="00117E5C"/>
    <w:rsid w:val="0012089F"/>
    <w:rsid w:val="00121770"/>
    <w:rsid w:val="00121965"/>
    <w:rsid w:val="00121F2A"/>
    <w:rsid w:val="0012326B"/>
    <w:rsid w:val="00123B78"/>
    <w:rsid w:val="001248C5"/>
    <w:rsid w:val="00125084"/>
    <w:rsid w:val="001252C0"/>
    <w:rsid w:val="0012728B"/>
    <w:rsid w:val="001303E5"/>
    <w:rsid w:val="00131338"/>
    <w:rsid w:val="00131BF5"/>
    <w:rsid w:val="00131DAD"/>
    <w:rsid w:val="00131E65"/>
    <w:rsid w:val="00131EC2"/>
    <w:rsid w:val="001330D8"/>
    <w:rsid w:val="00133E45"/>
    <w:rsid w:val="00135152"/>
    <w:rsid w:val="0013565F"/>
    <w:rsid w:val="00136486"/>
    <w:rsid w:val="00137627"/>
    <w:rsid w:val="00137DD3"/>
    <w:rsid w:val="00140103"/>
    <w:rsid w:val="00140259"/>
    <w:rsid w:val="0014039A"/>
    <w:rsid w:val="001421E3"/>
    <w:rsid w:val="001443D7"/>
    <w:rsid w:val="0014498B"/>
    <w:rsid w:val="001449BD"/>
    <w:rsid w:val="00144AE4"/>
    <w:rsid w:val="00145B21"/>
    <w:rsid w:val="001462B2"/>
    <w:rsid w:val="001477CA"/>
    <w:rsid w:val="00147825"/>
    <w:rsid w:val="00150026"/>
    <w:rsid w:val="0015073C"/>
    <w:rsid w:val="00150ED3"/>
    <w:rsid w:val="001516B2"/>
    <w:rsid w:val="001523E8"/>
    <w:rsid w:val="00152D52"/>
    <w:rsid w:val="00152E98"/>
    <w:rsid w:val="0015313D"/>
    <w:rsid w:val="00154A89"/>
    <w:rsid w:val="00154D92"/>
    <w:rsid w:val="001552B3"/>
    <w:rsid w:val="001552CD"/>
    <w:rsid w:val="0015568F"/>
    <w:rsid w:val="00156064"/>
    <w:rsid w:val="00157A56"/>
    <w:rsid w:val="001601A3"/>
    <w:rsid w:val="0016091D"/>
    <w:rsid w:val="00162221"/>
    <w:rsid w:val="0016324D"/>
    <w:rsid w:val="001641F3"/>
    <w:rsid w:val="001666F7"/>
    <w:rsid w:val="00166A0A"/>
    <w:rsid w:val="00166E25"/>
    <w:rsid w:val="00170F8D"/>
    <w:rsid w:val="00172B91"/>
    <w:rsid w:val="00172D7E"/>
    <w:rsid w:val="001761B5"/>
    <w:rsid w:val="00176C98"/>
    <w:rsid w:val="001774B3"/>
    <w:rsid w:val="00180E27"/>
    <w:rsid w:val="0018191D"/>
    <w:rsid w:val="00181FEF"/>
    <w:rsid w:val="001826E4"/>
    <w:rsid w:val="00182F80"/>
    <w:rsid w:val="0018355A"/>
    <w:rsid w:val="00183F5C"/>
    <w:rsid w:val="00184595"/>
    <w:rsid w:val="00186260"/>
    <w:rsid w:val="00186887"/>
    <w:rsid w:val="00186961"/>
    <w:rsid w:val="00186E2F"/>
    <w:rsid w:val="0018706C"/>
    <w:rsid w:val="0019163D"/>
    <w:rsid w:val="00192BC5"/>
    <w:rsid w:val="00195E00"/>
    <w:rsid w:val="00196F29"/>
    <w:rsid w:val="00197C52"/>
    <w:rsid w:val="001A122C"/>
    <w:rsid w:val="001A1BE3"/>
    <w:rsid w:val="001A2194"/>
    <w:rsid w:val="001A2ECD"/>
    <w:rsid w:val="001A313D"/>
    <w:rsid w:val="001A38C2"/>
    <w:rsid w:val="001A4C6E"/>
    <w:rsid w:val="001A611C"/>
    <w:rsid w:val="001A69A0"/>
    <w:rsid w:val="001A7047"/>
    <w:rsid w:val="001B0605"/>
    <w:rsid w:val="001B1F81"/>
    <w:rsid w:val="001B2607"/>
    <w:rsid w:val="001B277E"/>
    <w:rsid w:val="001B5186"/>
    <w:rsid w:val="001B6EE4"/>
    <w:rsid w:val="001C3ACD"/>
    <w:rsid w:val="001C42ED"/>
    <w:rsid w:val="001C4802"/>
    <w:rsid w:val="001C57BF"/>
    <w:rsid w:val="001C59F4"/>
    <w:rsid w:val="001D004C"/>
    <w:rsid w:val="001D195A"/>
    <w:rsid w:val="001D42F7"/>
    <w:rsid w:val="001D4724"/>
    <w:rsid w:val="001D4DB5"/>
    <w:rsid w:val="001D5356"/>
    <w:rsid w:val="001D7B80"/>
    <w:rsid w:val="001E09D6"/>
    <w:rsid w:val="001E0C40"/>
    <w:rsid w:val="001E0E23"/>
    <w:rsid w:val="001E0F7F"/>
    <w:rsid w:val="001E1FC3"/>
    <w:rsid w:val="001E5676"/>
    <w:rsid w:val="001E58E6"/>
    <w:rsid w:val="001E69C3"/>
    <w:rsid w:val="001E6BA6"/>
    <w:rsid w:val="001E7BD3"/>
    <w:rsid w:val="001F09D6"/>
    <w:rsid w:val="001F1107"/>
    <w:rsid w:val="001F1911"/>
    <w:rsid w:val="001F1DA8"/>
    <w:rsid w:val="001F2624"/>
    <w:rsid w:val="001F26C3"/>
    <w:rsid w:val="001F34FD"/>
    <w:rsid w:val="001F3ADE"/>
    <w:rsid w:val="001F4582"/>
    <w:rsid w:val="001F4AAA"/>
    <w:rsid w:val="001F5A3E"/>
    <w:rsid w:val="001F5C02"/>
    <w:rsid w:val="001F6F20"/>
    <w:rsid w:val="00200874"/>
    <w:rsid w:val="00201B8D"/>
    <w:rsid w:val="002035FA"/>
    <w:rsid w:val="002056FF"/>
    <w:rsid w:val="00206215"/>
    <w:rsid w:val="00207972"/>
    <w:rsid w:val="00210669"/>
    <w:rsid w:val="00210EBB"/>
    <w:rsid w:val="0021123F"/>
    <w:rsid w:val="002113C8"/>
    <w:rsid w:val="00212270"/>
    <w:rsid w:val="00212967"/>
    <w:rsid w:val="0021308A"/>
    <w:rsid w:val="00213745"/>
    <w:rsid w:val="002143EC"/>
    <w:rsid w:val="002147AE"/>
    <w:rsid w:val="00214986"/>
    <w:rsid w:val="00214D6E"/>
    <w:rsid w:val="0021647B"/>
    <w:rsid w:val="00216700"/>
    <w:rsid w:val="00216C9E"/>
    <w:rsid w:val="00217F5B"/>
    <w:rsid w:val="00220BAF"/>
    <w:rsid w:val="00221E3C"/>
    <w:rsid w:val="002240D0"/>
    <w:rsid w:val="00224630"/>
    <w:rsid w:val="00224FF7"/>
    <w:rsid w:val="00225473"/>
    <w:rsid w:val="002257CE"/>
    <w:rsid w:val="00227219"/>
    <w:rsid w:val="002273A7"/>
    <w:rsid w:val="00231316"/>
    <w:rsid w:val="0023358F"/>
    <w:rsid w:val="00234415"/>
    <w:rsid w:val="002357CA"/>
    <w:rsid w:val="00235A83"/>
    <w:rsid w:val="00235BEA"/>
    <w:rsid w:val="0023748F"/>
    <w:rsid w:val="0024224D"/>
    <w:rsid w:val="00242A6F"/>
    <w:rsid w:val="00243A74"/>
    <w:rsid w:val="002457B8"/>
    <w:rsid w:val="002467B3"/>
    <w:rsid w:val="00247292"/>
    <w:rsid w:val="0025051A"/>
    <w:rsid w:val="00250AAF"/>
    <w:rsid w:val="00250B74"/>
    <w:rsid w:val="00251CF0"/>
    <w:rsid w:val="00251F89"/>
    <w:rsid w:val="00252461"/>
    <w:rsid w:val="0025361D"/>
    <w:rsid w:val="00253AD9"/>
    <w:rsid w:val="00254934"/>
    <w:rsid w:val="00257D3A"/>
    <w:rsid w:val="002603EA"/>
    <w:rsid w:val="0026196B"/>
    <w:rsid w:val="00261D48"/>
    <w:rsid w:val="00262039"/>
    <w:rsid w:val="0026228A"/>
    <w:rsid w:val="00264121"/>
    <w:rsid w:val="002643E4"/>
    <w:rsid w:val="00264777"/>
    <w:rsid w:val="00265547"/>
    <w:rsid w:val="00265E64"/>
    <w:rsid w:val="00267587"/>
    <w:rsid w:val="00272A64"/>
    <w:rsid w:val="00272FEF"/>
    <w:rsid w:val="00274990"/>
    <w:rsid w:val="00275710"/>
    <w:rsid w:val="00276D16"/>
    <w:rsid w:val="00277266"/>
    <w:rsid w:val="002804F1"/>
    <w:rsid w:val="00280995"/>
    <w:rsid w:val="00281B29"/>
    <w:rsid w:val="0028257F"/>
    <w:rsid w:val="0028282A"/>
    <w:rsid w:val="00282B13"/>
    <w:rsid w:val="00282D07"/>
    <w:rsid w:val="0028302C"/>
    <w:rsid w:val="00283069"/>
    <w:rsid w:val="00283118"/>
    <w:rsid w:val="00283729"/>
    <w:rsid w:val="0028408D"/>
    <w:rsid w:val="0028420A"/>
    <w:rsid w:val="0028449A"/>
    <w:rsid w:val="00284F96"/>
    <w:rsid w:val="00286A15"/>
    <w:rsid w:val="00286C85"/>
    <w:rsid w:val="00287E0B"/>
    <w:rsid w:val="00290EA1"/>
    <w:rsid w:val="00290FD1"/>
    <w:rsid w:val="00291831"/>
    <w:rsid w:val="00291C6D"/>
    <w:rsid w:val="002921EE"/>
    <w:rsid w:val="002934E7"/>
    <w:rsid w:val="0029362A"/>
    <w:rsid w:val="00293668"/>
    <w:rsid w:val="0029405F"/>
    <w:rsid w:val="00294515"/>
    <w:rsid w:val="00295C82"/>
    <w:rsid w:val="002971F6"/>
    <w:rsid w:val="00297846"/>
    <w:rsid w:val="002A0AC5"/>
    <w:rsid w:val="002A12A5"/>
    <w:rsid w:val="002A1DE2"/>
    <w:rsid w:val="002A1F0C"/>
    <w:rsid w:val="002A321E"/>
    <w:rsid w:val="002A3404"/>
    <w:rsid w:val="002A4763"/>
    <w:rsid w:val="002A527C"/>
    <w:rsid w:val="002A5A4E"/>
    <w:rsid w:val="002A6A20"/>
    <w:rsid w:val="002A7095"/>
    <w:rsid w:val="002A7984"/>
    <w:rsid w:val="002B0186"/>
    <w:rsid w:val="002B09AF"/>
    <w:rsid w:val="002B0CBB"/>
    <w:rsid w:val="002B2715"/>
    <w:rsid w:val="002B4E2D"/>
    <w:rsid w:val="002B5198"/>
    <w:rsid w:val="002B6A35"/>
    <w:rsid w:val="002B7BE9"/>
    <w:rsid w:val="002C3F8D"/>
    <w:rsid w:val="002C53C5"/>
    <w:rsid w:val="002C59FD"/>
    <w:rsid w:val="002C6F03"/>
    <w:rsid w:val="002C7A44"/>
    <w:rsid w:val="002C7EEF"/>
    <w:rsid w:val="002D0F7F"/>
    <w:rsid w:val="002D26A5"/>
    <w:rsid w:val="002D2CAE"/>
    <w:rsid w:val="002D30BE"/>
    <w:rsid w:val="002D3989"/>
    <w:rsid w:val="002D419E"/>
    <w:rsid w:val="002D5629"/>
    <w:rsid w:val="002D5637"/>
    <w:rsid w:val="002D5A1C"/>
    <w:rsid w:val="002D5CFB"/>
    <w:rsid w:val="002D61E8"/>
    <w:rsid w:val="002D653F"/>
    <w:rsid w:val="002D671D"/>
    <w:rsid w:val="002D6DD1"/>
    <w:rsid w:val="002D7351"/>
    <w:rsid w:val="002D793D"/>
    <w:rsid w:val="002D7A8E"/>
    <w:rsid w:val="002E0262"/>
    <w:rsid w:val="002E0D16"/>
    <w:rsid w:val="002E0FF8"/>
    <w:rsid w:val="002E1236"/>
    <w:rsid w:val="002E1683"/>
    <w:rsid w:val="002E1802"/>
    <w:rsid w:val="002E3023"/>
    <w:rsid w:val="002E4451"/>
    <w:rsid w:val="002E5CE5"/>
    <w:rsid w:val="002F0800"/>
    <w:rsid w:val="002F0957"/>
    <w:rsid w:val="002F1472"/>
    <w:rsid w:val="002F19EB"/>
    <w:rsid w:val="002F239C"/>
    <w:rsid w:val="002F4544"/>
    <w:rsid w:val="002F47DE"/>
    <w:rsid w:val="002F48A7"/>
    <w:rsid w:val="002F5EBE"/>
    <w:rsid w:val="002F6D96"/>
    <w:rsid w:val="002F788F"/>
    <w:rsid w:val="002F7D6E"/>
    <w:rsid w:val="00301A01"/>
    <w:rsid w:val="0030200B"/>
    <w:rsid w:val="00302769"/>
    <w:rsid w:val="00303CB5"/>
    <w:rsid w:val="00304C71"/>
    <w:rsid w:val="0030533A"/>
    <w:rsid w:val="003060F6"/>
    <w:rsid w:val="00306E7C"/>
    <w:rsid w:val="003102B9"/>
    <w:rsid w:val="003107BE"/>
    <w:rsid w:val="00311B26"/>
    <w:rsid w:val="003123C0"/>
    <w:rsid w:val="00313391"/>
    <w:rsid w:val="00313817"/>
    <w:rsid w:val="003142F1"/>
    <w:rsid w:val="00314C91"/>
    <w:rsid w:val="0031557D"/>
    <w:rsid w:val="003158E7"/>
    <w:rsid w:val="00315DF9"/>
    <w:rsid w:val="00315ED3"/>
    <w:rsid w:val="003161C0"/>
    <w:rsid w:val="0031772A"/>
    <w:rsid w:val="00322A54"/>
    <w:rsid w:val="00322F98"/>
    <w:rsid w:val="0032380E"/>
    <w:rsid w:val="00323E53"/>
    <w:rsid w:val="00325227"/>
    <w:rsid w:val="00325793"/>
    <w:rsid w:val="0032687C"/>
    <w:rsid w:val="00326A72"/>
    <w:rsid w:val="00326A8A"/>
    <w:rsid w:val="0032713A"/>
    <w:rsid w:val="00327F68"/>
    <w:rsid w:val="00330572"/>
    <w:rsid w:val="003320EE"/>
    <w:rsid w:val="00333D59"/>
    <w:rsid w:val="00334405"/>
    <w:rsid w:val="00334F13"/>
    <w:rsid w:val="003350C5"/>
    <w:rsid w:val="00336157"/>
    <w:rsid w:val="00336642"/>
    <w:rsid w:val="00336990"/>
    <w:rsid w:val="00336B7F"/>
    <w:rsid w:val="003375C9"/>
    <w:rsid w:val="003377A7"/>
    <w:rsid w:val="00340163"/>
    <w:rsid w:val="003410EC"/>
    <w:rsid w:val="0034170C"/>
    <w:rsid w:val="003428D0"/>
    <w:rsid w:val="0034378F"/>
    <w:rsid w:val="00343E35"/>
    <w:rsid w:val="00343FBF"/>
    <w:rsid w:val="003466DF"/>
    <w:rsid w:val="00350030"/>
    <w:rsid w:val="00350494"/>
    <w:rsid w:val="003512F7"/>
    <w:rsid w:val="00351988"/>
    <w:rsid w:val="003532DD"/>
    <w:rsid w:val="003532EA"/>
    <w:rsid w:val="003537A5"/>
    <w:rsid w:val="0035535B"/>
    <w:rsid w:val="003567ED"/>
    <w:rsid w:val="00356988"/>
    <w:rsid w:val="0035768C"/>
    <w:rsid w:val="003602AE"/>
    <w:rsid w:val="00363969"/>
    <w:rsid w:val="00363C18"/>
    <w:rsid w:val="00363CF3"/>
    <w:rsid w:val="0036475F"/>
    <w:rsid w:val="0036561E"/>
    <w:rsid w:val="00365AEB"/>
    <w:rsid w:val="0036661F"/>
    <w:rsid w:val="00366B58"/>
    <w:rsid w:val="00367228"/>
    <w:rsid w:val="00367BD1"/>
    <w:rsid w:val="003706CC"/>
    <w:rsid w:val="00371E72"/>
    <w:rsid w:val="00374D68"/>
    <w:rsid w:val="00375F50"/>
    <w:rsid w:val="00381D14"/>
    <w:rsid w:val="0038301C"/>
    <w:rsid w:val="00383049"/>
    <w:rsid w:val="00383E96"/>
    <w:rsid w:val="00384ADB"/>
    <w:rsid w:val="00385CC9"/>
    <w:rsid w:val="00385E09"/>
    <w:rsid w:val="0038673A"/>
    <w:rsid w:val="00386E57"/>
    <w:rsid w:val="0038759F"/>
    <w:rsid w:val="00390141"/>
    <w:rsid w:val="00390187"/>
    <w:rsid w:val="00390BDA"/>
    <w:rsid w:val="00391951"/>
    <w:rsid w:val="00391A5D"/>
    <w:rsid w:val="0039361F"/>
    <w:rsid w:val="00393B92"/>
    <w:rsid w:val="00394989"/>
    <w:rsid w:val="00395B33"/>
    <w:rsid w:val="00395B78"/>
    <w:rsid w:val="00396A4D"/>
    <w:rsid w:val="00397C7A"/>
    <w:rsid w:val="003A0B62"/>
    <w:rsid w:val="003A0C5B"/>
    <w:rsid w:val="003A3D28"/>
    <w:rsid w:val="003A411B"/>
    <w:rsid w:val="003A5B90"/>
    <w:rsid w:val="003A628F"/>
    <w:rsid w:val="003A6CAE"/>
    <w:rsid w:val="003A7FA0"/>
    <w:rsid w:val="003B0861"/>
    <w:rsid w:val="003B0BAD"/>
    <w:rsid w:val="003B1738"/>
    <w:rsid w:val="003B226C"/>
    <w:rsid w:val="003B26E3"/>
    <w:rsid w:val="003B2A4C"/>
    <w:rsid w:val="003B3DA3"/>
    <w:rsid w:val="003B3F30"/>
    <w:rsid w:val="003B40DE"/>
    <w:rsid w:val="003B5316"/>
    <w:rsid w:val="003B70EE"/>
    <w:rsid w:val="003B75D2"/>
    <w:rsid w:val="003B7D11"/>
    <w:rsid w:val="003C02D1"/>
    <w:rsid w:val="003C1316"/>
    <w:rsid w:val="003C1E91"/>
    <w:rsid w:val="003C2088"/>
    <w:rsid w:val="003C2973"/>
    <w:rsid w:val="003C3CBE"/>
    <w:rsid w:val="003C42A7"/>
    <w:rsid w:val="003C4D7C"/>
    <w:rsid w:val="003C7EB3"/>
    <w:rsid w:val="003D0510"/>
    <w:rsid w:val="003D169C"/>
    <w:rsid w:val="003D2A28"/>
    <w:rsid w:val="003D343C"/>
    <w:rsid w:val="003D3798"/>
    <w:rsid w:val="003D3AB8"/>
    <w:rsid w:val="003D4DEF"/>
    <w:rsid w:val="003D5204"/>
    <w:rsid w:val="003D5E2D"/>
    <w:rsid w:val="003D6D6E"/>
    <w:rsid w:val="003D6EBA"/>
    <w:rsid w:val="003D7039"/>
    <w:rsid w:val="003E1D27"/>
    <w:rsid w:val="003E205C"/>
    <w:rsid w:val="003E6380"/>
    <w:rsid w:val="003E7CDC"/>
    <w:rsid w:val="003F1146"/>
    <w:rsid w:val="003F1C21"/>
    <w:rsid w:val="003F2410"/>
    <w:rsid w:val="003F3128"/>
    <w:rsid w:val="003F31B8"/>
    <w:rsid w:val="003F361C"/>
    <w:rsid w:val="003F3857"/>
    <w:rsid w:val="003F3B73"/>
    <w:rsid w:val="003F4908"/>
    <w:rsid w:val="003F663F"/>
    <w:rsid w:val="00400846"/>
    <w:rsid w:val="00400A47"/>
    <w:rsid w:val="00402252"/>
    <w:rsid w:val="004033F9"/>
    <w:rsid w:val="0040403B"/>
    <w:rsid w:val="004051C4"/>
    <w:rsid w:val="00407EB6"/>
    <w:rsid w:val="004111B8"/>
    <w:rsid w:val="004126D1"/>
    <w:rsid w:val="00413108"/>
    <w:rsid w:val="00413930"/>
    <w:rsid w:val="00414522"/>
    <w:rsid w:val="00415B60"/>
    <w:rsid w:val="004169FF"/>
    <w:rsid w:val="00416B34"/>
    <w:rsid w:val="00416BD0"/>
    <w:rsid w:val="00420A28"/>
    <w:rsid w:val="004221EE"/>
    <w:rsid w:val="004229C3"/>
    <w:rsid w:val="00422A3C"/>
    <w:rsid w:val="004237A9"/>
    <w:rsid w:val="004239C4"/>
    <w:rsid w:val="004247D8"/>
    <w:rsid w:val="004249B0"/>
    <w:rsid w:val="00425B9B"/>
    <w:rsid w:val="00426E98"/>
    <w:rsid w:val="00426F36"/>
    <w:rsid w:val="0042702F"/>
    <w:rsid w:val="00427A43"/>
    <w:rsid w:val="0043178B"/>
    <w:rsid w:val="00431887"/>
    <w:rsid w:val="004332DA"/>
    <w:rsid w:val="004333F1"/>
    <w:rsid w:val="004335E4"/>
    <w:rsid w:val="00433C0A"/>
    <w:rsid w:val="00433CE6"/>
    <w:rsid w:val="00433F89"/>
    <w:rsid w:val="00434FD1"/>
    <w:rsid w:val="0043542C"/>
    <w:rsid w:val="00437046"/>
    <w:rsid w:val="0043764D"/>
    <w:rsid w:val="00441487"/>
    <w:rsid w:val="00441D1D"/>
    <w:rsid w:val="00441D33"/>
    <w:rsid w:val="00443E2D"/>
    <w:rsid w:val="00444DBB"/>
    <w:rsid w:val="004479CB"/>
    <w:rsid w:val="0045127C"/>
    <w:rsid w:val="0045225B"/>
    <w:rsid w:val="004526E0"/>
    <w:rsid w:val="00452CA5"/>
    <w:rsid w:val="00453314"/>
    <w:rsid w:val="00454AB8"/>
    <w:rsid w:val="00454C48"/>
    <w:rsid w:val="0045565E"/>
    <w:rsid w:val="00455897"/>
    <w:rsid w:val="004567EC"/>
    <w:rsid w:val="00456AB4"/>
    <w:rsid w:val="00456E30"/>
    <w:rsid w:val="00461519"/>
    <w:rsid w:val="00461541"/>
    <w:rsid w:val="00461EFA"/>
    <w:rsid w:val="004620F0"/>
    <w:rsid w:val="00462C77"/>
    <w:rsid w:val="0046327B"/>
    <w:rsid w:val="00463317"/>
    <w:rsid w:val="00463703"/>
    <w:rsid w:val="00463A91"/>
    <w:rsid w:val="00464218"/>
    <w:rsid w:val="0046522C"/>
    <w:rsid w:val="00466A3E"/>
    <w:rsid w:val="00467636"/>
    <w:rsid w:val="00470513"/>
    <w:rsid w:val="0047090C"/>
    <w:rsid w:val="00471244"/>
    <w:rsid w:val="004713C2"/>
    <w:rsid w:val="00473D9E"/>
    <w:rsid w:val="004740AC"/>
    <w:rsid w:val="00474E96"/>
    <w:rsid w:val="00475003"/>
    <w:rsid w:val="0048416C"/>
    <w:rsid w:val="00485FB3"/>
    <w:rsid w:val="00486497"/>
    <w:rsid w:val="004867CE"/>
    <w:rsid w:val="00486BFD"/>
    <w:rsid w:val="00486E29"/>
    <w:rsid w:val="004910DE"/>
    <w:rsid w:val="00491782"/>
    <w:rsid w:val="0049287A"/>
    <w:rsid w:val="004929CD"/>
    <w:rsid w:val="00492C24"/>
    <w:rsid w:val="00492C9E"/>
    <w:rsid w:val="004930A9"/>
    <w:rsid w:val="00493214"/>
    <w:rsid w:val="00494308"/>
    <w:rsid w:val="004951B9"/>
    <w:rsid w:val="004964D2"/>
    <w:rsid w:val="00496683"/>
    <w:rsid w:val="004970B0"/>
    <w:rsid w:val="004971A0"/>
    <w:rsid w:val="0049720E"/>
    <w:rsid w:val="004A098B"/>
    <w:rsid w:val="004A0D6B"/>
    <w:rsid w:val="004A1188"/>
    <w:rsid w:val="004A18A7"/>
    <w:rsid w:val="004A2879"/>
    <w:rsid w:val="004A2B44"/>
    <w:rsid w:val="004A3619"/>
    <w:rsid w:val="004A4CA6"/>
    <w:rsid w:val="004B0FD7"/>
    <w:rsid w:val="004B2662"/>
    <w:rsid w:val="004B28FE"/>
    <w:rsid w:val="004B3A72"/>
    <w:rsid w:val="004B4799"/>
    <w:rsid w:val="004B503F"/>
    <w:rsid w:val="004B5341"/>
    <w:rsid w:val="004B5BC1"/>
    <w:rsid w:val="004B6543"/>
    <w:rsid w:val="004B6ED2"/>
    <w:rsid w:val="004B770C"/>
    <w:rsid w:val="004B791C"/>
    <w:rsid w:val="004B7BB6"/>
    <w:rsid w:val="004B7FB5"/>
    <w:rsid w:val="004C1E3D"/>
    <w:rsid w:val="004C20FC"/>
    <w:rsid w:val="004C43CD"/>
    <w:rsid w:val="004C6E2C"/>
    <w:rsid w:val="004D0027"/>
    <w:rsid w:val="004D074A"/>
    <w:rsid w:val="004D173B"/>
    <w:rsid w:val="004D1EFC"/>
    <w:rsid w:val="004D1F50"/>
    <w:rsid w:val="004D2B38"/>
    <w:rsid w:val="004D34DE"/>
    <w:rsid w:val="004D3536"/>
    <w:rsid w:val="004D3A2B"/>
    <w:rsid w:val="004D4700"/>
    <w:rsid w:val="004D760E"/>
    <w:rsid w:val="004E097E"/>
    <w:rsid w:val="004E28AA"/>
    <w:rsid w:val="004E45D5"/>
    <w:rsid w:val="004E4D87"/>
    <w:rsid w:val="004E6089"/>
    <w:rsid w:val="004E67DE"/>
    <w:rsid w:val="004E7105"/>
    <w:rsid w:val="004E75D9"/>
    <w:rsid w:val="004E774A"/>
    <w:rsid w:val="004F032C"/>
    <w:rsid w:val="004F037E"/>
    <w:rsid w:val="004F3582"/>
    <w:rsid w:val="004F3E46"/>
    <w:rsid w:val="004F40E4"/>
    <w:rsid w:val="004F6FC8"/>
    <w:rsid w:val="00500CDF"/>
    <w:rsid w:val="005016CF"/>
    <w:rsid w:val="00502633"/>
    <w:rsid w:val="00503432"/>
    <w:rsid w:val="005036DD"/>
    <w:rsid w:val="00503977"/>
    <w:rsid w:val="00503B0C"/>
    <w:rsid w:val="00505DA3"/>
    <w:rsid w:val="00507278"/>
    <w:rsid w:val="00510EB1"/>
    <w:rsid w:val="00511263"/>
    <w:rsid w:val="00511F70"/>
    <w:rsid w:val="00514CB0"/>
    <w:rsid w:val="00514FD1"/>
    <w:rsid w:val="00515532"/>
    <w:rsid w:val="005165BE"/>
    <w:rsid w:val="00516645"/>
    <w:rsid w:val="00520C77"/>
    <w:rsid w:val="00521587"/>
    <w:rsid w:val="005228CA"/>
    <w:rsid w:val="00524608"/>
    <w:rsid w:val="00524641"/>
    <w:rsid w:val="00525B01"/>
    <w:rsid w:val="005273B6"/>
    <w:rsid w:val="00531B58"/>
    <w:rsid w:val="005324B3"/>
    <w:rsid w:val="005329DF"/>
    <w:rsid w:val="005330C5"/>
    <w:rsid w:val="00533114"/>
    <w:rsid w:val="005338F4"/>
    <w:rsid w:val="005345A2"/>
    <w:rsid w:val="00534BB5"/>
    <w:rsid w:val="005358FC"/>
    <w:rsid w:val="00535BF7"/>
    <w:rsid w:val="00536166"/>
    <w:rsid w:val="00540254"/>
    <w:rsid w:val="00541561"/>
    <w:rsid w:val="0054220D"/>
    <w:rsid w:val="00542415"/>
    <w:rsid w:val="005424FF"/>
    <w:rsid w:val="00542E5A"/>
    <w:rsid w:val="00544047"/>
    <w:rsid w:val="00545623"/>
    <w:rsid w:val="005465BD"/>
    <w:rsid w:val="00546706"/>
    <w:rsid w:val="00550BBD"/>
    <w:rsid w:val="005541F5"/>
    <w:rsid w:val="0055448E"/>
    <w:rsid w:val="00555294"/>
    <w:rsid w:val="00555EC4"/>
    <w:rsid w:val="00557A7E"/>
    <w:rsid w:val="00560045"/>
    <w:rsid w:val="005616D7"/>
    <w:rsid w:val="00561A43"/>
    <w:rsid w:val="0056209F"/>
    <w:rsid w:val="00562238"/>
    <w:rsid w:val="00562E77"/>
    <w:rsid w:val="00563283"/>
    <w:rsid w:val="00563EDF"/>
    <w:rsid w:val="00564A43"/>
    <w:rsid w:val="00564C54"/>
    <w:rsid w:val="00564FAB"/>
    <w:rsid w:val="00565166"/>
    <w:rsid w:val="00565D55"/>
    <w:rsid w:val="00566539"/>
    <w:rsid w:val="00566FDA"/>
    <w:rsid w:val="00567A6B"/>
    <w:rsid w:val="00567C16"/>
    <w:rsid w:val="00567E14"/>
    <w:rsid w:val="00570984"/>
    <w:rsid w:val="00570D6E"/>
    <w:rsid w:val="00570E90"/>
    <w:rsid w:val="00571426"/>
    <w:rsid w:val="00572BB0"/>
    <w:rsid w:val="00573139"/>
    <w:rsid w:val="00573237"/>
    <w:rsid w:val="00575031"/>
    <w:rsid w:val="005750E2"/>
    <w:rsid w:val="00576051"/>
    <w:rsid w:val="00577A8D"/>
    <w:rsid w:val="00580302"/>
    <w:rsid w:val="00583AAC"/>
    <w:rsid w:val="00583CF9"/>
    <w:rsid w:val="0058476B"/>
    <w:rsid w:val="00585676"/>
    <w:rsid w:val="0058607A"/>
    <w:rsid w:val="005864DE"/>
    <w:rsid w:val="005878E3"/>
    <w:rsid w:val="0059132B"/>
    <w:rsid w:val="005916CC"/>
    <w:rsid w:val="00591D8C"/>
    <w:rsid w:val="005920A1"/>
    <w:rsid w:val="00592EED"/>
    <w:rsid w:val="00594D0E"/>
    <w:rsid w:val="00594D24"/>
    <w:rsid w:val="00594DDC"/>
    <w:rsid w:val="00595DFF"/>
    <w:rsid w:val="005979CB"/>
    <w:rsid w:val="005A04E7"/>
    <w:rsid w:val="005A093C"/>
    <w:rsid w:val="005A17DE"/>
    <w:rsid w:val="005A2D11"/>
    <w:rsid w:val="005A49AF"/>
    <w:rsid w:val="005A534B"/>
    <w:rsid w:val="005A6A4F"/>
    <w:rsid w:val="005A7EA3"/>
    <w:rsid w:val="005B0F57"/>
    <w:rsid w:val="005B1A44"/>
    <w:rsid w:val="005B32AF"/>
    <w:rsid w:val="005C02C7"/>
    <w:rsid w:val="005C0554"/>
    <w:rsid w:val="005C1AA9"/>
    <w:rsid w:val="005C36B4"/>
    <w:rsid w:val="005C3F67"/>
    <w:rsid w:val="005C4DDA"/>
    <w:rsid w:val="005C6720"/>
    <w:rsid w:val="005C7A12"/>
    <w:rsid w:val="005D0503"/>
    <w:rsid w:val="005D1441"/>
    <w:rsid w:val="005D1E28"/>
    <w:rsid w:val="005D2160"/>
    <w:rsid w:val="005D32DE"/>
    <w:rsid w:val="005D44A1"/>
    <w:rsid w:val="005D4C89"/>
    <w:rsid w:val="005D6DD4"/>
    <w:rsid w:val="005D74AD"/>
    <w:rsid w:val="005D7EA6"/>
    <w:rsid w:val="005E04F4"/>
    <w:rsid w:val="005E19A1"/>
    <w:rsid w:val="005E1A9D"/>
    <w:rsid w:val="005E1DAD"/>
    <w:rsid w:val="005E1E13"/>
    <w:rsid w:val="005E23A9"/>
    <w:rsid w:val="005E25BB"/>
    <w:rsid w:val="005E29B4"/>
    <w:rsid w:val="005E31E1"/>
    <w:rsid w:val="005E48F3"/>
    <w:rsid w:val="005E7A26"/>
    <w:rsid w:val="005F2F18"/>
    <w:rsid w:val="005F4F8E"/>
    <w:rsid w:val="005F5E85"/>
    <w:rsid w:val="005F632B"/>
    <w:rsid w:val="005F6C39"/>
    <w:rsid w:val="005F79EA"/>
    <w:rsid w:val="00602716"/>
    <w:rsid w:val="00602F5B"/>
    <w:rsid w:val="0060409A"/>
    <w:rsid w:val="00604AFD"/>
    <w:rsid w:val="0060594C"/>
    <w:rsid w:val="00607475"/>
    <w:rsid w:val="00611571"/>
    <w:rsid w:val="0061211F"/>
    <w:rsid w:val="006129C5"/>
    <w:rsid w:val="00612AF3"/>
    <w:rsid w:val="00612BEA"/>
    <w:rsid w:val="006134B6"/>
    <w:rsid w:val="00614ED4"/>
    <w:rsid w:val="00614F28"/>
    <w:rsid w:val="006154E6"/>
    <w:rsid w:val="00615641"/>
    <w:rsid w:val="0061566F"/>
    <w:rsid w:val="0061661E"/>
    <w:rsid w:val="00616F46"/>
    <w:rsid w:val="0061715F"/>
    <w:rsid w:val="00617A52"/>
    <w:rsid w:val="00620671"/>
    <w:rsid w:val="00620A68"/>
    <w:rsid w:val="006219F6"/>
    <w:rsid w:val="00622675"/>
    <w:rsid w:val="0062281A"/>
    <w:rsid w:val="00623DD2"/>
    <w:rsid w:val="00625D01"/>
    <w:rsid w:val="0062693E"/>
    <w:rsid w:val="00626F61"/>
    <w:rsid w:val="006316B6"/>
    <w:rsid w:val="006318F7"/>
    <w:rsid w:val="0063314C"/>
    <w:rsid w:val="00633466"/>
    <w:rsid w:val="00634D45"/>
    <w:rsid w:val="00635EB8"/>
    <w:rsid w:val="006368B2"/>
    <w:rsid w:val="006372D3"/>
    <w:rsid w:val="00637519"/>
    <w:rsid w:val="006430A8"/>
    <w:rsid w:val="0064619D"/>
    <w:rsid w:val="0064708F"/>
    <w:rsid w:val="00647600"/>
    <w:rsid w:val="00647E1C"/>
    <w:rsid w:val="0065069B"/>
    <w:rsid w:val="00650CE3"/>
    <w:rsid w:val="006517CF"/>
    <w:rsid w:val="00653274"/>
    <w:rsid w:val="006536F0"/>
    <w:rsid w:val="00653E1A"/>
    <w:rsid w:val="00653F7F"/>
    <w:rsid w:val="00655004"/>
    <w:rsid w:val="006550B3"/>
    <w:rsid w:val="00656271"/>
    <w:rsid w:val="006570D1"/>
    <w:rsid w:val="00657F52"/>
    <w:rsid w:val="006601C9"/>
    <w:rsid w:val="006601ED"/>
    <w:rsid w:val="00661375"/>
    <w:rsid w:val="00662FBB"/>
    <w:rsid w:val="0066402C"/>
    <w:rsid w:val="00664823"/>
    <w:rsid w:val="0066699E"/>
    <w:rsid w:val="006677CC"/>
    <w:rsid w:val="006678B5"/>
    <w:rsid w:val="00667C5F"/>
    <w:rsid w:val="00670DE5"/>
    <w:rsid w:val="00670FCC"/>
    <w:rsid w:val="00671429"/>
    <w:rsid w:val="00671A8E"/>
    <w:rsid w:val="00674E93"/>
    <w:rsid w:val="00675729"/>
    <w:rsid w:val="00675D38"/>
    <w:rsid w:val="00676077"/>
    <w:rsid w:val="006765D2"/>
    <w:rsid w:val="00677C3F"/>
    <w:rsid w:val="006805DF"/>
    <w:rsid w:val="006809DB"/>
    <w:rsid w:val="00680B6A"/>
    <w:rsid w:val="00683384"/>
    <w:rsid w:val="00683A1E"/>
    <w:rsid w:val="006846AF"/>
    <w:rsid w:val="00684A62"/>
    <w:rsid w:val="0068511F"/>
    <w:rsid w:val="006853AC"/>
    <w:rsid w:val="00686011"/>
    <w:rsid w:val="006864BE"/>
    <w:rsid w:val="006922FF"/>
    <w:rsid w:val="006928CE"/>
    <w:rsid w:val="006933AD"/>
    <w:rsid w:val="0069688D"/>
    <w:rsid w:val="006A07CD"/>
    <w:rsid w:val="006A0EF0"/>
    <w:rsid w:val="006A0F74"/>
    <w:rsid w:val="006A286C"/>
    <w:rsid w:val="006A3040"/>
    <w:rsid w:val="006A33BD"/>
    <w:rsid w:val="006A382E"/>
    <w:rsid w:val="006A3931"/>
    <w:rsid w:val="006A3AF5"/>
    <w:rsid w:val="006A4235"/>
    <w:rsid w:val="006A4C33"/>
    <w:rsid w:val="006A4D96"/>
    <w:rsid w:val="006A4EDC"/>
    <w:rsid w:val="006A526F"/>
    <w:rsid w:val="006A5327"/>
    <w:rsid w:val="006A6178"/>
    <w:rsid w:val="006A6374"/>
    <w:rsid w:val="006A697A"/>
    <w:rsid w:val="006A7617"/>
    <w:rsid w:val="006B06BC"/>
    <w:rsid w:val="006B1037"/>
    <w:rsid w:val="006B19FB"/>
    <w:rsid w:val="006B2553"/>
    <w:rsid w:val="006B2ECF"/>
    <w:rsid w:val="006B3396"/>
    <w:rsid w:val="006B3BC4"/>
    <w:rsid w:val="006B3E8A"/>
    <w:rsid w:val="006B43C4"/>
    <w:rsid w:val="006B449F"/>
    <w:rsid w:val="006B4E91"/>
    <w:rsid w:val="006B506E"/>
    <w:rsid w:val="006B5198"/>
    <w:rsid w:val="006B5420"/>
    <w:rsid w:val="006B60EC"/>
    <w:rsid w:val="006B7D1E"/>
    <w:rsid w:val="006C0840"/>
    <w:rsid w:val="006C0CC2"/>
    <w:rsid w:val="006C23EC"/>
    <w:rsid w:val="006C3453"/>
    <w:rsid w:val="006C6B63"/>
    <w:rsid w:val="006D1202"/>
    <w:rsid w:val="006D1F45"/>
    <w:rsid w:val="006D2522"/>
    <w:rsid w:val="006D2A9D"/>
    <w:rsid w:val="006D2D02"/>
    <w:rsid w:val="006D3042"/>
    <w:rsid w:val="006D37B7"/>
    <w:rsid w:val="006D5542"/>
    <w:rsid w:val="006D60AD"/>
    <w:rsid w:val="006D61BA"/>
    <w:rsid w:val="006E023D"/>
    <w:rsid w:val="006E118C"/>
    <w:rsid w:val="006E1403"/>
    <w:rsid w:val="006E205D"/>
    <w:rsid w:val="006E4186"/>
    <w:rsid w:val="006E46E3"/>
    <w:rsid w:val="006E475C"/>
    <w:rsid w:val="006E4E61"/>
    <w:rsid w:val="006E5034"/>
    <w:rsid w:val="006E615F"/>
    <w:rsid w:val="006E71C8"/>
    <w:rsid w:val="006F0887"/>
    <w:rsid w:val="006F099F"/>
    <w:rsid w:val="006F0A06"/>
    <w:rsid w:val="006F2629"/>
    <w:rsid w:val="006F2A93"/>
    <w:rsid w:val="006F2D62"/>
    <w:rsid w:val="006F3612"/>
    <w:rsid w:val="006F3E4D"/>
    <w:rsid w:val="006F6836"/>
    <w:rsid w:val="006F6DCF"/>
    <w:rsid w:val="00702DD6"/>
    <w:rsid w:val="00703424"/>
    <w:rsid w:val="0070362A"/>
    <w:rsid w:val="007052F4"/>
    <w:rsid w:val="00705A04"/>
    <w:rsid w:val="0070620E"/>
    <w:rsid w:val="0070774E"/>
    <w:rsid w:val="007100A9"/>
    <w:rsid w:val="00710355"/>
    <w:rsid w:val="0071039F"/>
    <w:rsid w:val="00710CB5"/>
    <w:rsid w:val="00710DB6"/>
    <w:rsid w:val="0071173F"/>
    <w:rsid w:val="00712521"/>
    <w:rsid w:val="007129BC"/>
    <w:rsid w:val="00713983"/>
    <w:rsid w:val="0071718A"/>
    <w:rsid w:val="00717885"/>
    <w:rsid w:val="0072087B"/>
    <w:rsid w:val="00720890"/>
    <w:rsid w:val="00721231"/>
    <w:rsid w:val="00721365"/>
    <w:rsid w:val="00721793"/>
    <w:rsid w:val="00721DB0"/>
    <w:rsid w:val="007227F3"/>
    <w:rsid w:val="00722D55"/>
    <w:rsid w:val="00723693"/>
    <w:rsid w:val="0072738B"/>
    <w:rsid w:val="00730D14"/>
    <w:rsid w:val="00731BD4"/>
    <w:rsid w:val="00733757"/>
    <w:rsid w:val="00734219"/>
    <w:rsid w:val="00735045"/>
    <w:rsid w:val="007367BE"/>
    <w:rsid w:val="00737E59"/>
    <w:rsid w:val="00740A7C"/>
    <w:rsid w:val="00741562"/>
    <w:rsid w:val="00741F74"/>
    <w:rsid w:val="00742433"/>
    <w:rsid w:val="00742E55"/>
    <w:rsid w:val="00743FB3"/>
    <w:rsid w:val="00744097"/>
    <w:rsid w:val="00744A84"/>
    <w:rsid w:val="00745085"/>
    <w:rsid w:val="00745200"/>
    <w:rsid w:val="00745A72"/>
    <w:rsid w:val="00747341"/>
    <w:rsid w:val="00747589"/>
    <w:rsid w:val="007516F0"/>
    <w:rsid w:val="00752A1E"/>
    <w:rsid w:val="00752AFE"/>
    <w:rsid w:val="00757B1A"/>
    <w:rsid w:val="00760699"/>
    <w:rsid w:val="00760D8D"/>
    <w:rsid w:val="00761A75"/>
    <w:rsid w:val="007627AD"/>
    <w:rsid w:val="00763093"/>
    <w:rsid w:val="00763B3A"/>
    <w:rsid w:val="00763B8E"/>
    <w:rsid w:val="00764CF1"/>
    <w:rsid w:val="0076673A"/>
    <w:rsid w:val="00767445"/>
    <w:rsid w:val="00767A25"/>
    <w:rsid w:val="007704D5"/>
    <w:rsid w:val="00770DF3"/>
    <w:rsid w:val="00771053"/>
    <w:rsid w:val="00771A39"/>
    <w:rsid w:val="00772097"/>
    <w:rsid w:val="00772E36"/>
    <w:rsid w:val="00772FBE"/>
    <w:rsid w:val="007737A5"/>
    <w:rsid w:val="007743B0"/>
    <w:rsid w:val="007764A2"/>
    <w:rsid w:val="00776BCE"/>
    <w:rsid w:val="00780DC5"/>
    <w:rsid w:val="00782765"/>
    <w:rsid w:val="007831DF"/>
    <w:rsid w:val="00783E89"/>
    <w:rsid w:val="007855D6"/>
    <w:rsid w:val="007866A8"/>
    <w:rsid w:val="00787195"/>
    <w:rsid w:val="00787395"/>
    <w:rsid w:val="007873AA"/>
    <w:rsid w:val="00790688"/>
    <w:rsid w:val="00790900"/>
    <w:rsid w:val="0079217A"/>
    <w:rsid w:val="00792E95"/>
    <w:rsid w:val="00793571"/>
    <w:rsid w:val="007947C3"/>
    <w:rsid w:val="007953F2"/>
    <w:rsid w:val="00795BA5"/>
    <w:rsid w:val="007970E4"/>
    <w:rsid w:val="00797AB5"/>
    <w:rsid w:val="00797AF6"/>
    <w:rsid w:val="007A0323"/>
    <w:rsid w:val="007A1B45"/>
    <w:rsid w:val="007A228E"/>
    <w:rsid w:val="007A2435"/>
    <w:rsid w:val="007A2E9D"/>
    <w:rsid w:val="007A302E"/>
    <w:rsid w:val="007A4E6A"/>
    <w:rsid w:val="007A7E6E"/>
    <w:rsid w:val="007B126F"/>
    <w:rsid w:val="007B1E71"/>
    <w:rsid w:val="007B1F59"/>
    <w:rsid w:val="007B3410"/>
    <w:rsid w:val="007B3D02"/>
    <w:rsid w:val="007B3E30"/>
    <w:rsid w:val="007B4E81"/>
    <w:rsid w:val="007B6B4B"/>
    <w:rsid w:val="007B773C"/>
    <w:rsid w:val="007C0A65"/>
    <w:rsid w:val="007C0D2E"/>
    <w:rsid w:val="007C11CE"/>
    <w:rsid w:val="007C1684"/>
    <w:rsid w:val="007C2686"/>
    <w:rsid w:val="007C27E7"/>
    <w:rsid w:val="007C45F7"/>
    <w:rsid w:val="007C49E4"/>
    <w:rsid w:val="007C72AA"/>
    <w:rsid w:val="007C77E0"/>
    <w:rsid w:val="007D0500"/>
    <w:rsid w:val="007D0627"/>
    <w:rsid w:val="007D22AC"/>
    <w:rsid w:val="007D261C"/>
    <w:rsid w:val="007D4515"/>
    <w:rsid w:val="007D545A"/>
    <w:rsid w:val="007D5A40"/>
    <w:rsid w:val="007D6A09"/>
    <w:rsid w:val="007D7F99"/>
    <w:rsid w:val="007E0262"/>
    <w:rsid w:val="007E0993"/>
    <w:rsid w:val="007E128A"/>
    <w:rsid w:val="007E1DF4"/>
    <w:rsid w:val="007E3162"/>
    <w:rsid w:val="007E3759"/>
    <w:rsid w:val="007E3855"/>
    <w:rsid w:val="007E4E19"/>
    <w:rsid w:val="007E570A"/>
    <w:rsid w:val="007E5C05"/>
    <w:rsid w:val="007E5F5F"/>
    <w:rsid w:val="007E7B1A"/>
    <w:rsid w:val="007E7DB3"/>
    <w:rsid w:val="007F043E"/>
    <w:rsid w:val="007F1665"/>
    <w:rsid w:val="007F372B"/>
    <w:rsid w:val="007F38F5"/>
    <w:rsid w:val="007F3CA3"/>
    <w:rsid w:val="007F4C03"/>
    <w:rsid w:val="007F510F"/>
    <w:rsid w:val="00800961"/>
    <w:rsid w:val="0080400C"/>
    <w:rsid w:val="008049F5"/>
    <w:rsid w:val="00804B8E"/>
    <w:rsid w:val="00804C18"/>
    <w:rsid w:val="00805B67"/>
    <w:rsid w:val="00805F15"/>
    <w:rsid w:val="008063FB"/>
    <w:rsid w:val="00806FED"/>
    <w:rsid w:val="008077A1"/>
    <w:rsid w:val="00807F44"/>
    <w:rsid w:val="0081113E"/>
    <w:rsid w:val="00811D56"/>
    <w:rsid w:val="00812CDF"/>
    <w:rsid w:val="008138B8"/>
    <w:rsid w:val="008143F0"/>
    <w:rsid w:val="00814E19"/>
    <w:rsid w:val="00814EFA"/>
    <w:rsid w:val="00815B82"/>
    <w:rsid w:val="008163ED"/>
    <w:rsid w:val="008163F9"/>
    <w:rsid w:val="00816606"/>
    <w:rsid w:val="00816845"/>
    <w:rsid w:val="008169FB"/>
    <w:rsid w:val="00817218"/>
    <w:rsid w:val="00817A0B"/>
    <w:rsid w:val="00817CE6"/>
    <w:rsid w:val="0082096E"/>
    <w:rsid w:val="00821106"/>
    <w:rsid w:val="008229DF"/>
    <w:rsid w:val="008238F1"/>
    <w:rsid w:val="00823F90"/>
    <w:rsid w:val="00824C27"/>
    <w:rsid w:val="008274B4"/>
    <w:rsid w:val="008308D9"/>
    <w:rsid w:val="00830A0B"/>
    <w:rsid w:val="00830AF8"/>
    <w:rsid w:val="00832312"/>
    <w:rsid w:val="00832D93"/>
    <w:rsid w:val="008337AF"/>
    <w:rsid w:val="008339F3"/>
    <w:rsid w:val="00834F09"/>
    <w:rsid w:val="0083581E"/>
    <w:rsid w:val="00835C70"/>
    <w:rsid w:val="00837098"/>
    <w:rsid w:val="00837DF4"/>
    <w:rsid w:val="00841CDD"/>
    <w:rsid w:val="008426FB"/>
    <w:rsid w:val="008445C9"/>
    <w:rsid w:val="008449E1"/>
    <w:rsid w:val="00845A91"/>
    <w:rsid w:val="008462D1"/>
    <w:rsid w:val="0084736C"/>
    <w:rsid w:val="00850DFF"/>
    <w:rsid w:val="008513C0"/>
    <w:rsid w:val="00852D81"/>
    <w:rsid w:val="00852FD7"/>
    <w:rsid w:val="00854A49"/>
    <w:rsid w:val="00855F8E"/>
    <w:rsid w:val="00856E06"/>
    <w:rsid w:val="00861817"/>
    <w:rsid w:val="0086435E"/>
    <w:rsid w:val="00865CAD"/>
    <w:rsid w:val="00866213"/>
    <w:rsid w:val="0086647F"/>
    <w:rsid w:val="0086711B"/>
    <w:rsid w:val="0087049D"/>
    <w:rsid w:val="00870922"/>
    <w:rsid w:val="008744A6"/>
    <w:rsid w:val="008744ED"/>
    <w:rsid w:val="0087474D"/>
    <w:rsid w:val="00874D89"/>
    <w:rsid w:val="008752E4"/>
    <w:rsid w:val="0087587D"/>
    <w:rsid w:val="00875C58"/>
    <w:rsid w:val="00876451"/>
    <w:rsid w:val="00880550"/>
    <w:rsid w:val="00880628"/>
    <w:rsid w:val="008847E1"/>
    <w:rsid w:val="00885104"/>
    <w:rsid w:val="008854D8"/>
    <w:rsid w:val="00886C10"/>
    <w:rsid w:val="0088738B"/>
    <w:rsid w:val="008875A0"/>
    <w:rsid w:val="00887625"/>
    <w:rsid w:val="00887BFE"/>
    <w:rsid w:val="00891681"/>
    <w:rsid w:val="00893CDB"/>
    <w:rsid w:val="0089511C"/>
    <w:rsid w:val="0089594D"/>
    <w:rsid w:val="00896668"/>
    <w:rsid w:val="00897E14"/>
    <w:rsid w:val="008A1513"/>
    <w:rsid w:val="008A1ACB"/>
    <w:rsid w:val="008A2289"/>
    <w:rsid w:val="008A25B6"/>
    <w:rsid w:val="008A25BE"/>
    <w:rsid w:val="008A2B8F"/>
    <w:rsid w:val="008A32C3"/>
    <w:rsid w:val="008A33D8"/>
    <w:rsid w:val="008A4A14"/>
    <w:rsid w:val="008A4F3C"/>
    <w:rsid w:val="008A5D8F"/>
    <w:rsid w:val="008A6B6A"/>
    <w:rsid w:val="008B1A1A"/>
    <w:rsid w:val="008B2F12"/>
    <w:rsid w:val="008B34B4"/>
    <w:rsid w:val="008B4EB1"/>
    <w:rsid w:val="008B6F95"/>
    <w:rsid w:val="008B7099"/>
    <w:rsid w:val="008B764C"/>
    <w:rsid w:val="008C02F1"/>
    <w:rsid w:val="008C0318"/>
    <w:rsid w:val="008C22F2"/>
    <w:rsid w:val="008C2CF9"/>
    <w:rsid w:val="008C31F6"/>
    <w:rsid w:val="008C4DFD"/>
    <w:rsid w:val="008C6112"/>
    <w:rsid w:val="008D0223"/>
    <w:rsid w:val="008D03E9"/>
    <w:rsid w:val="008D03F5"/>
    <w:rsid w:val="008D1BD2"/>
    <w:rsid w:val="008D2012"/>
    <w:rsid w:val="008D304B"/>
    <w:rsid w:val="008D432C"/>
    <w:rsid w:val="008D4332"/>
    <w:rsid w:val="008D606A"/>
    <w:rsid w:val="008D6E02"/>
    <w:rsid w:val="008E0992"/>
    <w:rsid w:val="008E151F"/>
    <w:rsid w:val="008E1D41"/>
    <w:rsid w:val="008E2006"/>
    <w:rsid w:val="008E4462"/>
    <w:rsid w:val="008E4ABD"/>
    <w:rsid w:val="008E5141"/>
    <w:rsid w:val="008E56E6"/>
    <w:rsid w:val="008E5D38"/>
    <w:rsid w:val="008E6461"/>
    <w:rsid w:val="008E69AF"/>
    <w:rsid w:val="008E74B1"/>
    <w:rsid w:val="008F1EDB"/>
    <w:rsid w:val="008F2615"/>
    <w:rsid w:val="008F295D"/>
    <w:rsid w:val="008F2EEC"/>
    <w:rsid w:val="008F3C16"/>
    <w:rsid w:val="008F49F4"/>
    <w:rsid w:val="008F5915"/>
    <w:rsid w:val="008F5917"/>
    <w:rsid w:val="008F7D75"/>
    <w:rsid w:val="00902BBA"/>
    <w:rsid w:val="00904AA6"/>
    <w:rsid w:val="00904DFA"/>
    <w:rsid w:val="00904E3E"/>
    <w:rsid w:val="00905AFD"/>
    <w:rsid w:val="00906EBA"/>
    <w:rsid w:val="00910A9A"/>
    <w:rsid w:val="00912173"/>
    <w:rsid w:val="009121FF"/>
    <w:rsid w:val="00912A97"/>
    <w:rsid w:val="009153CF"/>
    <w:rsid w:val="00915961"/>
    <w:rsid w:val="0091698C"/>
    <w:rsid w:val="00920A48"/>
    <w:rsid w:val="009219F4"/>
    <w:rsid w:val="0092214F"/>
    <w:rsid w:val="0092224C"/>
    <w:rsid w:val="00922DD2"/>
    <w:rsid w:val="0092347A"/>
    <w:rsid w:val="0092386C"/>
    <w:rsid w:val="00923872"/>
    <w:rsid w:val="00924C6C"/>
    <w:rsid w:val="0092566B"/>
    <w:rsid w:val="009258FE"/>
    <w:rsid w:val="00925AAD"/>
    <w:rsid w:val="00925C37"/>
    <w:rsid w:val="009262BE"/>
    <w:rsid w:val="009314E5"/>
    <w:rsid w:val="009321FF"/>
    <w:rsid w:val="0093246A"/>
    <w:rsid w:val="009333F2"/>
    <w:rsid w:val="00933991"/>
    <w:rsid w:val="009339B1"/>
    <w:rsid w:val="00934A00"/>
    <w:rsid w:val="00935550"/>
    <w:rsid w:val="00937782"/>
    <w:rsid w:val="009410C3"/>
    <w:rsid w:val="00941594"/>
    <w:rsid w:val="009423B2"/>
    <w:rsid w:val="00942D2F"/>
    <w:rsid w:val="00943348"/>
    <w:rsid w:val="0094394C"/>
    <w:rsid w:val="00944139"/>
    <w:rsid w:val="009443F0"/>
    <w:rsid w:val="00944EC2"/>
    <w:rsid w:val="0094526F"/>
    <w:rsid w:val="009454B6"/>
    <w:rsid w:val="00947092"/>
    <w:rsid w:val="00950304"/>
    <w:rsid w:val="0095040D"/>
    <w:rsid w:val="00950E74"/>
    <w:rsid w:val="009517EB"/>
    <w:rsid w:val="00951933"/>
    <w:rsid w:val="00951DB5"/>
    <w:rsid w:val="00952B20"/>
    <w:rsid w:val="00954D0A"/>
    <w:rsid w:val="009552B2"/>
    <w:rsid w:val="009556C9"/>
    <w:rsid w:val="00955CF8"/>
    <w:rsid w:val="00956D3E"/>
    <w:rsid w:val="00956E2D"/>
    <w:rsid w:val="0095739C"/>
    <w:rsid w:val="0096151A"/>
    <w:rsid w:val="00961B92"/>
    <w:rsid w:val="0096269C"/>
    <w:rsid w:val="00963D3E"/>
    <w:rsid w:val="009651C3"/>
    <w:rsid w:val="00965301"/>
    <w:rsid w:val="00965605"/>
    <w:rsid w:val="00965801"/>
    <w:rsid w:val="00965A34"/>
    <w:rsid w:val="00965EFA"/>
    <w:rsid w:val="00965F95"/>
    <w:rsid w:val="00966773"/>
    <w:rsid w:val="00967FDC"/>
    <w:rsid w:val="009704AC"/>
    <w:rsid w:val="009705FA"/>
    <w:rsid w:val="00970EFD"/>
    <w:rsid w:val="00971A6A"/>
    <w:rsid w:val="0097327D"/>
    <w:rsid w:val="0097374B"/>
    <w:rsid w:val="00973D21"/>
    <w:rsid w:val="00973FBA"/>
    <w:rsid w:val="00974011"/>
    <w:rsid w:val="009743FE"/>
    <w:rsid w:val="009749E0"/>
    <w:rsid w:val="00974DBE"/>
    <w:rsid w:val="0097553B"/>
    <w:rsid w:val="009757B2"/>
    <w:rsid w:val="009761E3"/>
    <w:rsid w:val="00976AAD"/>
    <w:rsid w:val="0098074F"/>
    <w:rsid w:val="00981008"/>
    <w:rsid w:val="00981323"/>
    <w:rsid w:val="00981BDB"/>
    <w:rsid w:val="00981C36"/>
    <w:rsid w:val="00983743"/>
    <w:rsid w:val="00983924"/>
    <w:rsid w:val="00984113"/>
    <w:rsid w:val="00984482"/>
    <w:rsid w:val="00984911"/>
    <w:rsid w:val="00985054"/>
    <w:rsid w:val="009860E4"/>
    <w:rsid w:val="009863F5"/>
    <w:rsid w:val="009879DE"/>
    <w:rsid w:val="00987C31"/>
    <w:rsid w:val="009906EE"/>
    <w:rsid w:val="00990737"/>
    <w:rsid w:val="00990757"/>
    <w:rsid w:val="009927F7"/>
    <w:rsid w:val="009936DB"/>
    <w:rsid w:val="00994E67"/>
    <w:rsid w:val="00994ED8"/>
    <w:rsid w:val="00995102"/>
    <w:rsid w:val="0099535B"/>
    <w:rsid w:val="009965E2"/>
    <w:rsid w:val="00997222"/>
    <w:rsid w:val="009975F1"/>
    <w:rsid w:val="009A0AB9"/>
    <w:rsid w:val="009A0B16"/>
    <w:rsid w:val="009A1063"/>
    <w:rsid w:val="009A1742"/>
    <w:rsid w:val="009A20DF"/>
    <w:rsid w:val="009A3C10"/>
    <w:rsid w:val="009A4A4A"/>
    <w:rsid w:val="009A4AEC"/>
    <w:rsid w:val="009A5200"/>
    <w:rsid w:val="009A6555"/>
    <w:rsid w:val="009B17A0"/>
    <w:rsid w:val="009B23EC"/>
    <w:rsid w:val="009B35DF"/>
    <w:rsid w:val="009B3B65"/>
    <w:rsid w:val="009B4FE3"/>
    <w:rsid w:val="009B50B0"/>
    <w:rsid w:val="009B5BF7"/>
    <w:rsid w:val="009B5D9A"/>
    <w:rsid w:val="009B6470"/>
    <w:rsid w:val="009B68AE"/>
    <w:rsid w:val="009C15DD"/>
    <w:rsid w:val="009C2C3D"/>
    <w:rsid w:val="009C3B25"/>
    <w:rsid w:val="009C5411"/>
    <w:rsid w:val="009C5B8D"/>
    <w:rsid w:val="009C5F99"/>
    <w:rsid w:val="009C61C9"/>
    <w:rsid w:val="009C7858"/>
    <w:rsid w:val="009D095A"/>
    <w:rsid w:val="009D0A16"/>
    <w:rsid w:val="009D0EAA"/>
    <w:rsid w:val="009D11C8"/>
    <w:rsid w:val="009D17E6"/>
    <w:rsid w:val="009D1A1F"/>
    <w:rsid w:val="009D28DD"/>
    <w:rsid w:val="009D2E1C"/>
    <w:rsid w:val="009D309D"/>
    <w:rsid w:val="009D3867"/>
    <w:rsid w:val="009D4F9E"/>
    <w:rsid w:val="009D697D"/>
    <w:rsid w:val="009D770F"/>
    <w:rsid w:val="009E104E"/>
    <w:rsid w:val="009E1D29"/>
    <w:rsid w:val="009E29D1"/>
    <w:rsid w:val="009E4094"/>
    <w:rsid w:val="009E5097"/>
    <w:rsid w:val="009E62B3"/>
    <w:rsid w:val="009E6E4B"/>
    <w:rsid w:val="009F0C31"/>
    <w:rsid w:val="009F1392"/>
    <w:rsid w:val="009F24D9"/>
    <w:rsid w:val="009F2CD8"/>
    <w:rsid w:val="009F33B9"/>
    <w:rsid w:val="009F4484"/>
    <w:rsid w:val="009F4BEA"/>
    <w:rsid w:val="009F4E00"/>
    <w:rsid w:val="009F52D7"/>
    <w:rsid w:val="009F55E7"/>
    <w:rsid w:val="009F5BEF"/>
    <w:rsid w:val="009F5E85"/>
    <w:rsid w:val="009F61C8"/>
    <w:rsid w:val="009F677F"/>
    <w:rsid w:val="009F7006"/>
    <w:rsid w:val="009F7082"/>
    <w:rsid w:val="009F7FFD"/>
    <w:rsid w:val="00A00A04"/>
    <w:rsid w:val="00A011F5"/>
    <w:rsid w:val="00A021F8"/>
    <w:rsid w:val="00A02A61"/>
    <w:rsid w:val="00A030AF"/>
    <w:rsid w:val="00A0333C"/>
    <w:rsid w:val="00A04598"/>
    <w:rsid w:val="00A051AE"/>
    <w:rsid w:val="00A05208"/>
    <w:rsid w:val="00A064E9"/>
    <w:rsid w:val="00A100C9"/>
    <w:rsid w:val="00A10B91"/>
    <w:rsid w:val="00A11DCE"/>
    <w:rsid w:val="00A139E4"/>
    <w:rsid w:val="00A163A9"/>
    <w:rsid w:val="00A16B54"/>
    <w:rsid w:val="00A16EB3"/>
    <w:rsid w:val="00A175C2"/>
    <w:rsid w:val="00A20E65"/>
    <w:rsid w:val="00A2114A"/>
    <w:rsid w:val="00A21EE5"/>
    <w:rsid w:val="00A224FF"/>
    <w:rsid w:val="00A22780"/>
    <w:rsid w:val="00A22AF1"/>
    <w:rsid w:val="00A2401A"/>
    <w:rsid w:val="00A26992"/>
    <w:rsid w:val="00A30AA9"/>
    <w:rsid w:val="00A30CBC"/>
    <w:rsid w:val="00A30FB1"/>
    <w:rsid w:val="00A314ED"/>
    <w:rsid w:val="00A3262C"/>
    <w:rsid w:val="00A32DA4"/>
    <w:rsid w:val="00A3316A"/>
    <w:rsid w:val="00A331C3"/>
    <w:rsid w:val="00A337A1"/>
    <w:rsid w:val="00A33AD4"/>
    <w:rsid w:val="00A33E20"/>
    <w:rsid w:val="00A340C5"/>
    <w:rsid w:val="00A342D9"/>
    <w:rsid w:val="00A34946"/>
    <w:rsid w:val="00A35300"/>
    <w:rsid w:val="00A358CC"/>
    <w:rsid w:val="00A37D5F"/>
    <w:rsid w:val="00A400AC"/>
    <w:rsid w:val="00A40A07"/>
    <w:rsid w:val="00A40E24"/>
    <w:rsid w:val="00A4160E"/>
    <w:rsid w:val="00A41D02"/>
    <w:rsid w:val="00A43A41"/>
    <w:rsid w:val="00A43F40"/>
    <w:rsid w:val="00A46B60"/>
    <w:rsid w:val="00A46FD4"/>
    <w:rsid w:val="00A52E25"/>
    <w:rsid w:val="00A54860"/>
    <w:rsid w:val="00A54E45"/>
    <w:rsid w:val="00A55441"/>
    <w:rsid w:val="00A55C61"/>
    <w:rsid w:val="00A568EF"/>
    <w:rsid w:val="00A61929"/>
    <w:rsid w:val="00A61BAC"/>
    <w:rsid w:val="00A61C6E"/>
    <w:rsid w:val="00A61CE4"/>
    <w:rsid w:val="00A63182"/>
    <w:rsid w:val="00A64600"/>
    <w:rsid w:val="00A64FDB"/>
    <w:rsid w:val="00A66337"/>
    <w:rsid w:val="00A6702A"/>
    <w:rsid w:val="00A6725A"/>
    <w:rsid w:val="00A678AC"/>
    <w:rsid w:val="00A700EE"/>
    <w:rsid w:val="00A7103F"/>
    <w:rsid w:val="00A719BB"/>
    <w:rsid w:val="00A72366"/>
    <w:rsid w:val="00A72F7F"/>
    <w:rsid w:val="00A73194"/>
    <w:rsid w:val="00A73659"/>
    <w:rsid w:val="00A74213"/>
    <w:rsid w:val="00A74BD6"/>
    <w:rsid w:val="00A750A0"/>
    <w:rsid w:val="00A759B4"/>
    <w:rsid w:val="00A76F86"/>
    <w:rsid w:val="00A81B28"/>
    <w:rsid w:val="00A82888"/>
    <w:rsid w:val="00A8289A"/>
    <w:rsid w:val="00A83091"/>
    <w:rsid w:val="00A84A6B"/>
    <w:rsid w:val="00A86507"/>
    <w:rsid w:val="00A90521"/>
    <w:rsid w:val="00A9321C"/>
    <w:rsid w:val="00A934F3"/>
    <w:rsid w:val="00A937CC"/>
    <w:rsid w:val="00A93C12"/>
    <w:rsid w:val="00A9403D"/>
    <w:rsid w:val="00A9527A"/>
    <w:rsid w:val="00A95460"/>
    <w:rsid w:val="00A9591A"/>
    <w:rsid w:val="00A96D15"/>
    <w:rsid w:val="00A97535"/>
    <w:rsid w:val="00A976F9"/>
    <w:rsid w:val="00AA0C01"/>
    <w:rsid w:val="00AA1E9B"/>
    <w:rsid w:val="00AA29BE"/>
    <w:rsid w:val="00AA3988"/>
    <w:rsid w:val="00AA4037"/>
    <w:rsid w:val="00AA4797"/>
    <w:rsid w:val="00AA47A2"/>
    <w:rsid w:val="00AA654E"/>
    <w:rsid w:val="00AA6B9C"/>
    <w:rsid w:val="00AB0936"/>
    <w:rsid w:val="00AB12FC"/>
    <w:rsid w:val="00AB1DC9"/>
    <w:rsid w:val="00AB3287"/>
    <w:rsid w:val="00AB370F"/>
    <w:rsid w:val="00AB3D0A"/>
    <w:rsid w:val="00AB4292"/>
    <w:rsid w:val="00AB44AA"/>
    <w:rsid w:val="00AB470E"/>
    <w:rsid w:val="00AB4DF0"/>
    <w:rsid w:val="00AB5D95"/>
    <w:rsid w:val="00AB7198"/>
    <w:rsid w:val="00AB7624"/>
    <w:rsid w:val="00AB7B59"/>
    <w:rsid w:val="00AC1149"/>
    <w:rsid w:val="00AC1FBF"/>
    <w:rsid w:val="00AC3884"/>
    <w:rsid w:val="00AC3D38"/>
    <w:rsid w:val="00AC4051"/>
    <w:rsid w:val="00AC4225"/>
    <w:rsid w:val="00AC427B"/>
    <w:rsid w:val="00AC4310"/>
    <w:rsid w:val="00AC4741"/>
    <w:rsid w:val="00AC4A2A"/>
    <w:rsid w:val="00AC5245"/>
    <w:rsid w:val="00AC5529"/>
    <w:rsid w:val="00AC698B"/>
    <w:rsid w:val="00AC74F8"/>
    <w:rsid w:val="00AD049B"/>
    <w:rsid w:val="00AD151F"/>
    <w:rsid w:val="00AD1587"/>
    <w:rsid w:val="00AD38C1"/>
    <w:rsid w:val="00AD43FB"/>
    <w:rsid w:val="00AD5569"/>
    <w:rsid w:val="00AD55ED"/>
    <w:rsid w:val="00AD58A7"/>
    <w:rsid w:val="00AD5ED7"/>
    <w:rsid w:val="00AE04F9"/>
    <w:rsid w:val="00AE1124"/>
    <w:rsid w:val="00AE1527"/>
    <w:rsid w:val="00AE1A97"/>
    <w:rsid w:val="00AE1BC0"/>
    <w:rsid w:val="00AE236C"/>
    <w:rsid w:val="00AE2543"/>
    <w:rsid w:val="00AE2E2D"/>
    <w:rsid w:val="00AE2E4B"/>
    <w:rsid w:val="00AE36E4"/>
    <w:rsid w:val="00AE4A33"/>
    <w:rsid w:val="00AE7243"/>
    <w:rsid w:val="00AE77EA"/>
    <w:rsid w:val="00AE7BF1"/>
    <w:rsid w:val="00AF0149"/>
    <w:rsid w:val="00AF2EF3"/>
    <w:rsid w:val="00AF380A"/>
    <w:rsid w:val="00AF3D9C"/>
    <w:rsid w:val="00AF4006"/>
    <w:rsid w:val="00AF56A8"/>
    <w:rsid w:val="00AF583D"/>
    <w:rsid w:val="00AF6646"/>
    <w:rsid w:val="00B006B5"/>
    <w:rsid w:val="00B00D32"/>
    <w:rsid w:val="00B01D92"/>
    <w:rsid w:val="00B02214"/>
    <w:rsid w:val="00B039CC"/>
    <w:rsid w:val="00B06A9E"/>
    <w:rsid w:val="00B10244"/>
    <w:rsid w:val="00B109F4"/>
    <w:rsid w:val="00B10F18"/>
    <w:rsid w:val="00B110BC"/>
    <w:rsid w:val="00B138C1"/>
    <w:rsid w:val="00B15B21"/>
    <w:rsid w:val="00B16B6F"/>
    <w:rsid w:val="00B17CA3"/>
    <w:rsid w:val="00B21F10"/>
    <w:rsid w:val="00B22D1C"/>
    <w:rsid w:val="00B23AAF"/>
    <w:rsid w:val="00B24B24"/>
    <w:rsid w:val="00B25442"/>
    <w:rsid w:val="00B313AB"/>
    <w:rsid w:val="00B33470"/>
    <w:rsid w:val="00B343D4"/>
    <w:rsid w:val="00B3446E"/>
    <w:rsid w:val="00B34DD6"/>
    <w:rsid w:val="00B36716"/>
    <w:rsid w:val="00B36759"/>
    <w:rsid w:val="00B36A0F"/>
    <w:rsid w:val="00B36F17"/>
    <w:rsid w:val="00B372E8"/>
    <w:rsid w:val="00B37E14"/>
    <w:rsid w:val="00B40008"/>
    <w:rsid w:val="00B410FB"/>
    <w:rsid w:val="00B412E7"/>
    <w:rsid w:val="00B42667"/>
    <w:rsid w:val="00B42EB5"/>
    <w:rsid w:val="00B43EE5"/>
    <w:rsid w:val="00B47069"/>
    <w:rsid w:val="00B4744E"/>
    <w:rsid w:val="00B47D93"/>
    <w:rsid w:val="00B50557"/>
    <w:rsid w:val="00B50652"/>
    <w:rsid w:val="00B50D2F"/>
    <w:rsid w:val="00B50F46"/>
    <w:rsid w:val="00B511DF"/>
    <w:rsid w:val="00B51774"/>
    <w:rsid w:val="00B51B13"/>
    <w:rsid w:val="00B52B37"/>
    <w:rsid w:val="00B56ACB"/>
    <w:rsid w:val="00B57236"/>
    <w:rsid w:val="00B575A3"/>
    <w:rsid w:val="00B600A6"/>
    <w:rsid w:val="00B60177"/>
    <w:rsid w:val="00B60291"/>
    <w:rsid w:val="00B60CA1"/>
    <w:rsid w:val="00B60DDD"/>
    <w:rsid w:val="00B61117"/>
    <w:rsid w:val="00B6116E"/>
    <w:rsid w:val="00B61809"/>
    <w:rsid w:val="00B656C4"/>
    <w:rsid w:val="00B66BD2"/>
    <w:rsid w:val="00B66F13"/>
    <w:rsid w:val="00B673E5"/>
    <w:rsid w:val="00B70495"/>
    <w:rsid w:val="00B70B7D"/>
    <w:rsid w:val="00B70BE9"/>
    <w:rsid w:val="00B712A2"/>
    <w:rsid w:val="00B712FF"/>
    <w:rsid w:val="00B714C7"/>
    <w:rsid w:val="00B719D4"/>
    <w:rsid w:val="00B72C09"/>
    <w:rsid w:val="00B73B51"/>
    <w:rsid w:val="00B73F2D"/>
    <w:rsid w:val="00B74994"/>
    <w:rsid w:val="00B75953"/>
    <w:rsid w:val="00B7729B"/>
    <w:rsid w:val="00B77783"/>
    <w:rsid w:val="00B80117"/>
    <w:rsid w:val="00B82DF6"/>
    <w:rsid w:val="00B82EBC"/>
    <w:rsid w:val="00B82F96"/>
    <w:rsid w:val="00B83663"/>
    <w:rsid w:val="00B83851"/>
    <w:rsid w:val="00B84F03"/>
    <w:rsid w:val="00B86A8D"/>
    <w:rsid w:val="00B86FCD"/>
    <w:rsid w:val="00B90196"/>
    <w:rsid w:val="00B9024E"/>
    <w:rsid w:val="00B908E9"/>
    <w:rsid w:val="00B91F1A"/>
    <w:rsid w:val="00B91FCC"/>
    <w:rsid w:val="00B92136"/>
    <w:rsid w:val="00B927E1"/>
    <w:rsid w:val="00B93363"/>
    <w:rsid w:val="00B937FB"/>
    <w:rsid w:val="00B93962"/>
    <w:rsid w:val="00B94173"/>
    <w:rsid w:val="00B9441A"/>
    <w:rsid w:val="00B94515"/>
    <w:rsid w:val="00B94528"/>
    <w:rsid w:val="00B949F9"/>
    <w:rsid w:val="00B95066"/>
    <w:rsid w:val="00B96557"/>
    <w:rsid w:val="00B97806"/>
    <w:rsid w:val="00BA01D0"/>
    <w:rsid w:val="00BA0FEF"/>
    <w:rsid w:val="00BA1398"/>
    <w:rsid w:val="00BA256B"/>
    <w:rsid w:val="00BA27BA"/>
    <w:rsid w:val="00BA3286"/>
    <w:rsid w:val="00BA6986"/>
    <w:rsid w:val="00BA6C42"/>
    <w:rsid w:val="00BA7162"/>
    <w:rsid w:val="00BA7843"/>
    <w:rsid w:val="00BB1160"/>
    <w:rsid w:val="00BB1DCD"/>
    <w:rsid w:val="00BB2504"/>
    <w:rsid w:val="00BB3671"/>
    <w:rsid w:val="00BB4E1E"/>
    <w:rsid w:val="00BB577A"/>
    <w:rsid w:val="00BC04C6"/>
    <w:rsid w:val="00BC057D"/>
    <w:rsid w:val="00BC2F93"/>
    <w:rsid w:val="00BC3DED"/>
    <w:rsid w:val="00BC69B8"/>
    <w:rsid w:val="00BC6F3C"/>
    <w:rsid w:val="00BC7993"/>
    <w:rsid w:val="00BD091D"/>
    <w:rsid w:val="00BD0E38"/>
    <w:rsid w:val="00BD4284"/>
    <w:rsid w:val="00BD4A36"/>
    <w:rsid w:val="00BD4BB7"/>
    <w:rsid w:val="00BD6C2A"/>
    <w:rsid w:val="00BD6F60"/>
    <w:rsid w:val="00BD71F2"/>
    <w:rsid w:val="00BD749E"/>
    <w:rsid w:val="00BE0637"/>
    <w:rsid w:val="00BE0E8D"/>
    <w:rsid w:val="00BE1DA6"/>
    <w:rsid w:val="00BE289F"/>
    <w:rsid w:val="00BE34FA"/>
    <w:rsid w:val="00BE3C9C"/>
    <w:rsid w:val="00BE49E4"/>
    <w:rsid w:val="00BE5202"/>
    <w:rsid w:val="00BE6B96"/>
    <w:rsid w:val="00BE6F77"/>
    <w:rsid w:val="00BE7A16"/>
    <w:rsid w:val="00BF06E6"/>
    <w:rsid w:val="00BF42A2"/>
    <w:rsid w:val="00BF56EB"/>
    <w:rsid w:val="00BF685A"/>
    <w:rsid w:val="00BF79A5"/>
    <w:rsid w:val="00C04886"/>
    <w:rsid w:val="00C04C74"/>
    <w:rsid w:val="00C04E44"/>
    <w:rsid w:val="00C05E76"/>
    <w:rsid w:val="00C07349"/>
    <w:rsid w:val="00C0779E"/>
    <w:rsid w:val="00C079F7"/>
    <w:rsid w:val="00C1032C"/>
    <w:rsid w:val="00C103E8"/>
    <w:rsid w:val="00C107E2"/>
    <w:rsid w:val="00C109C6"/>
    <w:rsid w:val="00C109F0"/>
    <w:rsid w:val="00C10DF9"/>
    <w:rsid w:val="00C10E5D"/>
    <w:rsid w:val="00C116DC"/>
    <w:rsid w:val="00C127ED"/>
    <w:rsid w:val="00C12CE6"/>
    <w:rsid w:val="00C12EE9"/>
    <w:rsid w:val="00C131DF"/>
    <w:rsid w:val="00C13484"/>
    <w:rsid w:val="00C14021"/>
    <w:rsid w:val="00C16785"/>
    <w:rsid w:val="00C17027"/>
    <w:rsid w:val="00C17781"/>
    <w:rsid w:val="00C179D5"/>
    <w:rsid w:val="00C17A42"/>
    <w:rsid w:val="00C17E72"/>
    <w:rsid w:val="00C210BE"/>
    <w:rsid w:val="00C21520"/>
    <w:rsid w:val="00C219BB"/>
    <w:rsid w:val="00C21F9E"/>
    <w:rsid w:val="00C225C7"/>
    <w:rsid w:val="00C22617"/>
    <w:rsid w:val="00C2364D"/>
    <w:rsid w:val="00C23CA9"/>
    <w:rsid w:val="00C2788D"/>
    <w:rsid w:val="00C305BF"/>
    <w:rsid w:val="00C31D34"/>
    <w:rsid w:val="00C31F8F"/>
    <w:rsid w:val="00C3272D"/>
    <w:rsid w:val="00C32A84"/>
    <w:rsid w:val="00C3473F"/>
    <w:rsid w:val="00C34942"/>
    <w:rsid w:val="00C356A2"/>
    <w:rsid w:val="00C35A09"/>
    <w:rsid w:val="00C35EBC"/>
    <w:rsid w:val="00C36ADB"/>
    <w:rsid w:val="00C371D2"/>
    <w:rsid w:val="00C400F0"/>
    <w:rsid w:val="00C4083C"/>
    <w:rsid w:val="00C409D8"/>
    <w:rsid w:val="00C42475"/>
    <w:rsid w:val="00C424EA"/>
    <w:rsid w:val="00C436BF"/>
    <w:rsid w:val="00C45988"/>
    <w:rsid w:val="00C45AEB"/>
    <w:rsid w:val="00C47888"/>
    <w:rsid w:val="00C5259D"/>
    <w:rsid w:val="00C52FB3"/>
    <w:rsid w:val="00C53023"/>
    <w:rsid w:val="00C54654"/>
    <w:rsid w:val="00C54D87"/>
    <w:rsid w:val="00C555B1"/>
    <w:rsid w:val="00C557D3"/>
    <w:rsid w:val="00C56729"/>
    <w:rsid w:val="00C571E9"/>
    <w:rsid w:val="00C60349"/>
    <w:rsid w:val="00C6144B"/>
    <w:rsid w:val="00C616BB"/>
    <w:rsid w:val="00C61866"/>
    <w:rsid w:val="00C623D6"/>
    <w:rsid w:val="00C6250A"/>
    <w:rsid w:val="00C638A2"/>
    <w:rsid w:val="00C64889"/>
    <w:rsid w:val="00C673FA"/>
    <w:rsid w:val="00C67A45"/>
    <w:rsid w:val="00C67AE0"/>
    <w:rsid w:val="00C70A8C"/>
    <w:rsid w:val="00C725C2"/>
    <w:rsid w:val="00C72D99"/>
    <w:rsid w:val="00C73478"/>
    <w:rsid w:val="00C73F0C"/>
    <w:rsid w:val="00C74C5D"/>
    <w:rsid w:val="00C75ECE"/>
    <w:rsid w:val="00C760B9"/>
    <w:rsid w:val="00C765C8"/>
    <w:rsid w:val="00C76AAD"/>
    <w:rsid w:val="00C77B83"/>
    <w:rsid w:val="00C801BF"/>
    <w:rsid w:val="00C819D8"/>
    <w:rsid w:val="00C875B0"/>
    <w:rsid w:val="00C878B5"/>
    <w:rsid w:val="00C904FB"/>
    <w:rsid w:val="00C907CA"/>
    <w:rsid w:val="00C93A1C"/>
    <w:rsid w:val="00C94172"/>
    <w:rsid w:val="00C95573"/>
    <w:rsid w:val="00C95BA9"/>
    <w:rsid w:val="00C962FF"/>
    <w:rsid w:val="00CA06E3"/>
    <w:rsid w:val="00CA0725"/>
    <w:rsid w:val="00CA0AA4"/>
    <w:rsid w:val="00CA12CA"/>
    <w:rsid w:val="00CA141C"/>
    <w:rsid w:val="00CA2482"/>
    <w:rsid w:val="00CA388E"/>
    <w:rsid w:val="00CA3C04"/>
    <w:rsid w:val="00CA3CC6"/>
    <w:rsid w:val="00CA40AF"/>
    <w:rsid w:val="00CA4DA5"/>
    <w:rsid w:val="00CA5AE6"/>
    <w:rsid w:val="00CA5B49"/>
    <w:rsid w:val="00CA6A47"/>
    <w:rsid w:val="00CA6CCA"/>
    <w:rsid w:val="00CB0864"/>
    <w:rsid w:val="00CB18D7"/>
    <w:rsid w:val="00CB3FF8"/>
    <w:rsid w:val="00CB4E07"/>
    <w:rsid w:val="00CB5084"/>
    <w:rsid w:val="00CB5816"/>
    <w:rsid w:val="00CB6A21"/>
    <w:rsid w:val="00CB7586"/>
    <w:rsid w:val="00CB7F18"/>
    <w:rsid w:val="00CC012C"/>
    <w:rsid w:val="00CC06C2"/>
    <w:rsid w:val="00CC0D89"/>
    <w:rsid w:val="00CC1A3D"/>
    <w:rsid w:val="00CC24C2"/>
    <w:rsid w:val="00CC2844"/>
    <w:rsid w:val="00CC2898"/>
    <w:rsid w:val="00CC2E51"/>
    <w:rsid w:val="00CC33EF"/>
    <w:rsid w:val="00CC462E"/>
    <w:rsid w:val="00CC4AC4"/>
    <w:rsid w:val="00CC6309"/>
    <w:rsid w:val="00CD1012"/>
    <w:rsid w:val="00CD1BAF"/>
    <w:rsid w:val="00CD275D"/>
    <w:rsid w:val="00CD294F"/>
    <w:rsid w:val="00CD2C3C"/>
    <w:rsid w:val="00CD3108"/>
    <w:rsid w:val="00CD3BB7"/>
    <w:rsid w:val="00CD64B6"/>
    <w:rsid w:val="00CE0C29"/>
    <w:rsid w:val="00CE13AC"/>
    <w:rsid w:val="00CE210B"/>
    <w:rsid w:val="00CE317A"/>
    <w:rsid w:val="00CE351F"/>
    <w:rsid w:val="00CE3BAD"/>
    <w:rsid w:val="00CE46DE"/>
    <w:rsid w:val="00CE51F1"/>
    <w:rsid w:val="00CE5896"/>
    <w:rsid w:val="00CE61B2"/>
    <w:rsid w:val="00CE72F5"/>
    <w:rsid w:val="00CF0045"/>
    <w:rsid w:val="00CF03E3"/>
    <w:rsid w:val="00CF054E"/>
    <w:rsid w:val="00CF0F15"/>
    <w:rsid w:val="00CF13BE"/>
    <w:rsid w:val="00CF1A86"/>
    <w:rsid w:val="00CF1B82"/>
    <w:rsid w:val="00CF3316"/>
    <w:rsid w:val="00CF3406"/>
    <w:rsid w:val="00CF57D5"/>
    <w:rsid w:val="00D00452"/>
    <w:rsid w:val="00D006CC"/>
    <w:rsid w:val="00D01926"/>
    <w:rsid w:val="00D01DDA"/>
    <w:rsid w:val="00D02A06"/>
    <w:rsid w:val="00D040B7"/>
    <w:rsid w:val="00D056CB"/>
    <w:rsid w:val="00D06748"/>
    <w:rsid w:val="00D06E47"/>
    <w:rsid w:val="00D07EC3"/>
    <w:rsid w:val="00D104A3"/>
    <w:rsid w:val="00D12193"/>
    <w:rsid w:val="00D13F10"/>
    <w:rsid w:val="00D14724"/>
    <w:rsid w:val="00D152FD"/>
    <w:rsid w:val="00D153A8"/>
    <w:rsid w:val="00D20DE5"/>
    <w:rsid w:val="00D21482"/>
    <w:rsid w:val="00D229EE"/>
    <w:rsid w:val="00D2393B"/>
    <w:rsid w:val="00D23FD7"/>
    <w:rsid w:val="00D24797"/>
    <w:rsid w:val="00D24E96"/>
    <w:rsid w:val="00D25693"/>
    <w:rsid w:val="00D2651D"/>
    <w:rsid w:val="00D2658A"/>
    <w:rsid w:val="00D26AAF"/>
    <w:rsid w:val="00D3001A"/>
    <w:rsid w:val="00D30045"/>
    <w:rsid w:val="00D30DCC"/>
    <w:rsid w:val="00D3195C"/>
    <w:rsid w:val="00D324FD"/>
    <w:rsid w:val="00D32EDB"/>
    <w:rsid w:val="00D330F5"/>
    <w:rsid w:val="00D343D0"/>
    <w:rsid w:val="00D34D72"/>
    <w:rsid w:val="00D34E76"/>
    <w:rsid w:val="00D35E7E"/>
    <w:rsid w:val="00D37D24"/>
    <w:rsid w:val="00D401E4"/>
    <w:rsid w:val="00D404EC"/>
    <w:rsid w:val="00D41306"/>
    <w:rsid w:val="00D41574"/>
    <w:rsid w:val="00D415A3"/>
    <w:rsid w:val="00D43278"/>
    <w:rsid w:val="00D43279"/>
    <w:rsid w:val="00D438F7"/>
    <w:rsid w:val="00D46606"/>
    <w:rsid w:val="00D46B23"/>
    <w:rsid w:val="00D46BA2"/>
    <w:rsid w:val="00D47997"/>
    <w:rsid w:val="00D47DD8"/>
    <w:rsid w:val="00D47E22"/>
    <w:rsid w:val="00D50363"/>
    <w:rsid w:val="00D54552"/>
    <w:rsid w:val="00D5699B"/>
    <w:rsid w:val="00D5729D"/>
    <w:rsid w:val="00D60469"/>
    <w:rsid w:val="00D60B68"/>
    <w:rsid w:val="00D62565"/>
    <w:rsid w:val="00D62BCE"/>
    <w:rsid w:val="00D647F7"/>
    <w:rsid w:val="00D652E4"/>
    <w:rsid w:val="00D6725C"/>
    <w:rsid w:val="00D67B11"/>
    <w:rsid w:val="00D7145F"/>
    <w:rsid w:val="00D723CB"/>
    <w:rsid w:val="00D72727"/>
    <w:rsid w:val="00D73002"/>
    <w:rsid w:val="00D73980"/>
    <w:rsid w:val="00D74A04"/>
    <w:rsid w:val="00D74E2E"/>
    <w:rsid w:val="00D7752C"/>
    <w:rsid w:val="00D77F2C"/>
    <w:rsid w:val="00D77F86"/>
    <w:rsid w:val="00D81B9E"/>
    <w:rsid w:val="00D82AC7"/>
    <w:rsid w:val="00D82AD1"/>
    <w:rsid w:val="00D82ADA"/>
    <w:rsid w:val="00D8399D"/>
    <w:rsid w:val="00D83E42"/>
    <w:rsid w:val="00D84BB2"/>
    <w:rsid w:val="00D860D6"/>
    <w:rsid w:val="00D866DC"/>
    <w:rsid w:val="00D86B8C"/>
    <w:rsid w:val="00D86FC2"/>
    <w:rsid w:val="00D87934"/>
    <w:rsid w:val="00D905A3"/>
    <w:rsid w:val="00D927B1"/>
    <w:rsid w:val="00D95078"/>
    <w:rsid w:val="00D96FE4"/>
    <w:rsid w:val="00D9753F"/>
    <w:rsid w:val="00D978C2"/>
    <w:rsid w:val="00D97D23"/>
    <w:rsid w:val="00DA0BEE"/>
    <w:rsid w:val="00DA13E5"/>
    <w:rsid w:val="00DA1B05"/>
    <w:rsid w:val="00DA1EFF"/>
    <w:rsid w:val="00DA2521"/>
    <w:rsid w:val="00DA2B86"/>
    <w:rsid w:val="00DA36EB"/>
    <w:rsid w:val="00DA456B"/>
    <w:rsid w:val="00DA5807"/>
    <w:rsid w:val="00DA5D89"/>
    <w:rsid w:val="00DA5DC5"/>
    <w:rsid w:val="00DA6048"/>
    <w:rsid w:val="00DA6234"/>
    <w:rsid w:val="00DA67E3"/>
    <w:rsid w:val="00DA78A5"/>
    <w:rsid w:val="00DA798F"/>
    <w:rsid w:val="00DA7AED"/>
    <w:rsid w:val="00DB257D"/>
    <w:rsid w:val="00DB5E20"/>
    <w:rsid w:val="00DB6D26"/>
    <w:rsid w:val="00DC03C6"/>
    <w:rsid w:val="00DC0746"/>
    <w:rsid w:val="00DC1276"/>
    <w:rsid w:val="00DC3BE4"/>
    <w:rsid w:val="00DC517F"/>
    <w:rsid w:val="00DC5F48"/>
    <w:rsid w:val="00DC609C"/>
    <w:rsid w:val="00DC61EB"/>
    <w:rsid w:val="00DD0234"/>
    <w:rsid w:val="00DD06A4"/>
    <w:rsid w:val="00DD0EF1"/>
    <w:rsid w:val="00DD1453"/>
    <w:rsid w:val="00DD1625"/>
    <w:rsid w:val="00DD1D2A"/>
    <w:rsid w:val="00DD20A6"/>
    <w:rsid w:val="00DD2649"/>
    <w:rsid w:val="00DD2939"/>
    <w:rsid w:val="00DD33EA"/>
    <w:rsid w:val="00DD4B13"/>
    <w:rsid w:val="00DD5252"/>
    <w:rsid w:val="00DD6051"/>
    <w:rsid w:val="00DE0B73"/>
    <w:rsid w:val="00DE0E0B"/>
    <w:rsid w:val="00DE13C7"/>
    <w:rsid w:val="00DE1C0B"/>
    <w:rsid w:val="00DE467F"/>
    <w:rsid w:val="00DE6FF3"/>
    <w:rsid w:val="00DF1F7D"/>
    <w:rsid w:val="00DF2B25"/>
    <w:rsid w:val="00DF3304"/>
    <w:rsid w:val="00DF5261"/>
    <w:rsid w:val="00DF590A"/>
    <w:rsid w:val="00DF6290"/>
    <w:rsid w:val="00DF6FD8"/>
    <w:rsid w:val="00DF7264"/>
    <w:rsid w:val="00DF766E"/>
    <w:rsid w:val="00E0127B"/>
    <w:rsid w:val="00E0545D"/>
    <w:rsid w:val="00E065FE"/>
    <w:rsid w:val="00E10A2B"/>
    <w:rsid w:val="00E11C7F"/>
    <w:rsid w:val="00E11DA1"/>
    <w:rsid w:val="00E12696"/>
    <w:rsid w:val="00E12921"/>
    <w:rsid w:val="00E1439C"/>
    <w:rsid w:val="00E1456A"/>
    <w:rsid w:val="00E14ACA"/>
    <w:rsid w:val="00E14AE4"/>
    <w:rsid w:val="00E14DFB"/>
    <w:rsid w:val="00E16344"/>
    <w:rsid w:val="00E20423"/>
    <w:rsid w:val="00E20E75"/>
    <w:rsid w:val="00E20F6F"/>
    <w:rsid w:val="00E248DB"/>
    <w:rsid w:val="00E257CC"/>
    <w:rsid w:val="00E2639A"/>
    <w:rsid w:val="00E26EE5"/>
    <w:rsid w:val="00E272B3"/>
    <w:rsid w:val="00E274A5"/>
    <w:rsid w:val="00E278C7"/>
    <w:rsid w:val="00E30C06"/>
    <w:rsid w:val="00E325AF"/>
    <w:rsid w:val="00E33917"/>
    <w:rsid w:val="00E33FAD"/>
    <w:rsid w:val="00E341B3"/>
    <w:rsid w:val="00E35191"/>
    <w:rsid w:val="00E35E17"/>
    <w:rsid w:val="00E366CE"/>
    <w:rsid w:val="00E37CA2"/>
    <w:rsid w:val="00E400BA"/>
    <w:rsid w:val="00E43EE0"/>
    <w:rsid w:val="00E46349"/>
    <w:rsid w:val="00E508F2"/>
    <w:rsid w:val="00E541AB"/>
    <w:rsid w:val="00E5457E"/>
    <w:rsid w:val="00E54B7F"/>
    <w:rsid w:val="00E55F83"/>
    <w:rsid w:val="00E56984"/>
    <w:rsid w:val="00E5714E"/>
    <w:rsid w:val="00E57A55"/>
    <w:rsid w:val="00E614C9"/>
    <w:rsid w:val="00E63A6E"/>
    <w:rsid w:val="00E6596C"/>
    <w:rsid w:val="00E66C8E"/>
    <w:rsid w:val="00E671AA"/>
    <w:rsid w:val="00E678B3"/>
    <w:rsid w:val="00E70843"/>
    <w:rsid w:val="00E725DC"/>
    <w:rsid w:val="00E7288A"/>
    <w:rsid w:val="00E73D66"/>
    <w:rsid w:val="00E77290"/>
    <w:rsid w:val="00E80FF4"/>
    <w:rsid w:val="00E810A5"/>
    <w:rsid w:val="00E81DC8"/>
    <w:rsid w:val="00E82F8B"/>
    <w:rsid w:val="00E830AA"/>
    <w:rsid w:val="00E83168"/>
    <w:rsid w:val="00E8321A"/>
    <w:rsid w:val="00E8348A"/>
    <w:rsid w:val="00E83BD5"/>
    <w:rsid w:val="00E83D78"/>
    <w:rsid w:val="00E84F82"/>
    <w:rsid w:val="00E85E87"/>
    <w:rsid w:val="00E8642E"/>
    <w:rsid w:val="00E8746B"/>
    <w:rsid w:val="00E91755"/>
    <w:rsid w:val="00E91F61"/>
    <w:rsid w:val="00E92D3D"/>
    <w:rsid w:val="00E94327"/>
    <w:rsid w:val="00E94328"/>
    <w:rsid w:val="00E95F66"/>
    <w:rsid w:val="00E97576"/>
    <w:rsid w:val="00E97648"/>
    <w:rsid w:val="00E97E08"/>
    <w:rsid w:val="00EA00A8"/>
    <w:rsid w:val="00EA0763"/>
    <w:rsid w:val="00EA0E79"/>
    <w:rsid w:val="00EA1468"/>
    <w:rsid w:val="00EA151B"/>
    <w:rsid w:val="00EA1BBB"/>
    <w:rsid w:val="00EA216D"/>
    <w:rsid w:val="00EA2AAB"/>
    <w:rsid w:val="00EA2D8E"/>
    <w:rsid w:val="00EA3ECB"/>
    <w:rsid w:val="00EA48A3"/>
    <w:rsid w:val="00EA5961"/>
    <w:rsid w:val="00EA5991"/>
    <w:rsid w:val="00EA5FCD"/>
    <w:rsid w:val="00EA6971"/>
    <w:rsid w:val="00EA7213"/>
    <w:rsid w:val="00EB03BB"/>
    <w:rsid w:val="00EB0853"/>
    <w:rsid w:val="00EB090A"/>
    <w:rsid w:val="00EB2805"/>
    <w:rsid w:val="00EB2D95"/>
    <w:rsid w:val="00EB37F8"/>
    <w:rsid w:val="00EB39BA"/>
    <w:rsid w:val="00EB3AD7"/>
    <w:rsid w:val="00EB6ACF"/>
    <w:rsid w:val="00EB6B68"/>
    <w:rsid w:val="00EB6FBE"/>
    <w:rsid w:val="00EC28DF"/>
    <w:rsid w:val="00EC2A67"/>
    <w:rsid w:val="00EC4078"/>
    <w:rsid w:val="00EC51B1"/>
    <w:rsid w:val="00EC5DD5"/>
    <w:rsid w:val="00EC5E51"/>
    <w:rsid w:val="00EC6317"/>
    <w:rsid w:val="00EC6A05"/>
    <w:rsid w:val="00EC70B2"/>
    <w:rsid w:val="00EC779C"/>
    <w:rsid w:val="00EC77EF"/>
    <w:rsid w:val="00ED0040"/>
    <w:rsid w:val="00ED0793"/>
    <w:rsid w:val="00ED229E"/>
    <w:rsid w:val="00ED25B7"/>
    <w:rsid w:val="00ED25F8"/>
    <w:rsid w:val="00ED2B8E"/>
    <w:rsid w:val="00ED310B"/>
    <w:rsid w:val="00ED4A00"/>
    <w:rsid w:val="00ED57F0"/>
    <w:rsid w:val="00ED6162"/>
    <w:rsid w:val="00ED62B9"/>
    <w:rsid w:val="00ED7B1B"/>
    <w:rsid w:val="00ED7F81"/>
    <w:rsid w:val="00EE0E63"/>
    <w:rsid w:val="00EE2476"/>
    <w:rsid w:val="00EE359A"/>
    <w:rsid w:val="00EE35C9"/>
    <w:rsid w:val="00EE38E6"/>
    <w:rsid w:val="00EE3D25"/>
    <w:rsid w:val="00EE5135"/>
    <w:rsid w:val="00EE5D32"/>
    <w:rsid w:val="00EE5D9B"/>
    <w:rsid w:val="00EE625C"/>
    <w:rsid w:val="00EE6961"/>
    <w:rsid w:val="00EE6CE1"/>
    <w:rsid w:val="00EE7AB2"/>
    <w:rsid w:val="00EE7D1A"/>
    <w:rsid w:val="00EF1275"/>
    <w:rsid w:val="00EF1937"/>
    <w:rsid w:val="00EF1B41"/>
    <w:rsid w:val="00EF3A06"/>
    <w:rsid w:val="00EF47D6"/>
    <w:rsid w:val="00EF4E69"/>
    <w:rsid w:val="00EF4E84"/>
    <w:rsid w:val="00EF50E9"/>
    <w:rsid w:val="00EF5E42"/>
    <w:rsid w:val="00EF6861"/>
    <w:rsid w:val="00EF7C3E"/>
    <w:rsid w:val="00F00293"/>
    <w:rsid w:val="00F006D9"/>
    <w:rsid w:val="00F009DE"/>
    <w:rsid w:val="00F00BB4"/>
    <w:rsid w:val="00F03F9F"/>
    <w:rsid w:val="00F04B50"/>
    <w:rsid w:val="00F105AC"/>
    <w:rsid w:val="00F11EAD"/>
    <w:rsid w:val="00F12718"/>
    <w:rsid w:val="00F14DF9"/>
    <w:rsid w:val="00F14E7E"/>
    <w:rsid w:val="00F152F4"/>
    <w:rsid w:val="00F1530E"/>
    <w:rsid w:val="00F153DE"/>
    <w:rsid w:val="00F15558"/>
    <w:rsid w:val="00F15AE5"/>
    <w:rsid w:val="00F1620D"/>
    <w:rsid w:val="00F164F8"/>
    <w:rsid w:val="00F168CF"/>
    <w:rsid w:val="00F16DE9"/>
    <w:rsid w:val="00F175F0"/>
    <w:rsid w:val="00F2053F"/>
    <w:rsid w:val="00F209EC"/>
    <w:rsid w:val="00F21968"/>
    <w:rsid w:val="00F24340"/>
    <w:rsid w:val="00F279CB"/>
    <w:rsid w:val="00F319C4"/>
    <w:rsid w:val="00F32D33"/>
    <w:rsid w:val="00F32D37"/>
    <w:rsid w:val="00F358E8"/>
    <w:rsid w:val="00F35FC9"/>
    <w:rsid w:val="00F373E2"/>
    <w:rsid w:val="00F40480"/>
    <w:rsid w:val="00F4056E"/>
    <w:rsid w:val="00F418C6"/>
    <w:rsid w:val="00F41922"/>
    <w:rsid w:val="00F419EE"/>
    <w:rsid w:val="00F41B5D"/>
    <w:rsid w:val="00F424A6"/>
    <w:rsid w:val="00F4263A"/>
    <w:rsid w:val="00F4320D"/>
    <w:rsid w:val="00F4419B"/>
    <w:rsid w:val="00F46447"/>
    <w:rsid w:val="00F4799C"/>
    <w:rsid w:val="00F50445"/>
    <w:rsid w:val="00F50516"/>
    <w:rsid w:val="00F5058B"/>
    <w:rsid w:val="00F50D09"/>
    <w:rsid w:val="00F512AC"/>
    <w:rsid w:val="00F515D5"/>
    <w:rsid w:val="00F51A37"/>
    <w:rsid w:val="00F51EC7"/>
    <w:rsid w:val="00F52986"/>
    <w:rsid w:val="00F535AF"/>
    <w:rsid w:val="00F53C7D"/>
    <w:rsid w:val="00F56A96"/>
    <w:rsid w:val="00F56ABD"/>
    <w:rsid w:val="00F56D78"/>
    <w:rsid w:val="00F577F0"/>
    <w:rsid w:val="00F578A4"/>
    <w:rsid w:val="00F6094C"/>
    <w:rsid w:val="00F60E29"/>
    <w:rsid w:val="00F61123"/>
    <w:rsid w:val="00F61AD3"/>
    <w:rsid w:val="00F61DDA"/>
    <w:rsid w:val="00F65F29"/>
    <w:rsid w:val="00F678A6"/>
    <w:rsid w:val="00F6793B"/>
    <w:rsid w:val="00F70ACE"/>
    <w:rsid w:val="00F710F3"/>
    <w:rsid w:val="00F712BA"/>
    <w:rsid w:val="00F71AEA"/>
    <w:rsid w:val="00F71D0C"/>
    <w:rsid w:val="00F722E7"/>
    <w:rsid w:val="00F72DEB"/>
    <w:rsid w:val="00F73456"/>
    <w:rsid w:val="00F73543"/>
    <w:rsid w:val="00F73B12"/>
    <w:rsid w:val="00F758D2"/>
    <w:rsid w:val="00F75A17"/>
    <w:rsid w:val="00F75E61"/>
    <w:rsid w:val="00F76140"/>
    <w:rsid w:val="00F761BA"/>
    <w:rsid w:val="00F7704E"/>
    <w:rsid w:val="00F779BA"/>
    <w:rsid w:val="00F81F28"/>
    <w:rsid w:val="00F82194"/>
    <w:rsid w:val="00F83F26"/>
    <w:rsid w:val="00F84281"/>
    <w:rsid w:val="00F84433"/>
    <w:rsid w:val="00F863C3"/>
    <w:rsid w:val="00F86CFB"/>
    <w:rsid w:val="00F87CE0"/>
    <w:rsid w:val="00F909E7"/>
    <w:rsid w:val="00F91149"/>
    <w:rsid w:val="00F91235"/>
    <w:rsid w:val="00F93327"/>
    <w:rsid w:val="00F93717"/>
    <w:rsid w:val="00F948D1"/>
    <w:rsid w:val="00F9506D"/>
    <w:rsid w:val="00F95118"/>
    <w:rsid w:val="00F9522F"/>
    <w:rsid w:val="00F95D81"/>
    <w:rsid w:val="00F9679A"/>
    <w:rsid w:val="00F969D5"/>
    <w:rsid w:val="00FA0BED"/>
    <w:rsid w:val="00FA4308"/>
    <w:rsid w:val="00FA4D42"/>
    <w:rsid w:val="00FA53C1"/>
    <w:rsid w:val="00FA5C4F"/>
    <w:rsid w:val="00FA66D2"/>
    <w:rsid w:val="00FB10AC"/>
    <w:rsid w:val="00FB1DED"/>
    <w:rsid w:val="00FB36EF"/>
    <w:rsid w:val="00FB3EE6"/>
    <w:rsid w:val="00FB4B3A"/>
    <w:rsid w:val="00FB4E14"/>
    <w:rsid w:val="00FB588D"/>
    <w:rsid w:val="00FB5C77"/>
    <w:rsid w:val="00FB6616"/>
    <w:rsid w:val="00FB7BD1"/>
    <w:rsid w:val="00FC11C9"/>
    <w:rsid w:val="00FC12A6"/>
    <w:rsid w:val="00FC1ECA"/>
    <w:rsid w:val="00FC371F"/>
    <w:rsid w:val="00FC41EC"/>
    <w:rsid w:val="00FC444A"/>
    <w:rsid w:val="00FC6385"/>
    <w:rsid w:val="00FC695B"/>
    <w:rsid w:val="00FC6E9F"/>
    <w:rsid w:val="00FC7FD2"/>
    <w:rsid w:val="00FD0563"/>
    <w:rsid w:val="00FD336F"/>
    <w:rsid w:val="00FD47D4"/>
    <w:rsid w:val="00FD68DA"/>
    <w:rsid w:val="00FD70A2"/>
    <w:rsid w:val="00FE1BC1"/>
    <w:rsid w:val="00FE2462"/>
    <w:rsid w:val="00FE336B"/>
    <w:rsid w:val="00FE55F9"/>
    <w:rsid w:val="00FE7C7B"/>
    <w:rsid w:val="00FF0B8A"/>
    <w:rsid w:val="00FF0F3A"/>
    <w:rsid w:val="00FF3A34"/>
    <w:rsid w:val="00FF3EDA"/>
    <w:rsid w:val="00FF47D5"/>
    <w:rsid w:val="00FF4E07"/>
    <w:rsid w:val="00FF6A7F"/>
    <w:rsid w:val="00FF6E4D"/>
    <w:rsid w:val="00FF719E"/>
    <w:rsid w:val="00FF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footnote reference" w:qFormat="1"/>
    <w:lsdException w:name="Emphasis" w:uiPriority="20" w:qFormat="1"/>
    <w:lsdException w:name="No Spacing" w:uiPriority="1" w:qFormat="1"/>
    <w:lsdException w:name="List Paragraph" w:uiPriority="99" w:qFormat="1"/>
  </w:latentStyles>
  <w:style w:type="paragraph" w:default="1" w:styleId="Normal">
    <w:name w:val="Normal"/>
    <w:qFormat/>
    <w:rsid w:val="009A6E2C"/>
    <w:pPr>
      <w:spacing w:after="200" w:line="276" w:lineRule="auto"/>
    </w:pPr>
    <w:rPr>
      <w:sz w:val="22"/>
      <w:szCs w:val="22"/>
      <w:lang w:val="es-ES"/>
    </w:rPr>
  </w:style>
  <w:style w:type="paragraph" w:styleId="Heading1">
    <w:name w:val="heading 1"/>
    <w:aliases w:val="Heading 1.I"/>
    <w:next w:val="Normal"/>
    <w:link w:val="Heading1Char"/>
    <w:uiPriority w:val="9"/>
    <w:qFormat/>
    <w:rsid w:val="00F50445"/>
    <w:pPr>
      <w:keepNext/>
      <w:tabs>
        <w:tab w:val="num" w:pos="360"/>
      </w:tabs>
      <w:spacing w:before="240" w:after="240"/>
      <w:ind w:left="288" w:hanging="288"/>
      <w:jc w:val="center"/>
      <w:outlineLvl w:val="0"/>
    </w:pPr>
    <w:rPr>
      <w:rFonts w:ascii="Times New Roman Bold" w:eastAsia="Times New Roman" w:hAnsi="Times New Roman Bold"/>
      <w:b/>
      <w:smallCaps/>
      <w:noProof/>
      <w:sz w:val="28"/>
      <w:szCs w:val="20"/>
    </w:rPr>
  </w:style>
  <w:style w:type="paragraph" w:styleId="Heading2">
    <w:name w:val="heading 2"/>
    <w:basedOn w:val="Normal"/>
    <w:next w:val="Normal"/>
    <w:link w:val="Heading2Char"/>
    <w:qFormat/>
    <w:rsid w:val="00816867"/>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4"/>
      </w:numPr>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qFormat/>
    <w:rsid w:val="00816867"/>
    <w:pPr>
      <w:keepNext/>
      <w:numPr>
        <w:ilvl w:val="3"/>
        <w:numId w:val="4"/>
      </w:numPr>
      <w:spacing w:before="240" w:after="60"/>
      <w:outlineLvl w:val="3"/>
    </w:pPr>
    <w:rPr>
      <w:rFonts w:eastAsia="Times New Roman"/>
      <w:b/>
      <w:bCs/>
      <w:sz w:val="28"/>
      <w:szCs w:val="28"/>
    </w:rPr>
  </w:style>
  <w:style w:type="paragraph" w:styleId="Heading5">
    <w:name w:val="heading 5"/>
    <w:aliases w:val="Heading 5.(i)"/>
    <w:basedOn w:val="Normal"/>
    <w:next w:val="Normal"/>
    <w:link w:val="Heading5Char"/>
    <w:qFormat/>
    <w:rsid w:val="00816867"/>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4"/>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nota pie IIRSA Char,footnote Char,foottextfra Char,F Char,Texto nota pie Car Car Char,ft Char,single space Char,footnote text Char,texto de nota al pie Char,Nota a pie/Bibliog Char Char Char Char Char Char Char Char"/>
    <w:basedOn w:val="DefaultParagraphFont"/>
    <w:link w:val="FootnoteText"/>
    <w:rsid w:val="00902F77"/>
    <w:rPr>
      <w:rFonts w:ascii="Times New Roman" w:hAnsi="Times New Roman"/>
      <w:spacing w:val="-3"/>
      <w:szCs w:val="24"/>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basedOn w:val="DefaultParagraphFont"/>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4"/>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2"/>
      <w:szCs w:val="22"/>
      <w:lang w:val="es-E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basedOn w:val="BodyTextIndent"/>
    <w:link w:val="ParagraphChar"/>
    <w:rsid w:val="00816867"/>
    <w:pPr>
      <w:tabs>
        <w:tab w:val="num" w:pos="720"/>
      </w:tabs>
      <w:spacing w:before="120"/>
      <w:ind w:hanging="720"/>
      <w:jc w:val="both"/>
      <w:outlineLvl w:val="1"/>
    </w:pPr>
  </w:style>
  <w:style w:type="character" w:customStyle="1" w:styleId="ParagraphChar">
    <w:name w:val="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lang w:val="es-ES"/>
    </w:rPr>
  </w:style>
  <w:style w:type="character" w:customStyle="1" w:styleId="Heading3Char">
    <w:name w:val="Heading 3 Char"/>
    <w:basedOn w:val="DefaultParagraphFont"/>
    <w:link w:val="Heading3"/>
    <w:rsid w:val="00816867"/>
    <w:rPr>
      <w:rFonts w:ascii="Cambria" w:eastAsia="Times New Roman" w:hAnsi="Cambria"/>
      <w:b/>
      <w:bCs/>
      <w:sz w:val="26"/>
      <w:szCs w:val="26"/>
      <w:lang w:val="es-ES"/>
    </w:rPr>
  </w:style>
  <w:style w:type="character" w:customStyle="1" w:styleId="Heading4Char">
    <w:name w:val="Heading 4 Char"/>
    <w:aliases w:val="Heading 4.a Char"/>
    <w:basedOn w:val="DefaultParagraphFont"/>
    <w:link w:val="Heading4"/>
    <w:rsid w:val="00816867"/>
    <w:rPr>
      <w:rFonts w:eastAsia="Times New Roman"/>
      <w:b/>
      <w:bCs/>
      <w:sz w:val="28"/>
      <w:szCs w:val="28"/>
      <w:lang w:val="es-ES"/>
    </w:rPr>
  </w:style>
  <w:style w:type="character" w:customStyle="1" w:styleId="Heading5Char">
    <w:name w:val="Heading 5 Char"/>
    <w:aliases w:val="Heading 5.(i) Char"/>
    <w:basedOn w:val="DefaultParagraphFont"/>
    <w:link w:val="Heading5"/>
    <w:rsid w:val="00816867"/>
    <w:rPr>
      <w:rFonts w:eastAsia="Times New Roman"/>
      <w:b/>
      <w:bCs/>
      <w:i/>
      <w:iCs/>
      <w:sz w:val="26"/>
      <w:szCs w:val="26"/>
      <w:lang w:val="es-ES"/>
    </w:rPr>
  </w:style>
  <w:style w:type="character" w:customStyle="1" w:styleId="Heading6Char">
    <w:name w:val="Heading 6 Char"/>
    <w:basedOn w:val="DefaultParagraphFont"/>
    <w:link w:val="Heading6"/>
    <w:rsid w:val="00816867"/>
    <w:rPr>
      <w:rFonts w:eastAsia="Times New Roman"/>
      <w:b/>
      <w:bCs/>
      <w:sz w:val="22"/>
      <w:szCs w:val="22"/>
      <w:lang w:val="es-ES"/>
    </w:rPr>
  </w:style>
  <w:style w:type="character" w:customStyle="1" w:styleId="Heading7Char">
    <w:name w:val="Heading 7 Char"/>
    <w:basedOn w:val="DefaultParagraphFont"/>
    <w:link w:val="Heading7"/>
    <w:rsid w:val="00816867"/>
    <w:rPr>
      <w:rFonts w:eastAsia="Times New Roman"/>
      <w:lang w:val="es-ES"/>
    </w:rPr>
  </w:style>
  <w:style w:type="character" w:customStyle="1" w:styleId="Heading8Char">
    <w:name w:val="Heading 8 Char"/>
    <w:basedOn w:val="DefaultParagraphFont"/>
    <w:link w:val="Heading8"/>
    <w:rsid w:val="00816867"/>
    <w:rPr>
      <w:rFonts w:eastAsia="Times New Roman"/>
      <w:i/>
      <w:iCs/>
      <w:lang w:val="es-ES"/>
    </w:rPr>
  </w:style>
  <w:style w:type="character" w:customStyle="1" w:styleId="Heading9Char">
    <w:name w:val="Heading 9 Char"/>
    <w:basedOn w:val="DefaultParagraphFont"/>
    <w:link w:val="Heading9"/>
    <w:rsid w:val="00816867"/>
    <w:rPr>
      <w:rFonts w:ascii="Cambria" w:eastAsia="Times New Roman" w:hAnsi="Cambria"/>
      <w:sz w:val="22"/>
      <w:szCs w:val="22"/>
      <w:lang w:val="es-E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rsid w:val="00BA0FEF"/>
    <w:rPr>
      <w:color w:val="0000FF"/>
      <w:u w:val="single"/>
    </w:rPr>
  </w:style>
  <w:style w:type="character" w:styleId="FollowedHyperlink">
    <w:name w:val="FollowedHyperlink"/>
    <w:basedOn w:val="DefaultParagraphFont"/>
    <w:rsid w:val="00BA0FEF"/>
    <w:rPr>
      <w:color w:val="800080"/>
      <w:u w:val="single"/>
    </w:rPr>
  </w:style>
  <w:style w:type="paragraph" w:styleId="ListParagraph">
    <w:name w:val="List Paragraph"/>
    <w:basedOn w:val="Normal"/>
    <w:uiPriority w:val="99"/>
    <w:qFormat/>
    <w:rsid w:val="00235A83"/>
    <w:pPr>
      <w:spacing w:after="0" w:line="240" w:lineRule="auto"/>
      <w:ind w:left="720"/>
      <w:contextualSpacing/>
      <w:jc w:val="both"/>
    </w:pPr>
    <w:rPr>
      <w:rFonts w:eastAsia="MS Mincho"/>
      <w:lang w:val="es-DO"/>
    </w:rPr>
  </w:style>
  <w:style w:type="character" w:customStyle="1" w:styleId="Heading1Char">
    <w:name w:val="Heading 1 Char"/>
    <w:aliases w:val="Heading 1.I Char"/>
    <w:basedOn w:val="DefaultParagraphFont"/>
    <w:link w:val="Heading1"/>
    <w:uiPriority w:val="9"/>
    <w:rsid w:val="00F50445"/>
    <w:rPr>
      <w:rFonts w:ascii="Times New Roman Bold" w:eastAsia="Times New Roman" w:hAnsi="Times New Roman Bold"/>
      <w:b/>
      <w:smallCaps/>
      <w:noProof/>
      <w:sz w:val="28"/>
      <w:szCs w:val="20"/>
    </w:rPr>
  </w:style>
  <w:style w:type="paragraph" w:customStyle="1" w:styleId="AutoNumpara">
    <w:name w:val="AutoNumpara"/>
    <w:basedOn w:val="BodyTextIndent"/>
    <w:rsid w:val="00F50445"/>
    <w:pPr>
      <w:numPr>
        <w:ilvl w:val="1"/>
        <w:numId w:val="6"/>
      </w:numPr>
      <w:spacing w:before="120"/>
      <w:jc w:val="both"/>
    </w:pPr>
    <w:rPr>
      <w:rFonts w:eastAsia="Times New Roman"/>
      <w:noProof/>
      <w:spacing w:val="-2"/>
      <w:szCs w:val="20"/>
      <w:lang w:val="es-ES_tradnl"/>
    </w:rPr>
  </w:style>
  <w:style w:type="paragraph" w:customStyle="1" w:styleId="Style1">
    <w:name w:val="Style1"/>
    <w:basedOn w:val="ListNumber2"/>
    <w:qFormat/>
    <w:rsid w:val="00444DBB"/>
    <w:pPr>
      <w:spacing w:after="0" w:line="360" w:lineRule="auto"/>
      <w:jc w:val="both"/>
      <w:textAlignment w:val="top"/>
    </w:pPr>
    <w:rPr>
      <w:rFonts w:ascii="Times New Roman" w:eastAsia="Times New Roman" w:hAnsi="Times New Roman"/>
      <w:color w:val="000000"/>
      <w:lang w:val="es-ES_tradnl"/>
    </w:rPr>
  </w:style>
  <w:style w:type="paragraph" w:customStyle="1" w:styleId="Style11">
    <w:name w:val="Style11"/>
    <w:basedOn w:val="Normal"/>
    <w:next w:val="Style1"/>
    <w:link w:val="Style1Char"/>
    <w:qFormat/>
    <w:rsid w:val="008513C0"/>
    <w:pPr>
      <w:spacing w:after="0" w:line="360" w:lineRule="auto"/>
      <w:ind w:left="360"/>
      <w:jc w:val="both"/>
      <w:textAlignment w:val="top"/>
    </w:pPr>
    <w:rPr>
      <w:rFonts w:ascii="Times New Roman" w:eastAsia="Times New Roman" w:hAnsi="Times New Roman"/>
      <w:color w:val="000000"/>
      <w:lang w:val="es-ES_tradnl"/>
    </w:rPr>
  </w:style>
  <w:style w:type="character" w:customStyle="1" w:styleId="Style1Char">
    <w:name w:val="Style1 Char"/>
    <w:basedOn w:val="DefaultParagraphFont"/>
    <w:link w:val="Style11"/>
    <w:rsid w:val="00444DBB"/>
    <w:rPr>
      <w:rFonts w:ascii="Times New Roman" w:eastAsia="Times New Roman" w:hAnsi="Times New Roman"/>
      <w:color w:val="000000"/>
      <w:sz w:val="22"/>
      <w:szCs w:val="22"/>
      <w:lang w:val="es-ES_tradnl"/>
    </w:rPr>
  </w:style>
  <w:style w:type="character" w:styleId="PlaceholderText">
    <w:name w:val="Placeholder Text"/>
    <w:basedOn w:val="DefaultParagraphFont"/>
    <w:rsid w:val="006F099F"/>
    <w:rPr>
      <w:color w:val="808080"/>
    </w:rPr>
  </w:style>
  <w:style w:type="paragraph" w:styleId="ListNumber">
    <w:name w:val="List Number"/>
    <w:basedOn w:val="Normal"/>
    <w:rsid w:val="008513C0"/>
    <w:pPr>
      <w:numPr>
        <w:numId w:val="7"/>
      </w:numPr>
      <w:contextualSpacing/>
    </w:pPr>
  </w:style>
  <w:style w:type="paragraph" w:styleId="ListNumber2">
    <w:name w:val="List Number 2"/>
    <w:basedOn w:val="Normal"/>
    <w:rsid w:val="00444DBB"/>
    <w:pPr>
      <w:numPr>
        <w:numId w:val="8"/>
      </w:numPr>
      <w:contextualSpacing/>
    </w:pPr>
  </w:style>
  <w:style w:type="character" w:styleId="Emphasis">
    <w:name w:val="Emphasis"/>
    <w:basedOn w:val="DefaultParagraphFont"/>
    <w:uiPriority w:val="20"/>
    <w:qFormat/>
    <w:rsid w:val="00123B78"/>
    <w:rPr>
      <w:i/>
      <w:iCs/>
    </w:rPr>
  </w:style>
  <w:style w:type="paragraph" w:styleId="Revision">
    <w:name w:val="Revision"/>
    <w:hidden/>
    <w:rsid w:val="007F1665"/>
    <w:rPr>
      <w:sz w:val="22"/>
      <w:szCs w:val="22"/>
    </w:rPr>
  </w:style>
  <w:style w:type="paragraph" w:styleId="NoSpacing">
    <w:name w:val="No Spacing"/>
    <w:link w:val="NoSpacingChar"/>
    <w:uiPriority w:val="1"/>
    <w:qFormat/>
    <w:rsid w:val="00282D07"/>
    <w:rPr>
      <w:rFonts w:asciiTheme="minorHAnsi" w:eastAsiaTheme="minorEastAsia" w:hAnsiTheme="minorHAnsi" w:cstheme="minorBidi"/>
      <w:sz w:val="22"/>
      <w:szCs w:val="22"/>
      <w:lang w:val="es-CL" w:eastAsia="es-CL"/>
    </w:rPr>
  </w:style>
  <w:style w:type="character" w:customStyle="1" w:styleId="NoSpacingChar">
    <w:name w:val="No Spacing Char"/>
    <w:basedOn w:val="DefaultParagraphFont"/>
    <w:link w:val="NoSpacing"/>
    <w:uiPriority w:val="1"/>
    <w:rsid w:val="00282D07"/>
    <w:rPr>
      <w:rFonts w:asciiTheme="minorHAnsi" w:eastAsiaTheme="minorEastAsia" w:hAnsiTheme="minorHAnsi" w:cstheme="minorBidi"/>
      <w:sz w:val="22"/>
      <w:szCs w:val="22"/>
      <w:lang w:val="es-CL" w:eastAsia="es-CL"/>
    </w:rPr>
  </w:style>
  <w:style w:type="paragraph" w:customStyle="1" w:styleId="xl29">
    <w:name w:val="xl29"/>
    <w:basedOn w:val="Normal"/>
    <w:rsid w:val="001F34FD"/>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footnote reference" w:qFormat="1"/>
    <w:lsdException w:name="Emphasis" w:uiPriority="20" w:qFormat="1"/>
    <w:lsdException w:name="No Spacing" w:uiPriority="1" w:qFormat="1"/>
    <w:lsdException w:name="List Paragraph" w:uiPriority="99" w:qFormat="1"/>
  </w:latentStyles>
  <w:style w:type="paragraph" w:default="1" w:styleId="Normal">
    <w:name w:val="Normal"/>
    <w:qFormat/>
    <w:rsid w:val="009A6E2C"/>
    <w:pPr>
      <w:spacing w:after="200" w:line="276" w:lineRule="auto"/>
    </w:pPr>
    <w:rPr>
      <w:sz w:val="22"/>
      <w:szCs w:val="22"/>
      <w:lang w:val="es-ES"/>
    </w:rPr>
  </w:style>
  <w:style w:type="paragraph" w:styleId="Heading1">
    <w:name w:val="heading 1"/>
    <w:aliases w:val="Heading 1.I"/>
    <w:next w:val="Normal"/>
    <w:link w:val="Heading1Char"/>
    <w:uiPriority w:val="9"/>
    <w:qFormat/>
    <w:rsid w:val="00F50445"/>
    <w:pPr>
      <w:keepNext/>
      <w:tabs>
        <w:tab w:val="num" w:pos="360"/>
      </w:tabs>
      <w:spacing w:before="240" w:after="240"/>
      <w:ind w:left="288" w:hanging="288"/>
      <w:jc w:val="center"/>
      <w:outlineLvl w:val="0"/>
    </w:pPr>
    <w:rPr>
      <w:rFonts w:ascii="Times New Roman Bold" w:eastAsia="Times New Roman" w:hAnsi="Times New Roman Bold"/>
      <w:b/>
      <w:smallCaps/>
      <w:noProof/>
      <w:sz w:val="28"/>
      <w:szCs w:val="20"/>
    </w:rPr>
  </w:style>
  <w:style w:type="paragraph" w:styleId="Heading2">
    <w:name w:val="heading 2"/>
    <w:basedOn w:val="Normal"/>
    <w:next w:val="Normal"/>
    <w:link w:val="Heading2Char"/>
    <w:qFormat/>
    <w:rsid w:val="00816867"/>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4"/>
      </w:numPr>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qFormat/>
    <w:rsid w:val="00816867"/>
    <w:pPr>
      <w:keepNext/>
      <w:numPr>
        <w:ilvl w:val="3"/>
        <w:numId w:val="4"/>
      </w:numPr>
      <w:spacing w:before="240" w:after="60"/>
      <w:outlineLvl w:val="3"/>
    </w:pPr>
    <w:rPr>
      <w:rFonts w:eastAsia="Times New Roman"/>
      <w:b/>
      <w:bCs/>
      <w:sz w:val="28"/>
      <w:szCs w:val="28"/>
    </w:rPr>
  </w:style>
  <w:style w:type="paragraph" w:styleId="Heading5">
    <w:name w:val="heading 5"/>
    <w:aliases w:val="Heading 5.(i)"/>
    <w:basedOn w:val="Normal"/>
    <w:next w:val="Normal"/>
    <w:link w:val="Heading5Char"/>
    <w:qFormat/>
    <w:rsid w:val="00816867"/>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4"/>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nota pie IIRSA Char,footnote Char,foottextfra Char,F Char,Texto nota pie Car Car Char,ft Char,single space Char,footnote text Char,texto de nota al pie Char,Nota a pie/Bibliog Char Char Char Char Char Char Char Char"/>
    <w:basedOn w:val="DefaultParagraphFont"/>
    <w:link w:val="FootnoteText"/>
    <w:rsid w:val="00902F77"/>
    <w:rPr>
      <w:rFonts w:ascii="Times New Roman" w:hAnsi="Times New Roman"/>
      <w:spacing w:val="-3"/>
      <w:szCs w:val="24"/>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basedOn w:val="DefaultParagraphFont"/>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4"/>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2"/>
      <w:szCs w:val="22"/>
      <w:lang w:val="es-E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basedOn w:val="BodyTextIndent"/>
    <w:link w:val="ParagraphChar"/>
    <w:rsid w:val="00816867"/>
    <w:pPr>
      <w:tabs>
        <w:tab w:val="num" w:pos="720"/>
      </w:tabs>
      <w:spacing w:before="120"/>
      <w:ind w:hanging="720"/>
      <w:jc w:val="both"/>
      <w:outlineLvl w:val="1"/>
    </w:pPr>
  </w:style>
  <w:style w:type="character" w:customStyle="1" w:styleId="ParagraphChar">
    <w:name w:val="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lang w:val="es-ES"/>
    </w:rPr>
  </w:style>
  <w:style w:type="character" w:customStyle="1" w:styleId="Heading3Char">
    <w:name w:val="Heading 3 Char"/>
    <w:basedOn w:val="DefaultParagraphFont"/>
    <w:link w:val="Heading3"/>
    <w:rsid w:val="00816867"/>
    <w:rPr>
      <w:rFonts w:ascii="Cambria" w:eastAsia="Times New Roman" w:hAnsi="Cambria"/>
      <w:b/>
      <w:bCs/>
      <w:sz w:val="26"/>
      <w:szCs w:val="26"/>
      <w:lang w:val="es-ES"/>
    </w:rPr>
  </w:style>
  <w:style w:type="character" w:customStyle="1" w:styleId="Heading4Char">
    <w:name w:val="Heading 4 Char"/>
    <w:aliases w:val="Heading 4.a Char"/>
    <w:basedOn w:val="DefaultParagraphFont"/>
    <w:link w:val="Heading4"/>
    <w:rsid w:val="00816867"/>
    <w:rPr>
      <w:rFonts w:eastAsia="Times New Roman"/>
      <w:b/>
      <w:bCs/>
      <w:sz w:val="28"/>
      <w:szCs w:val="28"/>
      <w:lang w:val="es-ES"/>
    </w:rPr>
  </w:style>
  <w:style w:type="character" w:customStyle="1" w:styleId="Heading5Char">
    <w:name w:val="Heading 5 Char"/>
    <w:aliases w:val="Heading 5.(i) Char"/>
    <w:basedOn w:val="DefaultParagraphFont"/>
    <w:link w:val="Heading5"/>
    <w:rsid w:val="00816867"/>
    <w:rPr>
      <w:rFonts w:eastAsia="Times New Roman"/>
      <w:b/>
      <w:bCs/>
      <w:i/>
      <w:iCs/>
      <w:sz w:val="26"/>
      <w:szCs w:val="26"/>
      <w:lang w:val="es-ES"/>
    </w:rPr>
  </w:style>
  <w:style w:type="character" w:customStyle="1" w:styleId="Heading6Char">
    <w:name w:val="Heading 6 Char"/>
    <w:basedOn w:val="DefaultParagraphFont"/>
    <w:link w:val="Heading6"/>
    <w:rsid w:val="00816867"/>
    <w:rPr>
      <w:rFonts w:eastAsia="Times New Roman"/>
      <w:b/>
      <w:bCs/>
      <w:sz w:val="22"/>
      <w:szCs w:val="22"/>
      <w:lang w:val="es-ES"/>
    </w:rPr>
  </w:style>
  <w:style w:type="character" w:customStyle="1" w:styleId="Heading7Char">
    <w:name w:val="Heading 7 Char"/>
    <w:basedOn w:val="DefaultParagraphFont"/>
    <w:link w:val="Heading7"/>
    <w:rsid w:val="00816867"/>
    <w:rPr>
      <w:rFonts w:eastAsia="Times New Roman"/>
      <w:lang w:val="es-ES"/>
    </w:rPr>
  </w:style>
  <w:style w:type="character" w:customStyle="1" w:styleId="Heading8Char">
    <w:name w:val="Heading 8 Char"/>
    <w:basedOn w:val="DefaultParagraphFont"/>
    <w:link w:val="Heading8"/>
    <w:rsid w:val="00816867"/>
    <w:rPr>
      <w:rFonts w:eastAsia="Times New Roman"/>
      <w:i/>
      <w:iCs/>
      <w:lang w:val="es-ES"/>
    </w:rPr>
  </w:style>
  <w:style w:type="character" w:customStyle="1" w:styleId="Heading9Char">
    <w:name w:val="Heading 9 Char"/>
    <w:basedOn w:val="DefaultParagraphFont"/>
    <w:link w:val="Heading9"/>
    <w:rsid w:val="00816867"/>
    <w:rPr>
      <w:rFonts w:ascii="Cambria" w:eastAsia="Times New Roman" w:hAnsi="Cambria"/>
      <w:sz w:val="22"/>
      <w:szCs w:val="22"/>
      <w:lang w:val="es-E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rsid w:val="00BA0FEF"/>
    <w:rPr>
      <w:color w:val="0000FF"/>
      <w:u w:val="single"/>
    </w:rPr>
  </w:style>
  <w:style w:type="character" w:styleId="FollowedHyperlink">
    <w:name w:val="FollowedHyperlink"/>
    <w:basedOn w:val="DefaultParagraphFont"/>
    <w:rsid w:val="00BA0FEF"/>
    <w:rPr>
      <w:color w:val="800080"/>
      <w:u w:val="single"/>
    </w:rPr>
  </w:style>
  <w:style w:type="paragraph" w:styleId="ListParagraph">
    <w:name w:val="List Paragraph"/>
    <w:basedOn w:val="Normal"/>
    <w:uiPriority w:val="99"/>
    <w:qFormat/>
    <w:rsid w:val="00235A83"/>
    <w:pPr>
      <w:spacing w:after="0" w:line="240" w:lineRule="auto"/>
      <w:ind w:left="720"/>
      <w:contextualSpacing/>
      <w:jc w:val="both"/>
    </w:pPr>
    <w:rPr>
      <w:rFonts w:eastAsia="MS Mincho"/>
      <w:lang w:val="es-DO"/>
    </w:rPr>
  </w:style>
  <w:style w:type="character" w:customStyle="1" w:styleId="Heading1Char">
    <w:name w:val="Heading 1 Char"/>
    <w:aliases w:val="Heading 1.I Char"/>
    <w:basedOn w:val="DefaultParagraphFont"/>
    <w:link w:val="Heading1"/>
    <w:uiPriority w:val="9"/>
    <w:rsid w:val="00F50445"/>
    <w:rPr>
      <w:rFonts w:ascii="Times New Roman Bold" w:eastAsia="Times New Roman" w:hAnsi="Times New Roman Bold"/>
      <w:b/>
      <w:smallCaps/>
      <w:noProof/>
      <w:sz w:val="28"/>
      <w:szCs w:val="20"/>
    </w:rPr>
  </w:style>
  <w:style w:type="paragraph" w:customStyle="1" w:styleId="AutoNumpara">
    <w:name w:val="AutoNumpara"/>
    <w:basedOn w:val="BodyTextIndent"/>
    <w:rsid w:val="00F50445"/>
    <w:pPr>
      <w:numPr>
        <w:ilvl w:val="1"/>
        <w:numId w:val="6"/>
      </w:numPr>
      <w:spacing w:before="120"/>
      <w:jc w:val="both"/>
    </w:pPr>
    <w:rPr>
      <w:rFonts w:eastAsia="Times New Roman"/>
      <w:noProof/>
      <w:spacing w:val="-2"/>
      <w:szCs w:val="20"/>
      <w:lang w:val="es-ES_tradnl"/>
    </w:rPr>
  </w:style>
  <w:style w:type="paragraph" w:customStyle="1" w:styleId="Style1">
    <w:name w:val="Style1"/>
    <w:basedOn w:val="ListNumber2"/>
    <w:qFormat/>
    <w:rsid w:val="00444DBB"/>
    <w:pPr>
      <w:spacing w:after="0" w:line="360" w:lineRule="auto"/>
      <w:jc w:val="both"/>
      <w:textAlignment w:val="top"/>
    </w:pPr>
    <w:rPr>
      <w:rFonts w:ascii="Times New Roman" w:eastAsia="Times New Roman" w:hAnsi="Times New Roman"/>
      <w:color w:val="000000"/>
      <w:lang w:val="es-ES_tradnl"/>
    </w:rPr>
  </w:style>
  <w:style w:type="paragraph" w:customStyle="1" w:styleId="Style11">
    <w:name w:val="Style11"/>
    <w:basedOn w:val="Normal"/>
    <w:next w:val="Style1"/>
    <w:link w:val="Style1Char"/>
    <w:qFormat/>
    <w:rsid w:val="008513C0"/>
    <w:pPr>
      <w:spacing w:after="0" w:line="360" w:lineRule="auto"/>
      <w:ind w:left="360"/>
      <w:jc w:val="both"/>
      <w:textAlignment w:val="top"/>
    </w:pPr>
    <w:rPr>
      <w:rFonts w:ascii="Times New Roman" w:eastAsia="Times New Roman" w:hAnsi="Times New Roman"/>
      <w:color w:val="000000"/>
      <w:lang w:val="es-ES_tradnl"/>
    </w:rPr>
  </w:style>
  <w:style w:type="character" w:customStyle="1" w:styleId="Style1Char">
    <w:name w:val="Style1 Char"/>
    <w:basedOn w:val="DefaultParagraphFont"/>
    <w:link w:val="Style11"/>
    <w:rsid w:val="00444DBB"/>
    <w:rPr>
      <w:rFonts w:ascii="Times New Roman" w:eastAsia="Times New Roman" w:hAnsi="Times New Roman"/>
      <w:color w:val="000000"/>
      <w:sz w:val="22"/>
      <w:szCs w:val="22"/>
      <w:lang w:val="es-ES_tradnl"/>
    </w:rPr>
  </w:style>
  <w:style w:type="character" w:styleId="PlaceholderText">
    <w:name w:val="Placeholder Text"/>
    <w:basedOn w:val="DefaultParagraphFont"/>
    <w:rsid w:val="006F099F"/>
    <w:rPr>
      <w:color w:val="808080"/>
    </w:rPr>
  </w:style>
  <w:style w:type="paragraph" w:styleId="ListNumber">
    <w:name w:val="List Number"/>
    <w:basedOn w:val="Normal"/>
    <w:rsid w:val="008513C0"/>
    <w:pPr>
      <w:numPr>
        <w:numId w:val="7"/>
      </w:numPr>
      <w:contextualSpacing/>
    </w:pPr>
  </w:style>
  <w:style w:type="paragraph" w:styleId="ListNumber2">
    <w:name w:val="List Number 2"/>
    <w:basedOn w:val="Normal"/>
    <w:rsid w:val="00444DBB"/>
    <w:pPr>
      <w:numPr>
        <w:numId w:val="8"/>
      </w:numPr>
      <w:contextualSpacing/>
    </w:pPr>
  </w:style>
  <w:style w:type="character" w:styleId="Emphasis">
    <w:name w:val="Emphasis"/>
    <w:basedOn w:val="DefaultParagraphFont"/>
    <w:uiPriority w:val="20"/>
    <w:qFormat/>
    <w:rsid w:val="00123B78"/>
    <w:rPr>
      <w:i/>
      <w:iCs/>
    </w:rPr>
  </w:style>
  <w:style w:type="paragraph" w:styleId="Revision">
    <w:name w:val="Revision"/>
    <w:hidden/>
    <w:rsid w:val="007F1665"/>
    <w:rPr>
      <w:sz w:val="22"/>
      <w:szCs w:val="22"/>
    </w:rPr>
  </w:style>
  <w:style w:type="paragraph" w:styleId="NoSpacing">
    <w:name w:val="No Spacing"/>
    <w:link w:val="NoSpacingChar"/>
    <w:uiPriority w:val="1"/>
    <w:qFormat/>
    <w:rsid w:val="00282D07"/>
    <w:rPr>
      <w:rFonts w:asciiTheme="minorHAnsi" w:eastAsiaTheme="minorEastAsia" w:hAnsiTheme="minorHAnsi" w:cstheme="minorBidi"/>
      <w:sz w:val="22"/>
      <w:szCs w:val="22"/>
      <w:lang w:val="es-CL" w:eastAsia="es-CL"/>
    </w:rPr>
  </w:style>
  <w:style w:type="character" w:customStyle="1" w:styleId="NoSpacingChar">
    <w:name w:val="No Spacing Char"/>
    <w:basedOn w:val="DefaultParagraphFont"/>
    <w:link w:val="NoSpacing"/>
    <w:uiPriority w:val="1"/>
    <w:rsid w:val="00282D07"/>
    <w:rPr>
      <w:rFonts w:asciiTheme="minorHAnsi" w:eastAsiaTheme="minorEastAsia" w:hAnsiTheme="minorHAnsi" w:cstheme="minorBidi"/>
      <w:sz w:val="22"/>
      <w:szCs w:val="22"/>
      <w:lang w:val="es-CL" w:eastAsia="es-CL"/>
    </w:rPr>
  </w:style>
  <w:style w:type="paragraph" w:customStyle="1" w:styleId="xl29">
    <w:name w:val="xl29"/>
    <w:basedOn w:val="Normal"/>
    <w:rsid w:val="001F34FD"/>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8148">
      <w:bodyDiv w:val="1"/>
      <w:marLeft w:val="0"/>
      <w:marRight w:val="0"/>
      <w:marTop w:val="0"/>
      <w:marBottom w:val="0"/>
      <w:divBdr>
        <w:top w:val="none" w:sz="0" w:space="0" w:color="auto"/>
        <w:left w:val="none" w:sz="0" w:space="0" w:color="auto"/>
        <w:bottom w:val="none" w:sz="0" w:space="0" w:color="auto"/>
        <w:right w:val="none" w:sz="0" w:space="0" w:color="auto"/>
      </w:divBdr>
      <w:divsChild>
        <w:div w:id="1647855571">
          <w:marLeft w:val="285"/>
          <w:marRight w:val="0"/>
          <w:marTop w:val="0"/>
          <w:marBottom w:val="0"/>
          <w:divBdr>
            <w:top w:val="single" w:sz="2" w:space="0" w:color="2E2E2E"/>
            <w:left w:val="single" w:sz="2" w:space="0" w:color="2E2E2E"/>
            <w:bottom w:val="single" w:sz="2" w:space="0" w:color="2E2E2E"/>
            <w:right w:val="single" w:sz="2" w:space="0" w:color="2E2E2E"/>
          </w:divBdr>
          <w:divsChild>
            <w:div w:id="565605370">
              <w:marLeft w:val="0"/>
              <w:marRight w:val="0"/>
              <w:marTop w:val="15"/>
              <w:marBottom w:val="0"/>
              <w:divBdr>
                <w:top w:val="none" w:sz="0" w:space="0" w:color="auto"/>
                <w:left w:val="none" w:sz="0" w:space="0" w:color="auto"/>
                <w:bottom w:val="none" w:sz="0" w:space="0" w:color="auto"/>
                <w:right w:val="none" w:sz="0" w:space="0" w:color="auto"/>
              </w:divBdr>
              <w:divsChild>
                <w:div w:id="51446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668465">
      <w:bodyDiv w:val="1"/>
      <w:marLeft w:val="0"/>
      <w:marRight w:val="0"/>
      <w:marTop w:val="0"/>
      <w:marBottom w:val="0"/>
      <w:divBdr>
        <w:top w:val="none" w:sz="0" w:space="0" w:color="auto"/>
        <w:left w:val="none" w:sz="0" w:space="0" w:color="auto"/>
        <w:bottom w:val="none" w:sz="0" w:space="0" w:color="auto"/>
        <w:right w:val="none" w:sz="0" w:space="0" w:color="auto"/>
      </w:divBdr>
    </w:div>
    <w:div w:id="1277982526">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1494899">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138127">
      <w:bodyDiv w:val="1"/>
      <w:marLeft w:val="0"/>
      <w:marRight w:val="0"/>
      <w:marTop w:val="0"/>
      <w:marBottom w:val="0"/>
      <w:divBdr>
        <w:top w:val="none" w:sz="0" w:space="0" w:color="auto"/>
        <w:left w:val="none" w:sz="0" w:space="0" w:color="auto"/>
        <w:bottom w:val="none" w:sz="0" w:space="0" w:color="auto"/>
        <w:right w:val="none" w:sz="0" w:space="0" w:color="auto"/>
      </w:divBdr>
      <w:divsChild>
        <w:div w:id="177937546">
          <w:marLeft w:val="219"/>
          <w:marRight w:val="0"/>
          <w:marTop w:val="0"/>
          <w:marBottom w:val="0"/>
          <w:divBdr>
            <w:top w:val="single" w:sz="12" w:space="0" w:color="6C9D30"/>
            <w:left w:val="single" w:sz="2" w:space="0" w:color="2E2E2E"/>
            <w:bottom w:val="single" w:sz="2" w:space="0" w:color="2E2E2E"/>
            <w:right w:val="single" w:sz="2" w:space="0" w:color="2E2E2E"/>
          </w:divBdr>
          <w:divsChild>
            <w:div w:id="1033505543">
              <w:marLeft w:val="0"/>
              <w:marRight w:val="0"/>
              <w:marTop w:val="12"/>
              <w:marBottom w:val="0"/>
              <w:divBdr>
                <w:top w:val="none" w:sz="0" w:space="0" w:color="auto"/>
                <w:left w:val="none" w:sz="0" w:space="0" w:color="auto"/>
                <w:bottom w:val="none" w:sz="0" w:space="0" w:color="auto"/>
                <w:right w:val="none" w:sz="0" w:space="0" w:color="auto"/>
              </w:divBdr>
              <w:divsChild>
                <w:div w:id="14638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638253">
      <w:bodyDiv w:val="1"/>
      <w:marLeft w:val="0"/>
      <w:marRight w:val="0"/>
      <w:marTop w:val="0"/>
      <w:marBottom w:val="0"/>
      <w:divBdr>
        <w:top w:val="none" w:sz="0" w:space="0" w:color="auto"/>
        <w:left w:val="none" w:sz="0" w:space="0" w:color="auto"/>
        <w:bottom w:val="none" w:sz="0" w:space="0" w:color="auto"/>
        <w:right w:val="none" w:sz="0" w:space="0" w:color="auto"/>
      </w:divBdr>
    </w:div>
    <w:div w:id="2085954833">
      <w:bodyDiv w:val="1"/>
      <w:marLeft w:val="0"/>
      <w:marRight w:val="0"/>
      <w:marTop w:val="0"/>
      <w:marBottom w:val="0"/>
      <w:divBdr>
        <w:top w:val="none" w:sz="0" w:space="0" w:color="auto"/>
        <w:left w:val="none" w:sz="0" w:space="0" w:color="auto"/>
        <w:bottom w:val="none" w:sz="0" w:space="0" w:color="auto"/>
        <w:right w:val="none" w:sz="0" w:space="0" w:color="auto"/>
      </w:divBdr>
      <w:divsChild>
        <w:div w:id="826288945">
          <w:marLeft w:val="806"/>
          <w:marRight w:val="0"/>
          <w:marTop w:val="400"/>
          <w:marBottom w:val="0"/>
          <w:divBdr>
            <w:top w:val="none" w:sz="0" w:space="0" w:color="auto"/>
            <w:left w:val="none" w:sz="0" w:space="0" w:color="auto"/>
            <w:bottom w:val="none" w:sz="0" w:space="0" w:color="auto"/>
            <w:right w:val="none" w:sz="0" w:space="0" w:color="auto"/>
          </w:divBdr>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ncbi.nlm.nih.gov/pubmed?term=%22Kalogriopoulos%20NA%22%5BAuthor%5D"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0F6249C6B64A743ADE7BE653C88CA0E" ma:contentTypeVersion="0" ma:contentTypeDescription="A content type to manage public (operations) IDB documents" ma:contentTypeScope="" ma:versionID="5b05c11e33c76d2dfb971c3c4cd0aef8">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EVALUATION TRACKING DOCUMENT</Project_x0020_Document_x0020_Type>
    <Business_x0020_Area xmlns="9c571b2f-e523-4ab2-ba2e-09e151a03ef4">a</Business_x0020_Area>
    <IDBDocs_x0020_Number xmlns="9c571b2f-e523-4ab2-ba2e-09e151a03ef4">37825101</IDBDocs_x0020_Number>
    <TaxCatchAll xmlns="9c571b2f-e523-4ab2-ba2e-09e151a03ef4">
      <Value>2</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Tristao, Ignez M.</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Project_x0020_Number xmlns="9c571b2f-e523-4ab2-ba2e-09e151a03ef4">DR-L1067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Proposal&lt;/USER_STAGE&gt;&lt;PD_OBJ_TYPE&gt;0&lt;/PD_OBJ_TYPE&gt;&lt;MAKERECORD&gt;N&lt;/MAKERECORD&gt;&lt;PD_FILEPT_NO&gt;PO-DR-L1067-Plan&lt;/PD_FILEPT_NO&gt;&lt;/Data&gt;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SA-SAL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A139820-161B-48B8-A0C1-49589FDAE195}"/>
</file>

<file path=customXml/itemProps2.xml><?xml version="1.0" encoding="utf-8"?>
<ds:datastoreItem xmlns:ds="http://schemas.openxmlformats.org/officeDocument/2006/customXml" ds:itemID="{FBF07B28-2B9C-4F43-8716-3E755BB0D931}"/>
</file>

<file path=customXml/itemProps3.xml><?xml version="1.0" encoding="utf-8"?>
<ds:datastoreItem xmlns:ds="http://schemas.openxmlformats.org/officeDocument/2006/customXml" ds:itemID="{C394FDA9-C4CC-47E0-B157-D59B37963DC7}"/>
</file>

<file path=customXml/itemProps4.xml><?xml version="1.0" encoding="utf-8"?>
<ds:datastoreItem xmlns:ds="http://schemas.openxmlformats.org/officeDocument/2006/customXml" ds:itemID="{BAB453CF-0435-4171-8B43-980C94E66BDD}"/>
</file>

<file path=customXml/itemProps5.xml><?xml version="1.0" encoding="utf-8"?>
<ds:datastoreItem xmlns:ds="http://schemas.openxmlformats.org/officeDocument/2006/customXml" ds:itemID="{44451922-18C2-425A-A9E3-0B873CA6F6F0}"/>
</file>

<file path=customXml/itemProps6.xml><?xml version="1.0" encoding="utf-8"?>
<ds:datastoreItem xmlns:ds="http://schemas.openxmlformats.org/officeDocument/2006/customXml" ds:itemID="{911D8E58-7AF1-4CA7-A7CB-43C5FC5622A0}"/>
</file>

<file path=docProps/app.xml><?xml version="1.0" encoding="utf-8"?>
<Properties xmlns="http://schemas.openxmlformats.org/officeDocument/2006/extended-properties" xmlns:vt="http://schemas.openxmlformats.org/officeDocument/2006/docPropsVTypes">
  <Template>Normal.dotm</Template>
  <TotalTime>10</TotalTime>
  <Pages>18</Pages>
  <Words>5503</Words>
  <Characters>31370</Characters>
  <Application>Microsoft Office Word</Application>
  <DocSecurity>0</DocSecurity>
  <Lines>261</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 Monitoreo y Evaluación</dc:title>
  <dc:creator>shakirahc</dc:creator>
  <cp:lastModifiedBy>Inter-American Development Bank</cp:lastModifiedBy>
  <cp:revision>4</cp:revision>
  <cp:lastPrinted>2013-05-20T12:11:00Z</cp:lastPrinted>
  <dcterms:created xsi:type="dcterms:W3CDTF">2013-06-11T18:03:00Z</dcterms:created>
  <dcterms:modified xsi:type="dcterms:W3CDTF">2013-06-11T18:06:00Z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0x01010046CF21643EE8D14686A648AA6DAD08920010F6249C6B64A743ADE7BE653C88CA0E</vt:lpwstr>
  </property>
  <property fmtid="{D5CDD505-2E9C-101B-9397-08002B2CF9AE}" pid="3" name="TaxKeyword">
    <vt:lpwstr/>
  </property>
  <property fmtid="{D5CDD505-2E9C-101B-9397-08002B2CF9AE}" pid="4" name="Function Operations IDB">
    <vt:lpwstr>2;#Monitoring and Reporting|df3c2aa1-d63e-41aa-b1f5-bb15dee691ca</vt:lpwstr>
  </property>
  <property fmtid="{D5CDD505-2E9C-101B-9397-08002B2CF9AE}" pid="5" name="Sub_x002d_Sector">
    <vt:lpwstr/>
  </property>
  <property fmtid="{D5CDD505-2E9C-101B-9397-08002B2CF9AE}" pid="6" name="TaxKeywordTaxHTField">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eries Operations IDB">
    <vt:lpwstr/>
  </property>
  <property fmtid="{D5CDD505-2E9C-101B-9397-08002B2CF9AE}" pid="16" name="Sub-Sector">
    <vt:lpwstr/>
  </property>
</Properties>
</file>