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0F26" w:rsidRDefault="00A22611">
      <w:pPr>
        <w:spacing w:before="200" w:after="200"/>
        <w:jc w:val="center"/>
      </w:pPr>
      <w:r>
        <w:rPr>
          <w:rFonts w:ascii="Arial" w:hAnsi="Arial" w:cs="Arial"/>
          <w:b/>
        </w:rPr>
        <w:t>TC ABSTRACT</w:t>
      </w:r>
    </w:p>
    <w:p w:rsidR="007B0F26" w:rsidRDefault="00A22611">
      <w:pPr>
        <w:spacing w:before="120" w:after="120"/>
        <w:ind w:left="579" w:hanging="579"/>
      </w:pPr>
      <w:r>
        <w:rPr>
          <w:rFonts w:ascii="Arial" w:hAnsi="Arial" w:cs="Arial"/>
          <w:b/>
        </w:rPr>
        <w:t>I.</w:t>
      </w:r>
      <w:r>
        <w:rPr>
          <w:rFonts w:ascii="Arial" w:hAnsi="Arial" w:cs="Arial"/>
          <w:b/>
        </w:rPr>
        <w:tab/>
        <w:t>Basic Project Data</w:t>
      </w:r>
    </w:p>
    <w:tbl>
      <w:tblPr>
        <w:tblStyle w:val="TableGrid"/>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036"/>
        <w:gridCol w:w="4984"/>
      </w:tblGrid>
      <w:tr w:rsidR="007B0F26">
        <w:trPr>
          <w:jc w:val="center"/>
        </w:trPr>
        <w:tc>
          <w:tcPr>
            <w:tcW w:w="5250" w:type="dxa"/>
          </w:tcPr>
          <w:p w:rsidR="007B0F26" w:rsidRDefault="00A22611">
            <w:pPr>
              <w:spacing w:before="40" w:after="40"/>
              <w:ind w:left="115" w:hanging="115"/>
            </w:pPr>
            <w:r>
              <w:rPr>
                <w:rFonts w:ascii="Arial" w:hAnsi="Arial" w:cs="Arial"/>
                <w:sz w:val="18"/>
                <w:szCs w:val="18"/>
              </w:rPr>
              <w:t>▪ Country/Region:</w:t>
            </w:r>
          </w:p>
        </w:tc>
        <w:tc>
          <w:tcPr>
            <w:tcW w:w="6750" w:type="dxa"/>
          </w:tcPr>
          <w:p w:rsidR="007B0F26" w:rsidRDefault="00A22611">
            <w:pPr>
              <w:spacing w:before="40" w:after="40"/>
            </w:pPr>
            <w:r>
              <w:rPr>
                <w:rFonts w:ascii="Arial" w:hAnsi="Arial" w:cs="Arial"/>
                <w:sz w:val="18"/>
                <w:szCs w:val="18"/>
              </w:rPr>
              <w:t>BARBADOS/CCB - Caribbean Group</w:t>
            </w:r>
          </w:p>
        </w:tc>
      </w:tr>
      <w:tr w:rsidR="007B0F26">
        <w:trPr>
          <w:jc w:val="center"/>
        </w:trPr>
        <w:tc>
          <w:tcPr>
            <w:tcW w:w="5250" w:type="dxa"/>
          </w:tcPr>
          <w:p w:rsidR="007B0F26" w:rsidRDefault="00A22611">
            <w:pPr>
              <w:spacing w:before="40" w:after="40"/>
              <w:ind w:left="115" w:hanging="115"/>
            </w:pPr>
            <w:r>
              <w:rPr>
                <w:rFonts w:ascii="Arial" w:hAnsi="Arial" w:cs="Arial"/>
                <w:sz w:val="18"/>
                <w:szCs w:val="18"/>
              </w:rPr>
              <w:t>▪ TC Name:</w:t>
            </w:r>
          </w:p>
        </w:tc>
        <w:tc>
          <w:tcPr>
            <w:tcW w:w="6750" w:type="dxa"/>
          </w:tcPr>
          <w:p w:rsidR="007B0F26" w:rsidRDefault="00A22611">
            <w:pPr>
              <w:spacing w:before="40" w:after="40"/>
            </w:pPr>
            <w:r>
              <w:rPr>
                <w:rFonts w:ascii="Arial" w:hAnsi="Arial" w:cs="Arial"/>
                <w:sz w:val="18"/>
                <w:szCs w:val="18"/>
              </w:rPr>
              <w:t>Strengthening Human and Social Development in Barbados</w:t>
            </w:r>
          </w:p>
        </w:tc>
      </w:tr>
      <w:tr w:rsidR="007B0F26">
        <w:trPr>
          <w:jc w:val="center"/>
        </w:trPr>
        <w:tc>
          <w:tcPr>
            <w:tcW w:w="5250" w:type="dxa"/>
          </w:tcPr>
          <w:p w:rsidR="007B0F26" w:rsidRDefault="00A22611">
            <w:pPr>
              <w:spacing w:before="40" w:after="40"/>
              <w:ind w:left="115" w:hanging="115"/>
            </w:pPr>
            <w:r>
              <w:rPr>
                <w:rFonts w:ascii="Arial" w:hAnsi="Arial" w:cs="Arial"/>
                <w:sz w:val="18"/>
                <w:szCs w:val="18"/>
              </w:rPr>
              <w:t>▪ TC Number:</w:t>
            </w:r>
          </w:p>
        </w:tc>
        <w:tc>
          <w:tcPr>
            <w:tcW w:w="6750" w:type="dxa"/>
          </w:tcPr>
          <w:p w:rsidR="007B0F26" w:rsidRDefault="00A22611">
            <w:pPr>
              <w:spacing w:before="40" w:after="40"/>
            </w:pPr>
            <w:r>
              <w:rPr>
                <w:rFonts w:ascii="Arial" w:hAnsi="Arial" w:cs="Arial"/>
                <w:sz w:val="18"/>
                <w:szCs w:val="18"/>
              </w:rPr>
              <w:t>BA-T1054</w:t>
            </w:r>
          </w:p>
        </w:tc>
      </w:tr>
      <w:tr w:rsidR="007B0F26" w:rsidRPr="00532775">
        <w:trPr>
          <w:jc w:val="center"/>
        </w:trPr>
        <w:tc>
          <w:tcPr>
            <w:tcW w:w="5250" w:type="dxa"/>
          </w:tcPr>
          <w:p w:rsidR="007B0F26" w:rsidRDefault="00A22611">
            <w:pPr>
              <w:spacing w:before="40" w:after="40"/>
              <w:ind w:left="115" w:hanging="115"/>
            </w:pPr>
            <w:r>
              <w:rPr>
                <w:rFonts w:ascii="Arial" w:hAnsi="Arial" w:cs="Arial"/>
                <w:sz w:val="18"/>
                <w:szCs w:val="18"/>
              </w:rPr>
              <w:t>▪ Team Leader/Members:</w:t>
            </w:r>
          </w:p>
        </w:tc>
        <w:tc>
          <w:tcPr>
            <w:tcW w:w="6750" w:type="dxa"/>
          </w:tcPr>
          <w:p w:rsidR="007B0F26" w:rsidRPr="00532775" w:rsidRDefault="00532775" w:rsidP="00D251A4">
            <w:pPr>
              <w:spacing w:before="40" w:after="40"/>
              <w:jc w:val="both"/>
            </w:pPr>
            <w:r w:rsidRPr="004A613E">
              <w:rPr>
                <w:rFonts w:ascii="Arial" w:hAnsi="Arial" w:cs="Arial"/>
                <w:sz w:val="18"/>
                <w:szCs w:val="18"/>
              </w:rPr>
              <w:t xml:space="preserve">Veronica Alaimo, Team Leader (LMK/CCH); Fernando Pavon (LMK/CJA), alternate team leader; Luis Tejerina (SCL/SPH); Natasha Boyce (CCB/CBA); Ethel Muhlstein (SCL/LMK); </w:t>
            </w:r>
            <w:r>
              <w:rPr>
                <w:rFonts w:ascii="Arial" w:hAnsi="Arial" w:cs="Arial"/>
                <w:sz w:val="18"/>
                <w:szCs w:val="18"/>
              </w:rPr>
              <w:t xml:space="preserve">Tania Gaona (SCL/LMK); </w:t>
            </w:r>
            <w:r w:rsidRPr="004A613E">
              <w:rPr>
                <w:rFonts w:ascii="Arial" w:hAnsi="Arial" w:cs="Arial"/>
                <w:sz w:val="18"/>
                <w:szCs w:val="18"/>
              </w:rPr>
              <w:t>Betina Hennig (LEG/SGO)</w:t>
            </w:r>
          </w:p>
        </w:tc>
      </w:tr>
      <w:tr w:rsidR="007B0F26">
        <w:trPr>
          <w:jc w:val="center"/>
        </w:trPr>
        <w:tc>
          <w:tcPr>
            <w:tcW w:w="5250" w:type="dxa"/>
          </w:tcPr>
          <w:p w:rsidR="007B0F26" w:rsidRDefault="00A22611">
            <w:pPr>
              <w:spacing w:before="40" w:after="40"/>
              <w:ind w:left="115" w:hanging="115"/>
            </w:pPr>
            <w:r>
              <w:rPr>
                <w:rFonts w:ascii="Arial" w:hAnsi="Arial" w:cs="Arial"/>
                <w:sz w:val="18"/>
                <w:szCs w:val="18"/>
              </w:rPr>
              <w:t>▪ Taxonomy:</w:t>
            </w:r>
          </w:p>
        </w:tc>
        <w:tc>
          <w:tcPr>
            <w:tcW w:w="6750" w:type="dxa"/>
          </w:tcPr>
          <w:p w:rsidR="007B0F26" w:rsidRDefault="00A22611">
            <w:pPr>
              <w:spacing w:before="40" w:after="40"/>
            </w:pPr>
            <w:r>
              <w:rPr>
                <w:rFonts w:ascii="Arial" w:hAnsi="Arial" w:cs="Arial"/>
                <w:sz w:val="18"/>
                <w:szCs w:val="18"/>
              </w:rPr>
              <w:t>Operational Support</w:t>
            </w:r>
            <w:r w:rsidR="007A39A7">
              <w:rPr>
                <w:rFonts w:ascii="Arial" w:hAnsi="Arial" w:cs="Arial"/>
                <w:sz w:val="18"/>
                <w:szCs w:val="18"/>
              </w:rPr>
              <w:t xml:space="preserve"> (OS)</w:t>
            </w:r>
          </w:p>
        </w:tc>
      </w:tr>
      <w:tr w:rsidR="007B0F26">
        <w:trPr>
          <w:jc w:val="center"/>
        </w:trPr>
        <w:tc>
          <w:tcPr>
            <w:tcW w:w="5250" w:type="dxa"/>
          </w:tcPr>
          <w:p w:rsidR="007B0F26" w:rsidRDefault="00A22611">
            <w:pPr>
              <w:spacing w:before="40" w:after="40"/>
              <w:ind w:left="115" w:hanging="115"/>
            </w:pPr>
            <w:r>
              <w:rPr>
                <w:rFonts w:ascii="Arial" w:hAnsi="Arial" w:cs="Arial"/>
                <w:sz w:val="18"/>
                <w:szCs w:val="18"/>
              </w:rPr>
              <w:t>▪ Number and name of operation supported by the TC:</w:t>
            </w:r>
          </w:p>
        </w:tc>
        <w:tc>
          <w:tcPr>
            <w:tcW w:w="6750" w:type="dxa"/>
          </w:tcPr>
          <w:p w:rsidR="007B0F26" w:rsidRDefault="00A22611" w:rsidP="00D251A4">
            <w:pPr>
              <w:spacing w:before="40" w:after="40"/>
              <w:jc w:val="both"/>
            </w:pPr>
            <w:r>
              <w:rPr>
                <w:rFonts w:ascii="Arial" w:hAnsi="Arial" w:cs="Arial"/>
                <w:sz w:val="18"/>
                <w:szCs w:val="18"/>
              </w:rPr>
              <w:t>Strengthening Human and Social Development in Barbados-BA-L1032 - Support to Execution</w:t>
            </w:r>
            <w:r w:rsidR="00646A38">
              <w:rPr>
                <w:rFonts w:ascii="Arial" w:hAnsi="Arial" w:cs="Arial"/>
                <w:sz w:val="18"/>
                <w:szCs w:val="18"/>
              </w:rPr>
              <w:t xml:space="preserve"> Building Capacity</w:t>
            </w:r>
            <w:r>
              <w:rPr>
                <w:rFonts w:ascii="Arial" w:hAnsi="Arial" w:cs="Arial"/>
                <w:sz w:val="18"/>
                <w:szCs w:val="18"/>
              </w:rPr>
              <w:br/>
            </w:r>
            <w:bookmarkStart w:id="0" w:name="_GoBack"/>
            <w:bookmarkEnd w:id="0"/>
            <w:r>
              <w:rPr>
                <w:rFonts w:ascii="Arial" w:hAnsi="Arial" w:cs="Arial"/>
                <w:sz w:val="18"/>
                <w:szCs w:val="18"/>
              </w:rPr>
              <w:t xml:space="preserve">for </w:t>
            </w:r>
            <w:r w:rsidR="00646A38">
              <w:rPr>
                <w:rFonts w:ascii="Arial" w:hAnsi="Arial" w:cs="Arial"/>
                <w:sz w:val="18"/>
                <w:szCs w:val="18"/>
              </w:rPr>
              <w:t>P</w:t>
            </w:r>
            <w:r>
              <w:rPr>
                <w:rFonts w:ascii="Arial" w:hAnsi="Arial" w:cs="Arial"/>
                <w:sz w:val="18"/>
                <w:szCs w:val="18"/>
              </w:rPr>
              <w:t xml:space="preserve">ublic </w:t>
            </w:r>
            <w:r w:rsidR="00646A38">
              <w:rPr>
                <w:rFonts w:ascii="Arial" w:hAnsi="Arial" w:cs="Arial"/>
                <w:sz w:val="18"/>
                <w:szCs w:val="18"/>
              </w:rPr>
              <w:t>P</w:t>
            </w:r>
            <w:r>
              <w:rPr>
                <w:rFonts w:ascii="Arial" w:hAnsi="Arial" w:cs="Arial"/>
                <w:sz w:val="18"/>
                <w:szCs w:val="18"/>
              </w:rPr>
              <w:t xml:space="preserve">olicy </w:t>
            </w:r>
            <w:r w:rsidR="00646A38">
              <w:rPr>
                <w:rFonts w:ascii="Arial" w:hAnsi="Arial" w:cs="Arial"/>
                <w:sz w:val="18"/>
                <w:szCs w:val="18"/>
              </w:rPr>
              <w:t>E</w:t>
            </w:r>
            <w:r>
              <w:rPr>
                <w:rFonts w:ascii="Arial" w:hAnsi="Arial" w:cs="Arial"/>
                <w:sz w:val="18"/>
                <w:szCs w:val="18"/>
              </w:rPr>
              <w:t>nhancement in Social &amp; Labor Intermediation-BA-T1038 - Support to Execution</w:t>
            </w:r>
          </w:p>
        </w:tc>
      </w:tr>
      <w:tr w:rsidR="007B0F26">
        <w:trPr>
          <w:jc w:val="center"/>
        </w:trPr>
        <w:tc>
          <w:tcPr>
            <w:tcW w:w="5250" w:type="dxa"/>
          </w:tcPr>
          <w:p w:rsidR="007B0F26" w:rsidRDefault="00A22611">
            <w:pPr>
              <w:spacing w:before="40" w:after="40"/>
              <w:ind w:left="115" w:hanging="115"/>
            </w:pPr>
            <w:r>
              <w:rPr>
                <w:rFonts w:ascii="Arial" w:hAnsi="Arial" w:cs="Arial"/>
                <w:sz w:val="18"/>
                <w:szCs w:val="18"/>
              </w:rPr>
              <w:t>▪ Date of TC Abstract:</w:t>
            </w:r>
          </w:p>
        </w:tc>
        <w:tc>
          <w:tcPr>
            <w:tcW w:w="6750" w:type="dxa"/>
          </w:tcPr>
          <w:p w:rsidR="007B0F26" w:rsidRDefault="00A22611">
            <w:pPr>
              <w:spacing w:before="40" w:after="40"/>
            </w:pPr>
            <w:r>
              <w:rPr>
                <w:rFonts w:ascii="Arial" w:hAnsi="Arial" w:cs="Arial"/>
                <w:sz w:val="18"/>
                <w:szCs w:val="18"/>
              </w:rPr>
              <w:t>18 Apr 2018</w:t>
            </w:r>
          </w:p>
        </w:tc>
      </w:tr>
      <w:tr w:rsidR="007B0F26">
        <w:trPr>
          <w:jc w:val="center"/>
        </w:trPr>
        <w:tc>
          <w:tcPr>
            <w:tcW w:w="5250" w:type="dxa"/>
          </w:tcPr>
          <w:p w:rsidR="007B0F26" w:rsidRDefault="00A22611">
            <w:pPr>
              <w:spacing w:before="40" w:after="40"/>
              <w:ind w:left="115" w:hanging="115"/>
            </w:pPr>
            <w:r>
              <w:rPr>
                <w:rFonts w:ascii="Arial" w:hAnsi="Arial" w:cs="Arial"/>
                <w:sz w:val="18"/>
                <w:szCs w:val="18"/>
              </w:rPr>
              <w:t>▪ Beneficiary:</w:t>
            </w:r>
          </w:p>
        </w:tc>
        <w:tc>
          <w:tcPr>
            <w:tcW w:w="6750" w:type="dxa"/>
          </w:tcPr>
          <w:p w:rsidR="007B0F26" w:rsidRDefault="00A22611">
            <w:pPr>
              <w:spacing w:before="40" w:after="40"/>
            </w:pPr>
            <w:r>
              <w:rPr>
                <w:rFonts w:ascii="Arial" w:hAnsi="Arial" w:cs="Arial"/>
                <w:sz w:val="18"/>
                <w:szCs w:val="18"/>
              </w:rPr>
              <w:t>Ministry of Social Care (MSCD) and Ministry of Labor (MLSD)</w:t>
            </w:r>
          </w:p>
        </w:tc>
      </w:tr>
      <w:tr w:rsidR="007B0F26">
        <w:trPr>
          <w:jc w:val="center"/>
        </w:trPr>
        <w:tc>
          <w:tcPr>
            <w:tcW w:w="5250" w:type="dxa"/>
          </w:tcPr>
          <w:p w:rsidR="007B0F26" w:rsidRDefault="00A22611">
            <w:pPr>
              <w:spacing w:before="40" w:after="40"/>
              <w:ind w:left="115" w:hanging="115"/>
            </w:pPr>
            <w:r>
              <w:rPr>
                <w:rFonts w:ascii="Arial" w:hAnsi="Arial" w:cs="Arial"/>
                <w:sz w:val="18"/>
                <w:szCs w:val="18"/>
              </w:rPr>
              <w:t>▪ Executing Agency:</w:t>
            </w:r>
          </w:p>
        </w:tc>
        <w:tc>
          <w:tcPr>
            <w:tcW w:w="6750" w:type="dxa"/>
          </w:tcPr>
          <w:p w:rsidR="007B0F26" w:rsidRDefault="007A39A7">
            <w:pPr>
              <w:spacing w:before="40" w:after="40"/>
            </w:pPr>
            <w:r>
              <w:rPr>
                <w:rFonts w:ascii="Arial" w:hAnsi="Arial" w:cs="Arial"/>
                <w:sz w:val="18"/>
                <w:szCs w:val="18"/>
              </w:rPr>
              <w:t>Inter-American Development Bank, Social Sector, Labor Markets Division (SCL/LMK)</w:t>
            </w:r>
          </w:p>
        </w:tc>
      </w:tr>
      <w:tr w:rsidR="007B0F26">
        <w:trPr>
          <w:jc w:val="center"/>
        </w:trPr>
        <w:tc>
          <w:tcPr>
            <w:tcW w:w="5250" w:type="dxa"/>
          </w:tcPr>
          <w:p w:rsidR="007B0F26" w:rsidRDefault="00A22611">
            <w:pPr>
              <w:spacing w:before="40" w:after="40"/>
              <w:ind w:left="115" w:hanging="115"/>
            </w:pPr>
            <w:r>
              <w:rPr>
                <w:rFonts w:ascii="Arial" w:hAnsi="Arial" w:cs="Arial"/>
                <w:sz w:val="18"/>
                <w:szCs w:val="18"/>
              </w:rPr>
              <w:t>▪ IDB funding requested:</w:t>
            </w:r>
          </w:p>
        </w:tc>
        <w:tc>
          <w:tcPr>
            <w:tcW w:w="6750" w:type="dxa"/>
          </w:tcPr>
          <w:p w:rsidR="007B0F26" w:rsidRDefault="00A22611">
            <w:pPr>
              <w:bidi/>
              <w:spacing w:before="40" w:after="40"/>
            </w:pPr>
            <w:r>
              <w:rPr>
                <w:rFonts w:ascii="Arial" w:hAnsi="Arial" w:cs="Arial"/>
                <w:sz w:val="18"/>
                <w:szCs w:val="18"/>
              </w:rPr>
              <w:t>$ 150,000</w:t>
            </w:r>
          </w:p>
        </w:tc>
      </w:tr>
      <w:tr w:rsidR="007B0F26">
        <w:trPr>
          <w:jc w:val="center"/>
        </w:trPr>
        <w:tc>
          <w:tcPr>
            <w:tcW w:w="5250" w:type="dxa"/>
          </w:tcPr>
          <w:p w:rsidR="007B0F26" w:rsidRDefault="00A22611">
            <w:pPr>
              <w:spacing w:before="40" w:after="40"/>
              <w:ind w:left="115" w:hanging="115"/>
            </w:pPr>
            <w:r>
              <w:rPr>
                <w:rFonts w:ascii="Arial" w:hAnsi="Arial" w:cs="Arial"/>
                <w:sz w:val="18"/>
                <w:szCs w:val="18"/>
              </w:rPr>
              <w:t>▪ Local counterpart funding:</w:t>
            </w:r>
          </w:p>
        </w:tc>
        <w:tc>
          <w:tcPr>
            <w:tcW w:w="6750" w:type="dxa"/>
          </w:tcPr>
          <w:p w:rsidR="007B0F26" w:rsidRDefault="00A22611">
            <w:pPr>
              <w:bidi/>
              <w:spacing w:before="40" w:after="40"/>
            </w:pPr>
            <w:r>
              <w:rPr>
                <w:rFonts w:ascii="Arial" w:hAnsi="Arial" w:cs="Arial"/>
                <w:sz w:val="18"/>
                <w:szCs w:val="18"/>
              </w:rPr>
              <w:t>0</w:t>
            </w:r>
          </w:p>
        </w:tc>
      </w:tr>
      <w:tr w:rsidR="007B0F26">
        <w:trPr>
          <w:jc w:val="center"/>
        </w:trPr>
        <w:tc>
          <w:tcPr>
            <w:tcW w:w="5250" w:type="dxa"/>
          </w:tcPr>
          <w:p w:rsidR="007B0F26" w:rsidRDefault="00A22611">
            <w:pPr>
              <w:spacing w:before="40" w:after="40"/>
              <w:ind w:left="115" w:hanging="115"/>
            </w:pPr>
            <w:r>
              <w:rPr>
                <w:rFonts w:ascii="Arial" w:hAnsi="Arial" w:cs="Arial"/>
                <w:sz w:val="18"/>
                <w:szCs w:val="18"/>
              </w:rPr>
              <w:t xml:space="preserve">▪ Disbursement </w:t>
            </w:r>
            <w:r w:rsidR="007A39A7">
              <w:rPr>
                <w:rFonts w:ascii="Arial" w:hAnsi="Arial" w:cs="Arial"/>
                <w:sz w:val="18"/>
                <w:szCs w:val="18"/>
              </w:rPr>
              <w:t xml:space="preserve">and execution </w:t>
            </w:r>
            <w:r>
              <w:rPr>
                <w:rFonts w:ascii="Arial" w:hAnsi="Arial" w:cs="Arial"/>
                <w:sz w:val="18"/>
                <w:szCs w:val="18"/>
              </w:rPr>
              <w:t>period:</w:t>
            </w:r>
          </w:p>
        </w:tc>
        <w:tc>
          <w:tcPr>
            <w:tcW w:w="6750" w:type="dxa"/>
          </w:tcPr>
          <w:p w:rsidR="007B0F26" w:rsidRDefault="00A22611">
            <w:pPr>
              <w:bidi/>
              <w:spacing w:before="40" w:after="40"/>
            </w:pPr>
            <w:r>
              <w:rPr>
                <w:rFonts w:ascii="Arial" w:hAnsi="Arial" w:cs="Arial"/>
                <w:sz w:val="18"/>
                <w:szCs w:val="18"/>
              </w:rPr>
              <w:t>24 months</w:t>
            </w:r>
          </w:p>
        </w:tc>
      </w:tr>
      <w:tr w:rsidR="007B0F26">
        <w:trPr>
          <w:jc w:val="center"/>
        </w:trPr>
        <w:tc>
          <w:tcPr>
            <w:tcW w:w="5250" w:type="dxa"/>
          </w:tcPr>
          <w:p w:rsidR="007B0F26" w:rsidRDefault="00A22611">
            <w:pPr>
              <w:spacing w:before="40" w:after="40"/>
              <w:ind w:left="115" w:hanging="115"/>
            </w:pPr>
            <w:r>
              <w:rPr>
                <w:rFonts w:ascii="Arial" w:hAnsi="Arial" w:cs="Arial"/>
                <w:sz w:val="18"/>
                <w:szCs w:val="18"/>
              </w:rPr>
              <w:t>▪ Types of consultants:</w:t>
            </w:r>
          </w:p>
        </w:tc>
        <w:tc>
          <w:tcPr>
            <w:tcW w:w="6750" w:type="dxa"/>
          </w:tcPr>
          <w:p w:rsidR="007B0F26" w:rsidRDefault="00A22611">
            <w:pPr>
              <w:spacing w:before="40" w:after="40"/>
            </w:pPr>
            <w:r>
              <w:rPr>
                <w:rFonts w:ascii="Arial" w:hAnsi="Arial" w:cs="Arial"/>
                <w:sz w:val="18"/>
                <w:szCs w:val="18"/>
              </w:rPr>
              <w:t>Individual</w:t>
            </w:r>
            <w:r w:rsidR="007A39A7">
              <w:rPr>
                <w:rFonts w:ascii="Arial" w:hAnsi="Arial" w:cs="Arial"/>
                <w:sz w:val="18"/>
                <w:szCs w:val="18"/>
              </w:rPr>
              <w:t xml:space="preserve"> consultant</w:t>
            </w:r>
            <w:r>
              <w:rPr>
                <w:rFonts w:ascii="Arial" w:hAnsi="Arial" w:cs="Arial"/>
                <w:sz w:val="18"/>
                <w:szCs w:val="18"/>
              </w:rPr>
              <w:t>s</w:t>
            </w:r>
            <w:r w:rsidR="007A39A7">
              <w:rPr>
                <w:rFonts w:ascii="Arial" w:hAnsi="Arial" w:cs="Arial"/>
                <w:sz w:val="18"/>
                <w:szCs w:val="18"/>
              </w:rPr>
              <w:t xml:space="preserve"> and consulting f</w:t>
            </w:r>
            <w:r>
              <w:rPr>
                <w:rFonts w:ascii="Arial" w:hAnsi="Arial" w:cs="Arial"/>
                <w:sz w:val="18"/>
                <w:szCs w:val="18"/>
              </w:rPr>
              <w:t>irms</w:t>
            </w:r>
          </w:p>
        </w:tc>
      </w:tr>
      <w:tr w:rsidR="007B0F26">
        <w:trPr>
          <w:jc w:val="center"/>
        </w:trPr>
        <w:tc>
          <w:tcPr>
            <w:tcW w:w="5250" w:type="dxa"/>
          </w:tcPr>
          <w:p w:rsidR="007B0F26" w:rsidRDefault="00A22611">
            <w:pPr>
              <w:spacing w:before="40" w:after="40"/>
              <w:ind w:left="115" w:hanging="115"/>
            </w:pPr>
            <w:r>
              <w:rPr>
                <w:rFonts w:ascii="Arial" w:hAnsi="Arial" w:cs="Arial"/>
                <w:sz w:val="18"/>
                <w:szCs w:val="18"/>
              </w:rPr>
              <w:t>▪ Prepared by Unit:</w:t>
            </w:r>
          </w:p>
        </w:tc>
        <w:tc>
          <w:tcPr>
            <w:tcW w:w="6750" w:type="dxa"/>
          </w:tcPr>
          <w:p w:rsidR="007B0F26" w:rsidRDefault="00A22611">
            <w:pPr>
              <w:spacing w:before="40" w:after="40"/>
            </w:pPr>
            <w:r>
              <w:rPr>
                <w:rFonts w:ascii="Arial" w:hAnsi="Arial" w:cs="Arial"/>
                <w:sz w:val="18"/>
                <w:szCs w:val="18"/>
              </w:rPr>
              <w:t>Labor Markets</w:t>
            </w:r>
            <w:r w:rsidR="007A39A7">
              <w:rPr>
                <w:rFonts w:ascii="Arial" w:hAnsi="Arial" w:cs="Arial"/>
                <w:sz w:val="18"/>
                <w:szCs w:val="18"/>
              </w:rPr>
              <w:t xml:space="preserve"> Division (SCL/LMK)</w:t>
            </w:r>
          </w:p>
        </w:tc>
      </w:tr>
      <w:tr w:rsidR="007B0F26">
        <w:trPr>
          <w:jc w:val="center"/>
        </w:trPr>
        <w:tc>
          <w:tcPr>
            <w:tcW w:w="5250" w:type="dxa"/>
          </w:tcPr>
          <w:p w:rsidR="007B0F26" w:rsidRDefault="00A22611">
            <w:pPr>
              <w:spacing w:before="40" w:after="40"/>
              <w:ind w:left="115" w:hanging="115"/>
            </w:pPr>
            <w:r>
              <w:rPr>
                <w:rFonts w:ascii="Arial" w:hAnsi="Arial" w:cs="Arial"/>
                <w:sz w:val="18"/>
                <w:szCs w:val="18"/>
              </w:rPr>
              <w:t>▪ Unit of Disbursement Responsibility:</w:t>
            </w:r>
          </w:p>
        </w:tc>
        <w:tc>
          <w:tcPr>
            <w:tcW w:w="6750" w:type="dxa"/>
          </w:tcPr>
          <w:p w:rsidR="007B0F26" w:rsidRDefault="007A39A7">
            <w:pPr>
              <w:spacing w:before="40" w:after="40"/>
            </w:pPr>
            <w:r>
              <w:rPr>
                <w:rFonts w:ascii="Arial" w:hAnsi="Arial" w:cs="Arial"/>
                <w:sz w:val="18"/>
                <w:szCs w:val="18"/>
              </w:rPr>
              <w:t xml:space="preserve"> Labor Markets Division (SCL/LMK)</w:t>
            </w:r>
          </w:p>
        </w:tc>
      </w:tr>
      <w:tr w:rsidR="007B0F26">
        <w:trPr>
          <w:jc w:val="center"/>
        </w:trPr>
        <w:tc>
          <w:tcPr>
            <w:tcW w:w="5250" w:type="dxa"/>
          </w:tcPr>
          <w:p w:rsidR="007B0F26" w:rsidRDefault="00A22611">
            <w:pPr>
              <w:spacing w:before="40" w:after="40"/>
            </w:pPr>
            <w:r>
              <w:rPr>
                <w:rFonts w:ascii="Arial" w:hAnsi="Arial" w:cs="Arial"/>
                <w:sz w:val="18"/>
                <w:szCs w:val="18"/>
              </w:rPr>
              <w:t>▪ TC included in Country Strategy (y/n):</w:t>
            </w:r>
            <w:r>
              <w:rPr>
                <w:rFonts w:ascii="Arial" w:hAnsi="Arial" w:cs="Arial"/>
                <w:sz w:val="18"/>
                <w:szCs w:val="18"/>
              </w:rPr>
              <w:br/>
              <w:t>▪ TC included in CPD (y/n):</w:t>
            </w:r>
          </w:p>
        </w:tc>
        <w:tc>
          <w:tcPr>
            <w:tcW w:w="6750" w:type="dxa"/>
          </w:tcPr>
          <w:p w:rsidR="007B0F26" w:rsidRDefault="00A22611">
            <w:pPr>
              <w:spacing w:before="40" w:after="40"/>
            </w:pPr>
            <w:r>
              <w:rPr>
                <w:rFonts w:ascii="Arial" w:hAnsi="Arial" w:cs="Arial"/>
                <w:sz w:val="18"/>
                <w:szCs w:val="18"/>
              </w:rPr>
              <w:t>No</w:t>
            </w:r>
            <w:r>
              <w:rPr>
                <w:rFonts w:ascii="Arial" w:hAnsi="Arial" w:cs="Arial"/>
                <w:sz w:val="18"/>
                <w:szCs w:val="18"/>
              </w:rPr>
              <w:br/>
              <w:t>Yes</w:t>
            </w:r>
          </w:p>
        </w:tc>
      </w:tr>
      <w:tr w:rsidR="007B0F26">
        <w:trPr>
          <w:jc w:val="center"/>
        </w:trPr>
        <w:tc>
          <w:tcPr>
            <w:tcW w:w="5250" w:type="dxa"/>
          </w:tcPr>
          <w:p w:rsidR="007B0F26" w:rsidRDefault="00A22611">
            <w:pPr>
              <w:spacing w:before="40" w:after="40"/>
              <w:ind w:left="115" w:hanging="115"/>
            </w:pPr>
            <w:r>
              <w:rPr>
                <w:rFonts w:ascii="Arial" w:hAnsi="Arial" w:cs="Arial"/>
                <w:sz w:val="18"/>
                <w:szCs w:val="18"/>
              </w:rPr>
              <w:t>▪ Alignment to the Update to the Institutional Strategy 2010-2020:</w:t>
            </w:r>
          </w:p>
        </w:tc>
        <w:tc>
          <w:tcPr>
            <w:tcW w:w="6750" w:type="dxa"/>
          </w:tcPr>
          <w:p w:rsidR="007B0F26" w:rsidRDefault="00A22611">
            <w:pPr>
              <w:spacing w:before="40" w:after="40"/>
            </w:pPr>
            <w:r>
              <w:rPr>
                <w:rFonts w:ascii="Arial" w:hAnsi="Arial" w:cs="Arial"/>
                <w:sz w:val="18"/>
                <w:szCs w:val="18"/>
              </w:rPr>
              <w:t xml:space="preserve">Social inclusion and </w:t>
            </w:r>
            <w:r w:rsidR="007A39A7">
              <w:rPr>
                <w:rFonts w:ascii="Arial" w:hAnsi="Arial" w:cs="Arial"/>
                <w:sz w:val="18"/>
                <w:szCs w:val="18"/>
              </w:rPr>
              <w:t>equality;</w:t>
            </w:r>
            <w:r>
              <w:rPr>
                <w:rFonts w:ascii="Arial" w:hAnsi="Arial" w:cs="Arial"/>
                <w:sz w:val="18"/>
                <w:szCs w:val="18"/>
              </w:rPr>
              <w:t xml:space="preserve"> Productivity and innovation</w:t>
            </w:r>
          </w:p>
        </w:tc>
      </w:tr>
    </w:tbl>
    <w:p w:rsidR="007B0F26" w:rsidRDefault="00A22611" w:rsidP="007A39A7">
      <w:pPr>
        <w:spacing w:before="240" w:after="120"/>
        <w:ind w:left="579" w:hanging="579"/>
      </w:pPr>
      <w:r>
        <w:rPr>
          <w:rFonts w:ascii="Arial" w:hAnsi="Arial" w:cs="Arial"/>
          <w:b/>
        </w:rPr>
        <w:t>II.</w:t>
      </w:r>
      <w:r>
        <w:rPr>
          <w:rFonts w:ascii="Arial" w:hAnsi="Arial" w:cs="Arial"/>
          <w:b/>
        </w:rPr>
        <w:tab/>
        <w:t>Objective and Justification</w:t>
      </w:r>
    </w:p>
    <w:p w:rsidR="007B0F26" w:rsidRDefault="00A22611">
      <w:pPr>
        <w:spacing w:before="120" w:after="120"/>
        <w:ind w:left="579" w:hanging="579"/>
        <w:jc w:val="both"/>
      </w:pPr>
      <w:r>
        <w:rPr>
          <w:rFonts w:ascii="Arial" w:hAnsi="Arial" w:cs="Arial"/>
        </w:rPr>
        <w:t>2.1</w:t>
      </w:r>
      <w:r>
        <w:rPr>
          <w:rFonts w:ascii="Arial" w:hAnsi="Arial" w:cs="Arial"/>
        </w:rPr>
        <w:tab/>
        <w:t xml:space="preserve">The objective of this </w:t>
      </w:r>
      <w:r w:rsidR="00532775">
        <w:rPr>
          <w:rFonts w:ascii="Arial" w:hAnsi="Arial" w:cs="Arial"/>
        </w:rPr>
        <w:t>technical cooperation (</w:t>
      </w:r>
      <w:r>
        <w:rPr>
          <w:rFonts w:ascii="Arial" w:hAnsi="Arial" w:cs="Arial"/>
        </w:rPr>
        <w:t>TC</w:t>
      </w:r>
      <w:r w:rsidR="00532775">
        <w:rPr>
          <w:rFonts w:ascii="Arial" w:hAnsi="Arial" w:cs="Arial"/>
        </w:rPr>
        <w:t>)</w:t>
      </w:r>
      <w:r>
        <w:rPr>
          <w:rFonts w:ascii="Arial" w:hAnsi="Arial" w:cs="Arial"/>
        </w:rPr>
        <w:t xml:space="preserve"> is to provide support to the Government of Barbados (GOB) to prepare inputs that will further facilitate the execution of loan BA-L1032 (3542/OC&amp;CH-BA). There is need for continued cooperation under the TC to fund the additional work that is required to strengthen the inter-agency coordination and facilitate the successful completion of the program.</w:t>
      </w:r>
    </w:p>
    <w:p w:rsidR="007B0F26" w:rsidRDefault="00A22611">
      <w:pPr>
        <w:spacing w:before="120" w:after="120"/>
        <w:ind w:left="579" w:hanging="579"/>
        <w:jc w:val="both"/>
      </w:pPr>
      <w:r>
        <w:rPr>
          <w:rFonts w:ascii="Arial" w:hAnsi="Arial" w:cs="Arial"/>
        </w:rPr>
        <w:t>2.2</w:t>
      </w:r>
      <w:r>
        <w:rPr>
          <w:rFonts w:ascii="Arial" w:hAnsi="Arial" w:cs="Arial"/>
        </w:rPr>
        <w:tab/>
        <w:t>To date, during the implementation of the loan BA-L1032 (3542/OC&amp;CH-BA), the need for additional technical and operational support, as well as capacity building</w:t>
      </w:r>
      <w:r w:rsidR="007A39A7">
        <w:rPr>
          <w:rFonts w:ascii="Arial" w:hAnsi="Arial" w:cs="Arial"/>
        </w:rPr>
        <w:t>,</w:t>
      </w:r>
      <w:r>
        <w:rPr>
          <w:rFonts w:ascii="Arial" w:hAnsi="Arial" w:cs="Arial"/>
        </w:rPr>
        <w:t xml:space="preserve"> in addition to what has already been provided by the initial TC BA-T1038 ha</w:t>
      </w:r>
      <w:r w:rsidR="006A5DEE">
        <w:rPr>
          <w:rFonts w:ascii="Arial" w:hAnsi="Arial" w:cs="Arial"/>
        </w:rPr>
        <w:t>s</w:t>
      </w:r>
      <w:r>
        <w:rPr>
          <w:rFonts w:ascii="Arial" w:hAnsi="Arial" w:cs="Arial"/>
        </w:rPr>
        <w:t xml:space="preserve"> been clearly identified. First, during the initial phase of the project, a paper-based remedial program, identifying curricula in these areas, was developed. The next step to obtain optimal benefits would be to transition from the paper-based remedial program to a fully blended-learning program. This will result in a system that is more easily accessible to persons and will also expose participants to basic computer skills. Second, component 3 of the loan addresses the design and implementation of a management information system (MIS)</w:t>
      </w:r>
      <w:r w:rsidR="006A5DEE">
        <w:rPr>
          <w:rFonts w:ascii="Arial" w:hAnsi="Arial" w:cs="Arial"/>
        </w:rPr>
        <w:t>,</w:t>
      </w:r>
      <w:r>
        <w:rPr>
          <w:rFonts w:ascii="Arial" w:hAnsi="Arial" w:cs="Arial"/>
        </w:rPr>
        <w:t xml:space="preserve"> which will focus on ensuring the efficient flow of information and facilitates case management across all the Social Safety Net agencies. The loan addresses the hardware, software, roll-out and training of an MIS solution implemented through the services of an MIS firm. However, there are some pre-implementation planning activities necessary to facilitate a smoother implementation and to garner a higher level of buy-</w:t>
      </w:r>
      <w:r>
        <w:rPr>
          <w:rFonts w:ascii="Arial" w:hAnsi="Arial" w:cs="Arial"/>
        </w:rPr>
        <w:lastRenderedPageBreak/>
        <w:t xml:space="preserve">in, including more detailed business process investigations, standardization and harmonization of data, tools, processes and taxonomies. Finally, the project continues to experience delays in execution that required continued operational support to the Executing Agency </w:t>
      </w:r>
      <w:r w:rsidR="006A5DEE">
        <w:rPr>
          <w:rFonts w:ascii="Arial" w:hAnsi="Arial" w:cs="Arial"/>
        </w:rPr>
        <w:t xml:space="preserve">(EA) </w:t>
      </w:r>
      <w:r>
        <w:rPr>
          <w:rFonts w:ascii="Arial" w:hAnsi="Arial" w:cs="Arial"/>
        </w:rPr>
        <w:t>and the Program Execution Unit (PEU).</w:t>
      </w:r>
    </w:p>
    <w:p w:rsidR="007B0F26" w:rsidRDefault="00A22611">
      <w:pPr>
        <w:spacing w:before="120" w:after="120"/>
        <w:ind w:left="579" w:hanging="579"/>
        <w:rPr>
          <w:rFonts w:ascii="Arial" w:hAnsi="Arial" w:cs="Arial"/>
          <w:b/>
        </w:rPr>
      </w:pPr>
      <w:r>
        <w:rPr>
          <w:rFonts w:ascii="Arial" w:hAnsi="Arial" w:cs="Arial"/>
          <w:b/>
        </w:rPr>
        <w:t>III.</w:t>
      </w:r>
      <w:r>
        <w:rPr>
          <w:rFonts w:ascii="Arial" w:hAnsi="Arial" w:cs="Arial"/>
          <w:b/>
        </w:rPr>
        <w:tab/>
        <w:t>Description of Activities and Outputs</w:t>
      </w:r>
    </w:p>
    <w:p w:rsidR="007B0F26" w:rsidRDefault="00A22611">
      <w:pPr>
        <w:spacing w:before="120" w:after="120"/>
        <w:ind w:left="579" w:hanging="579"/>
        <w:jc w:val="both"/>
      </w:pPr>
      <w:r>
        <w:rPr>
          <w:rFonts w:ascii="Arial" w:hAnsi="Arial" w:cs="Arial"/>
        </w:rPr>
        <w:t>3.2</w:t>
      </w:r>
      <w:r>
        <w:rPr>
          <w:rFonts w:ascii="Arial" w:hAnsi="Arial" w:cs="Arial"/>
        </w:rPr>
        <w:tab/>
      </w:r>
      <w:r>
        <w:rPr>
          <w:rFonts w:ascii="Arial" w:hAnsi="Arial" w:cs="Arial"/>
          <w:b/>
        </w:rPr>
        <w:t xml:space="preserve">Component 1. Development of a blended remedial learning package for ISEE Bridge beneficiaries. </w:t>
      </w:r>
      <w:r>
        <w:rPr>
          <w:rFonts w:ascii="Arial" w:hAnsi="Arial" w:cs="Arial"/>
        </w:rPr>
        <w:t xml:space="preserve">The component will finance the further development of the blended-learning platform for the enhanced literacy and numeracy skills </w:t>
      </w:r>
      <w:proofErr w:type="spellStart"/>
      <w:r>
        <w:rPr>
          <w:rFonts w:ascii="Arial" w:hAnsi="Arial" w:cs="Arial"/>
        </w:rPr>
        <w:t>programmes</w:t>
      </w:r>
      <w:proofErr w:type="spellEnd"/>
      <w:r>
        <w:rPr>
          <w:rFonts w:ascii="Arial" w:hAnsi="Arial" w:cs="Arial"/>
        </w:rPr>
        <w:t>, transitioning from the paper-based to a fully blended-learning program.</w:t>
      </w:r>
    </w:p>
    <w:p w:rsidR="007B0F26" w:rsidRDefault="00A22611">
      <w:pPr>
        <w:spacing w:before="120" w:after="120"/>
        <w:ind w:left="579" w:hanging="579"/>
        <w:jc w:val="both"/>
      </w:pPr>
      <w:r>
        <w:rPr>
          <w:rFonts w:ascii="Arial" w:hAnsi="Arial" w:cs="Arial"/>
        </w:rPr>
        <w:t>3.3</w:t>
      </w:r>
      <w:r>
        <w:rPr>
          <w:rFonts w:ascii="Arial" w:hAnsi="Arial" w:cs="Arial"/>
        </w:rPr>
        <w:tab/>
      </w:r>
      <w:r>
        <w:rPr>
          <w:rFonts w:ascii="Arial" w:hAnsi="Arial" w:cs="Arial"/>
          <w:b/>
        </w:rPr>
        <w:t xml:space="preserve">Component 2. Pre-implementation Planning and Support for the Management Information System. </w:t>
      </w:r>
      <w:r>
        <w:rPr>
          <w:rFonts w:ascii="Arial" w:hAnsi="Arial" w:cs="Arial"/>
        </w:rPr>
        <w:t xml:space="preserve">This </w:t>
      </w:r>
      <w:r w:rsidR="002A0317">
        <w:rPr>
          <w:rFonts w:ascii="Arial" w:hAnsi="Arial" w:cs="Arial"/>
        </w:rPr>
        <w:t>component will finance a business process consultant with responsibilities for p</w:t>
      </w:r>
      <w:r>
        <w:rPr>
          <w:rFonts w:ascii="Arial" w:hAnsi="Arial" w:cs="Arial"/>
        </w:rPr>
        <w:t xml:space="preserve">re-implementation activities relating to business process refining, standardization and harmonization of the tools, forms, taxonomy and reporting. </w:t>
      </w:r>
    </w:p>
    <w:p w:rsidR="007B0F26" w:rsidRDefault="00A22611">
      <w:pPr>
        <w:spacing w:before="120" w:after="120"/>
        <w:ind w:left="579" w:hanging="579"/>
        <w:jc w:val="both"/>
      </w:pPr>
      <w:r>
        <w:rPr>
          <w:rFonts w:ascii="Arial" w:hAnsi="Arial" w:cs="Arial"/>
        </w:rPr>
        <w:t>3.4</w:t>
      </w:r>
      <w:r>
        <w:rPr>
          <w:rFonts w:ascii="Arial" w:hAnsi="Arial" w:cs="Arial"/>
        </w:rPr>
        <w:tab/>
      </w:r>
      <w:r>
        <w:rPr>
          <w:rFonts w:ascii="Arial" w:hAnsi="Arial" w:cs="Arial"/>
          <w:b/>
        </w:rPr>
        <w:t xml:space="preserve">Component 3. Project Management, Operational and Administrative Support. </w:t>
      </w:r>
      <w:r>
        <w:rPr>
          <w:rFonts w:ascii="Arial" w:hAnsi="Arial" w:cs="Arial"/>
        </w:rPr>
        <w:t xml:space="preserve">This Component will finance a resource person to support other technical and operational activities, as needed and assisting with the execution of the loan. </w:t>
      </w:r>
    </w:p>
    <w:p w:rsidR="007B0F26" w:rsidRDefault="00A22611" w:rsidP="002A0317">
      <w:pPr>
        <w:spacing w:before="240" w:after="120"/>
        <w:ind w:left="579" w:hanging="579"/>
      </w:pPr>
      <w:r>
        <w:rPr>
          <w:rFonts w:ascii="Arial" w:hAnsi="Arial" w:cs="Arial"/>
          <w:b/>
        </w:rPr>
        <w:t>IV.</w:t>
      </w:r>
      <w:r>
        <w:rPr>
          <w:rFonts w:ascii="Arial" w:hAnsi="Arial" w:cs="Arial"/>
          <w:b/>
        </w:rPr>
        <w:tab/>
        <w:t>Budget</w:t>
      </w:r>
    </w:p>
    <w:p w:rsidR="007B0F26" w:rsidRDefault="00A22611">
      <w:pPr>
        <w:spacing w:before="240" w:after="120"/>
        <w:jc w:val="center"/>
      </w:pPr>
      <w:r>
        <w:rPr>
          <w:rFonts w:ascii="Arial" w:hAnsi="Arial" w:cs="Arial"/>
          <w:b/>
          <w:sz w:val="18"/>
          <w:szCs w:val="18"/>
        </w:rPr>
        <w:t>Indicative Budget</w:t>
      </w:r>
      <w:r w:rsidR="002A0317">
        <w:rPr>
          <w:rFonts w:ascii="Arial" w:hAnsi="Arial" w:cs="Arial"/>
          <w:b/>
          <w:sz w:val="18"/>
          <w:szCs w:val="18"/>
        </w:rPr>
        <w:t xml:space="preserve"> (US$)</w:t>
      </w:r>
    </w:p>
    <w:tbl>
      <w:tblPr>
        <w:tblStyle w:val="TableGrid"/>
        <w:tblW w:w="8838" w:type="dxa"/>
        <w:tblLook w:val="04A0" w:firstRow="1" w:lastRow="0" w:firstColumn="1" w:lastColumn="0" w:noHBand="0" w:noVBand="1"/>
      </w:tblPr>
      <w:tblGrid>
        <w:gridCol w:w="3168"/>
        <w:gridCol w:w="1980"/>
        <w:gridCol w:w="1800"/>
        <w:gridCol w:w="1890"/>
      </w:tblGrid>
      <w:tr w:rsidR="007B0F26" w:rsidTr="002A0317">
        <w:tc>
          <w:tcPr>
            <w:tcW w:w="3168" w:type="dxa"/>
            <w:vAlign w:val="center"/>
          </w:tcPr>
          <w:p w:rsidR="007B0F26" w:rsidRDefault="00A22611">
            <w:pPr>
              <w:spacing w:before="40" w:after="40"/>
              <w:jc w:val="center"/>
            </w:pPr>
            <w:r>
              <w:rPr>
                <w:rFonts w:ascii="Arial" w:hAnsi="Arial" w:cs="Arial"/>
                <w:b/>
                <w:sz w:val="18"/>
                <w:szCs w:val="18"/>
              </w:rPr>
              <w:t>Activity/Component</w:t>
            </w:r>
          </w:p>
        </w:tc>
        <w:tc>
          <w:tcPr>
            <w:tcW w:w="1980" w:type="dxa"/>
          </w:tcPr>
          <w:p w:rsidR="007B0F26" w:rsidRDefault="00A22611">
            <w:pPr>
              <w:spacing w:before="40" w:after="40"/>
              <w:jc w:val="center"/>
            </w:pPr>
            <w:r>
              <w:rPr>
                <w:rFonts w:ascii="Arial" w:hAnsi="Arial" w:cs="Arial"/>
                <w:b/>
                <w:sz w:val="18"/>
                <w:szCs w:val="18"/>
              </w:rPr>
              <w:t>IDB/Fund Funding</w:t>
            </w:r>
          </w:p>
        </w:tc>
        <w:tc>
          <w:tcPr>
            <w:tcW w:w="1800" w:type="dxa"/>
          </w:tcPr>
          <w:p w:rsidR="007B0F26" w:rsidRDefault="00A22611">
            <w:pPr>
              <w:spacing w:before="40" w:after="40"/>
              <w:jc w:val="center"/>
            </w:pPr>
            <w:r>
              <w:rPr>
                <w:rFonts w:ascii="Arial" w:hAnsi="Arial" w:cs="Arial"/>
                <w:b/>
                <w:sz w:val="18"/>
                <w:szCs w:val="18"/>
              </w:rPr>
              <w:t>Counterpart Funding</w:t>
            </w:r>
          </w:p>
        </w:tc>
        <w:tc>
          <w:tcPr>
            <w:tcW w:w="1890" w:type="dxa"/>
          </w:tcPr>
          <w:p w:rsidR="007B0F26" w:rsidRDefault="00A22611">
            <w:pPr>
              <w:spacing w:before="40" w:after="40"/>
              <w:jc w:val="center"/>
            </w:pPr>
            <w:r>
              <w:rPr>
                <w:rFonts w:ascii="Arial" w:hAnsi="Arial" w:cs="Arial"/>
                <w:b/>
                <w:sz w:val="18"/>
                <w:szCs w:val="18"/>
              </w:rPr>
              <w:t>Total Funding</w:t>
            </w:r>
          </w:p>
        </w:tc>
      </w:tr>
      <w:tr w:rsidR="007B0F26" w:rsidTr="002A0317">
        <w:tc>
          <w:tcPr>
            <w:tcW w:w="3168" w:type="dxa"/>
            <w:vAlign w:val="center"/>
          </w:tcPr>
          <w:p w:rsidR="007B0F26" w:rsidRDefault="00A22611">
            <w:pPr>
              <w:spacing w:before="40" w:after="40"/>
            </w:pPr>
            <w:r>
              <w:rPr>
                <w:rFonts w:ascii="Arial" w:hAnsi="Arial" w:cs="Arial"/>
                <w:sz w:val="18"/>
                <w:szCs w:val="18"/>
              </w:rPr>
              <w:t xml:space="preserve">Component 1. Development of a blended remedial learning package for ISEE Bridge beneficiaries. </w:t>
            </w:r>
          </w:p>
        </w:tc>
        <w:tc>
          <w:tcPr>
            <w:tcW w:w="1980" w:type="dxa"/>
            <w:vAlign w:val="center"/>
          </w:tcPr>
          <w:p w:rsidR="007B0F26" w:rsidRDefault="00A22611">
            <w:pPr>
              <w:spacing w:before="40" w:after="40"/>
              <w:jc w:val="right"/>
            </w:pPr>
            <w:r>
              <w:rPr>
                <w:rFonts w:ascii="Arial" w:hAnsi="Arial" w:cs="Arial"/>
                <w:sz w:val="18"/>
                <w:szCs w:val="18"/>
              </w:rPr>
              <w:t>$ 20,000</w:t>
            </w:r>
          </w:p>
        </w:tc>
        <w:tc>
          <w:tcPr>
            <w:tcW w:w="1800" w:type="dxa"/>
            <w:vAlign w:val="center"/>
          </w:tcPr>
          <w:p w:rsidR="007B0F26" w:rsidRDefault="00A22611">
            <w:pPr>
              <w:spacing w:before="40" w:after="40"/>
              <w:jc w:val="right"/>
            </w:pPr>
            <w:r>
              <w:rPr>
                <w:rFonts w:ascii="Arial" w:hAnsi="Arial" w:cs="Arial"/>
                <w:sz w:val="18"/>
                <w:szCs w:val="18"/>
              </w:rPr>
              <w:t>$ 0</w:t>
            </w:r>
          </w:p>
        </w:tc>
        <w:tc>
          <w:tcPr>
            <w:tcW w:w="1890" w:type="dxa"/>
            <w:vAlign w:val="center"/>
          </w:tcPr>
          <w:p w:rsidR="007B0F26" w:rsidRDefault="00A22611">
            <w:pPr>
              <w:spacing w:before="40" w:after="40"/>
              <w:jc w:val="right"/>
            </w:pPr>
            <w:r>
              <w:rPr>
                <w:rFonts w:ascii="Arial" w:hAnsi="Arial" w:cs="Arial"/>
                <w:sz w:val="18"/>
                <w:szCs w:val="18"/>
              </w:rPr>
              <w:t>$ 20,000</w:t>
            </w:r>
          </w:p>
        </w:tc>
      </w:tr>
      <w:tr w:rsidR="007B0F26" w:rsidTr="002A0317">
        <w:tc>
          <w:tcPr>
            <w:tcW w:w="3168" w:type="dxa"/>
            <w:vAlign w:val="center"/>
          </w:tcPr>
          <w:p w:rsidR="007B0F26" w:rsidRDefault="00A22611">
            <w:pPr>
              <w:spacing w:before="40" w:after="40"/>
            </w:pPr>
            <w:r>
              <w:rPr>
                <w:rFonts w:ascii="Arial" w:hAnsi="Arial" w:cs="Arial"/>
                <w:sz w:val="18"/>
                <w:szCs w:val="18"/>
              </w:rPr>
              <w:t xml:space="preserve">Component 2. Pre-implementation Planning and Support for the Management Information System. </w:t>
            </w:r>
          </w:p>
        </w:tc>
        <w:tc>
          <w:tcPr>
            <w:tcW w:w="1980" w:type="dxa"/>
            <w:vAlign w:val="center"/>
          </w:tcPr>
          <w:p w:rsidR="007B0F26" w:rsidRDefault="00A22611">
            <w:pPr>
              <w:spacing w:before="40" w:after="40"/>
              <w:jc w:val="right"/>
            </w:pPr>
            <w:r>
              <w:rPr>
                <w:rFonts w:ascii="Arial" w:hAnsi="Arial" w:cs="Arial"/>
                <w:sz w:val="18"/>
                <w:szCs w:val="18"/>
              </w:rPr>
              <w:t>$ 70,000</w:t>
            </w:r>
          </w:p>
        </w:tc>
        <w:tc>
          <w:tcPr>
            <w:tcW w:w="1800" w:type="dxa"/>
            <w:vAlign w:val="center"/>
          </w:tcPr>
          <w:p w:rsidR="007B0F26" w:rsidRDefault="00A22611">
            <w:pPr>
              <w:spacing w:before="40" w:after="40"/>
              <w:jc w:val="right"/>
            </w:pPr>
            <w:r>
              <w:rPr>
                <w:rFonts w:ascii="Arial" w:hAnsi="Arial" w:cs="Arial"/>
                <w:sz w:val="18"/>
                <w:szCs w:val="18"/>
              </w:rPr>
              <w:t>$ 0</w:t>
            </w:r>
          </w:p>
        </w:tc>
        <w:tc>
          <w:tcPr>
            <w:tcW w:w="1890" w:type="dxa"/>
            <w:vAlign w:val="center"/>
          </w:tcPr>
          <w:p w:rsidR="007B0F26" w:rsidRDefault="00A22611">
            <w:pPr>
              <w:spacing w:before="40" w:after="40"/>
              <w:jc w:val="right"/>
            </w:pPr>
            <w:r>
              <w:rPr>
                <w:rFonts w:ascii="Arial" w:hAnsi="Arial" w:cs="Arial"/>
                <w:sz w:val="18"/>
                <w:szCs w:val="18"/>
              </w:rPr>
              <w:t>$ 70,000</w:t>
            </w:r>
          </w:p>
        </w:tc>
      </w:tr>
      <w:tr w:rsidR="007B0F26" w:rsidTr="002A0317">
        <w:tc>
          <w:tcPr>
            <w:tcW w:w="3168" w:type="dxa"/>
            <w:vAlign w:val="center"/>
          </w:tcPr>
          <w:p w:rsidR="007B0F26" w:rsidRDefault="00A22611">
            <w:pPr>
              <w:spacing w:before="40" w:after="40"/>
            </w:pPr>
            <w:r>
              <w:rPr>
                <w:rFonts w:ascii="Arial" w:hAnsi="Arial" w:cs="Arial"/>
                <w:sz w:val="18"/>
                <w:szCs w:val="18"/>
              </w:rPr>
              <w:t xml:space="preserve">Component 3. Project Management, Operational and Administrative Support. </w:t>
            </w:r>
          </w:p>
        </w:tc>
        <w:tc>
          <w:tcPr>
            <w:tcW w:w="1980" w:type="dxa"/>
            <w:vAlign w:val="center"/>
          </w:tcPr>
          <w:p w:rsidR="007B0F26" w:rsidRDefault="00A22611">
            <w:pPr>
              <w:spacing w:before="40" w:after="40"/>
              <w:jc w:val="right"/>
            </w:pPr>
            <w:r>
              <w:rPr>
                <w:rFonts w:ascii="Arial" w:hAnsi="Arial" w:cs="Arial"/>
                <w:sz w:val="18"/>
                <w:szCs w:val="18"/>
              </w:rPr>
              <w:t>$ 60,000</w:t>
            </w:r>
          </w:p>
        </w:tc>
        <w:tc>
          <w:tcPr>
            <w:tcW w:w="1800" w:type="dxa"/>
            <w:vAlign w:val="center"/>
          </w:tcPr>
          <w:p w:rsidR="007B0F26" w:rsidRDefault="00A22611">
            <w:pPr>
              <w:spacing w:before="40" w:after="40"/>
              <w:jc w:val="right"/>
            </w:pPr>
            <w:r>
              <w:rPr>
                <w:rFonts w:ascii="Arial" w:hAnsi="Arial" w:cs="Arial"/>
                <w:sz w:val="18"/>
                <w:szCs w:val="18"/>
              </w:rPr>
              <w:t>$ 0</w:t>
            </w:r>
          </w:p>
        </w:tc>
        <w:tc>
          <w:tcPr>
            <w:tcW w:w="1890" w:type="dxa"/>
            <w:vAlign w:val="center"/>
          </w:tcPr>
          <w:p w:rsidR="007B0F26" w:rsidRDefault="00A22611">
            <w:pPr>
              <w:spacing w:before="40" w:after="40"/>
              <w:jc w:val="right"/>
            </w:pPr>
            <w:r>
              <w:rPr>
                <w:rFonts w:ascii="Arial" w:hAnsi="Arial" w:cs="Arial"/>
                <w:sz w:val="18"/>
                <w:szCs w:val="18"/>
              </w:rPr>
              <w:t>$ 60,000</w:t>
            </w:r>
          </w:p>
        </w:tc>
      </w:tr>
      <w:tr w:rsidR="002A0317" w:rsidTr="002A0317">
        <w:tc>
          <w:tcPr>
            <w:tcW w:w="3168" w:type="dxa"/>
            <w:vAlign w:val="center"/>
          </w:tcPr>
          <w:p w:rsidR="002A0317" w:rsidRDefault="002A0317">
            <w:pPr>
              <w:spacing w:before="40" w:after="40"/>
              <w:rPr>
                <w:rFonts w:ascii="Arial" w:hAnsi="Arial" w:cs="Arial"/>
                <w:sz w:val="18"/>
                <w:szCs w:val="18"/>
              </w:rPr>
            </w:pPr>
            <w:r>
              <w:rPr>
                <w:rFonts w:ascii="Arial" w:hAnsi="Arial" w:cs="Arial"/>
                <w:sz w:val="18"/>
                <w:szCs w:val="18"/>
              </w:rPr>
              <w:t>TOTAL</w:t>
            </w:r>
          </w:p>
        </w:tc>
        <w:tc>
          <w:tcPr>
            <w:tcW w:w="1980" w:type="dxa"/>
            <w:vAlign w:val="center"/>
          </w:tcPr>
          <w:p w:rsidR="002A0317" w:rsidRDefault="002A0317">
            <w:pPr>
              <w:spacing w:before="40" w:after="40"/>
              <w:jc w:val="right"/>
              <w:rPr>
                <w:rFonts w:ascii="Arial" w:hAnsi="Arial" w:cs="Arial"/>
                <w:sz w:val="18"/>
                <w:szCs w:val="18"/>
              </w:rPr>
            </w:pPr>
            <w:r>
              <w:rPr>
                <w:rFonts w:ascii="Arial" w:hAnsi="Arial" w:cs="Arial"/>
                <w:sz w:val="18"/>
                <w:szCs w:val="18"/>
              </w:rPr>
              <w:t>150,000</w:t>
            </w:r>
          </w:p>
        </w:tc>
        <w:tc>
          <w:tcPr>
            <w:tcW w:w="1800" w:type="dxa"/>
            <w:vAlign w:val="center"/>
          </w:tcPr>
          <w:p w:rsidR="002A0317" w:rsidRDefault="002A0317">
            <w:pPr>
              <w:spacing w:before="40" w:after="40"/>
              <w:jc w:val="right"/>
              <w:rPr>
                <w:rFonts w:ascii="Arial" w:hAnsi="Arial" w:cs="Arial"/>
                <w:sz w:val="18"/>
                <w:szCs w:val="18"/>
              </w:rPr>
            </w:pPr>
            <w:r>
              <w:rPr>
                <w:rFonts w:ascii="Arial" w:hAnsi="Arial" w:cs="Arial"/>
                <w:sz w:val="18"/>
                <w:szCs w:val="18"/>
              </w:rPr>
              <w:t>0</w:t>
            </w:r>
          </w:p>
        </w:tc>
        <w:tc>
          <w:tcPr>
            <w:tcW w:w="1890" w:type="dxa"/>
            <w:vAlign w:val="center"/>
          </w:tcPr>
          <w:p w:rsidR="002A0317" w:rsidRDefault="002A0317">
            <w:pPr>
              <w:spacing w:before="40" w:after="40"/>
              <w:jc w:val="right"/>
              <w:rPr>
                <w:rFonts w:ascii="Arial" w:hAnsi="Arial" w:cs="Arial"/>
                <w:sz w:val="18"/>
                <w:szCs w:val="18"/>
              </w:rPr>
            </w:pPr>
            <w:r>
              <w:rPr>
                <w:rFonts w:ascii="Arial" w:hAnsi="Arial" w:cs="Arial"/>
                <w:sz w:val="18"/>
                <w:szCs w:val="18"/>
              </w:rPr>
              <w:t>150,000</w:t>
            </w:r>
          </w:p>
        </w:tc>
      </w:tr>
    </w:tbl>
    <w:p w:rsidR="007B0F26" w:rsidRDefault="00A22611" w:rsidP="002A0317">
      <w:pPr>
        <w:spacing w:before="240" w:after="120"/>
        <w:ind w:left="579" w:hanging="579"/>
      </w:pPr>
      <w:r>
        <w:rPr>
          <w:rFonts w:ascii="Arial" w:hAnsi="Arial" w:cs="Arial"/>
          <w:b/>
        </w:rPr>
        <w:t>V.</w:t>
      </w:r>
      <w:r>
        <w:rPr>
          <w:rFonts w:ascii="Arial" w:hAnsi="Arial" w:cs="Arial"/>
          <w:b/>
        </w:rPr>
        <w:tab/>
        <w:t>Executing Agency and Execution Structure</w:t>
      </w:r>
    </w:p>
    <w:p w:rsidR="007B0F26" w:rsidRDefault="00A22611">
      <w:pPr>
        <w:spacing w:before="200" w:after="200"/>
        <w:ind w:left="579" w:hanging="579"/>
        <w:jc w:val="both"/>
      </w:pPr>
      <w:r>
        <w:rPr>
          <w:rFonts w:ascii="Arial" w:hAnsi="Arial" w:cs="Arial"/>
        </w:rPr>
        <w:t>5.1</w:t>
      </w:r>
      <w:r>
        <w:rPr>
          <w:rFonts w:ascii="Arial" w:hAnsi="Arial" w:cs="Arial"/>
        </w:rPr>
        <w:tab/>
        <w:t>As requested by the Government of Barbados (GOB), the Bank will execute this TC. The Labor Markets Division (SCL/LMK) will be responsible for the direction, supervision and coordination of this TC. No audits or results evaluation will be performed. The execution of the TC will be monitored based on the results matrix. The Bank will coordinate its work extensively with GOB benefitting entities, most directly, MSCD and MLSD.</w:t>
      </w:r>
    </w:p>
    <w:p w:rsidR="007B0F26" w:rsidRDefault="00A22611">
      <w:pPr>
        <w:spacing w:before="200" w:after="200"/>
        <w:ind w:left="579" w:hanging="579"/>
        <w:jc w:val="both"/>
      </w:pPr>
      <w:r>
        <w:rPr>
          <w:rFonts w:ascii="Arial" w:hAnsi="Arial" w:cs="Arial"/>
        </w:rPr>
        <w:t>5.2</w:t>
      </w:r>
      <w:r>
        <w:rPr>
          <w:rFonts w:ascii="Arial" w:hAnsi="Arial" w:cs="Arial"/>
        </w:rPr>
        <w:tab/>
        <w:t>This execution scheme is proposed for the following reasons: (i) SCL/LMK has particular technical expertise in social development and labor market programs, specifically based on international best practices; and (ii) administrative burdens can be reduced on the government, particularly in the identification and contracting of international experts.</w:t>
      </w:r>
    </w:p>
    <w:p w:rsidR="007B0F26" w:rsidRDefault="00A22611">
      <w:pPr>
        <w:spacing w:before="120" w:after="120"/>
        <w:ind w:left="579" w:hanging="579"/>
      </w:pPr>
      <w:r>
        <w:rPr>
          <w:rFonts w:ascii="Arial" w:hAnsi="Arial" w:cs="Arial"/>
          <w:b/>
        </w:rPr>
        <w:t>VI.</w:t>
      </w:r>
      <w:r>
        <w:rPr>
          <w:rFonts w:ascii="Arial" w:hAnsi="Arial" w:cs="Arial"/>
          <w:b/>
        </w:rPr>
        <w:tab/>
        <w:t>Project Risks and Issues</w:t>
      </w:r>
    </w:p>
    <w:p w:rsidR="007B0F26" w:rsidRDefault="00A22611">
      <w:pPr>
        <w:spacing w:before="200" w:after="200"/>
        <w:ind w:left="579" w:hanging="579"/>
        <w:jc w:val="both"/>
      </w:pPr>
      <w:r>
        <w:rPr>
          <w:rFonts w:ascii="Arial" w:hAnsi="Arial" w:cs="Arial"/>
        </w:rPr>
        <w:t>6.1</w:t>
      </w:r>
      <w:r>
        <w:rPr>
          <w:rFonts w:ascii="Arial" w:hAnsi="Arial" w:cs="Arial"/>
        </w:rPr>
        <w:tab/>
        <w:t>The success of the project will depend on a significant level of the engagement and participation of the relevant public and private stakeholders in Barbados. Insufficient integration, coordination and communication among government agencies may also lead to delays in project execution. To mitigate this risk, the TC will finance a technical, operational, and administrative consultant with project management experience to support the EA with loan execution.</w:t>
      </w:r>
    </w:p>
    <w:p w:rsidR="007B0F26" w:rsidRDefault="00A22611">
      <w:pPr>
        <w:spacing w:before="120" w:after="120"/>
        <w:ind w:left="579" w:hanging="579"/>
      </w:pPr>
      <w:r>
        <w:rPr>
          <w:rFonts w:ascii="Arial" w:hAnsi="Arial" w:cs="Arial"/>
          <w:b/>
        </w:rPr>
        <w:t>VII.</w:t>
      </w:r>
      <w:r>
        <w:rPr>
          <w:rFonts w:ascii="Arial" w:hAnsi="Arial" w:cs="Arial"/>
          <w:b/>
        </w:rPr>
        <w:tab/>
        <w:t>Environmental and Social Classification</w:t>
      </w:r>
    </w:p>
    <w:p w:rsidR="007B0F26" w:rsidRDefault="00A22611">
      <w:pPr>
        <w:spacing w:before="240" w:after="120"/>
        <w:ind w:left="579" w:hanging="579"/>
        <w:jc w:val="both"/>
      </w:pPr>
      <w:r>
        <w:rPr>
          <w:rFonts w:ascii="Arial" w:hAnsi="Arial" w:cs="Arial"/>
        </w:rPr>
        <w:t>7.1</w:t>
      </w:r>
      <w:r>
        <w:rPr>
          <w:rFonts w:ascii="Arial" w:hAnsi="Arial" w:cs="Arial"/>
        </w:rPr>
        <w:tab/>
        <w:t>The ESG classification for this operation is "</w:t>
      </w:r>
      <w:r w:rsidR="002A0317">
        <w:rPr>
          <w:rFonts w:ascii="Arial" w:hAnsi="Arial" w:cs="Arial"/>
        </w:rPr>
        <w:t>C</w:t>
      </w:r>
      <w:r>
        <w:rPr>
          <w:rFonts w:ascii="Arial" w:hAnsi="Arial" w:cs="Arial"/>
        </w:rPr>
        <w:t>".</w:t>
      </w:r>
    </w:p>
    <w:sectPr w:rsidR="007B0F26" w:rsidSect="00FC3028">
      <w:footerReference w:type="even" r:id="rId6"/>
      <w:footerReference w:type="default" r:id="rId7"/>
      <w:footerReference w:type="firs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C79" w:rsidRDefault="005A1C79">
      <w:r>
        <w:separator/>
      </w:r>
    </w:p>
  </w:endnote>
  <w:endnote w:type="continuationSeparator" w:id="0">
    <w:p w:rsidR="005A1C79" w:rsidRDefault="005A1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72B" w:rsidRDefault="005A1C7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72B" w:rsidRDefault="005A1C79"/>
  <w:p w:rsidR="007B0F26" w:rsidRDefault="00A22611">
    <w:pPr>
      <w:jc w:val="center"/>
    </w:pPr>
    <w:r>
      <w:t xml:space="preserve">- </w:t>
    </w:r>
    <w:r>
      <w:fldChar w:fldCharType="begin"/>
    </w:r>
    <w:r>
      <w:instrText xml:space="preserve"> PAGE   \* MERGEFORMAT </w:instrText>
    </w:r>
    <w:r>
      <w:fldChar w:fldCharType="separate"/>
    </w:r>
    <w:r>
      <w:rPr>
        <w:noProof/>
      </w:rPr>
      <w:t>1</w:t>
    </w:r>
    <w:r>
      <w:rPr>
        <w:noProof/>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72B" w:rsidRDefault="005A1C7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C79" w:rsidRDefault="005A1C79">
      <w:r>
        <w:separator/>
      </w:r>
    </w:p>
  </w:footnote>
  <w:footnote w:type="continuationSeparator" w:id="0">
    <w:p w:rsidR="005A1C79" w:rsidRDefault="005A1C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0B6907"/>
    <w:rsid w:val="001915A3"/>
    <w:rsid w:val="00217F62"/>
    <w:rsid w:val="002A0317"/>
    <w:rsid w:val="00532775"/>
    <w:rsid w:val="005A1C79"/>
    <w:rsid w:val="00646A38"/>
    <w:rsid w:val="006A5DEE"/>
    <w:rsid w:val="007A39A7"/>
    <w:rsid w:val="007B0F26"/>
    <w:rsid w:val="00A22611"/>
    <w:rsid w:val="00A906D8"/>
    <w:rsid w:val="00AB5A74"/>
    <w:rsid w:val="00AF022B"/>
    <w:rsid w:val="00CE778A"/>
    <w:rsid w:val="00D251A4"/>
    <w:rsid w:val="00EC1C3D"/>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57875"/>
  <w15:docId w15:val="{C9BF0EE2-1079-41CD-8592-5FA4D8608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7A39A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39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6.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F5A497DDF69614BA845FBF4DA636DAB" ma:contentTypeVersion="26" ma:contentTypeDescription="A content type to manage public (operations) IDB documents" ma:contentTypeScope="" ma:versionID="d485ea28c75ce6e9ecbfcdf2ec2fdbd8">
  <xsd:schema xmlns:xsd="http://www.w3.org/2001/XMLSchema" xmlns:xs="http://www.w3.org/2001/XMLSchema" xmlns:p="http://schemas.microsoft.com/office/2006/metadata/properties" xmlns:ns2="cdc7663a-08f0-4737-9e8c-148ce897a09c" targetNamespace="http://schemas.microsoft.com/office/2006/metadata/properties" ma:root="true" ma:fieldsID="a59891f657cd242ccbb75f1e32a2a4b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A-T105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Barbados</TermName>
          <TermId xmlns="http://schemas.microsoft.com/office/infopath/2007/PartnerControls">2e62bac6-7007-4d9a-9183-df33585926ed</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Alaimo, Veronica</Other_x0020_Author>
    <Migration_x0020_Info xmlns="cdc7663a-08f0-4737-9e8c-148ce897a09c" xsi:nil="true"/>
    <Approval_x0020_Number xmlns="cdc7663a-08f0-4737-9e8c-148ce897a09c" xsi:nil="true"/>
    <Phase xmlns="cdc7663a-08f0-4737-9e8c-148ce897a09c">ACTIVE</Phase>
    <Document_x0020_Author xmlns="cdc7663a-08f0-4737-9e8c-148ce897a09c">Muhlstein, Ethel Rosa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LABOR INTERMEDIATION SYSTEMS</TermName>
          <TermId xmlns="http://schemas.microsoft.com/office/infopath/2007/PartnerControls">72d0edb0-5336-43b6-bb2f-05b457738b24</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3086ce3f-38db-462a-ad79-6fb1ca9264c8</TermId>
        </TermInfo>
      </Terms>
    </g511464f9e53401d84b16fa9b379a574>
    <Related_x0020_SisCor_x0020_Number xmlns="cdc7663a-08f0-4737-9e8c-148ce897a09c" xsi:nil="true"/>
    <TaxCatchAll xmlns="cdc7663a-08f0-4737-9e8c-148ce897a09c">
      <Value>21</Value>
      <Value>3</Value>
      <Value>93</Value>
      <Value>120</Value>
      <Value>121</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BA-T1054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R0002273121</Record_x0020_Number>
    <_dlc_DocId xmlns="cdc7663a-08f0-4737-9e8c-148ce897a09c">EZSHARE-1947078880-3</_dlc_DocId>
    <_dlc_DocIdUrl xmlns="cdc7663a-08f0-4737-9e8c-148ce897a09c">
      <Url>https://idbg.sharepoint.com/teams/EZ-BA-TCP/BA-T1054/_layouts/15/DocIdRedir.aspx?ID=EZSHARE-1947078880-3</Url>
      <Description>EZSHARE-1947078880-3</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Training;</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EEB04CE8-687D-4706-9034-8F361FE30D65}"/>
</file>

<file path=customXml/itemProps2.xml><?xml version="1.0" encoding="utf-8"?>
<ds:datastoreItem xmlns:ds="http://schemas.openxmlformats.org/officeDocument/2006/customXml" ds:itemID="{026642FE-C261-40E0-BFE6-1B04FD17AE0A}"/>
</file>

<file path=customXml/itemProps3.xml><?xml version="1.0" encoding="utf-8"?>
<ds:datastoreItem xmlns:ds="http://schemas.openxmlformats.org/officeDocument/2006/customXml" ds:itemID="{096A6C96-B973-4716-8FB6-0251942578CC}"/>
</file>

<file path=customXml/itemProps4.xml><?xml version="1.0" encoding="utf-8"?>
<ds:datastoreItem xmlns:ds="http://schemas.openxmlformats.org/officeDocument/2006/customXml" ds:itemID="{2CCDD0B3-2DFB-4C22-953D-C69D47F9733E}"/>
</file>

<file path=customXml/itemProps5.xml><?xml version="1.0" encoding="utf-8"?>
<ds:datastoreItem xmlns:ds="http://schemas.openxmlformats.org/officeDocument/2006/customXml" ds:itemID="{8058C2A0-BED9-44B9-91C6-E4DA3DD7BEFA}"/>
</file>

<file path=customXml/itemProps6.xml><?xml version="1.0" encoding="utf-8"?>
<ds:datastoreItem xmlns:ds="http://schemas.openxmlformats.org/officeDocument/2006/customXml" ds:itemID="{7CEF4846-0F22-4BC8-81A3-F4C027BA7851}"/>
</file>

<file path=docProps/app.xml><?xml version="1.0" encoding="utf-8"?>
<Properties xmlns="http://schemas.openxmlformats.org/officeDocument/2006/extended-properties" xmlns:vt="http://schemas.openxmlformats.org/officeDocument/2006/docPropsVTypes">
  <Template>Normal.dotm</Template>
  <TotalTime>0</TotalTime>
  <Pages>3</Pages>
  <Words>924</Words>
  <Characters>5271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Muhlstein, Ethel Rosa</dc:creator>
  <cp:keywords/>
  <cp:lastModifiedBy>Muhlstein, Ethel Rosa</cp:lastModifiedBy>
  <cp:revision>2</cp:revision>
  <dcterms:created xsi:type="dcterms:W3CDTF">2018-05-21T16:15:00Z</dcterms:created>
  <dcterms:modified xsi:type="dcterms:W3CDTF">2018-05-21T16:15:00Z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121;#LABOR INTERMEDIATION SYSTEMS|72d0edb0-5336-43b6-bb2f-05b457738b24</vt:lpwstr>
  </property>
  <property fmtid="{D5CDD505-2E9C-101B-9397-08002B2CF9AE}" pid="7" name="Fund IDB">
    <vt:lpwstr>120;#SOC|3086ce3f-38db-462a-ad79-6fb1ca9264c8</vt:lpwstr>
  </property>
  <property fmtid="{D5CDD505-2E9C-101B-9397-08002B2CF9AE}" pid="8" name="Country">
    <vt:lpwstr>21;#Barbados|2e62bac6-7007-4d9a-9183-df33585926ed</vt:lpwstr>
  </property>
  <property fmtid="{D5CDD505-2E9C-101B-9397-08002B2CF9AE}" pid="9" name="Sector IDB">
    <vt:lpwstr>93;#SOCIAL INVESTMENT|3f908695-d5b5-49f6-941f-76876b39564f</vt:lpwstr>
  </property>
  <property fmtid="{D5CDD505-2E9C-101B-9397-08002B2CF9AE}" pid="10" name="Function Operations IDB">
    <vt:lpwstr>3;#Project Preparation, Planning and Design|29ca0c72-1fc4-435f-a09c-28585cb5eac9</vt:lpwstr>
  </property>
  <property fmtid="{D5CDD505-2E9C-101B-9397-08002B2CF9AE}" pid="11" name="_dlc_DocIdItemGuid">
    <vt:lpwstr>f26acaa1-5757-4a9b-946d-5ad09ab7d754</vt:lpwstr>
  </property>
  <property fmtid="{D5CDD505-2E9C-101B-9397-08002B2CF9AE}" pid="12" name="Disclosure Activity">
    <vt:lpwstr>TC Abstract</vt:lpwstr>
  </property>
  <property fmtid="{D5CDD505-2E9C-101B-9397-08002B2CF9AE}" pid="13" name="ContentTypeId">
    <vt:lpwstr>0x0101001A458A224826124E8B45B1D613300CFC001F5A497DDF69614BA845FBF4DA636DAB</vt:lpwstr>
  </property>
</Properties>
</file>