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3E3971" w14:textId="77777777" w:rsidR="00766845" w:rsidRPr="00C7795F" w:rsidRDefault="00766845" w:rsidP="00AB6740">
      <w:pPr>
        <w:rPr>
          <w:lang w:val="en-US"/>
        </w:rPr>
      </w:pPr>
    </w:p>
    <w:p w14:paraId="0B2E895B" w14:textId="77777777" w:rsidR="00305C79" w:rsidRPr="000B6C37" w:rsidRDefault="00305C79" w:rsidP="00AB6740"/>
    <w:p w14:paraId="135831B7" w14:textId="77777777" w:rsidR="00766845" w:rsidRPr="000B6C37" w:rsidRDefault="00766845" w:rsidP="00AB6740"/>
    <w:p w14:paraId="74F9868E" w14:textId="23ABDEB7" w:rsidR="0014392D" w:rsidRPr="000B6C37" w:rsidRDefault="00416D5E" w:rsidP="00AB6740">
      <w:pPr>
        <w:pStyle w:val="Title"/>
        <w:rPr>
          <w:sz w:val="32"/>
          <w:szCs w:val="32"/>
        </w:rPr>
      </w:pPr>
      <w:r w:rsidRPr="000B6C37">
        <w:rPr>
          <w:sz w:val="32"/>
          <w:szCs w:val="32"/>
        </w:rPr>
        <w:t>Estado do Esp</w:t>
      </w:r>
      <w:r w:rsidR="44A63C8F" w:rsidRPr="000B6C37">
        <w:rPr>
          <w:sz w:val="32"/>
          <w:szCs w:val="32"/>
        </w:rPr>
        <w:t>í</w:t>
      </w:r>
      <w:r w:rsidRPr="000B6C37">
        <w:rPr>
          <w:sz w:val="32"/>
          <w:szCs w:val="32"/>
        </w:rPr>
        <w:t>rito Santo</w:t>
      </w:r>
    </w:p>
    <w:p w14:paraId="7A90894B" w14:textId="73B13AEE" w:rsidR="00766845" w:rsidRPr="000B6C37" w:rsidRDefault="00FC18F3" w:rsidP="00AB6740">
      <w:pPr>
        <w:pStyle w:val="Title"/>
        <w:rPr>
          <w:sz w:val="32"/>
          <w:szCs w:val="32"/>
        </w:rPr>
      </w:pPr>
      <w:r w:rsidRPr="000B6C37">
        <w:rPr>
          <w:sz w:val="32"/>
          <w:szCs w:val="32"/>
        </w:rPr>
        <w:t xml:space="preserve">Secretaria </w:t>
      </w:r>
      <w:r w:rsidR="009B1BBF" w:rsidRPr="000B6C37">
        <w:rPr>
          <w:sz w:val="32"/>
          <w:szCs w:val="32"/>
        </w:rPr>
        <w:t>da Justiça</w:t>
      </w:r>
    </w:p>
    <w:p w14:paraId="15EFEDC5" w14:textId="77777777" w:rsidR="00766845" w:rsidRPr="000B6C37" w:rsidRDefault="00766845" w:rsidP="00AB6740"/>
    <w:p w14:paraId="29BF8465" w14:textId="77777777" w:rsidR="00DE5731" w:rsidRPr="000B6C37" w:rsidRDefault="00DE5731" w:rsidP="00AB6740"/>
    <w:p w14:paraId="3346EBD0" w14:textId="138BCB81" w:rsidR="00DE5731" w:rsidRPr="000B6C37" w:rsidRDefault="00DE5731" w:rsidP="00AB6740"/>
    <w:p w14:paraId="750AD01A" w14:textId="3ADE7726" w:rsidR="0014392D" w:rsidRPr="000B6C37" w:rsidRDefault="0014392D" w:rsidP="00AB6740"/>
    <w:p w14:paraId="038DB078" w14:textId="77777777" w:rsidR="0014392D" w:rsidRPr="000B6C37" w:rsidRDefault="0014392D" w:rsidP="00AB6740"/>
    <w:p w14:paraId="42D14B3A" w14:textId="77777777" w:rsidR="00DE5731" w:rsidRPr="000B6C37" w:rsidRDefault="00DE5731" w:rsidP="00AB6740"/>
    <w:p w14:paraId="723FC08A" w14:textId="77777777" w:rsidR="00DE5731" w:rsidRPr="000B6C37" w:rsidRDefault="00DE5731" w:rsidP="00AB6740">
      <w:pPr>
        <w:pStyle w:val="Title"/>
        <w:rPr>
          <w:sz w:val="32"/>
          <w:szCs w:val="32"/>
        </w:rPr>
      </w:pPr>
      <w:r w:rsidRPr="000B6C37">
        <w:rPr>
          <w:sz w:val="32"/>
          <w:szCs w:val="32"/>
        </w:rPr>
        <w:t>Regulamento Operativo</w:t>
      </w:r>
    </w:p>
    <w:p w14:paraId="12CA717C" w14:textId="77777777" w:rsidR="00DE5731" w:rsidRPr="000B6C37" w:rsidRDefault="00DE5731" w:rsidP="00AB6740">
      <w:pPr>
        <w:rPr>
          <w:rFonts w:eastAsia="Cambria"/>
        </w:rPr>
      </w:pPr>
    </w:p>
    <w:p w14:paraId="7B70658E" w14:textId="6DB79FE4" w:rsidR="00DE5731" w:rsidRPr="000B6C37" w:rsidRDefault="00DE5731" w:rsidP="00AB6740">
      <w:pPr>
        <w:rPr>
          <w:rFonts w:eastAsia="Cambria"/>
        </w:rPr>
      </w:pPr>
    </w:p>
    <w:p w14:paraId="387DE5CA" w14:textId="50E548E1" w:rsidR="0014392D" w:rsidRPr="000B6C37" w:rsidRDefault="0014392D" w:rsidP="00AB6740">
      <w:pPr>
        <w:rPr>
          <w:rFonts w:eastAsia="Cambria"/>
        </w:rPr>
      </w:pPr>
    </w:p>
    <w:p w14:paraId="0729B90E" w14:textId="77777777" w:rsidR="0014392D" w:rsidRPr="000B6C37" w:rsidRDefault="0014392D" w:rsidP="00AB6740">
      <w:pPr>
        <w:rPr>
          <w:rFonts w:eastAsia="Cambria"/>
        </w:rPr>
      </w:pPr>
    </w:p>
    <w:p w14:paraId="3DEA49AA" w14:textId="77777777" w:rsidR="00B17B33" w:rsidRPr="000B6C37" w:rsidRDefault="00B17B33" w:rsidP="00AB6740">
      <w:pPr>
        <w:rPr>
          <w:rFonts w:eastAsia="Cambria"/>
        </w:rPr>
      </w:pPr>
    </w:p>
    <w:p w14:paraId="156A4D27" w14:textId="1766F7EA" w:rsidR="0004484F" w:rsidRPr="000B6C37" w:rsidRDefault="00B17B33" w:rsidP="00AB6740">
      <w:pPr>
        <w:pStyle w:val="Title"/>
        <w:rPr>
          <w:sz w:val="32"/>
          <w:szCs w:val="32"/>
        </w:rPr>
      </w:pPr>
      <w:r w:rsidRPr="000B6C37">
        <w:rPr>
          <w:rFonts w:eastAsia="Cambria"/>
          <w:sz w:val="32"/>
          <w:szCs w:val="32"/>
        </w:rPr>
        <w:t xml:space="preserve">Primeira Operação Individual: Programa de </w:t>
      </w:r>
      <w:r w:rsidR="000A3342">
        <w:rPr>
          <w:rFonts w:eastAsia="Cambria"/>
          <w:sz w:val="32"/>
          <w:szCs w:val="32"/>
        </w:rPr>
        <w:t xml:space="preserve">Ampliação e </w:t>
      </w:r>
      <w:r w:rsidRPr="000B6C37">
        <w:rPr>
          <w:rFonts w:eastAsia="Cambria"/>
          <w:sz w:val="32"/>
          <w:szCs w:val="32"/>
        </w:rPr>
        <w:t xml:space="preserve">Modernização </w:t>
      </w:r>
      <w:r w:rsidR="000A3342">
        <w:rPr>
          <w:rFonts w:eastAsia="Cambria"/>
          <w:sz w:val="32"/>
          <w:szCs w:val="32"/>
        </w:rPr>
        <w:t>do Sistema Prisional</w:t>
      </w:r>
      <w:r w:rsidRPr="000B6C37">
        <w:rPr>
          <w:sz w:val="32"/>
          <w:szCs w:val="32"/>
        </w:rPr>
        <w:t xml:space="preserve"> do Espírito Santo – Moderniza</w:t>
      </w:r>
      <w:r w:rsidR="005A1276">
        <w:rPr>
          <w:sz w:val="32"/>
          <w:szCs w:val="32"/>
        </w:rPr>
        <w:t>-</w:t>
      </w:r>
      <w:r w:rsidRPr="000B6C37">
        <w:rPr>
          <w:sz w:val="32"/>
          <w:szCs w:val="32"/>
        </w:rPr>
        <w:t>E</w:t>
      </w:r>
      <w:r w:rsidR="00A901D7" w:rsidRPr="000B6C37">
        <w:rPr>
          <w:sz w:val="32"/>
          <w:szCs w:val="32"/>
        </w:rPr>
        <w:t>S</w:t>
      </w:r>
      <w:r w:rsidRPr="000B6C37">
        <w:rPr>
          <w:sz w:val="32"/>
          <w:szCs w:val="32"/>
        </w:rPr>
        <w:t xml:space="preserve"> </w:t>
      </w:r>
    </w:p>
    <w:p w14:paraId="7373F5D7" w14:textId="77777777" w:rsidR="0004484F" w:rsidRPr="000B6C37" w:rsidRDefault="0004484F" w:rsidP="008748DA">
      <w:pPr>
        <w:pStyle w:val="BodyText"/>
      </w:pPr>
    </w:p>
    <w:p w14:paraId="6DB6D100" w14:textId="2A1E9CD9" w:rsidR="00D75851" w:rsidRPr="000B6C37" w:rsidRDefault="00B17B33" w:rsidP="00AB6740">
      <w:pPr>
        <w:pStyle w:val="Title"/>
        <w:rPr>
          <w:sz w:val="32"/>
          <w:szCs w:val="32"/>
        </w:rPr>
      </w:pPr>
      <w:r w:rsidRPr="000B6C37">
        <w:rPr>
          <w:sz w:val="32"/>
          <w:szCs w:val="32"/>
        </w:rPr>
        <w:t>(BR-L1545)</w:t>
      </w:r>
    </w:p>
    <w:p w14:paraId="4579328A" w14:textId="197CEA82" w:rsidR="009C7009" w:rsidRPr="000B6C37" w:rsidRDefault="009C7009" w:rsidP="00AB6740"/>
    <w:p w14:paraId="1918A0D8" w14:textId="77777777" w:rsidR="0014392D" w:rsidRPr="000B6C37" w:rsidRDefault="0014392D" w:rsidP="00AB6740"/>
    <w:p w14:paraId="096CA29D" w14:textId="77777777" w:rsidR="00DE5731" w:rsidRPr="000B6C37" w:rsidRDefault="00DE5731" w:rsidP="00AB6740"/>
    <w:p w14:paraId="27A71410" w14:textId="5FA5DF5D" w:rsidR="00DE5731" w:rsidRPr="000B6C37" w:rsidRDefault="00DE5731" w:rsidP="00AB6740">
      <w:pPr>
        <w:pStyle w:val="Title"/>
        <w:rPr>
          <w:sz w:val="32"/>
          <w:szCs w:val="32"/>
        </w:rPr>
      </w:pPr>
      <w:r w:rsidRPr="000B6C37">
        <w:rPr>
          <w:sz w:val="32"/>
          <w:szCs w:val="32"/>
        </w:rPr>
        <w:t xml:space="preserve">Contrato de Empréstimo </w:t>
      </w:r>
      <w:r w:rsidR="00DF09A5" w:rsidRPr="000B6C37">
        <w:rPr>
          <w:sz w:val="32"/>
          <w:szCs w:val="32"/>
        </w:rPr>
        <w:t>(</w:t>
      </w:r>
      <w:r w:rsidR="00651389" w:rsidRPr="000B6C37">
        <w:rPr>
          <w:sz w:val="32"/>
          <w:szCs w:val="32"/>
        </w:rPr>
        <w:t>_____</w:t>
      </w:r>
      <w:r w:rsidR="00DF09A5" w:rsidRPr="000B6C37">
        <w:rPr>
          <w:sz w:val="32"/>
          <w:szCs w:val="32"/>
        </w:rPr>
        <w:t>/OC-BR</w:t>
      </w:r>
      <w:r w:rsidR="00D75851" w:rsidRPr="000B6C37">
        <w:rPr>
          <w:sz w:val="32"/>
          <w:szCs w:val="32"/>
        </w:rPr>
        <w:t>)</w:t>
      </w:r>
    </w:p>
    <w:p w14:paraId="4FB97809" w14:textId="77777777" w:rsidR="0000334A" w:rsidRPr="000B6C37" w:rsidRDefault="0000334A" w:rsidP="00AB6740"/>
    <w:p w14:paraId="193EE363" w14:textId="77777777" w:rsidR="0000334A" w:rsidRPr="000B6C37" w:rsidRDefault="0000334A" w:rsidP="00AB6740"/>
    <w:p w14:paraId="1CA618F2" w14:textId="48BEC55C" w:rsidR="0000334A" w:rsidRPr="000B6C37" w:rsidRDefault="007D6B4D" w:rsidP="00AB6740">
      <w:pPr>
        <w:pStyle w:val="Title"/>
        <w:rPr>
          <w:sz w:val="32"/>
          <w:szCs w:val="32"/>
        </w:rPr>
      </w:pPr>
      <w:r>
        <w:rPr>
          <w:sz w:val="32"/>
          <w:szCs w:val="32"/>
        </w:rPr>
        <w:t>Agosto</w:t>
      </w:r>
      <w:r w:rsidRPr="000B6C37">
        <w:rPr>
          <w:sz w:val="32"/>
          <w:szCs w:val="32"/>
        </w:rPr>
        <w:t xml:space="preserve"> </w:t>
      </w:r>
      <w:r w:rsidR="0000334A" w:rsidRPr="000B6C37">
        <w:rPr>
          <w:sz w:val="32"/>
          <w:szCs w:val="32"/>
        </w:rPr>
        <w:t>20</w:t>
      </w:r>
      <w:r w:rsidR="00D75851" w:rsidRPr="000B6C37">
        <w:rPr>
          <w:sz w:val="32"/>
          <w:szCs w:val="32"/>
        </w:rPr>
        <w:t>20</w:t>
      </w:r>
    </w:p>
    <w:p w14:paraId="2B17B66F" w14:textId="77777777" w:rsidR="00DE5731" w:rsidRPr="000B6C37" w:rsidRDefault="00DE5731" w:rsidP="00AB6740">
      <w:pPr>
        <w:rPr>
          <w:sz w:val="32"/>
          <w:szCs w:val="32"/>
        </w:rPr>
      </w:pPr>
    </w:p>
    <w:p w14:paraId="47BE94D8" w14:textId="77777777" w:rsidR="00DE5731" w:rsidRPr="000B6C37" w:rsidRDefault="00DE5731" w:rsidP="00AB6740"/>
    <w:p w14:paraId="43CAD02D" w14:textId="77777777" w:rsidR="00DE5731" w:rsidRPr="000B6C37" w:rsidRDefault="00DE5731" w:rsidP="00AB6740"/>
    <w:p w14:paraId="56A11587" w14:textId="77777777" w:rsidR="00DE5731" w:rsidRPr="000B6C37" w:rsidRDefault="00DE5731" w:rsidP="00AB6740"/>
    <w:p w14:paraId="7F3D359B" w14:textId="77777777" w:rsidR="00DE5731" w:rsidRPr="000B6C37" w:rsidRDefault="00DE5731" w:rsidP="00AB6740">
      <w:pPr>
        <w:sectPr w:rsidR="00DE5731" w:rsidRPr="000B6C37" w:rsidSect="00DD78DD">
          <w:headerReference w:type="default" r:id="rId8"/>
          <w:footerReference w:type="even" r:id="rId9"/>
          <w:headerReference w:type="first" r:id="rId10"/>
          <w:footerReference w:type="first" r:id="rId11"/>
          <w:pgSz w:w="11907" w:h="16840" w:code="9"/>
          <w:pgMar w:top="1134" w:right="1418" w:bottom="1134" w:left="1418" w:header="284" w:footer="284" w:gutter="0"/>
          <w:cols w:space="720"/>
          <w:titlePg/>
          <w:docGrid w:linePitch="272"/>
        </w:sectPr>
      </w:pPr>
    </w:p>
    <w:p w14:paraId="64C2C1E9" w14:textId="73D3FBE0" w:rsidR="00B51E3E" w:rsidRDefault="00AB6740">
      <w:pPr>
        <w:pStyle w:val="TOC1"/>
        <w:tabs>
          <w:tab w:val="left" w:pos="567"/>
        </w:tabs>
        <w:rPr>
          <w:rFonts w:asciiTheme="minorHAnsi" w:eastAsiaTheme="minorEastAsia" w:hAnsiTheme="minorHAnsi" w:cstheme="minorBidi"/>
          <w:noProof/>
          <w:sz w:val="22"/>
          <w:lang w:val="es-UY" w:eastAsia="es-UY"/>
        </w:rPr>
      </w:pPr>
      <w:r w:rsidRPr="0012513F">
        <w:lastRenderedPageBreak/>
        <w:fldChar w:fldCharType="begin"/>
      </w:r>
      <w:r w:rsidRPr="000B6C37">
        <w:instrText xml:space="preserve"> TOC \o "2-2" \h \z \t "Heading 1,1,Heading 3,3" </w:instrText>
      </w:r>
      <w:r w:rsidRPr="0012513F">
        <w:fldChar w:fldCharType="separate"/>
      </w:r>
      <w:hyperlink w:anchor="_Toc45546106" w:history="1">
        <w:r w:rsidR="00B51E3E" w:rsidRPr="008A2870">
          <w:rPr>
            <w:rStyle w:val="Hyperlink"/>
            <w:noProof/>
          </w:rPr>
          <w:t>I.</w:t>
        </w:r>
        <w:r w:rsidR="00B51E3E">
          <w:rPr>
            <w:rFonts w:asciiTheme="minorHAnsi" w:eastAsiaTheme="minorEastAsia" w:hAnsiTheme="minorHAnsi" w:cstheme="minorBidi"/>
            <w:noProof/>
            <w:sz w:val="22"/>
            <w:lang w:val="es-UY" w:eastAsia="es-UY"/>
          </w:rPr>
          <w:tab/>
        </w:r>
        <w:r w:rsidR="00B51E3E" w:rsidRPr="008A2870">
          <w:rPr>
            <w:rStyle w:val="Hyperlink"/>
            <w:noProof/>
          </w:rPr>
          <w:t>Apresentação</w:t>
        </w:r>
        <w:r w:rsidR="00B51E3E">
          <w:rPr>
            <w:noProof/>
            <w:webHidden/>
          </w:rPr>
          <w:tab/>
        </w:r>
        <w:r w:rsidR="00B51E3E">
          <w:rPr>
            <w:noProof/>
            <w:webHidden/>
          </w:rPr>
          <w:fldChar w:fldCharType="begin"/>
        </w:r>
        <w:r w:rsidR="00B51E3E">
          <w:rPr>
            <w:noProof/>
            <w:webHidden/>
          </w:rPr>
          <w:instrText xml:space="preserve"> PAGEREF _Toc45546106 \h </w:instrText>
        </w:r>
        <w:r w:rsidR="00B51E3E">
          <w:rPr>
            <w:noProof/>
            <w:webHidden/>
          </w:rPr>
        </w:r>
        <w:r w:rsidR="00B51E3E">
          <w:rPr>
            <w:noProof/>
            <w:webHidden/>
          </w:rPr>
          <w:fldChar w:fldCharType="separate"/>
        </w:r>
        <w:r w:rsidR="00B51E3E">
          <w:rPr>
            <w:noProof/>
            <w:webHidden/>
          </w:rPr>
          <w:t>3</w:t>
        </w:r>
        <w:r w:rsidR="00B51E3E">
          <w:rPr>
            <w:noProof/>
            <w:webHidden/>
          </w:rPr>
          <w:fldChar w:fldCharType="end"/>
        </w:r>
      </w:hyperlink>
    </w:p>
    <w:p w14:paraId="1E95F8F0" w14:textId="59B7BD73" w:rsidR="00B51E3E" w:rsidRDefault="00540A29">
      <w:pPr>
        <w:pStyle w:val="TOC1"/>
        <w:tabs>
          <w:tab w:val="left" w:pos="567"/>
        </w:tabs>
        <w:rPr>
          <w:rFonts w:asciiTheme="minorHAnsi" w:eastAsiaTheme="minorEastAsia" w:hAnsiTheme="minorHAnsi" w:cstheme="minorBidi"/>
          <w:noProof/>
          <w:sz w:val="22"/>
          <w:lang w:val="es-UY" w:eastAsia="es-UY"/>
        </w:rPr>
      </w:pPr>
      <w:hyperlink w:anchor="_Toc45546107" w:history="1">
        <w:r w:rsidR="00B51E3E" w:rsidRPr="008A2870">
          <w:rPr>
            <w:rStyle w:val="Hyperlink"/>
            <w:noProof/>
          </w:rPr>
          <w:t>II.</w:t>
        </w:r>
        <w:r w:rsidR="00B51E3E">
          <w:rPr>
            <w:rFonts w:asciiTheme="minorHAnsi" w:eastAsiaTheme="minorEastAsia" w:hAnsiTheme="minorHAnsi" w:cstheme="minorBidi"/>
            <w:noProof/>
            <w:sz w:val="22"/>
            <w:lang w:val="es-UY" w:eastAsia="es-UY"/>
          </w:rPr>
          <w:tab/>
        </w:r>
        <w:r w:rsidR="00B51E3E" w:rsidRPr="008A2870">
          <w:rPr>
            <w:rStyle w:val="Hyperlink"/>
            <w:noProof/>
          </w:rPr>
          <w:t>DESCRIÇÃO DO PROJETO</w:t>
        </w:r>
        <w:r w:rsidR="00B51E3E">
          <w:rPr>
            <w:noProof/>
            <w:webHidden/>
          </w:rPr>
          <w:tab/>
        </w:r>
        <w:r w:rsidR="00B51E3E">
          <w:rPr>
            <w:noProof/>
            <w:webHidden/>
          </w:rPr>
          <w:fldChar w:fldCharType="begin"/>
        </w:r>
        <w:r w:rsidR="00B51E3E">
          <w:rPr>
            <w:noProof/>
            <w:webHidden/>
          </w:rPr>
          <w:instrText xml:space="preserve"> PAGEREF _Toc45546107 \h </w:instrText>
        </w:r>
        <w:r w:rsidR="00B51E3E">
          <w:rPr>
            <w:noProof/>
            <w:webHidden/>
          </w:rPr>
        </w:r>
        <w:r w:rsidR="00B51E3E">
          <w:rPr>
            <w:noProof/>
            <w:webHidden/>
          </w:rPr>
          <w:fldChar w:fldCharType="separate"/>
        </w:r>
        <w:r w:rsidR="00B51E3E">
          <w:rPr>
            <w:noProof/>
            <w:webHidden/>
          </w:rPr>
          <w:t>3</w:t>
        </w:r>
        <w:r w:rsidR="00B51E3E">
          <w:rPr>
            <w:noProof/>
            <w:webHidden/>
          </w:rPr>
          <w:fldChar w:fldCharType="end"/>
        </w:r>
      </w:hyperlink>
    </w:p>
    <w:p w14:paraId="7A7BDB3D" w14:textId="04A20242" w:rsidR="00B51E3E" w:rsidRDefault="00540A29">
      <w:pPr>
        <w:pStyle w:val="TOC2"/>
        <w:rPr>
          <w:rFonts w:asciiTheme="minorHAnsi" w:eastAsiaTheme="minorEastAsia" w:hAnsiTheme="minorHAnsi" w:cstheme="minorBidi"/>
          <w:noProof/>
          <w:sz w:val="22"/>
          <w:lang w:val="es-UY" w:eastAsia="es-UY"/>
        </w:rPr>
      </w:pPr>
      <w:hyperlink w:anchor="_Toc45546108" w:history="1">
        <w:r w:rsidR="00B51E3E" w:rsidRPr="008A2870">
          <w:rPr>
            <w:rStyle w:val="Hyperlink"/>
            <w:rFonts w:eastAsia="Arial"/>
            <w:noProof/>
          </w:rPr>
          <w:t>A.</w:t>
        </w:r>
        <w:r w:rsidR="00B51E3E">
          <w:rPr>
            <w:rFonts w:asciiTheme="minorHAnsi" w:eastAsiaTheme="minorEastAsia" w:hAnsiTheme="minorHAnsi" w:cstheme="minorBidi"/>
            <w:noProof/>
            <w:sz w:val="22"/>
            <w:lang w:val="es-UY" w:eastAsia="es-UY"/>
          </w:rPr>
          <w:tab/>
        </w:r>
        <w:r w:rsidR="00B51E3E" w:rsidRPr="008A2870">
          <w:rPr>
            <w:rStyle w:val="Hyperlink"/>
            <w:rFonts w:eastAsia="Arial"/>
            <w:noProof/>
          </w:rPr>
          <w:t>Contexto</w:t>
        </w:r>
        <w:r w:rsidR="00B51E3E">
          <w:rPr>
            <w:noProof/>
            <w:webHidden/>
          </w:rPr>
          <w:tab/>
        </w:r>
        <w:r w:rsidR="00B51E3E">
          <w:rPr>
            <w:noProof/>
            <w:webHidden/>
          </w:rPr>
          <w:fldChar w:fldCharType="begin"/>
        </w:r>
        <w:r w:rsidR="00B51E3E">
          <w:rPr>
            <w:noProof/>
            <w:webHidden/>
          </w:rPr>
          <w:instrText xml:space="preserve"> PAGEREF _Toc45546108 \h </w:instrText>
        </w:r>
        <w:r w:rsidR="00B51E3E">
          <w:rPr>
            <w:noProof/>
            <w:webHidden/>
          </w:rPr>
        </w:r>
        <w:r w:rsidR="00B51E3E">
          <w:rPr>
            <w:noProof/>
            <w:webHidden/>
          </w:rPr>
          <w:fldChar w:fldCharType="separate"/>
        </w:r>
        <w:r w:rsidR="00B51E3E">
          <w:rPr>
            <w:noProof/>
            <w:webHidden/>
          </w:rPr>
          <w:t>3</w:t>
        </w:r>
        <w:r w:rsidR="00B51E3E">
          <w:rPr>
            <w:noProof/>
            <w:webHidden/>
          </w:rPr>
          <w:fldChar w:fldCharType="end"/>
        </w:r>
      </w:hyperlink>
    </w:p>
    <w:p w14:paraId="7C969B02" w14:textId="5426CC67" w:rsidR="00B51E3E" w:rsidRDefault="00540A29">
      <w:pPr>
        <w:pStyle w:val="TOC2"/>
        <w:rPr>
          <w:rFonts w:asciiTheme="minorHAnsi" w:eastAsiaTheme="minorEastAsia" w:hAnsiTheme="minorHAnsi" w:cstheme="minorBidi"/>
          <w:noProof/>
          <w:sz w:val="22"/>
          <w:lang w:val="es-UY" w:eastAsia="es-UY"/>
        </w:rPr>
      </w:pPr>
      <w:hyperlink w:anchor="_Toc45546109" w:history="1">
        <w:r w:rsidR="00B51E3E" w:rsidRPr="008A2870">
          <w:rPr>
            <w:rStyle w:val="Hyperlink"/>
            <w:rFonts w:eastAsia="Arial"/>
            <w:noProof/>
          </w:rPr>
          <w:t>B.</w:t>
        </w:r>
        <w:r w:rsidR="00B51E3E">
          <w:rPr>
            <w:rFonts w:asciiTheme="minorHAnsi" w:eastAsiaTheme="minorEastAsia" w:hAnsiTheme="minorHAnsi" w:cstheme="minorBidi"/>
            <w:noProof/>
            <w:sz w:val="22"/>
            <w:lang w:val="es-UY" w:eastAsia="es-UY"/>
          </w:rPr>
          <w:tab/>
        </w:r>
        <w:r w:rsidR="00B51E3E" w:rsidRPr="008A2870">
          <w:rPr>
            <w:rStyle w:val="Hyperlink"/>
            <w:rFonts w:eastAsia="Arial"/>
            <w:noProof/>
          </w:rPr>
          <w:t>Objetivos do projeto</w:t>
        </w:r>
        <w:r w:rsidR="00B51E3E">
          <w:rPr>
            <w:noProof/>
            <w:webHidden/>
          </w:rPr>
          <w:tab/>
        </w:r>
        <w:r w:rsidR="00B51E3E">
          <w:rPr>
            <w:noProof/>
            <w:webHidden/>
          </w:rPr>
          <w:fldChar w:fldCharType="begin"/>
        </w:r>
        <w:r w:rsidR="00B51E3E">
          <w:rPr>
            <w:noProof/>
            <w:webHidden/>
          </w:rPr>
          <w:instrText xml:space="preserve"> PAGEREF _Toc45546109 \h </w:instrText>
        </w:r>
        <w:r w:rsidR="00B51E3E">
          <w:rPr>
            <w:noProof/>
            <w:webHidden/>
          </w:rPr>
        </w:r>
        <w:r w:rsidR="00B51E3E">
          <w:rPr>
            <w:noProof/>
            <w:webHidden/>
          </w:rPr>
          <w:fldChar w:fldCharType="separate"/>
        </w:r>
        <w:r w:rsidR="00B51E3E">
          <w:rPr>
            <w:noProof/>
            <w:webHidden/>
          </w:rPr>
          <w:t>5</w:t>
        </w:r>
        <w:r w:rsidR="00B51E3E">
          <w:rPr>
            <w:noProof/>
            <w:webHidden/>
          </w:rPr>
          <w:fldChar w:fldCharType="end"/>
        </w:r>
      </w:hyperlink>
    </w:p>
    <w:p w14:paraId="38C592A3" w14:textId="4EF6575E" w:rsidR="00B51E3E" w:rsidRDefault="00540A29">
      <w:pPr>
        <w:pStyle w:val="TOC2"/>
        <w:rPr>
          <w:rFonts w:asciiTheme="minorHAnsi" w:eastAsiaTheme="minorEastAsia" w:hAnsiTheme="minorHAnsi" w:cstheme="minorBidi"/>
          <w:noProof/>
          <w:sz w:val="22"/>
          <w:lang w:val="es-UY" w:eastAsia="es-UY"/>
        </w:rPr>
      </w:pPr>
      <w:hyperlink w:anchor="_Toc45546110" w:history="1">
        <w:r w:rsidR="00B51E3E" w:rsidRPr="008A2870">
          <w:rPr>
            <w:rStyle w:val="Hyperlink"/>
            <w:noProof/>
          </w:rPr>
          <w:t>C.</w:t>
        </w:r>
        <w:r w:rsidR="00B51E3E">
          <w:rPr>
            <w:rFonts w:asciiTheme="minorHAnsi" w:eastAsiaTheme="minorEastAsia" w:hAnsiTheme="minorHAnsi" w:cstheme="minorBidi"/>
            <w:noProof/>
            <w:sz w:val="22"/>
            <w:lang w:val="es-UY" w:eastAsia="es-UY"/>
          </w:rPr>
          <w:tab/>
        </w:r>
        <w:r w:rsidR="00B51E3E" w:rsidRPr="008A2870">
          <w:rPr>
            <w:rStyle w:val="Hyperlink"/>
            <w:noProof/>
          </w:rPr>
          <w:t>Descrição do projeto</w:t>
        </w:r>
        <w:r w:rsidR="00B51E3E">
          <w:rPr>
            <w:noProof/>
            <w:webHidden/>
          </w:rPr>
          <w:tab/>
        </w:r>
        <w:r w:rsidR="00B51E3E">
          <w:rPr>
            <w:noProof/>
            <w:webHidden/>
          </w:rPr>
          <w:fldChar w:fldCharType="begin"/>
        </w:r>
        <w:r w:rsidR="00B51E3E">
          <w:rPr>
            <w:noProof/>
            <w:webHidden/>
          </w:rPr>
          <w:instrText xml:space="preserve"> PAGEREF _Toc45546110 \h </w:instrText>
        </w:r>
        <w:r w:rsidR="00B51E3E">
          <w:rPr>
            <w:noProof/>
            <w:webHidden/>
          </w:rPr>
        </w:r>
        <w:r w:rsidR="00B51E3E">
          <w:rPr>
            <w:noProof/>
            <w:webHidden/>
          </w:rPr>
          <w:fldChar w:fldCharType="separate"/>
        </w:r>
        <w:r w:rsidR="00B51E3E">
          <w:rPr>
            <w:noProof/>
            <w:webHidden/>
          </w:rPr>
          <w:t>5</w:t>
        </w:r>
        <w:r w:rsidR="00B51E3E">
          <w:rPr>
            <w:noProof/>
            <w:webHidden/>
          </w:rPr>
          <w:fldChar w:fldCharType="end"/>
        </w:r>
      </w:hyperlink>
    </w:p>
    <w:p w14:paraId="0E975B3F" w14:textId="51B0F435" w:rsidR="00B51E3E" w:rsidRDefault="00540A29">
      <w:pPr>
        <w:pStyle w:val="TOC2"/>
        <w:rPr>
          <w:rFonts w:asciiTheme="minorHAnsi" w:eastAsiaTheme="minorEastAsia" w:hAnsiTheme="minorHAnsi" w:cstheme="minorBidi"/>
          <w:noProof/>
          <w:sz w:val="22"/>
          <w:lang w:val="es-UY" w:eastAsia="es-UY"/>
        </w:rPr>
      </w:pPr>
      <w:hyperlink w:anchor="_Toc45546111" w:history="1">
        <w:r w:rsidR="00B51E3E" w:rsidRPr="008A2870">
          <w:rPr>
            <w:rStyle w:val="Hyperlink"/>
            <w:noProof/>
          </w:rPr>
          <w:t>D.</w:t>
        </w:r>
        <w:r w:rsidR="00B51E3E">
          <w:rPr>
            <w:rFonts w:asciiTheme="minorHAnsi" w:eastAsiaTheme="minorEastAsia" w:hAnsiTheme="minorHAnsi" w:cstheme="minorBidi"/>
            <w:noProof/>
            <w:sz w:val="22"/>
            <w:lang w:val="es-UY" w:eastAsia="es-UY"/>
          </w:rPr>
          <w:tab/>
        </w:r>
        <w:r w:rsidR="00B51E3E" w:rsidRPr="008A2870">
          <w:rPr>
            <w:rStyle w:val="Hyperlink"/>
            <w:noProof/>
          </w:rPr>
          <w:t>Prazo de execução do Projeto</w:t>
        </w:r>
        <w:r w:rsidR="00B51E3E">
          <w:rPr>
            <w:noProof/>
            <w:webHidden/>
          </w:rPr>
          <w:tab/>
        </w:r>
        <w:r w:rsidR="00B51E3E">
          <w:rPr>
            <w:noProof/>
            <w:webHidden/>
          </w:rPr>
          <w:fldChar w:fldCharType="begin"/>
        </w:r>
        <w:r w:rsidR="00B51E3E">
          <w:rPr>
            <w:noProof/>
            <w:webHidden/>
          </w:rPr>
          <w:instrText xml:space="preserve"> PAGEREF _Toc45546111 \h </w:instrText>
        </w:r>
        <w:r w:rsidR="00B51E3E">
          <w:rPr>
            <w:noProof/>
            <w:webHidden/>
          </w:rPr>
        </w:r>
        <w:r w:rsidR="00B51E3E">
          <w:rPr>
            <w:noProof/>
            <w:webHidden/>
          </w:rPr>
          <w:fldChar w:fldCharType="separate"/>
        </w:r>
        <w:r w:rsidR="00B51E3E">
          <w:rPr>
            <w:noProof/>
            <w:webHidden/>
          </w:rPr>
          <w:t>9</w:t>
        </w:r>
        <w:r w:rsidR="00B51E3E">
          <w:rPr>
            <w:noProof/>
            <w:webHidden/>
          </w:rPr>
          <w:fldChar w:fldCharType="end"/>
        </w:r>
      </w:hyperlink>
    </w:p>
    <w:p w14:paraId="5F94462B" w14:textId="0490C1B9" w:rsidR="00B51E3E" w:rsidRDefault="00540A29">
      <w:pPr>
        <w:pStyle w:val="TOC2"/>
        <w:rPr>
          <w:rFonts w:asciiTheme="minorHAnsi" w:eastAsiaTheme="minorEastAsia" w:hAnsiTheme="minorHAnsi" w:cstheme="minorBidi"/>
          <w:noProof/>
          <w:sz w:val="22"/>
          <w:lang w:val="es-UY" w:eastAsia="es-UY"/>
        </w:rPr>
      </w:pPr>
      <w:hyperlink w:anchor="_Toc45546112" w:history="1">
        <w:r w:rsidR="00B51E3E" w:rsidRPr="008A2870">
          <w:rPr>
            <w:rStyle w:val="Hyperlink"/>
            <w:noProof/>
          </w:rPr>
          <w:t>E.</w:t>
        </w:r>
        <w:r w:rsidR="00B51E3E">
          <w:rPr>
            <w:rFonts w:asciiTheme="minorHAnsi" w:eastAsiaTheme="minorEastAsia" w:hAnsiTheme="minorHAnsi" w:cstheme="minorBidi"/>
            <w:noProof/>
            <w:sz w:val="22"/>
            <w:lang w:val="es-UY" w:eastAsia="es-UY"/>
          </w:rPr>
          <w:tab/>
        </w:r>
        <w:r w:rsidR="00B51E3E" w:rsidRPr="008A2870">
          <w:rPr>
            <w:rStyle w:val="Hyperlink"/>
            <w:noProof/>
          </w:rPr>
          <w:t>Prazo para início das obras e para desembolsos</w:t>
        </w:r>
        <w:r w:rsidR="00B51E3E">
          <w:rPr>
            <w:noProof/>
            <w:webHidden/>
          </w:rPr>
          <w:tab/>
        </w:r>
        <w:r w:rsidR="00B51E3E">
          <w:rPr>
            <w:noProof/>
            <w:webHidden/>
          </w:rPr>
          <w:fldChar w:fldCharType="begin"/>
        </w:r>
        <w:r w:rsidR="00B51E3E">
          <w:rPr>
            <w:noProof/>
            <w:webHidden/>
          </w:rPr>
          <w:instrText xml:space="preserve"> PAGEREF _Toc45546112 \h </w:instrText>
        </w:r>
        <w:r w:rsidR="00B51E3E">
          <w:rPr>
            <w:noProof/>
            <w:webHidden/>
          </w:rPr>
        </w:r>
        <w:r w:rsidR="00B51E3E">
          <w:rPr>
            <w:noProof/>
            <w:webHidden/>
          </w:rPr>
          <w:fldChar w:fldCharType="separate"/>
        </w:r>
        <w:r w:rsidR="00B51E3E">
          <w:rPr>
            <w:noProof/>
            <w:webHidden/>
          </w:rPr>
          <w:t>9</w:t>
        </w:r>
        <w:r w:rsidR="00B51E3E">
          <w:rPr>
            <w:noProof/>
            <w:webHidden/>
          </w:rPr>
          <w:fldChar w:fldCharType="end"/>
        </w:r>
      </w:hyperlink>
    </w:p>
    <w:p w14:paraId="5654C7FF" w14:textId="2B61691A" w:rsidR="00B51E3E" w:rsidRDefault="00540A29">
      <w:pPr>
        <w:pStyle w:val="TOC1"/>
        <w:tabs>
          <w:tab w:val="left" w:pos="567"/>
        </w:tabs>
        <w:rPr>
          <w:rFonts w:asciiTheme="minorHAnsi" w:eastAsiaTheme="minorEastAsia" w:hAnsiTheme="minorHAnsi" w:cstheme="minorBidi"/>
          <w:noProof/>
          <w:sz w:val="22"/>
          <w:lang w:val="es-UY" w:eastAsia="es-UY"/>
        </w:rPr>
      </w:pPr>
      <w:hyperlink w:anchor="_Toc45546113" w:history="1">
        <w:r w:rsidR="00B51E3E" w:rsidRPr="008A2870">
          <w:rPr>
            <w:rStyle w:val="Hyperlink"/>
            <w:noProof/>
          </w:rPr>
          <w:t>III.</w:t>
        </w:r>
        <w:r w:rsidR="00B51E3E">
          <w:rPr>
            <w:rFonts w:asciiTheme="minorHAnsi" w:eastAsiaTheme="minorEastAsia" w:hAnsiTheme="minorHAnsi" w:cstheme="minorBidi"/>
            <w:noProof/>
            <w:sz w:val="22"/>
            <w:lang w:val="es-UY" w:eastAsia="es-UY"/>
          </w:rPr>
          <w:tab/>
        </w:r>
        <w:r w:rsidR="00B51E3E" w:rsidRPr="008A2870">
          <w:rPr>
            <w:rStyle w:val="Hyperlink"/>
            <w:noProof/>
          </w:rPr>
          <w:t>ESQUEMA DE EXECUÇÃO</w:t>
        </w:r>
        <w:r w:rsidR="00B51E3E">
          <w:rPr>
            <w:noProof/>
            <w:webHidden/>
          </w:rPr>
          <w:tab/>
        </w:r>
        <w:r w:rsidR="00B51E3E">
          <w:rPr>
            <w:noProof/>
            <w:webHidden/>
          </w:rPr>
          <w:fldChar w:fldCharType="begin"/>
        </w:r>
        <w:r w:rsidR="00B51E3E">
          <w:rPr>
            <w:noProof/>
            <w:webHidden/>
          </w:rPr>
          <w:instrText xml:space="preserve"> PAGEREF _Toc45546113 \h </w:instrText>
        </w:r>
        <w:r w:rsidR="00B51E3E">
          <w:rPr>
            <w:noProof/>
            <w:webHidden/>
          </w:rPr>
        </w:r>
        <w:r w:rsidR="00B51E3E">
          <w:rPr>
            <w:noProof/>
            <w:webHidden/>
          </w:rPr>
          <w:fldChar w:fldCharType="separate"/>
        </w:r>
        <w:r w:rsidR="00B51E3E">
          <w:rPr>
            <w:noProof/>
            <w:webHidden/>
          </w:rPr>
          <w:t>9</w:t>
        </w:r>
        <w:r w:rsidR="00B51E3E">
          <w:rPr>
            <w:noProof/>
            <w:webHidden/>
          </w:rPr>
          <w:fldChar w:fldCharType="end"/>
        </w:r>
      </w:hyperlink>
    </w:p>
    <w:p w14:paraId="0D895C74" w14:textId="53BA8A31" w:rsidR="00B51E3E" w:rsidRDefault="00540A29">
      <w:pPr>
        <w:pStyle w:val="TOC2"/>
        <w:rPr>
          <w:rFonts w:asciiTheme="minorHAnsi" w:eastAsiaTheme="minorEastAsia" w:hAnsiTheme="minorHAnsi" w:cstheme="minorBidi"/>
          <w:noProof/>
          <w:sz w:val="22"/>
          <w:lang w:val="es-UY" w:eastAsia="es-UY"/>
        </w:rPr>
      </w:pPr>
      <w:hyperlink w:anchor="_Toc45546114" w:history="1">
        <w:r w:rsidR="00B51E3E" w:rsidRPr="008A2870">
          <w:rPr>
            <w:rStyle w:val="Hyperlink"/>
            <w:noProof/>
          </w:rPr>
          <w:t>A.</w:t>
        </w:r>
        <w:r w:rsidR="00B51E3E">
          <w:rPr>
            <w:rFonts w:asciiTheme="minorHAnsi" w:eastAsiaTheme="minorEastAsia" w:hAnsiTheme="minorHAnsi" w:cstheme="minorBidi"/>
            <w:noProof/>
            <w:sz w:val="22"/>
            <w:lang w:val="es-UY" w:eastAsia="es-UY"/>
          </w:rPr>
          <w:tab/>
        </w:r>
        <w:r w:rsidR="00B51E3E" w:rsidRPr="008A2870">
          <w:rPr>
            <w:rStyle w:val="Hyperlink"/>
            <w:noProof/>
          </w:rPr>
          <w:t>Mutuário, Fiador Executor</w:t>
        </w:r>
        <w:r w:rsidR="00B51E3E">
          <w:rPr>
            <w:noProof/>
            <w:webHidden/>
          </w:rPr>
          <w:tab/>
        </w:r>
        <w:r w:rsidR="00B51E3E">
          <w:rPr>
            <w:noProof/>
            <w:webHidden/>
          </w:rPr>
          <w:fldChar w:fldCharType="begin"/>
        </w:r>
        <w:r w:rsidR="00B51E3E">
          <w:rPr>
            <w:noProof/>
            <w:webHidden/>
          </w:rPr>
          <w:instrText xml:space="preserve"> PAGEREF _Toc45546114 \h </w:instrText>
        </w:r>
        <w:r w:rsidR="00B51E3E">
          <w:rPr>
            <w:noProof/>
            <w:webHidden/>
          </w:rPr>
        </w:r>
        <w:r w:rsidR="00B51E3E">
          <w:rPr>
            <w:noProof/>
            <w:webHidden/>
          </w:rPr>
          <w:fldChar w:fldCharType="separate"/>
        </w:r>
        <w:r w:rsidR="00B51E3E">
          <w:rPr>
            <w:noProof/>
            <w:webHidden/>
          </w:rPr>
          <w:t>9</w:t>
        </w:r>
        <w:r w:rsidR="00B51E3E">
          <w:rPr>
            <w:noProof/>
            <w:webHidden/>
          </w:rPr>
          <w:fldChar w:fldCharType="end"/>
        </w:r>
      </w:hyperlink>
    </w:p>
    <w:p w14:paraId="69AC874F" w14:textId="7F204A0E" w:rsidR="00B51E3E" w:rsidRDefault="00540A29">
      <w:pPr>
        <w:pStyle w:val="TOC2"/>
        <w:rPr>
          <w:rFonts w:asciiTheme="minorHAnsi" w:eastAsiaTheme="minorEastAsia" w:hAnsiTheme="minorHAnsi" w:cstheme="minorBidi"/>
          <w:noProof/>
          <w:sz w:val="22"/>
          <w:lang w:val="es-UY" w:eastAsia="es-UY"/>
        </w:rPr>
      </w:pPr>
      <w:hyperlink w:anchor="_Toc45546115" w:history="1">
        <w:r w:rsidR="00B51E3E" w:rsidRPr="008A2870">
          <w:rPr>
            <w:rStyle w:val="Hyperlink"/>
            <w:noProof/>
          </w:rPr>
          <w:t>B.</w:t>
        </w:r>
        <w:r w:rsidR="00B51E3E">
          <w:rPr>
            <w:rFonts w:asciiTheme="minorHAnsi" w:eastAsiaTheme="minorEastAsia" w:hAnsiTheme="minorHAnsi" w:cstheme="minorBidi"/>
            <w:noProof/>
            <w:sz w:val="22"/>
            <w:lang w:val="es-UY" w:eastAsia="es-UY"/>
          </w:rPr>
          <w:tab/>
        </w:r>
        <w:r w:rsidR="00B51E3E" w:rsidRPr="008A2870">
          <w:rPr>
            <w:rStyle w:val="Hyperlink"/>
            <w:noProof/>
          </w:rPr>
          <w:t>Execução e Administração do Projeto</w:t>
        </w:r>
        <w:r w:rsidR="00B51E3E">
          <w:rPr>
            <w:noProof/>
            <w:webHidden/>
          </w:rPr>
          <w:tab/>
        </w:r>
        <w:r w:rsidR="00B51E3E">
          <w:rPr>
            <w:noProof/>
            <w:webHidden/>
          </w:rPr>
          <w:fldChar w:fldCharType="begin"/>
        </w:r>
        <w:r w:rsidR="00B51E3E">
          <w:rPr>
            <w:noProof/>
            <w:webHidden/>
          </w:rPr>
          <w:instrText xml:space="preserve"> PAGEREF _Toc45546115 \h </w:instrText>
        </w:r>
        <w:r w:rsidR="00B51E3E">
          <w:rPr>
            <w:noProof/>
            <w:webHidden/>
          </w:rPr>
        </w:r>
        <w:r w:rsidR="00B51E3E">
          <w:rPr>
            <w:noProof/>
            <w:webHidden/>
          </w:rPr>
          <w:fldChar w:fldCharType="separate"/>
        </w:r>
        <w:r w:rsidR="00B51E3E">
          <w:rPr>
            <w:noProof/>
            <w:webHidden/>
          </w:rPr>
          <w:t>9</w:t>
        </w:r>
        <w:r w:rsidR="00B51E3E">
          <w:rPr>
            <w:noProof/>
            <w:webHidden/>
          </w:rPr>
          <w:fldChar w:fldCharType="end"/>
        </w:r>
      </w:hyperlink>
    </w:p>
    <w:p w14:paraId="1ACFD23E" w14:textId="434CC8E4" w:rsidR="00B51E3E" w:rsidRDefault="00540A29">
      <w:pPr>
        <w:pStyle w:val="TOC2"/>
        <w:rPr>
          <w:rFonts w:asciiTheme="minorHAnsi" w:eastAsiaTheme="minorEastAsia" w:hAnsiTheme="minorHAnsi" w:cstheme="minorBidi"/>
          <w:noProof/>
          <w:sz w:val="22"/>
          <w:lang w:val="es-UY" w:eastAsia="es-UY"/>
        </w:rPr>
      </w:pPr>
      <w:hyperlink w:anchor="_Toc45546116" w:history="1">
        <w:r w:rsidR="00B51E3E" w:rsidRPr="008A2870">
          <w:rPr>
            <w:rStyle w:val="Hyperlink"/>
            <w:noProof/>
          </w:rPr>
          <w:t>C.</w:t>
        </w:r>
        <w:r w:rsidR="00B51E3E">
          <w:rPr>
            <w:rFonts w:asciiTheme="minorHAnsi" w:eastAsiaTheme="minorEastAsia" w:hAnsiTheme="minorHAnsi" w:cstheme="minorBidi"/>
            <w:noProof/>
            <w:sz w:val="22"/>
            <w:lang w:val="es-UY" w:eastAsia="es-UY"/>
          </w:rPr>
          <w:tab/>
        </w:r>
        <w:r w:rsidR="00B51E3E" w:rsidRPr="008A2870">
          <w:rPr>
            <w:rStyle w:val="Hyperlink"/>
            <w:noProof/>
          </w:rPr>
          <w:t>Unidade de Gestão do programa</w:t>
        </w:r>
        <w:r w:rsidR="00B51E3E">
          <w:rPr>
            <w:noProof/>
            <w:webHidden/>
          </w:rPr>
          <w:tab/>
        </w:r>
        <w:r w:rsidR="00B51E3E">
          <w:rPr>
            <w:noProof/>
            <w:webHidden/>
          </w:rPr>
          <w:fldChar w:fldCharType="begin"/>
        </w:r>
        <w:r w:rsidR="00B51E3E">
          <w:rPr>
            <w:noProof/>
            <w:webHidden/>
          </w:rPr>
          <w:instrText xml:space="preserve"> PAGEREF _Toc45546116 \h </w:instrText>
        </w:r>
        <w:r w:rsidR="00B51E3E">
          <w:rPr>
            <w:noProof/>
            <w:webHidden/>
          </w:rPr>
        </w:r>
        <w:r w:rsidR="00B51E3E">
          <w:rPr>
            <w:noProof/>
            <w:webHidden/>
          </w:rPr>
          <w:fldChar w:fldCharType="separate"/>
        </w:r>
        <w:r w:rsidR="00B51E3E">
          <w:rPr>
            <w:noProof/>
            <w:webHidden/>
          </w:rPr>
          <w:t>10</w:t>
        </w:r>
        <w:r w:rsidR="00B51E3E">
          <w:rPr>
            <w:noProof/>
            <w:webHidden/>
          </w:rPr>
          <w:fldChar w:fldCharType="end"/>
        </w:r>
      </w:hyperlink>
    </w:p>
    <w:p w14:paraId="31C1679F" w14:textId="202903E7" w:rsidR="00B51E3E" w:rsidRDefault="00540A29">
      <w:pPr>
        <w:pStyle w:val="TOC2"/>
        <w:rPr>
          <w:rFonts w:asciiTheme="minorHAnsi" w:eastAsiaTheme="minorEastAsia" w:hAnsiTheme="minorHAnsi" w:cstheme="minorBidi"/>
          <w:noProof/>
          <w:sz w:val="22"/>
          <w:lang w:val="es-UY" w:eastAsia="es-UY"/>
        </w:rPr>
      </w:pPr>
      <w:hyperlink w:anchor="_Toc45546117" w:history="1">
        <w:r w:rsidR="00B51E3E" w:rsidRPr="008A2870">
          <w:rPr>
            <w:rStyle w:val="Hyperlink"/>
            <w:rFonts w:eastAsia="Arial"/>
            <w:noProof/>
          </w:rPr>
          <w:t>D.</w:t>
        </w:r>
        <w:r w:rsidR="00B51E3E">
          <w:rPr>
            <w:rFonts w:asciiTheme="minorHAnsi" w:eastAsiaTheme="minorEastAsia" w:hAnsiTheme="minorHAnsi" w:cstheme="minorBidi"/>
            <w:noProof/>
            <w:sz w:val="22"/>
            <w:lang w:val="es-UY" w:eastAsia="es-UY"/>
          </w:rPr>
          <w:tab/>
        </w:r>
        <w:r w:rsidR="00B51E3E" w:rsidRPr="008A2870">
          <w:rPr>
            <w:rStyle w:val="Hyperlink"/>
            <w:rFonts w:eastAsia="Arial"/>
            <w:noProof/>
          </w:rPr>
          <w:t>Subsecretarias da SEJUS</w:t>
        </w:r>
        <w:r w:rsidR="00B51E3E">
          <w:rPr>
            <w:noProof/>
            <w:webHidden/>
          </w:rPr>
          <w:tab/>
        </w:r>
        <w:r w:rsidR="00B51E3E">
          <w:rPr>
            <w:noProof/>
            <w:webHidden/>
          </w:rPr>
          <w:fldChar w:fldCharType="begin"/>
        </w:r>
        <w:r w:rsidR="00B51E3E">
          <w:rPr>
            <w:noProof/>
            <w:webHidden/>
          </w:rPr>
          <w:instrText xml:space="preserve"> PAGEREF _Toc45546117 \h </w:instrText>
        </w:r>
        <w:r w:rsidR="00B51E3E">
          <w:rPr>
            <w:noProof/>
            <w:webHidden/>
          </w:rPr>
        </w:r>
        <w:r w:rsidR="00B51E3E">
          <w:rPr>
            <w:noProof/>
            <w:webHidden/>
          </w:rPr>
          <w:fldChar w:fldCharType="separate"/>
        </w:r>
        <w:r w:rsidR="00B51E3E">
          <w:rPr>
            <w:noProof/>
            <w:webHidden/>
          </w:rPr>
          <w:t>12</w:t>
        </w:r>
        <w:r w:rsidR="00B51E3E">
          <w:rPr>
            <w:noProof/>
            <w:webHidden/>
          </w:rPr>
          <w:fldChar w:fldCharType="end"/>
        </w:r>
      </w:hyperlink>
    </w:p>
    <w:p w14:paraId="63B10318" w14:textId="60C8C687" w:rsidR="00B51E3E" w:rsidRDefault="00540A29">
      <w:pPr>
        <w:pStyle w:val="TOC2"/>
        <w:rPr>
          <w:rFonts w:asciiTheme="minorHAnsi" w:eastAsiaTheme="minorEastAsia" w:hAnsiTheme="minorHAnsi" w:cstheme="minorBidi"/>
          <w:noProof/>
          <w:sz w:val="22"/>
          <w:lang w:val="es-UY" w:eastAsia="es-UY"/>
        </w:rPr>
      </w:pPr>
      <w:hyperlink w:anchor="_Toc45546118" w:history="1">
        <w:r w:rsidR="00B51E3E" w:rsidRPr="008A2870">
          <w:rPr>
            <w:rStyle w:val="Hyperlink"/>
            <w:rFonts w:eastAsia="Arial"/>
            <w:noProof/>
          </w:rPr>
          <w:t>E.</w:t>
        </w:r>
        <w:r w:rsidR="00B51E3E">
          <w:rPr>
            <w:rFonts w:asciiTheme="minorHAnsi" w:eastAsiaTheme="minorEastAsia" w:hAnsiTheme="minorHAnsi" w:cstheme="minorBidi"/>
            <w:noProof/>
            <w:sz w:val="22"/>
            <w:lang w:val="es-UY" w:eastAsia="es-UY"/>
          </w:rPr>
          <w:tab/>
        </w:r>
        <w:r w:rsidR="00B51E3E" w:rsidRPr="008A2870">
          <w:rPr>
            <w:rStyle w:val="Hyperlink"/>
            <w:rFonts w:eastAsia="Arial"/>
            <w:noProof/>
          </w:rPr>
          <w:t xml:space="preserve">Perfis e </w:t>
        </w:r>
        <w:r w:rsidR="00B51E3E" w:rsidRPr="008A2870">
          <w:rPr>
            <w:rStyle w:val="Hyperlink"/>
            <w:noProof/>
          </w:rPr>
          <w:t>atribuições</w:t>
        </w:r>
        <w:r w:rsidR="00B51E3E" w:rsidRPr="008A2870">
          <w:rPr>
            <w:rStyle w:val="Hyperlink"/>
            <w:rFonts w:eastAsia="Arial"/>
            <w:noProof/>
          </w:rPr>
          <w:t xml:space="preserve"> dos profissionais da UGP</w:t>
        </w:r>
        <w:r w:rsidR="00B51E3E">
          <w:rPr>
            <w:noProof/>
            <w:webHidden/>
          </w:rPr>
          <w:tab/>
        </w:r>
        <w:r w:rsidR="00B51E3E">
          <w:rPr>
            <w:noProof/>
            <w:webHidden/>
          </w:rPr>
          <w:fldChar w:fldCharType="begin"/>
        </w:r>
        <w:r w:rsidR="00B51E3E">
          <w:rPr>
            <w:noProof/>
            <w:webHidden/>
          </w:rPr>
          <w:instrText xml:space="preserve"> PAGEREF _Toc45546118 \h </w:instrText>
        </w:r>
        <w:r w:rsidR="00B51E3E">
          <w:rPr>
            <w:noProof/>
            <w:webHidden/>
          </w:rPr>
        </w:r>
        <w:r w:rsidR="00B51E3E">
          <w:rPr>
            <w:noProof/>
            <w:webHidden/>
          </w:rPr>
          <w:fldChar w:fldCharType="separate"/>
        </w:r>
        <w:r w:rsidR="00B51E3E">
          <w:rPr>
            <w:noProof/>
            <w:webHidden/>
          </w:rPr>
          <w:t>12</w:t>
        </w:r>
        <w:r w:rsidR="00B51E3E">
          <w:rPr>
            <w:noProof/>
            <w:webHidden/>
          </w:rPr>
          <w:fldChar w:fldCharType="end"/>
        </w:r>
      </w:hyperlink>
    </w:p>
    <w:p w14:paraId="18D0A2BD" w14:textId="33CF5F30" w:rsidR="00B51E3E" w:rsidRDefault="00540A29">
      <w:pPr>
        <w:pStyle w:val="TOC1"/>
        <w:tabs>
          <w:tab w:val="left" w:pos="567"/>
        </w:tabs>
        <w:rPr>
          <w:rFonts w:asciiTheme="minorHAnsi" w:eastAsiaTheme="minorEastAsia" w:hAnsiTheme="minorHAnsi" w:cstheme="minorBidi"/>
          <w:noProof/>
          <w:sz w:val="22"/>
          <w:lang w:val="es-UY" w:eastAsia="es-UY"/>
        </w:rPr>
      </w:pPr>
      <w:hyperlink w:anchor="_Toc45546119" w:history="1">
        <w:r w:rsidR="00B51E3E" w:rsidRPr="008A2870">
          <w:rPr>
            <w:rStyle w:val="Hyperlink"/>
            <w:noProof/>
          </w:rPr>
          <w:t>IV.</w:t>
        </w:r>
        <w:r w:rsidR="00B51E3E">
          <w:rPr>
            <w:rFonts w:asciiTheme="minorHAnsi" w:eastAsiaTheme="minorEastAsia" w:hAnsiTheme="minorHAnsi" w:cstheme="minorBidi"/>
            <w:noProof/>
            <w:sz w:val="22"/>
            <w:lang w:val="es-UY" w:eastAsia="es-UY"/>
          </w:rPr>
          <w:tab/>
        </w:r>
        <w:r w:rsidR="00B51E3E" w:rsidRPr="008A2870">
          <w:rPr>
            <w:rStyle w:val="Hyperlink"/>
            <w:noProof/>
          </w:rPr>
          <w:t>RECURSOS E DESEMBOLSOS DO PROJETO</w:t>
        </w:r>
        <w:r w:rsidR="00B51E3E">
          <w:rPr>
            <w:noProof/>
            <w:webHidden/>
          </w:rPr>
          <w:tab/>
        </w:r>
        <w:r w:rsidR="00B51E3E">
          <w:rPr>
            <w:noProof/>
            <w:webHidden/>
          </w:rPr>
          <w:fldChar w:fldCharType="begin"/>
        </w:r>
        <w:r w:rsidR="00B51E3E">
          <w:rPr>
            <w:noProof/>
            <w:webHidden/>
          </w:rPr>
          <w:instrText xml:space="preserve"> PAGEREF _Toc45546119 \h </w:instrText>
        </w:r>
        <w:r w:rsidR="00B51E3E">
          <w:rPr>
            <w:noProof/>
            <w:webHidden/>
          </w:rPr>
        </w:r>
        <w:r w:rsidR="00B51E3E">
          <w:rPr>
            <w:noProof/>
            <w:webHidden/>
          </w:rPr>
          <w:fldChar w:fldCharType="separate"/>
        </w:r>
        <w:r w:rsidR="00B51E3E">
          <w:rPr>
            <w:noProof/>
            <w:webHidden/>
          </w:rPr>
          <w:t>17</w:t>
        </w:r>
        <w:r w:rsidR="00B51E3E">
          <w:rPr>
            <w:noProof/>
            <w:webHidden/>
          </w:rPr>
          <w:fldChar w:fldCharType="end"/>
        </w:r>
      </w:hyperlink>
    </w:p>
    <w:p w14:paraId="16FFD92C" w14:textId="00DE5472" w:rsidR="00B51E3E" w:rsidRDefault="00540A29">
      <w:pPr>
        <w:pStyle w:val="TOC2"/>
        <w:rPr>
          <w:rFonts w:asciiTheme="minorHAnsi" w:eastAsiaTheme="minorEastAsia" w:hAnsiTheme="minorHAnsi" w:cstheme="minorBidi"/>
          <w:noProof/>
          <w:sz w:val="22"/>
          <w:lang w:val="es-UY" w:eastAsia="es-UY"/>
        </w:rPr>
      </w:pPr>
      <w:hyperlink w:anchor="_Toc45546120" w:history="1">
        <w:r w:rsidR="00B51E3E" w:rsidRPr="008A2870">
          <w:rPr>
            <w:rStyle w:val="Hyperlink"/>
            <w:noProof/>
          </w:rPr>
          <w:t>A.</w:t>
        </w:r>
        <w:r w:rsidR="00B51E3E">
          <w:rPr>
            <w:rFonts w:asciiTheme="minorHAnsi" w:eastAsiaTheme="minorEastAsia" w:hAnsiTheme="minorHAnsi" w:cstheme="minorBidi"/>
            <w:noProof/>
            <w:sz w:val="22"/>
            <w:lang w:val="es-UY" w:eastAsia="es-UY"/>
          </w:rPr>
          <w:tab/>
        </w:r>
        <w:r w:rsidR="00B51E3E" w:rsidRPr="008A2870">
          <w:rPr>
            <w:rStyle w:val="Hyperlink"/>
            <w:noProof/>
          </w:rPr>
          <w:t>Orçamento</w:t>
        </w:r>
        <w:r w:rsidR="00B51E3E">
          <w:rPr>
            <w:noProof/>
            <w:webHidden/>
          </w:rPr>
          <w:tab/>
        </w:r>
        <w:r w:rsidR="00B51E3E">
          <w:rPr>
            <w:noProof/>
            <w:webHidden/>
          </w:rPr>
          <w:fldChar w:fldCharType="begin"/>
        </w:r>
        <w:r w:rsidR="00B51E3E">
          <w:rPr>
            <w:noProof/>
            <w:webHidden/>
          </w:rPr>
          <w:instrText xml:space="preserve"> PAGEREF _Toc45546120 \h </w:instrText>
        </w:r>
        <w:r w:rsidR="00B51E3E">
          <w:rPr>
            <w:noProof/>
            <w:webHidden/>
          </w:rPr>
        </w:r>
        <w:r w:rsidR="00B51E3E">
          <w:rPr>
            <w:noProof/>
            <w:webHidden/>
          </w:rPr>
          <w:fldChar w:fldCharType="separate"/>
        </w:r>
        <w:r w:rsidR="00B51E3E">
          <w:rPr>
            <w:noProof/>
            <w:webHidden/>
          </w:rPr>
          <w:t>17</w:t>
        </w:r>
        <w:r w:rsidR="00B51E3E">
          <w:rPr>
            <w:noProof/>
            <w:webHidden/>
          </w:rPr>
          <w:fldChar w:fldCharType="end"/>
        </w:r>
      </w:hyperlink>
    </w:p>
    <w:p w14:paraId="703B1C69" w14:textId="1EE798B0" w:rsidR="00B51E3E" w:rsidRDefault="00540A29">
      <w:pPr>
        <w:pStyle w:val="TOC2"/>
        <w:rPr>
          <w:rFonts w:asciiTheme="minorHAnsi" w:eastAsiaTheme="minorEastAsia" w:hAnsiTheme="minorHAnsi" w:cstheme="minorBidi"/>
          <w:noProof/>
          <w:sz w:val="22"/>
          <w:lang w:val="es-UY" w:eastAsia="es-UY"/>
        </w:rPr>
      </w:pPr>
      <w:hyperlink w:anchor="_Toc45546121" w:history="1">
        <w:r w:rsidR="00B51E3E" w:rsidRPr="008A2870">
          <w:rPr>
            <w:rStyle w:val="Hyperlink"/>
            <w:noProof/>
          </w:rPr>
          <w:t>B.</w:t>
        </w:r>
        <w:r w:rsidR="00B51E3E">
          <w:rPr>
            <w:rFonts w:asciiTheme="minorHAnsi" w:eastAsiaTheme="minorEastAsia" w:hAnsiTheme="minorHAnsi" w:cstheme="minorBidi"/>
            <w:noProof/>
            <w:sz w:val="22"/>
            <w:lang w:val="es-UY" w:eastAsia="es-UY"/>
          </w:rPr>
          <w:tab/>
        </w:r>
        <w:r w:rsidR="00B51E3E" w:rsidRPr="008A2870">
          <w:rPr>
            <w:rStyle w:val="Hyperlink"/>
            <w:noProof/>
          </w:rPr>
          <w:t>Condições Prévias ao Primeiro Desembolso do Financiamento</w:t>
        </w:r>
        <w:r w:rsidR="00B51E3E">
          <w:rPr>
            <w:noProof/>
            <w:webHidden/>
          </w:rPr>
          <w:tab/>
        </w:r>
        <w:r w:rsidR="00B51E3E">
          <w:rPr>
            <w:noProof/>
            <w:webHidden/>
          </w:rPr>
          <w:fldChar w:fldCharType="begin"/>
        </w:r>
        <w:r w:rsidR="00B51E3E">
          <w:rPr>
            <w:noProof/>
            <w:webHidden/>
          </w:rPr>
          <w:instrText xml:space="preserve"> PAGEREF _Toc45546121 \h </w:instrText>
        </w:r>
        <w:r w:rsidR="00B51E3E">
          <w:rPr>
            <w:noProof/>
            <w:webHidden/>
          </w:rPr>
        </w:r>
        <w:r w:rsidR="00B51E3E">
          <w:rPr>
            <w:noProof/>
            <w:webHidden/>
          </w:rPr>
          <w:fldChar w:fldCharType="separate"/>
        </w:r>
        <w:r w:rsidR="00B51E3E">
          <w:rPr>
            <w:noProof/>
            <w:webHidden/>
          </w:rPr>
          <w:t>17</w:t>
        </w:r>
        <w:r w:rsidR="00B51E3E">
          <w:rPr>
            <w:noProof/>
            <w:webHidden/>
          </w:rPr>
          <w:fldChar w:fldCharType="end"/>
        </w:r>
      </w:hyperlink>
    </w:p>
    <w:p w14:paraId="26BDE786" w14:textId="42CC5ADA" w:rsidR="00B51E3E" w:rsidRDefault="00540A29">
      <w:pPr>
        <w:pStyle w:val="TOC2"/>
        <w:rPr>
          <w:rFonts w:asciiTheme="minorHAnsi" w:eastAsiaTheme="minorEastAsia" w:hAnsiTheme="minorHAnsi" w:cstheme="minorBidi"/>
          <w:noProof/>
          <w:sz w:val="22"/>
          <w:lang w:val="es-UY" w:eastAsia="es-UY"/>
        </w:rPr>
      </w:pPr>
      <w:hyperlink w:anchor="_Toc45546122" w:history="1">
        <w:r w:rsidR="00B51E3E" w:rsidRPr="008A2870">
          <w:rPr>
            <w:rStyle w:val="Hyperlink"/>
            <w:noProof/>
          </w:rPr>
          <w:t>C.</w:t>
        </w:r>
        <w:r w:rsidR="00B51E3E">
          <w:rPr>
            <w:rFonts w:asciiTheme="minorHAnsi" w:eastAsiaTheme="minorEastAsia" w:hAnsiTheme="minorHAnsi" w:cstheme="minorBidi"/>
            <w:noProof/>
            <w:sz w:val="22"/>
            <w:lang w:val="es-UY" w:eastAsia="es-UY"/>
          </w:rPr>
          <w:tab/>
        </w:r>
        <w:r w:rsidR="00B51E3E" w:rsidRPr="008A2870">
          <w:rPr>
            <w:rStyle w:val="Hyperlink"/>
            <w:noProof/>
          </w:rPr>
          <w:t>Dos Desembolsos e Repasses</w:t>
        </w:r>
        <w:r w:rsidR="00B51E3E">
          <w:rPr>
            <w:noProof/>
            <w:webHidden/>
          </w:rPr>
          <w:tab/>
        </w:r>
        <w:r w:rsidR="00B51E3E">
          <w:rPr>
            <w:noProof/>
            <w:webHidden/>
          </w:rPr>
          <w:fldChar w:fldCharType="begin"/>
        </w:r>
        <w:r w:rsidR="00B51E3E">
          <w:rPr>
            <w:noProof/>
            <w:webHidden/>
          </w:rPr>
          <w:instrText xml:space="preserve"> PAGEREF _Toc45546122 \h </w:instrText>
        </w:r>
        <w:r w:rsidR="00B51E3E">
          <w:rPr>
            <w:noProof/>
            <w:webHidden/>
          </w:rPr>
        </w:r>
        <w:r w:rsidR="00B51E3E">
          <w:rPr>
            <w:noProof/>
            <w:webHidden/>
          </w:rPr>
          <w:fldChar w:fldCharType="separate"/>
        </w:r>
        <w:r w:rsidR="00B51E3E">
          <w:rPr>
            <w:noProof/>
            <w:webHidden/>
          </w:rPr>
          <w:t>18</w:t>
        </w:r>
        <w:r w:rsidR="00B51E3E">
          <w:rPr>
            <w:noProof/>
            <w:webHidden/>
          </w:rPr>
          <w:fldChar w:fldCharType="end"/>
        </w:r>
      </w:hyperlink>
    </w:p>
    <w:p w14:paraId="5E67D16D" w14:textId="51ADAAB2" w:rsidR="00B51E3E" w:rsidRDefault="00540A29">
      <w:pPr>
        <w:pStyle w:val="TOC2"/>
        <w:rPr>
          <w:rFonts w:asciiTheme="minorHAnsi" w:eastAsiaTheme="minorEastAsia" w:hAnsiTheme="minorHAnsi" w:cstheme="minorBidi"/>
          <w:noProof/>
          <w:sz w:val="22"/>
          <w:lang w:val="es-UY" w:eastAsia="es-UY"/>
        </w:rPr>
      </w:pPr>
      <w:hyperlink w:anchor="_Toc45546123" w:history="1">
        <w:r w:rsidR="00B51E3E" w:rsidRPr="008A2870">
          <w:rPr>
            <w:rStyle w:val="Hyperlink"/>
            <w:noProof/>
          </w:rPr>
          <w:t>D.</w:t>
        </w:r>
        <w:r w:rsidR="00B51E3E">
          <w:rPr>
            <w:rFonts w:asciiTheme="minorHAnsi" w:eastAsiaTheme="minorEastAsia" w:hAnsiTheme="minorHAnsi" w:cstheme="minorBidi"/>
            <w:noProof/>
            <w:sz w:val="22"/>
            <w:lang w:val="es-UY" w:eastAsia="es-UY"/>
          </w:rPr>
          <w:tab/>
        </w:r>
        <w:r w:rsidR="00B51E3E" w:rsidRPr="008A2870">
          <w:rPr>
            <w:rStyle w:val="Hyperlink"/>
            <w:noProof/>
          </w:rPr>
          <w:t>Do Reembolso de Despesas</w:t>
        </w:r>
        <w:r w:rsidR="00B51E3E">
          <w:rPr>
            <w:noProof/>
            <w:webHidden/>
          </w:rPr>
          <w:tab/>
        </w:r>
        <w:r w:rsidR="00B51E3E">
          <w:rPr>
            <w:noProof/>
            <w:webHidden/>
          </w:rPr>
          <w:fldChar w:fldCharType="begin"/>
        </w:r>
        <w:r w:rsidR="00B51E3E">
          <w:rPr>
            <w:noProof/>
            <w:webHidden/>
          </w:rPr>
          <w:instrText xml:space="preserve"> PAGEREF _Toc45546123 \h </w:instrText>
        </w:r>
        <w:r w:rsidR="00B51E3E">
          <w:rPr>
            <w:noProof/>
            <w:webHidden/>
          </w:rPr>
        </w:r>
        <w:r w:rsidR="00B51E3E">
          <w:rPr>
            <w:noProof/>
            <w:webHidden/>
          </w:rPr>
          <w:fldChar w:fldCharType="separate"/>
        </w:r>
        <w:r w:rsidR="00B51E3E">
          <w:rPr>
            <w:noProof/>
            <w:webHidden/>
          </w:rPr>
          <w:t>19</w:t>
        </w:r>
        <w:r w:rsidR="00B51E3E">
          <w:rPr>
            <w:noProof/>
            <w:webHidden/>
          </w:rPr>
          <w:fldChar w:fldCharType="end"/>
        </w:r>
      </w:hyperlink>
    </w:p>
    <w:p w14:paraId="4FDA22F4" w14:textId="45EDBCC2" w:rsidR="00B51E3E" w:rsidRDefault="00540A29">
      <w:pPr>
        <w:pStyle w:val="TOC2"/>
        <w:rPr>
          <w:rFonts w:asciiTheme="minorHAnsi" w:eastAsiaTheme="minorEastAsia" w:hAnsiTheme="minorHAnsi" w:cstheme="minorBidi"/>
          <w:noProof/>
          <w:sz w:val="22"/>
          <w:lang w:val="es-UY" w:eastAsia="es-UY"/>
        </w:rPr>
      </w:pPr>
      <w:hyperlink w:anchor="_Toc45546124" w:history="1">
        <w:r w:rsidR="00B51E3E" w:rsidRPr="008A2870">
          <w:rPr>
            <w:rStyle w:val="Hyperlink"/>
            <w:noProof/>
          </w:rPr>
          <w:t>E.</w:t>
        </w:r>
        <w:r w:rsidR="00B51E3E">
          <w:rPr>
            <w:rFonts w:asciiTheme="minorHAnsi" w:eastAsiaTheme="minorEastAsia" w:hAnsiTheme="minorHAnsi" w:cstheme="minorBidi"/>
            <w:noProof/>
            <w:sz w:val="22"/>
            <w:lang w:val="es-UY" w:eastAsia="es-UY"/>
          </w:rPr>
          <w:tab/>
        </w:r>
        <w:r w:rsidR="00B51E3E" w:rsidRPr="008A2870">
          <w:rPr>
            <w:rStyle w:val="Hyperlink"/>
            <w:noProof/>
          </w:rPr>
          <w:t>Prestação de Contas</w:t>
        </w:r>
        <w:r w:rsidR="00B51E3E">
          <w:rPr>
            <w:noProof/>
            <w:webHidden/>
          </w:rPr>
          <w:tab/>
        </w:r>
        <w:r w:rsidR="00B51E3E">
          <w:rPr>
            <w:noProof/>
            <w:webHidden/>
          </w:rPr>
          <w:fldChar w:fldCharType="begin"/>
        </w:r>
        <w:r w:rsidR="00B51E3E">
          <w:rPr>
            <w:noProof/>
            <w:webHidden/>
          </w:rPr>
          <w:instrText xml:space="preserve"> PAGEREF _Toc45546124 \h </w:instrText>
        </w:r>
        <w:r w:rsidR="00B51E3E">
          <w:rPr>
            <w:noProof/>
            <w:webHidden/>
          </w:rPr>
        </w:r>
        <w:r w:rsidR="00B51E3E">
          <w:rPr>
            <w:noProof/>
            <w:webHidden/>
          </w:rPr>
          <w:fldChar w:fldCharType="separate"/>
        </w:r>
        <w:r w:rsidR="00B51E3E">
          <w:rPr>
            <w:noProof/>
            <w:webHidden/>
          </w:rPr>
          <w:t>20</w:t>
        </w:r>
        <w:r w:rsidR="00B51E3E">
          <w:rPr>
            <w:noProof/>
            <w:webHidden/>
          </w:rPr>
          <w:fldChar w:fldCharType="end"/>
        </w:r>
      </w:hyperlink>
    </w:p>
    <w:p w14:paraId="7E7BDB1B" w14:textId="47523195" w:rsidR="00B51E3E" w:rsidRDefault="00540A29">
      <w:pPr>
        <w:pStyle w:val="TOC2"/>
        <w:rPr>
          <w:rFonts w:asciiTheme="minorHAnsi" w:eastAsiaTheme="minorEastAsia" w:hAnsiTheme="minorHAnsi" w:cstheme="minorBidi"/>
          <w:noProof/>
          <w:sz w:val="22"/>
          <w:lang w:val="es-UY" w:eastAsia="es-UY"/>
        </w:rPr>
      </w:pPr>
      <w:hyperlink w:anchor="_Toc45546125" w:history="1">
        <w:r w:rsidR="00B51E3E" w:rsidRPr="008A2870">
          <w:rPr>
            <w:rStyle w:val="Hyperlink"/>
            <w:noProof/>
          </w:rPr>
          <w:t>F.</w:t>
        </w:r>
        <w:r w:rsidR="00B51E3E">
          <w:rPr>
            <w:rFonts w:asciiTheme="minorHAnsi" w:eastAsiaTheme="minorEastAsia" w:hAnsiTheme="minorHAnsi" w:cstheme="minorBidi"/>
            <w:noProof/>
            <w:sz w:val="22"/>
            <w:lang w:val="es-UY" w:eastAsia="es-UY"/>
          </w:rPr>
          <w:tab/>
        </w:r>
        <w:r w:rsidR="00B51E3E" w:rsidRPr="008A2870">
          <w:rPr>
            <w:rStyle w:val="Hyperlink"/>
            <w:noProof/>
          </w:rPr>
          <w:t>Das Restrições ao Uso dos Recursos do Financiamento do BID</w:t>
        </w:r>
        <w:r w:rsidR="00B51E3E">
          <w:rPr>
            <w:noProof/>
            <w:webHidden/>
          </w:rPr>
          <w:tab/>
        </w:r>
        <w:r w:rsidR="00B51E3E">
          <w:rPr>
            <w:noProof/>
            <w:webHidden/>
          </w:rPr>
          <w:fldChar w:fldCharType="begin"/>
        </w:r>
        <w:r w:rsidR="00B51E3E">
          <w:rPr>
            <w:noProof/>
            <w:webHidden/>
          </w:rPr>
          <w:instrText xml:space="preserve"> PAGEREF _Toc45546125 \h </w:instrText>
        </w:r>
        <w:r w:rsidR="00B51E3E">
          <w:rPr>
            <w:noProof/>
            <w:webHidden/>
          </w:rPr>
        </w:r>
        <w:r w:rsidR="00B51E3E">
          <w:rPr>
            <w:noProof/>
            <w:webHidden/>
          </w:rPr>
          <w:fldChar w:fldCharType="separate"/>
        </w:r>
        <w:r w:rsidR="00B51E3E">
          <w:rPr>
            <w:noProof/>
            <w:webHidden/>
          </w:rPr>
          <w:t>20</w:t>
        </w:r>
        <w:r w:rsidR="00B51E3E">
          <w:rPr>
            <w:noProof/>
            <w:webHidden/>
          </w:rPr>
          <w:fldChar w:fldCharType="end"/>
        </w:r>
      </w:hyperlink>
    </w:p>
    <w:p w14:paraId="70918D4C" w14:textId="198EF741" w:rsidR="00B51E3E" w:rsidRDefault="00540A29">
      <w:pPr>
        <w:pStyle w:val="TOC1"/>
        <w:tabs>
          <w:tab w:val="left" w:pos="567"/>
        </w:tabs>
        <w:rPr>
          <w:rFonts w:asciiTheme="minorHAnsi" w:eastAsiaTheme="minorEastAsia" w:hAnsiTheme="minorHAnsi" w:cstheme="minorBidi"/>
          <w:noProof/>
          <w:sz w:val="22"/>
          <w:lang w:val="es-UY" w:eastAsia="es-UY"/>
        </w:rPr>
      </w:pPr>
      <w:hyperlink w:anchor="_Toc45546126" w:history="1">
        <w:r w:rsidR="00B51E3E" w:rsidRPr="008A2870">
          <w:rPr>
            <w:rStyle w:val="Hyperlink"/>
            <w:noProof/>
          </w:rPr>
          <w:t>V.</w:t>
        </w:r>
        <w:r w:rsidR="00B51E3E">
          <w:rPr>
            <w:rFonts w:asciiTheme="minorHAnsi" w:eastAsiaTheme="minorEastAsia" w:hAnsiTheme="minorHAnsi" w:cstheme="minorBidi"/>
            <w:noProof/>
            <w:sz w:val="22"/>
            <w:lang w:val="es-UY" w:eastAsia="es-UY"/>
          </w:rPr>
          <w:tab/>
        </w:r>
        <w:r w:rsidR="00B51E3E" w:rsidRPr="008A2870">
          <w:rPr>
            <w:rStyle w:val="Hyperlink"/>
            <w:noProof/>
          </w:rPr>
          <w:t>ASPECTOS SOCIOAMBIENTAIS DO PROJETO</w:t>
        </w:r>
        <w:r w:rsidR="00B51E3E">
          <w:rPr>
            <w:noProof/>
            <w:webHidden/>
          </w:rPr>
          <w:tab/>
        </w:r>
        <w:r w:rsidR="00B51E3E">
          <w:rPr>
            <w:noProof/>
            <w:webHidden/>
          </w:rPr>
          <w:fldChar w:fldCharType="begin"/>
        </w:r>
        <w:r w:rsidR="00B51E3E">
          <w:rPr>
            <w:noProof/>
            <w:webHidden/>
          </w:rPr>
          <w:instrText xml:space="preserve"> PAGEREF _Toc45546126 \h </w:instrText>
        </w:r>
        <w:r w:rsidR="00B51E3E">
          <w:rPr>
            <w:noProof/>
            <w:webHidden/>
          </w:rPr>
        </w:r>
        <w:r w:rsidR="00B51E3E">
          <w:rPr>
            <w:noProof/>
            <w:webHidden/>
          </w:rPr>
          <w:fldChar w:fldCharType="separate"/>
        </w:r>
        <w:r w:rsidR="00B51E3E">
          <w:rPr>
            <w:noProof/>
            <w:webHidden/>
          </w:rPr>
          <w:t>23</w:t>
        </w:r>
        <w:r w:rsidR="00B51E3E">
          <w:rPr>
            <w:noProof/>
            <w:webHidden/>
          </w:rPr>
          <w:fldChar w:fldCharType="end"/>
        </w:r>
      </w:hyperlink>
    </w:p>
    <w:p w14:paraId="1AE68B6E" w14:textId="4C2E8FC9" w:rsidR="00B51E3E" w:rsidRDefault="00540A29">
      <w:pPr>
        <w:pStyle w:val="TOC2"/>
        <w:rPr>
          <w:rFonts w:asciiTheme="minorHAnsi" w:eastAsiaTheme="minorEastAsia" w:hAnsiTheme="minorHAnsi" w:cstheme="minorBidi"/>
          <w:noProof/>
          <w:sz w:val="22"/>
          <w:lang w:val="es-UY" w:eastAsia="es-UY"/>
        </w:rPr>
      </w:pPr>
      <w:hyperlink w:anchor="_Toc45546127" w:history="1">
        <w:r w:rsidR="00B51E3E" w:rsidRPr="008A2870">
          <w:rPr>
            <w:rStyle w:val="Hyperlink"/>
            <w:noProof/>
          </w:rPr>
          <w:t>A.</w:t>
        </w:r>
        <w:r w:rsidR="00B51E3E">
          <w:rPr>
            <w:rFonts w:asciiTheme="minorHAnsi" w:eastAsiaTheme="minorEastAsia" w:hAnsiTheme="minorHAnsi" w:cstheme="minorBidi"/>
            <w:noProof/>
            <w:sz w:val="22"/>
            <w:lang w:val="es-UY" w:eastAsia="es-UY"/>
          </w:rPr>
          <w:tab/>
        </w:r>
        <w:r w:rsidR="00B51E3E" w:rsidRPr="008A2870">
          <w:rPr>
            <w:rStyle w:val="Hyperlink"/>
            <w:bCs/>
            <w:noProof/>
          </w:rPr>
          <w:t xml:space="preserve">Exigência </w:t>
        </w:r>
        <w:r w:rsidR="00B51E3E" w:rsidRPr="008A2870">
          <w:rPr>
            <w:rStyle w:val="Hyperlink"/>
            <w:noProof/>
          </w:rPr>
          <w:t>socioambiental</w:t>
        </w:r>
        <w:r w:rsidR="00B51E3E">
          <w:rPr>
            <w:noProof/>
            <w:webHidden/>
          </w:rPr>
          <w:tab/>
        </w:r>
        <w:r w:rsidR="00B51E3E">
          <w:rPr>
            <w:noProof/>
            <w:webHidden/>
          </w:rPr>
          <w:fldChar w:fldCharType="begin"/>
        </w:r>
        <w:r w:rsidR="00B51E3E">
          <w:rPr>
            <w:noProof/>
            <w:webHidden/>
          </w:rPr>
          <w:instrText xml:space="preserve"> PAGEREF _Toc45546127 \h </w:instrText>
        </w:r>
        <w:r w:rsidR="00B51E3E">
          <w:rPr>
            <w:noProof/>
            <w:webHidden/>
          </w:rPr>
        </w:r>
        <w:r w:rsidR="00B51E3E">
          <w:rPr>
            <w:noProof/>
            <w:webHidden/>
          </w:rPr>
          <w:fldChar w:fldCharType="separate"/>
        </w:r>
        <w:r w:rsidR="00B51E3E">
          <w:rPr>
            <w:noProof/>
            <w:webHidden/>
          </w:rPr>
          <w:t>23</w:t>
        </w:r>
        <w:r w:rsidR="00B51E3E">
          <w:rPr>
            <w:noProof/>
            <w:webHidden/>
          </w:rPr>
          <w:fldChar w:fldCharType="end"/>
        </w:r>
      </w:hyperlink>
    </w:p>
    <w:p w14:paraId="197FC751" w14:textId="3BED8ED1" w:rsidR="00B51E3E" w:rsidRDefault="00540A29">
      <w:pPr>
        <w:pStyle w:val="TOC2"/>
        <w:rPr>
          <w:rFonts w:asciiTheme="minorHAnsi" w:eastAsiaTheme="minorEastAsia" w:hAnsiTheme="minorHAnsi" w:cstheme="minorBidi"/>
          <w:noProof/>
          <w:sz w:val="22"/>
          <w:lang w:val="es-UY" w:eastAsia="es-UY"/>
        </w:rPr>
      </w:pPr>
      <w:hyperlink w:anchor="_Toc45546128" w:history="1">
        <w:r w:rsidR="00B51E3E" w:rsidRPr="008A2870">
          <w:rPr>
            <w:rStyle w:val="Hyperlink"/>
            <w:noProof/>
          </w:rPr>
          <w:t>B.</w:t>
        </w:r>
        <w:r w:rsidR="00B51E3E">
          <w:rPr>
            <w:rFonts w:asciiTheme="minorHAnsi" w:eastAsiaTheme="minorEastAsia" w:hAnsiTheme="minorHAnsi" w:cstheme="minorBidi"/>
            <w:noProof/>
            <w:sz w:val="22"/>
            <w:lang w:val="es-UY" w:eastAsia="es-UY"/>
          </w:rPr>
          <w:tab/>
        </w:r>
        <w:r w:rsidR="00B51E3E" w:rsidRPr="008A2870">
          <w:rPr>
            <w:rStyle w:val="Hyperlink"/>
            <w:noProof/>
          </w:rPr>
          <w:t>Critérios de Elegibilidade Ambiental e Social</w:t>
        </w:r>
        <w:r w:rsidR="00B51E3E">
          <w:rPr>
            <w:noProof/>
            <w:webHidden/>
          </w:rPr>
          <w:tab/>
        </w:r>
        <w:r w:rsidR="00B51E3E">
          <w:rPr>
            <w:noProof/>
            <w:webHidden/>
          </w:rPr>
          <w:fldChar w:fldCharType="begin"/>
        </w:r>
        <w:r w:rsidR="00B51E3E">
          <w:rPr>
            <w:noProof/>
            <w:webHidden/>
          </w:rPr>
          <w:instrText xml:space="preserve"> PAGEREF _Toc45546128 \h </w:instrText>
        </w:r>
        <w:r w:rsidR="00B51E3E">
          <w:rPr>
            <w:noProof/>
            <w:webHidden/>
          </w:rPr>
        </w:r>
        <w:r w:rsidR="00B51E3E">
          <w:rPr>
            <w:noProof/>
            <w:webHidden/>
          </w:rPr>
          <w:fldChar w:fldCharType="separate"/>
        </w:r>
        <w:r w:rsidR="00B51E3E">
          <w:rPr>
            <w:noProof/>
            <w:webHidden/>
          </w:rPr>
          <w:t>24</w:t>
        </w:r>
        <w:r w:rsidR="00B51E3E">
          <w:rPr>
            <w:noProof/>
            <w:webHidden/>
          </w:rPr>
          <w:fldChar w:fldCharType="end"/>
        </w:r>
      </w:hyperlink>
    </w:p>
    <w:p w14:paraId="560E256C" w14:textId="65E8948C" w:rsidR="00B51E3E" w:rsidRDefault="00540A29">
      <w:pPr>
        <w:pStyle w:val="TOC1"/>
        <w:tabs>
          <w:tab w:val="left" w:pos="567"/>
        </w:tabs>
        <w:rPr>
          <w:rFonts w:asciiTheme="minorHAnsi" w:eastAsiaTheme="minorEastAsia" w:hAnsiTheme="minorHAnsi" w:cstheme="minorBidi"/>
          <w:noProof/>
          <w:sz w:val="22"/>
          <w:lang w:val="es-UY" w:eastAsia="es-UY"/>
        </w:rPr>
      </w:pPr>
      <w:hyperlink w:anchor="_Toc45546129" w:history="1">
        <w:r w:rsidR="00B51E3E" w:rsidRPr="008A2870">
          <w:rPr>
            <w:rStyle w:val="Hyperlink"/>
            <w:bCs/>
            <w:smallCaps/>
            <w:noProof/>
          </w:rPr>
          <w:t>VI.</w:t>
        </w:r>
        <w:r w:rsidR="00B51E3E">
          <w:rPr>
            <w:rFonts w:asciiTheme="minorHAnsi" w:eastAsiaTheme="minorEastAsia" w:hAnsiTheme="minorHAnsi" w:cstheme="minorBidi"/>
            <w:noProof/>
            <w:sz w:val="22"/>
            <w:lang w:val="es-UY" w:eastAsia="es-UY"/>
          </w:rPr>
          <w:tab/>
        </w:r>
        <w:r w:rsidR="00B51E3E" w:rsidRPr="008A2870">
          <w:rPr>
            <w:rStyle w:val="Hyperlink"/>
            <w:noProof/>
          </w:rPr>
          <w:t>AQUISIÇÕES</w:t>
        </w:r>
        <w:r w:rsidR="00B51E3E">
          <w:rPr>
            <w:noProof/>
            <w:webHidden/>
          </w:rPr>
          <w:tab/>
        </w:r>
        <w:r w:rsidR="00B51E3E">
          <w:rPr>
            <w:noProof/>
            <w:webHidden/>
          </w:rPr>
          <w:fldChar w:fldCharType="begin"/>
        </w:r>
        <w:r w:rsidR="00B51E3E">
          <w:rPr>
            <w:noProof/>
            <w:webHidden/>
          </w:rPr>
          <w:instrText xml:space="preserve"> PAGEREF _Toc45546129 \h </w:instrText>
        </w:r>
        <w:r w:rsidR="00B51E3E">
          <w:rPr>
            <w:noProof/>
            <w:webHidden/>
          </w:rPr>
        </w:r>
        <w:r w:rsidR="00B51E3E">
          <w:rPr>
            <w:noProof/>
            <w:webHidden/>
          </w:rPr>
          <w:fldChar w:fldCharType="separate"/>
        </w:r>
        <w:r w:rsidR="00B51E3E">
          <w:rPr>
            <w:noProof/>
            <w:webHidden/>
          </w:rPr>
          <w:t>25</w:t>
        </w:r>
        <w:r w:rsidR="00B51E3E">
          <w:rPr>
            <w:noProof/>
            <w:webHidden/>
          </w:rPr>
          <w:fldChar w:fldCharType="end"/>
        </w:r>
      </w:hyperlink>
    </w:p>
    <w:p w14:paraId="77BE8682" w14:textId="714C22B8" w:rsidR="00B51E3E" w:rsidRDefault="00540A29">
      <w:pPr>
        <w:pStyle w:val="TOC2"/>
        <w:rPr>
          <w:rFonts w:asciiTheme="minorHAnsi" w:eastAsiaTheme="minorEastAsia" w:hAnsiTheme="minorHAnsi" w:cstheme="minorBidi"/>
          <w:noProof/>
          <w:sz w:val="22"/>
          <w:lang w:val="es-UY" w:eastAsia="es-UY"/>
        </w:rPr>
      </w:pPr>
      <w:hyperlink w:anchor="_Toc45546130" w:history="1">
        <w:r w:rsidR="00B51E3E" w:rsidRPr="008A2870">
          <w:rPr>
            <w:rStyle w:val="Hyperlink"/>
            <w:noProof/>
          </w:rPr>
          <w:t>A.</w:t>
        </w:r>
        <w:r w:rsidR="00B51E3E">
          <w:rPr>
            <w:rFonts w:asciiTheme="minorHAnsi" w:eastAsiaTheme="minorEastAsia" w:hAnsiTheme="minorHAnsi" w:cstheme="minorBidi"/>
            <w:noProof/>
            <w:sz w:val="22"/>
            <w:lang w:val="es-UY" w:eastAsia="es-UY"/>
          </w:rPr>
          <w:tab/>
        </w:r>
        <w:r w:rsidR="00B51E3E" w:rsidRPr="008A2870">
          <w:rPr>
            <w:rStyle w:val="Hyperlink"/>
            <w:noProof/>
          </w:rPr>
          <w:t>Execução das aquisições</w:t>
        </w:r>
        <w:r w:rsidR="00B51E3E">
          <w:rPr>
            <w:noProof/>
            <w:webHidden/>
          </w:rPr>
          <w:tab/>
        </w:r>
        <w:r w:rsidR="00B51E3E">
          <w:rPr>
            <w:noProof/>
            <w:webHidden/>
          </w:rPr>
          <w:fldChar w:fldCharType="begin"/>
        </w:r>
        <w:r w:rsidR="00B51E3E">
          <w:rPr>
            <w:noProof/>
            <w:webHidden/>
          </w:rPr>
          <w:instrText xml:space="preserve"> PAGEREF _Toc45546130 \h </w:instrText>
        </w:r>
        <w:r w:rsidR="00B51E3E">
          <w:rPr>
            <w:noProof/>
            <w:webHidden/>
          </w:rPr>
        </w:r>
        <w:r w:rsidR="00B51E3E">
          <w:rPr>
            <w:noProof/>
            <w:webHidden/>
          </w:rPr>
          <w:fldChar w:fldCharType="separate"/>
        </w:r>
        <w:r w:rsidR="00B51E3E">
          <w:rPr>
            <w:noProof/>
            <w:webHidden/>
          </w:rPr>
          <w:t>25</w:t>
        </w:r>
        <w:r w:rsidR="00B51E3E">
          <w:rPr>
            <w:noProof/>
            <w:webHidden/>
          </w:rPr>
          <w:fldChar w:fldCharType="end"/>
        </w:r>
      </w:hyperlink>
    </w:p>
    <w:p w14:paraId="633B271B" w14:textId="55972ECA" w:rsidR="00B51E3E" w:rsidRDefault="00540A29">
      <w:pPr>
        <w:pStyle w:val="TOC2"/>
        <w:rPr>
          <w:rFonts w:asciiTheme="minorHAnsi" w:eastAsiaTheme="minorEastAsia" w:hAnsiTheme="minorHAnsi" w:cstheme="minorBidi"/>
          <w:noProof/>
          <w:sz w:val="22"/>
          <w:lang w:val="es-UY" w:eastAsia="es-UY"/>
        </w:rPr>
      </w:pPr>
      <w:hyperlink w:anchor="_Toc45546131" w:history="1">
        <w:r w:rsidR="00B51E3E" w:rsidRPr="008A2870">
          <w:rPr>
            <w:rStyle w:val="Hyperlink"/>
            <w:noProof/>
          </w:rPr>
          <w:t>B.</w:t>
        </w:r>
        <w:r w:rsidR="00B51E3E">
          <w:rPr>
            <w:rFonts w:asciiTheme="minorHAnsi" w:eastAsiaTheme="minorEastAsia" w:hAnsiTheme="minorHAnsi" w:cstheme="minorBidi"/>
            <w:noProof/>
            <w:sz w:val="22"/>
            <w:lang w:val="es-UY" w:eastAsia="es-UY"/>
          </w:rPr>
          <w:tab/>
        </w:r>
        <w:r w:rsidR="00B51E3E" w:rsidRPr="008A2870">
          <w:rPr>
            <w:rStyle w:val="Hyperlink"/>
            <w:noProof/>
          </w:rPr>
          <w:t>Supervisão de Aquisições</w:t>
        </w:r>
        <w:r w:rsidR="00B51E3E">
          <w:rPr>
            <w:noProof/>
            <w:webHidden/>
          </w:rPr>
          <w:tab/>
        </w:r>
        <w:r w:rsidR="00B51E3E">
          <w:rPr>
            <w:noProof/>
            <w:webHidden/>
          </w:rPr>
          <w:fldChar w:fldCharType="begin"/>
        </w:r>
        <w:r w:rsidR="00B51E3E">
          <w:rPr>
            <w:noProof/>
            <w:webHidden/>
          </w:rPr>
          <w:instrText xml:space="preserve"> PAGEREF _Toc45546131 \h </w:instrText>
        </w:r>
        <w:r w:rsidR="00B51E3E">
          <w:rPr>
            <w:noProof/>
            <w:webHidden/>
          </w:rPr>
        </w:r>
        <w:r w:rsidR="00B51E3E">
          <w:rPr>
            <w:noProof/>
            <w:webHidden/>
          </w:rPr>
          <w:fldChar w:fldCharType="separate"/>
        </w:r>
        <w:r w:rsidR="00B51E3E">
          <w:rPr>
            <w:noProof/>
            <w:webHidden/>
          </w:rPr>
          <w:t>26</w:t>
        </w:r>
        <w:r w:rsidR="00B51E3E">
          <w:rPr>
            <w:noProof/>
            <w:webHidden/>
          </w:rPr>
          <w:fldChar w:fldCharType="end"/>
        </w:r>
      </w:hyperlink>
    </w:p>
    <w:p w14:paraId="6F5816A4" w14:textId="4E84AEEA" w:rsidR="00B51E3E" w:rsidRDefault="00540A29">
      <w:pPr>
        <w:pStyle w:val="TOC2"/>
        <w:rPr>
          <w:rFonts w:asciiTheme="minorHAnsi" w:eastAsiaTheme="minorEastAsia" w:hAnsiTheme="minorHAnsi" w:cstheme="minorBidi"/>
          <w:noProof/>
          <w:sz w:val="22"/>
          <w:lang w:val="es-UY" w:eastAsia="es-UY"/>
        </w:rPr>
      </w:pPr>
      <w:hyperlink w:anchor="_Toc45546132" w:history="1">
        <w:r w:rsidR="00B51E3E" w:rsidRPr="008A2870">
          <w:rPr>
            <w:rStyle w:val="Hyperlink"/>
            <w:noProof/>
          </w:rPr>
          <w:t>C.</w:t>
        </w:r>
        <w:r w:rsidR="00B51E3E">
          <w:rPr>
            <w:rFonts w:asciiTheme="minorHAnsi" w:eastAsiaTheme="minorEastAsia" w:hAnsiTheme="minorHAnsi" w:cstheme="minorBidi"/>
            <w:noProof/>
            <w:sz w:val="22"/>
            <w:lang w:val="es-UY" w:eastAsia="es-UY"/>
          </w:rPr>
          <w:tab/>
        </w:r>
        <w:r w:rsidR="00B51E3E" w:rsidRPr="008A2870">
          <w:rPr>
            <w:rStyle w:val="Hyperlink"/>
            <w:noProof/>
          </w:rPr>
          <w:t>Registros e Arquivos</w:t>
        </w:r>
        <w:r w:rsidR="00B51E3E">
          <w:rPr>
            <w:noProof/>
            <w:webHidden/>
          </w:rPr>
          <w:tab/>
        </w:r>
        <w:r w:rsidR="00B51E3E">
          <w:rPr>
            <w:noProof/>
            <w:webHidden/>
          </w:rPr>
          <w:fldChar w:fldCharType="begin"/>
        </w:r>
        <w:r w:rsidR="00B51E3E">
          <w:rPr>
            <w:noProof/>
            <w:webHidden/>
          </w:rPr>
          <w:instrText xml:space="preserve"> PAGEREF _Toc45546132 \h </w:instrText>
        </w:r>
        <w:r w:rsidR="00B51E3E">
          <w:rPr>
            <w:noProof/>
            <w:webHidden/>
          </w:rPr>
        </w:r>
        <w:r w:rsidR="00B51E3E">
          <w:rPr>
            <w:noProof/>
            <w:webHidden/>
          </w:rPr>
          <w:fldChar w:fldCharType="separate"/>
        </w:r>
        <w:r w:rsidR="00B51E3E">
          <w:rPr>
            <w:noProof/>
            <w:webHidden/>
          </w:rPr>
          <w:t>26</w:t>
        </w:r>
        <w:r w:rsidR="00B51E3E">
          <w:rPr>
            <w:noProof/>
            <w:webHidden/>
          </w:rPr>
          <w:fldChar w:fldCharType="end"/>
        </w:r>
      </w:hyperlink>
    </w:p>
    <w:p w14:paraId="216977A2" w14:textId="23ECAF6D" w:rsidR="00B51E3E" w:rsidRDefault="00540A29">
      <w:pPr>
        <w:pStyle w:val="TOC1"/>
        <w:tabs>
          <w:tab w:val="left" w:pos="567"/>
        </w:tabs>
        <w:rPr>
          <w:rFonts w:asciiTheme="minorHAnsi" w:eastAsiaTheme="minorEastAsia" w:hAnsiTheme="minorHAnsi" w:cstheme="minorBidi"/>
          <w:noProof/>
          <w:sz w:val="22"/>
          <w:lang w:val="es-UY" w:eastAsia="es-UY"/>
        </w:rPr>
      </w:pPr>
      <w:hyperlink w:anchor="_Toc45546133" w:history="1">
        <w:r w:rsidR="00B51E3E" w:rsidRPr="008A2870">
          <w:rPr>
            <w:rStyle w:val="Hyperlink"/>
            <w:bCs/>
            <w:noProof/>
          </w:rPr>
          <w:t>VII.</w:t>
        </w:r>
        <w:r w:rsidR="00B51E3E">
          <w:rPr>
            <w:rFonts w:asciiTheme="minorHAnsi" w:eastAsiaTheme="minorEastAsia" w:hAnsiTheme="minorHAnsi" w:cstheme="minorBidi"/>
            <w:noProof/>
            <w:sz w:val="22"/>
            <w:lang w:val="es-UY" w:eastAsia="es-UY"/>
          </w:rPr>
          <w:tab/>
        </w:r>
        <w:r w:rsidR="00B51E3E" w:rsidRPr="008A2870">
          <w:rPr>
            <w:rStyle w:val="Hyperlink"/>
            <w:noProof/>
          </w:rPr>
          <w:t>RISCOS</w:t>
        </w:r>
        <w:r w:rsidR="00B51E3E">
          <w:rPr>
            <w:noProof/>
            <w:webHidden/>
          </w:rPr>
          <w:tab/>
        </w:r>
        <w:r w:rsidR="00B51E3E">
          <w:rPr>
            <w:noProof/>
            <w:webHidden/>
          </w:rPr>
          <w:fldChar w:fldCharType="begin"/>
        </w:r>
        <w:r w:rsidR="00B51E3E">
          <w:rPr>
            <w:noProof/>
            <w:webHidden/>
          </w:rPr>
          <w:instrText xml:space="preserve"> PAGEREF _Toc45546133 \h </w:instrText>
        </w:r>
        <w:r w:rsidR="00B51E3E">
          <w:rPr>
            <w:noProof/>
            <w:webHidden/>
          </w:rPr>
        </w:r>
        <w:r w:rsidR="00B51E3E">
          <w:rPr>
            <w:noProof/>
            <w:webHidden/>
          </w:rPr>
          <w:fldChar w:fldCharType="separate"/>
        </w:r>
        <w:r w:rsidR="00B51E3E">
          <w:rPr>
            <w:noProof/>
            <w:webHidden/>
          </w:rPr>
          <w:t>26</w:t>
        </w:r>
        <w:r w:rsidR="00B51E3E">
          <w:rPr>
            <w:noProof/>
            <w:webHidden/>
          </w:rPr>
          <w:fldChar w:fldCharType="end"/>
        </w:r>
      </w:hyperlink>
    </w:p>
    <w:p w14:paraId="661F449C" w14:textId="4CE05BF6" w:rsidR="00B51E3E" w:rsidRDefault="00540A29">
      <w:pPr>
        <w:pStyle w:val="TOC2"/>
        <w:rPr>
          <w:rFonts w:asciiTheme="minorHAnsi" w:eastAsiaTheme="minorEastAsia" w:hAnsiTheme="minorHAnsi" w:cstheme="minorBidi"/>
          <w:noProof/>
          <w:sz w:val="22"/>
          <w:lang w:val="es-UY" w:eastAsia="es-UY"/>
        </w:rPr>
      </w:pPr>
      <w:hyperlink w:anchor="_Toc45546134" w:history="1">
        <w:r w:rsidR="00B51E3E" w:rsidRPr="008A2870">
          <w:rPr>
            <w:rStyle w:val="Hyperlink"/>
            <w:noProof/>
          </w:rPr>
          <w:t>A.</w:t>
        </w:r>
        <w:r w:rsidR="00B51E3E">
          <w:rPr>
            <w:rFonts w:asciiTheme="minorHAnsi" w:eastAsiaTheme="minorEastAsia" w:hAnsiTheme="minorHAnsi" w:cstheme="minorBidi"/>
            <w:noProof/>
            <w:sz w:val="22"/>
            <w:lang w:val="es-UY" w:eastAsia="es-UY"/>
          </w:rPr>
          <w:tab/>
        </w:r>
        <w:r w:rsidR="00B51E3E" w:rsidRPr="008A2870">
          <w:rPr>
            <w:rStyle w:val="Hyperlink"/>
            <w:noProof/>
          </w:rPr>
          <w:t>Riscos fiduciários.</w:t>
        </w:r>
        <w:r w:rsidR="00B51E3E">
          <w:rPr>
            <w:noProof/>
            <w:webHidden/>
          </w:rPr>
          <w:tab/>
        </w:r>
        <w:r w:rsidR="00B51E3E">
          <w:rPr>
            <w:noProof/>
            <w:webHidden/>
          </w:rPr>
          <w:fldChar w:fldCharType="begin"/>
        </w:r>
        <w:r w:rsidR="00B51E3E">
          <w:rPr>
            <w:noProof/>
            <w:webHidden/>
          </w:rPr>
          <w:instrText xml:space="preserve"> PAGEREF _Toc45546134 \h </w:instrText>
        </w:r>
        <w:r w:rsidR="00B51E3E">
          <w:rPr>
            <w:noProof/>
            <w:webHidden/>
          </w:rPr>
        </w:r>
        <w:r w:rsidR="00B51E3E">
          <w:rPr>
            <w:noProof/>
            <w:webHidden/>
          </w:rPr>
          <w:fldChar w:fldCharType="separate"/>
        </w:r>
        <w:r w:rsidR="00B51E3E">
          <w:rPr>
            <w:noProof/>
            <w:webHidden/>
          </w:rPr>
          <w:t>26</w:t>
        </w:r>
        <w:r w:rsidR="00B51E3E">
          <w:rPr>
            <w:noProof/>
            <w:webHidden/>
          </w:rPr>
          <w:fldChar w:fldCharType="end"/>
        </w:r>
      </w:hyperlink>
    </w:p>
    <w:p w14:paraId="58980ECE" w14:textId="0686F4D8" w:rsidR="00B51E3E" w:rsidRDefault="00540A29">
      <w:pPr>
        <w:pStyle w:val="TOC2"/>
        <w:rPr>
          <w:rFonts w:asciiTheme="minorHAnsi" w:eastAsiaTheme="minorEastAsia" w:hAnsiTheme="minorHAnsi" w:cstheme="minorBidi"/>
          <w:noProof/>
          <w:sz w:val="22"/>
          <w:lang w:val="es-UY" w:eastAsia="es-UY"/>
        </w:rPr>
      </w:pPr>
      <w:hyperlink w:anchor="_Toc45546135" w:history="1">
        <w:r w:rsidR="00B51E3E" w:rsidRPr="008A2870">
          <w:rPr>
            <w:rStyle w:val="Hyperlink"/>
            <w:noProof/>
          </w:rPr>
          <w:t>B.</w:t>
        </w:r>
        <w:r w:rsidR="00B51E3E">
          <w:rPr>
            <w:rFonts w:asciiTheme="minorHAnsi" w:eastAsiaTheme="minorEastAsia" w:hAnsiTheme="minorHAnsi" w:cstheme="minorBidi"/>
            <w:noProof/>
            <w:sz w:val="22"/>
            <w:lang w:val="es-UY" w:eastAsia="es-UY"/>
          </w:rPr>
          <w:tab/>
        </w:r>
        <w:r w:rsidR="00B51E3E" w:rsidRPr="008A2870">
          <w:rPr>
            <w:rStyle w:val="Hyperlink"/>
            <w:noProof/>
          </w:rPr>
          <w:t>Outros riscos e temas chave</w:t>
        </w:r>
        <w:r w:rsidR="00B51E3E">
          <w:rPr>
            <w:noProof/>
            <w:webHidden/>
          </w:rPr>
          <w:tab/>
        </w:r>
        <w:r w:rsidR="00B51E3E">
          <w:rPr>
            <w:noProof/>
            <w:webHidden/>
          </w:rPr>
          <w:fldChar w:fldCharType="begin"/>
        </w:r>
        <w:r w:rsidR="00B51E3E">
          <w:rPr>
            <w:noProof/>
            <w:webHidden/>
          </w:rPr>
          <w:instrText xml:space="preserve"> PAGEREF _Toc45546135 \h </w:instrText>
        </w:r>
        <w:r w:rsidR="00B51E3E">
          <w:rPr>
            <w:noProof/>
            <w:webHidden/>
          </w:rPr>
        </w:r>
        <w:r w:rsidR="00B51E3E">
          <w:rPr>
            <w:noProof/>
            <w:webHidden/>
          </w:rPr>
          <w:fldChar w:fldCharType="separate"/>
        </w:r>
        <w:r w:rsidR="00B51E3E">
          <w:rPr>
            <w:noProof/>
            <w:webHidden/>
          </w:rPr>
          <w:t>26</w:t>
        </w:r>
        <w:r w:rsidR="00B51E3E">
          <w:rPr>
            <w:noProof/>
            <w:webHidden/>
          </w:rPr>
          <w:fldChar w:fldCharType="end"/>
        </w:r>
      </w:hyperlink>
    </w:p>
    <w:p w14:paraId="5C7CD185" w14:textId="59D84D5C" w:rsidR="00B51E3E" w:rsidRDefault="00540A29">
      <w:pPr>
        <w:pStyle w:val="TOC1"/>
        <w:tabs>
          <w:tab w:val="left" w:pos="660"/>
        </w:tabs>
        <w:rPr>
          <w:rFonts w:asciiTheme="minorHAnsi" w:eastAsiaTheme="minorEastAsia" w:hAnsiTheme="minorHAnsi" w:cstheme="minorBidi"/>
          <w:noProof/>
          <w:sz w:val="22"/>
          <w:lang w:val="es-UY" w:eastAsia="es-UY"/>
        </w:rPr>
      </w:pPr>
      <w:hyperlink w:anchor="_Toc45546136" w:history="1">
        <w:r w:rsidR="00B51E3E" w:rsidRPr="008A2870">
          <w:rPr>
            <w:rStyle w:val="Hyperlink"/>
            <w:noProof/>
          </w:rPr>
          <w:t>VIII.</w:t>
        </w:r>
        <w:r w:rsidR="00B51E3E">
          <w:rPr>
            <w:rFonts w:asciiTheme="minorHAnsi" w:eastAsiaTheme="minorEastAsia" w:hAnsiTheme="minorHAnsi" w:cstheme="minorBidi"/>
            <w:noProof/>
            <w:sz w:val="22"/>
            <w:lang w:val="es-UY" w:eastAsia="es-UY"/>
          </w:rPr>
          <w:tab/>
        </w:r>
        <w:r w:rsidR="00B51E3E" w:rsidRPr="008A2870">
          <w:rPr>
            <w:rStyle w:val="Hyperlink"/>
            <w:noProof/>
          </w:rPr>
          <w:t>SUPERVISÃO, MONITORAMENTO E AVALIAÇÃO DO PROJETO</w:t>
        </w:r>
        <w:r w:rsidR="00B51E3E">
          <w:rPr>
            <w:noProof/>
            <w:webHidden/>
          </w:rPr>
          <w:tab/>
        </w:r>
        <w:r w:rsidR="00B51E3E">
          <w:rPr>
            <w:noProof/>
            <w:webHidden/>
          </w:rPr>
          <w:fldChar w:fldCharType="begin"/>
        </w:r>
        <w:r w:rsidR="00B51E3E">
          <w:rPr>
            <w:noProof/>
            <w:webHidden/>
          </w:rPr>
          <w:instrText xml:space="preserve"> PAGEREF _Toc45546136 \h </w:instrText>
        </w:r>
        <w:r w:rsidR="00B51E3E">
          <w:rPr>
            <w:noProof/>
            <w:webHidden/>
          </w:rPr>
        </w:r>
        <w:r w:rsidR="00B51E3E">
          <w:rPr>
            <w:noProof/>
            <w:webHidden/>
          </w:rPr>
          <w:fldChar w:fldCharType="separate"/>
        </w:r>
        <w:r w:rsidR="00B51E3E">
          <w:rPr>
            <w:noProof/>
            <w:webHidden/>
          </w:rPr>
          <w:t>27</w:t>
        </w:r>
        <w:r w:rsidR="00B51E3E">
          <w:rPr>
            <w:noProof/>
            <w:webHidden/>
          </w:rPr>
          <w:fldChar w:fldCharType="end"/>
        </w:r>
      </w:hyperlink>
    </w:p>
    <w:p w14:paraId="3B7ECF9B" w14:textId="3421508A" w:rsidR="00B51E3E" w:rsidRDefault="00540A29">
      <w:pPr>
        <w:pStyle w:val="TOC2"/>
        <w:rPr>
          <w:rFonts w:asciiTheme="minorHAnsi" w:eastAsiaTheme="minorEastAsia" w:hAnsiTheme="minorHAnsi" w:cstheme="minorBidi"/>
          <w:noProof/>
          <w:sz w:val="22"/>
          <w:lang w:val="es-UY" w:eastAsia="es-UY"/>
        </w:rPr>
      </w:pPr>
      <w:hyperlink w:anchor="_Toc45546137" w:history="1">
        <w:r w:rsidR="00B51E3E" w:rsidRPr="008A2870">
          <w:rPr>
            <w:rStyle w:val="Hyperlink"/>
            <w:noProof/>
          </w:rPr>
          <w:t>A.</w:t>
        </w:r>
        <w:r w:rsidR="00B51E3E">
          <w:rPr>
            <w:rFonts w:asciiTheme="minorHAnsi" w:eastAsiaTheme="minorEastAsia" w:hAnsiTheme="minorHAnsi" w:cstheme="minorBidi"/>
            <w:noProof/>
            <w:sz w:val="22"/>
            <w:lang w:val="es-UY" w:eastAsia="es-UY"/>
          </w:rPr>
          <w:tab/>
        </w:r>
        <w:r w:rsidR="00B51E3E" w:rsidRPr="008A2870">
          <w:rPr>
            <w:rStyle w:val="Hyperlink"/>
            <w:noProof/>
          </w:rPr>
          <w:t>Procedimentos de Supervisão e Monitoramento do Projeto</w:t>
        </w:r>
        <w:r w:rsidR="00B51E3E">
          <w:rPr>
            <w:noProof/>
            <w:webHidden/>
          </w:rPr>
          <w:tab/>
        </w:r>
        <w:r w:rsidR="00B51E3E">
          <w:rPr>
            <w:noProof/>
            <w:webHidden/>
          </w:rPr>
          <w:fldChar w:fldCharType="begin"/>
        </w:r>
        <w:r w:rsidR="00B51E3E">
          <w:rPr>
            <w:noProof/>
            <w:webHidden/>
          </w:rPr>
          <w:instrText xml:space="preserve"> PAGEREF _Toc45546137 \h </w:instrText>
        </w:r>
        <w:r w:rsidR="00B51E3E">
          <w:rPr>
            <w:noProof/>
            <w:webHidden/>
          </w:rPr>
        </w:r>
        <w:r w:rsidR="00B51E3E">
          <w:rPr>
            <w:noProof/>
            <w:webHidden/>
          </w:rPr>
          <w:fldChar w:fldCharType="separate"/>
        </w:r>
        <w:r w:rsidR="00B51E3E">
          <w:rPr>
            <w:noProof/>
            <w:webHidden/>
          </w:rPr>
          <w:t>27</w:t>
        </w:r>
        <w:r w:rsidR="00B51E3E">
          <w:rPr>
            <w:noProof/>
            <w:webHidden/>
          </w:rPr>
          <w:fldChar w:fldCharType="end"/>
        </w:r>
      </w:hyperlink>
    </w:p>
    <w:p w14:paraId="0AEF438E" w14:textId="54C9BFCE" w:rsidR="00B51E3E" w:rsidRDefault="00540A29">
      <w:pPr>
        <w:pStyle w:val="TOC2"/>
        <w:rPr>
          <w:rFonts w:asciiTheme="minorHAnsi" w:eastAsiaTheme="minorEastAsia" w:hAnsiTheme="minorHAnsi" w:cstheme="minorBidi"/>
          <w:noProof/>
          <w:sz w:val="22"/>
          <w:lang w:val="es-UY" w:eastAsia="es-UY"/>
        </w:rPr>
      </w:pPr>
      <w:hyperlink w:anchor="_Toc45546138" w:history="1">
        <w:r w:rsidR="00B51E3E" w:rsidRPr="008A2870">
          <w:rPr>
            <w:rStyle w:val="Hyperlink"/>
            <w:noProof/>
          </w:rPr>
          <w:t>B.</w:t>
        </w:r>
        <w:r w:rsidR="00B51E3E">
          <w:rPr>
            <w:rFonts w:asciiTheme="minorHAnsi" w:eastAsiaTheme="minorEastAsia" w:hAnsiTheme="minorHAnsi" w:cstheme="minorBidi"/>
            <w:noProof/>
            <w:sz w:val="22"/>
            <w:lang w:val="es-UY" w:eastAsia="es-UY"/>
          </w:rPr>
          <w:tab/>
        </w:r>
        <w:r w:rsidR="00B51E3E" w:rsidRPr="008A2870">
          <w:rPr>
            <w:rStyle w:val="Hyperlink"/>
            <w:noProof/>
          </w:rPr>
          <w:t>Dos Registros, Relatórios, Prestações de Contas</w:t>
        </w:r>
        <w:r w:rsidR="00B51E3E">
          <w:rPr>
            <w:noProof/>
            <w:webHidden/>
          </w:rPr>
          <w:tab/>
        </w:r>
        <w:r w:rsidR="00B51E3E">
          <w:rPr>
            <w:noProof/>
            <w:webHidden/>
          </w:rPr>
          <w:fldChar w:fldCharType="begin"/>
        </w:r>
        <w:r w:rsidR="00B51E3E">
          <w:rPr>
            <w:noProof/>
            <w:webHidden/>
          </w:rPr>
          <w:instrText xml:space="preserve"> PAGEREF _Toc45546138 \h </w:instrText>
        </w:r>
        <w:r w:rsidR="00B51E3E">
          <w:rPr>
            <w:noProof/>
            <w:webHidden/>
          </w:rPr>
        </w:r>
        <w:r w:rsidR="00B51E3E">
          <w:rPr>
            <w:noProof/>
            <w:webHidden/>
          </w:rPr>
          <w:fldChar w:fldCharType="separate"/>
        </w:r>
        <w:r w:rsidR="00B51E3E">
          <w:rPr>
            <w:noProof/>
            <w:webHidden/>
          </w:rPr>
          <w:t>28</w:t>
        </w:r>
        <w:r w:rsidR="00B51E3E">
          <w:rPr>
            <w:noProof/>
            <w:webHidden/>
          </w:rPr>
          <w:fldChar w:fldCharType="end"/>
        </w:r>
      </w:hyperlink>
    </w:p>
    <w:p w14:paraId="17FF54B0" w14:textId="3BE6A315" w:rsidR="00B51E3E" w:rsidRDefault="00540A29">
      <w:pPr>
        <w:pStyle w:val="TOC2"/>
        <w:rPr>
          <w:rFonts w:asciiTheme="minorHAnsi" w:eastAsiaTheme="minorEastAsia" w:hAnsiTheme="minorHAnsi" w:cstheme="minorBidi"/>
          <w:noProof/>
          <w:sz w:val="22"/>
          <w:lang w:val="es-UY" w:eastAsia="es-UY"/>
        </w:rPr>
      </w:pPr>
      <w:hyperlink w:anchor="_Toc45546139" w:history="1">
        <w:r w:rsidR="00B51E3E" w:rsidRPr="008A2870">
          <w:rPr>
            <w:rStyle w:val="Hyperlink"/>
            <w:noProof/>
          </w:rPr>
          <w:t>C.</w:t>
        </w:r>
        <w:r w:rsidR="00B51E3E">
          <w:rPr>
            <w:rFonts w:asciiTheme="minorHAnsi" w:eastAsiaTheme="minorEastAsia" w:hAnsiTheme="minorHAnsi" w:cstheme="minorBidi"/>
            <w:noProof/>
            <w:sz w:val="22"/>
            <w:lang w:val="es-UY" w:eastAsia="es-UY"/>
          </w:rPr>
          <w:tab/>
        </w:r>
        <w:r w:rsidR="00B51E3E" w:rsidRPr="008A2870">
          <w:rPr>
            <w:rStyle w:val="Hyperlink"/>
            <w:noProof/>
          </w:rPr>
          <w:t>Inspeções</w:t>
        </w:r>
        <w:r w:rsidR="00B51E3E">
          <w:rPr>
            <w:noProof/>
            <w:webHidden/>
          </w:rPr>
          <w:tab/>
        </w:r>
        <w:r w:rsidR="00B51E3E">
          <w:rPr>
            <w:noProof/>
            <w:webHidden/>
          </w:rPr>
          <w:fldChar w:fldCharType="begin"/>
        </w:r>
        <w:r w:rsidR="00B51E3E">
          <w:rPr>
            <w:noProof/>
            <w:webHidden/>
          </w:rPr>
          <w:instrText xml:space="preserve"> PAGEREF _Toc45546139 \h </w:instrText>
        </w:r>
        <w:r w:rsidR="00B51E3E">
          <w:rPr>
            <w:noProof/>
            <w:webHidden/>
          </w:rPr>
        </w:r>
        <w:r w:rsidR="00B51E3E">
          <w:rPr>
            <w:noProof/>
            <w:webHidden/>
          </w:rPr>
          <w:fldChar w:fldCharType="separate"/>
        </w:r>
        <w:r w:rsidR="00B51E3E">
          <w:rPr>
            <w:noProof/>
            <w:webHidden/>
          </w:rPr>
          <w:t>28</w:t>
        </w:r>
        <w:r w:rsidR="00B51E3E">
          <w:rPr>
            <w:noProof/>
            <w:webHidden/>
          </w:rPr>
          <w:fldChar w:fldCharType="end"/>
        </w:r>
      </w:hyperlink>
    </w:p>
    <w:p w14:paraId="39609CF5" w14:textId="624CC1A3" w:rsidR="00B51E3E" w:rsidRDefault="00540A29">
      <w:pPr>
        <w:pStyle w:val="TOC1"/>
        <w:tabs>
          <w:tab w:val="left" w:pos="567"/>
        </w:tabs>
        <w:rPr>
          <w:rFonts w:asciiTheme="minorHAnsi" w:eastAsiaTheme="minorEastAsia" w:hAnsiTheme="minorHAnsi" w:cstheme="minorBidi"/>
          <w:noProof/>
          <w:sz w:val="22"/>
          <w:lang w:val="es-UY" w:eastAsia="es-UY"/>
        </w:rPr>
      </w:pPr>
      <w:hyperlink w:anchor="_Toc45546140" w:history="1">
        <w:r w:rsidR="00B51E3E" w:rsidRPr="008A2870">
          <w:rPr>
            <w:rStyle w:val="Hyperlink"/>
            <w:noProof/>
          </w:rPr>
          <w:t>IX.</w:t>
        </w:r>
        <w:r w:rsidR="00B51E3E">
          <w:rPr>
            <w:rFonts w:asciiTheme="minorHAnsi" w:eastAsiaTheme="minorEastAsia" w:hAnsiTheme="minorHAnsi" w:cstheme="minorBidi"/>
            <w:noProof/>
            <w:sz w:val="22"/>
            <w:lang w:val="es-UY" w:eastAsia="es-UY"/>
          </w:rPr>
          <w:tab/>
        </w:r>
        <w:r w:rsidR="00B51E3E" w:rsidRPr="008A2870">
          <w:rPr>
            <w:rStyle w:val="Hyperlink"/>
            <w:noProof/>
          </w:rPr>
          <w:t>ANEXOS</w:t>
        </w:r>
        <w:r w:rsidR="00B51E3E">
          <w:rPr>
            <w:noProof/>
            <w:webHidden/>
          </w:rPr>
          <w:tab/>
        </w:r>
        <w:r w:rsidR="00B51E3E">
          <w:rPr>
            <w:noProof/>
            <w:webHidden/>
          </w:rPr>
          <w:fldChar w:fldCharType="begin"/>
        </w:r>
        <w:r w:rsidR="00B51E3E">
          <w:rPr>
            <w:noProof/>
            <w:webHidden/>
          </w:rPr>
          <w:instrText xml:space="preserve"> PAGEREF _Toc45546140 \h </w:instrText>
        </w:r>
        <w:r w:rsidR="00B51E3E">
          <w:rPr>
            <w:noProof/>
            <w:webHidden/>
          </w:rPr>
        </w:r>
        <w:r w:rsidR="00B51E3E">
          <w:rPr>
            <w:noProof/>
            <w:webHidden/>
          </w:rPr>
          <w:fldChar w:fldCharType="separate"/>
        </w:r>
        <w:r w:rsidR="00B51E3E">
          <w:rPr>
            <w:noProof/>
            <w:webHidden/>
          </w:rPr>
          <w:t>29</w:t>
        </w:r>
        <w:r w:rsidR="00B51E3E">
          <w:rPr>
            <w:noProof/>
            <w:webHidden/>
          </w:rPr>
          <w:fldChar w:fldCharType="end"/>
        </w:r>
      </w:hyperlink>
    </w:p>
    <w:p w14:paraId="4A72459C" w14:textId="6895EB23" w:rsidR="00B51E3E" w:rsidRDefault="00540A29">
      <w:pPr>
        <w:pStyle w:val="TOC2"/>
        <w:rPr>
          <w:rFonts w:asciiTheme="minorHAnsi" w:eastAsiaTheme="minorEastAsia" w:hAnsiTheme="minorHAnsi" w:cstheme="minorBidi"/>
          <w:noProof/>
          <w:sz w:val="22"/>
          <w:lang w:val="es-UY" w:eastAsia="es-UY"/>
        </w:rPr>
      </w:pPr>
      <w:hyperlink w:anchor="_Toc45546141" w:history="1">
        <w:r w:rsidR="00B51E3E" w:rsidRPr="008A2870">
          <w:rPr>
            <w:rStyle w:val="Hyperlink"/>
            <w:noProof/>
          </w:rPr>
          <w:t>B)</w:t>
        </w:r>
        <w:r w:rsidR="00B51E3E">
          <w:rPr>
            <w:rFonts w:asciiTheme="minorHAnsi" w:eastAsiaTheme="minorEastAsia" w:hAnsiTheme="minorHAnsi" w:cstheme="minorBidi"/>
            <w:noProof/>
            <w:sz w:val="22"/>
            <w:lang w:val="es-UY" w:eastAsia="es-UY"/>
          </w:rPr>
          <w:tab/>
        </w:r>
        <w:r w:rsidR="00B51E3E" w:rsidRPr="008A2870">
          <w:rPr>
            <w:rStyle w:val="Hyperlink"/>
            <w:noProof/>
          </w:rPr>
          <w:t>Matriz de Indicadores do Projeto – (Anexo II POD)</w:t>
        </w:r>
        <w:r w:rsidR="00B51E3E">
          <w:rPr>
            <w:noProof/>
            <w:webHidden/>
          </w:rPr>
          <w:tab/>
        </w:r>
        <w:r w:rsidR="00B51E3E">
          <w:rPr>
            <w:noProof/>
            <w:webHidden/>
          </w:rPr>
          <w:fldChar w:fldCharType="begin"/>
        </w:r>
        <w:r w:rsidR="00B51E3E">
          <w:rPr>
            <w:noProof/>
            <w:webHidden/>
          </w:rPr>
          <w:instrText xml:space="preserve"> PAGEREF _Toc45546141 \h </w:instrText>
        </w:r>
        <w:r w:rsidR="00B51E3E">
          <w:rPr>
            <w:noProof/>
            <w:webHidden/>
          </w:rPr>
        </w:r>
        <w:r w:rsidR="00B51E3E">
          <w:rPr>
            <w:noProof/>
            <w:webHidden/>
          </w:rPr>
          <w:fldChar w:fldCharType="separate"/>
        </w:r>
        <w:r w:rsidR="00B51E3E">
          <w:rPr>
            <w:noProof/>
            <w:webHidden/>
          </w:rPr>
          <w:t>29</w:t>
        </w:r>
        <w:r w:rsidR="00B51E3E">
          <w:rPr>
            <w:noProof/>
            <w:webHidden/>
          </w:rPr>
          <w:fldChar w:fldCharType="end"/>
        </w:r>
      </w:hyperlink>
    </w:p>
    <w:p w14:paraId="1CE54D03" w14:textId="1CD67E49" w:rsidR="00B51E3E" w:rsidRDefault="00540A29">
      <w:pPr>
        <w:pStyle w:val="TOC2"/>
        <w:rPr>
          <w:rFonts w:asciiTheme="minorHAnsi" w:eastAsiaTheme="minorEastAsia" w:hAnsiTheme="minorHAnsi" w:cstheme="minorBidi"/>
          <w:noProof/>
          <w:sz w:val="22"/>
          <w:lang w:val="es-UY" w:eastAsia="es-UY"/>
        </w:rPr>
      </w:pPr>
      <w:hyperlink w:anchor="_Toc45546142" w:history="1">
        <w:r w:rsidR="00B51E3E" w:rsidRPr="008A2870">
          <w:rPr>
            <w:rStyle w:val="Hyperlink"/>
            <w:noProof/>
          </w:rPr>
          <w:t>C)</w:t>
        </w:r>
        <w:r w:rsidR="00B51E3E">
          <w:rPr>
            <w:rFonts w:asciiTheme="minorHAnsi" w:eastAsiaTheme="minorEastAsia" w:hAnsiTheme="minorHAnsi" w:cstheme="minorBidi"/>
            <w:noProof/>
            <w:sz w:val="22"/>
            <w:lang w:val="es-UY" w:eastAsia="es-UY"/>
          </w:rPr>
          <w:tab/>
        </w:r>
        <w:r w:rsidR="00B51E3E" w:rsidRPr="008A2870">
          <w:rPr>
            <w:rStyle w:val="Hyperlink"/>
            <w:noProof/>
          </w:rPr>
          <w:t>Plano de Execução Plurianual - (EER#2 POD)</w:t>
        </w:r>
        <w:r w:rsidR="00B51E3E">
          <w:rPr>
            <w:noProof/>
            <w:webHidden/>
          </w:rPr>
          <w:tab/>
        </w:r>
        <w:r w:rsidR="00B51E3E">
          <w:rPr>
            <w:noProof/>
            <w:webHidden/>
          </w:rPr>
          <w:fldChar w:fldCharType="begin"/>
        </w:r>
        <w:r w:rsidR="00B51E3E">
          <w:rPr>
            <w:noProof/>
            <w:webHidden/>
          </w:rPr>
          <w:instrText xml:space="preserve"> PAGEREF _Toc45546142 \h </w:instrText>
        </w:r>
        <w:r w:rsidR="00B51E3E">
          <w:rPr>
            <w:noProof/>
            <w:webHidden/>
          </w:rPr>
        </w:r>
        <w:r w:rsidR="00B51E3E">
          <w:rPr>
            <w:noProof/>
            <w:webHidden/>
          </w:rPr>
          <w:fldChar w:fldCharType="separate"/>
        </w:r>
        <w:r w:rsidR="00B51E3E">
          <w:rPr>
            <w:noProof/>
            <w:webHidden/>
          </w:rPr>
          <w:t>29</w:t>
        </w:r>
        <w:r w:rsidR="00B51E3E">
          <w:rPr>
            <w:noProof/>
            <w:webHidden/>
          </w:rPr>
          <w:fldChar w:fldCharType="end"/>
        </w:r>
      </w:hyperlink>
    </w:p>
    <w:p w14:paraId="23C82FAD" w14:textId="454D3944" w:rsidR="00B51E3E" w:rsidRDefault="00540A29">
      <w:pPr>
        <w:pStyle w:val="TOC2"/>
        <w:rPr>
          <w:rFonts w:asciiTheme="minorHAnsi" w:eastAsiaTheme="minorEastAsia" w:hAnsiTheme="minorHAnsi" w:cstheme="minorBidi"/>
          <w:noProof/>
          <w:sz w:val="22"/>
          <w:lang w:val="es-UY" w:eastAsia="es-UY"/>
        </w:rPr>
      </w:pPr>
      <w:hyperlink w:anchor="_Toc45546143" w:history="1">
        <w:r w:rsidR="00B51E3E" w:rsidRPr="008A2870">
          <w:rPr>
            <w:rStyle w:val="Hyperlink"/>
            <w:noProof/>
          </w:rPr>
          <w:t>D)</w:t>
        </w:r>
        <w:r w:rsidR="00B51E3E">
          <w:rPr>
            <w:rFonts w:asciiTheme="minorHAnsi" w:eastAsiaTheme="minorEastAsia" w:hAnsiTheme="minorHAnsi" w:cstheme="minorBidi"/>
            <w:noProof/>
            <w:sz w:val="22"/>
            <w:lang w:val="es-UY" w:eastAsia="es-UY"/>
          </w:rPr>
          <w:tab/>
        </w:r>
        <w:r w:rsidR="00B51E3E" w:rsidRPr="008A2870">
          <w:rPr>
            <w:rStyle w:val="Hyperlink"/>
            <w:noProof/>
          </w:rPr>
          <w:t>Plano de Aquisições - (EER#5 POD)</w:t>
        </w:r>
        <w:r w:rsidR="00B51E3E">
          <w:rPr>
            <w:noProof/>
            <w:webHidden/>
          </w:rPr>
          <w:tab/>
        </w:r>
        <w:r w:rsidR="00B51E3E">
          <w:rPr>
            <w:noProof/>
            <w:webHidden/>
          </w:rPr>
          <w:fldChar w:fldCharType="begin"/>
        </w:r>
        <w:r w:rsidR="00B51E3E">
          <w:rPr>
            <w:noProof/>
            <w:webHidden/>
          </w:rPr>
          <w:instrText xml:space="preserve"> PAGEREF _Toc45546143 \h </w:instrText>
        </w:r>
        <w:r w:rsidR="00B51E3E">
          <w:rPr>
            <w:noProof/>
            <w:webHidden/>
          </w:rPr>
        </w:r>
        <w:r w:rsidR="00B51E3E">
          <w:rPr>
            <w:noProof/>
            <w:webHidden/>
          </w:rPr>
          <w:fldChar w:fldCharType="separate"/>
        </w:r>
        <w:r w:rsidR="00B51E3E">
          <w:rPr>
            <w:noProof/>
            <w:webHidden/>
          </w:rPr>
          <w:t>29</w:t>
        </w:r>
        <w:r w:rsidR="00B51E3E">
          <w:rPr>
            <w:noProof/>
            <w:webHidden/>
          </w:rPr>
          <w:fldChar w:fldCharType="end"/>
        </w:r>
      </w:hyperlink>
    </w:p>
    <w:p w14:paraId="51D9D38B" w14:textId="2C584EA9" w:rsidR="00B51E3E" w:rsidRDefault="00540A29">
      <w:pPr>
        <w:pStyle w:val="TOC2"/>
        <w:rPr>
          <w:rFonts w:asciiTheme="minorHAnsi" w:eastAsiaTheme="minorEastAsia" w:hAnsiTheme="minorHAnsi" w:cstheme="minorBidi"/>
          <w:noProof/>
          <w:sz w:val="22"/>
          <w:lang w:val="es-UY" w:eastAsia="es-UY"/>
        </w:rPr>
      </w:pPr>
      <w:hyperlink w:anchor="_Toc45546144" w:history="1">
        <w:r w:rsidR="00B51E3E" w:rsidRPr="008A2870">
          <w:rPr>
            <w:rStyle w:val="Hyperlink"/>
            <w:noProof/>
          </w:rPr>
          <w:t>E)</w:t>
        </w:r>
        <w:r w:rsidR="00B51E3E">
          <w:rPr>
            <w:rFonts w:asciiTheme="minorHAnsi" w:eastAsiaTheme="minorEastAsia" w:hAnsiTheme="minorHAnsi" w:cstheme="minorBidi"/>
            <w:noProof/>
            <w:sz w:val="22"/>
            <w:lang w:val="es-UY" w:eastAsia="es-UY"/>
          </w:rPr>
          <w:tab/>
        </w:r>
        <w:r w:rsidR="00B51E3E" w:rsidRPr="008A2870">
          <w:rPr>
            <w:rStyle w:val="Hyperlink"/>
            <w:noProof/>
          </w:rPr>
          <w:t>Orçamento Detalhado (EEO#3 POD)</w:t>
        </w:r>
        <w:r w:rsidR="00B51E3E">
          <w:rPr>
            <w:noProof/>
            <w:webHidden/>
          </w:rPr>
          <w:tab/>
        </w:r>
        <w:r w:rsidR="00B51E3E">
          <w:rPr>
            <w:noProof/>
            <w:webHidden/>
          </w:rPr>
          <w:fldChar w:fldCharType="begin"/>
        </w:r>
        <w:r w:rsidR="00B51E3E">
          <w:rPr>
            <w:noProof/>
            <w:webHidden/>
          </w:rPr>
          <w:instrText xml:space="preserve"> PAGEREF _Toc45546144 \h </w:instrText>
        </w:r>
        <w:r w:rsidR="00B51E3E">
          <w:rPr>
            <w:noProof/>
            <w:webHidden/>
          </w:rPr>
        </w:r>
        <w:r w:rsidR="00B51E3E">
          <w:rPr>
            <w:noProof/>
            <w:webHidden/>
          </w:rPr>
          <w:fldChar w:fldCharType="separate"/>
        </w:r>
        <w:r w:rsidR="00B51E3E">
          <w:rPr>
            <w:noProof/>
            <w:webHidden/>
          </w:rPr>
          <w:t>29</w:t>
        </w:r>
        <w:r w:rsidR="00B51E3E">
          <w:rPr>
            <w:noProof/>
            <w:webHidden/>
          </w:rPr>
          <w:fldChar w:fldCharType="end"/>
        </w:r>
      </w:hyperlink>
    </w:p>
    <w:p w14:paraId="2C955137" w14:textId="42F17D84" w:rsidR="00B51E3E" w:rsidRDefault="00540A29">
      <w:pPr>
        <w:pStyle w:val="TOC2"/>
        <w:rPr>
          <w:rFonts w:asciiTheme="minorHAnsi" w:eastAsiaTheme="minorEastAsia" w:hAnsiTheme="minorHAnsi" w:cstheme="minorBidi"/>
          <w:noProof/>
          <w:sz w:val="22"/>
          <w:lang w:val="es-UY" w:eastAsia="es-UY"/>
        </w:rPr>
      </w:pPr>
      <w:hyperlink w:anchor="_Toc45546145" w:history="1">
        <w:r w:rsidR="00B51E3E" w:rsidRPr="008A2870">
          <w:rPr>
            <w:rStyle w:val="Hyperlink"/>
            <w:noProof/>
          </w:rPr>
          <w:t>F)</w:t>
        </w:r>
        <w:r w:rsidR="00B51E3E">
          <w:rPr>
            <w:rFonts w:asciiTheme="minorHAnsi" w:eastAsiaTheme="minorEastAsia" w:hAnsiTheme="minorHAnsi" w:cstheme="minorBidi"/>
            <w:noProof/>
            <w:sz w:val="22"/>
            <w:lang w:val="es-UY" w:eastAsia="es-UY"/>
          </w:rPr>
          <w:tab/>
        </w:r>
        <w:r w:rsidR="00B51E3E" w:rsidRPr="008A2870">
          <w:rPr>
            <w:rStyle w:val="Hyperlink"/>
            <w:noProof/>
          </w:rPr>
          <w:t>Matriz de Riscos (Apêndice POD);</w:t>
        </w:r>
        <w:r w:rsidR="00B51E3E">
          <w:rPr>
            <w:noProof/>
            <w:webHidden/>
          </w:rPr>
          <w:tab/>
        </w:r>
        <w:r w:rsidR="00B51E3E">
          <w:rPr>
            <w:noProof/>
            <w:webHidden/>
          </w:rPr>
          <w:fldChar w:fldCharType="begin"/>
        </w:r>
        <w:r w:rsidR="00B51E3E">
          <w:rPr>
            <w:noProof/>
            <w:webHidden/>
          </w:rPr>
          <w:instrText xml:space="preserve"> PAGEREF _Toc45546145 \h </w:instrText>
        </w:r>
        <w:r w:rsidR="00B51E3E">
          <w:rPr>
            <w:noProof/>
            <w:webHidden/>
          </w:rPr>
        </w:r>
        <w:r w:rsidR="00B51E3E">
          <w:rPr>
            <w:noProof/>
            <w:webHidden/>
          </w:rPr>
          <w:fldChar w:fldCharType="separate"/>
        </w:r>
        <w:r w:rsidR="00B51E3E">
          <w:rPr>
            <w:noProof/>
            <w:webHidden/>
          </w:rPr>
          <w:t>29</w:t>
        </w:r>
        <w:r w:rsidR="00B51E3E">
          <w:rPr>
            <w:noProof/>
            <w:webHidden/>
          </w:rPr>
          <w:fldChar w:fldCharType="end"/>
        </w:r>
      </w:hyperlink>
    </w:p>
    <w:p w14:paraId="77597D06" w14:textId="7FE07D69" w:rsidR="00B51E3E" w:rsidRDefault="00540A29">
      <w:pPr>
        <w:pStyle w:val="TOC2"/>
        <w:rPr>
          <w:rFonts w:asciiTheme="minorHAnsi" w:eastAsiaTheme="minorEastAsia" w:hAnsiTheme="minorHAnsi" w:cstheme="minorBidi"/>
          <w:noProof/>
          <w:sz w:val="22"/>
          <w:lang w:val="es-UY" w:eastAsia="es-UY"/>
        </w:rPr>
      </w:pPr>
      <w:hyperlink w:anchor="_Toc45546146" w:history="1">
        <w:r w:rsidR="00B51E3E" w:rsidRPr="008A2870">
          <w:rPr>
            <w:rStyle w:val="Hyperlink"/>
            <w:noProof/>
          </w:rPr>
          <w:t>G)</w:t>
        </w:r>
        <w:r w:rsidR="00B51E3E">
          <w:rPr>
            <w:rFonts w:asciiTheme="minorHAnsi" w:eastAsiaTheme="minorEastAsia" w:hAnsiTheme="minorHAnsi" w:cstheme="minorBidi"/>
            <w:noProof/>
            <w:sz w:val="22"/>
            <w:lang w:val="es-UY" w:eastAsia="es-UY"/>
          </w:rPr>
          <w:tab/>
        </w:r>
        <w:r w:rsidR="00B51E3E" w:rsidRPr="008A2870">
          <w:rPr>
            <w:rStyle w:val="Hyperlink"/>
            <w:noProof/>
          </w:rPr>
          <w:t>Acordos e Requisitos Fiduciários (Anexo III POD);</w:t>
        </w:r>
        <w:r w:rsidR="00B51E3E">
          <w:rPr>
            <w:noProof/>
            <w:webHidden/>
          </w:rPr>
          <w:tab/>
        </w:r>
        <w:r w:rsidR="00B51E3E">
          <w:rPr>
            <w:noProof/>
            <w:webHidden/>
          </w:rPr>
          <w:fldChar w:fldCharType="begin"/>
        </w:r>
        <w:r w:rsidR="00B51E3E">
          <w:rPr>
            <w:noProof/>
            <w:webHidden/>
          </w:rPr>
          <w:instrText xml:space="preserve"> PAGEREF _Toc45546146 \h </w:instrText>
        </w:r>
        <w:r w:rsidR="00B51E3E">
          <w:rPr>
            <w:noProof/>
            <w:webHidden/>
          </w:rPr>
        </w:r>
        <w:r w:rsidR="00B51E3E">
          <w:rPr>
            <w:noProof/>
            <w:webHidden/>
          </w:rPr>
          <w:fldChar w:fldCharType="separate"/>
        </w:r>
        <w:r w:rsidR="00B51E3E">
          <w:rPr>
            <w:noProof/>
            <w:webHidden/>
          </w:rPr>
          <w:t>29</w:t>
        </w:r>
        <w:r w:rsidR="00B51E3E">
          <w:rPr>
            <w:noProof/>
            <w:webHidden/>
          </w:rPr>
          <w:fldChar w:fldCharType="end"/>
        </w:r>
      </w:hyperlink>
    </w:p>
    <w:p w14:paraId="3F1E4B69" w14:textId="57EB97F0" w:rsidR="00B51E3E" w:rsidRDefault="00540A29">
      <w:pPr>
        <w:pStyle w:val="TOC2"/>
        <w:rPr>
          <w:rFonts w:asciiTheme="minorHAnsi" w:eastAsiaTheme="minorEastAsia" w:hAnsiTheme="minorHAnsi" w:cstheme="minorBidi"/>
          <w:noProof/>
          <w:sz w:val="22"/>
          <w:lang w:val="es-UY" w:eastAsia="es-UY"/>
        </w:rPr>
      </w:pPr>
      <w:hyperlink w:anchor="_Toc45546147" w:history="1">
        <w:r w:rsidR="00B51E3E" w:rsidRPr="008A2870">
          <w:rPr>
            <w:rStyle w:val="Hyperlink"/>
            <w:noProof/>
          </w:rPr>
          <w:t>H)</w:t>
        </w:r>
        <w:r w:rsidR="00B51E3E">
          <w:rPr>
            <w:rFonts w:asciiTheme="minorHAnsi" w:eastAsiaTheme="minorEastAsia" w:hAnsiTheme="minorHAnsi" w:cstheme="minorBidi"/>
            <w:noProof/>
            <w:sz w:val="22"/>
            <w:lang w:val="es-UY" w:eastAsia="es-UY"/>
          </w:rPr>
          <w:tab/>
        </w:r>
        <w:r w:rsidR="00B51E3E" w:rsidRPr="008A2870">
          <w:rPr>
            <w:rStyle w:val="Hyperlink"/>
            <w:noProof/>
          </w:rPr>
          <w:t>Plano de Monitoramento e Avaliação (EER#3 POD);</w:t>
        </w:r>
        <w:r w:rsidR="00B51E3E">
          <w:rPr>
            <w:noProof/>
            <w:webHidden/>
          </w:rPr>
          <w:tab/>
        </w:r>
        <w:r w:rsidR="00B51E3E">
          <w:rPr>
            <w:noProof/>
            <w:webHidden/>
          </w:rPr>
          <w:fldChar w:fldCharType="begin"/>
        </w:r>
        <w:r w:rsidR="00B51E3E">
          <w:rPr>
            <w:noProof/>
            <w:webHidden/>
          </w:rPr>
          <w:instrText xml:space="preserve"> PAGEREF _Toc45546147 \h </w:instrText>
        </w:r>
        <w:r w:rsidR="00B51E3E">
          <w:rPr>
            <w:noProof/>
            <w:webHidden/>
          </w:rPr>
        </w:r>
        <w:r w:rsidR="00B51E3E">
          <w:rPr>
            <w:noProof/>
            <w:webHidden/>
          </w:rPr>
          <w:fldChar w:fldCharType="separate"/>
        </w:r>
        <w:r w:rsidR="00B51E3E">
          <w:rPr>
            <w:noProof/>
            <w:webHidden/>
          </w:rPr>
          <w:t>29</w:t>
        </w:r>
        <w:r w:rsidR="00B51E3E">
          <w:rPr>
            <w:noProof/>
            <w:webHidden/>
          </w:rPr>
          <w:fldChar w:fldCharType="end"/>
        </w:r>
      </w:hyperlink>
    </w:p>
    <w:p w14:paraId="083FDB48" w14:textId="06CE5459" w:rsidR="00B51E3E" w:rsidRDefault="00540A29">
      <w:pPr>
        <w:pStyle w:val="TOC2"/>
        <w:rPr>
          <w:rFonts w:asciiTheme="minorHAnsi" w:eastAsiaTheme="minorEastAsia" w:hAnsiTheme="minorHAnsi" w:cstheme="minorBidi"/>
          <w:noProof/>
          <w:sz w:val="22"/>
          <w:lang w:val="es-UY" w:eastAsia="es-UY"/>
        </w:rPr>
      </w:pPr>
      <w:hyperlink w:anchor="_Toc45546148" w:history="1">
        <w:r w:rsidR="00B51E3E" w:rsidRPr="008A2870">
          <w:rPr>
            <w:rStyle w:val="Hyperlink"/>
            <w:noProof/>
          </w:rPr>
          <w:t>I)</w:t>
        </w:r>
        <w:r w:rsidR="00B51E3E">
          <w:rPr>
            <w:rFonts w:asciiTheme="minorHAnsi" w:eastAsiaTheme="minorEastAsia" w:hAnsiTheme="minorHAnsi" w:cstheme="minorBidi"/>
            <w:noProof/>
            <w:sz w:val="22"/>
            <w:lang w:val="es-UY" w:eastAsia="es-UY"/>
          </w:rPr>
          <w:tab/>
        </w:r>
        <w:r w:rsidR="00B51E3E" w:rsidRPr="008A2870">
          <w:rPr>
            <w:rStyle w:val="Hyperlink"/>
            <w:noProof/>
          </w:rPr>
          <w:t>Relatório de Gestão Ambiental e Social (EER#5 POD)</w:t>
        </w:r>
        <w:r w:rsidR="00B51E3E">
          <w:rPr>
            <w:noProof/>
            <w:webHidden/>
          </w:rPr>
          <w:tab/>
        </w:r>
        <w:r w:rsidR="00B51E3E">
          <w:rPr>
            <w:noProof/>
            <w:webHidden/>
          </w:rPr>
          <w:fldChar w:fldCharType="begin"/>
        </w:r>
        <w:r w:rsidR="00B51E3E">
          <w:rPr>
            <w:noProof/>
            <w:webHidden/>
          </w:rPr>
          <w:instrText xml:space="preserve"> PAGEREF _Toc45546148 \h </w:instrText>
        </w:r>
        <w:r w:rsidR="00B51E3E">
          <w:rPr>
            <w:noProof/>
            <w:webHidden/>
          </w:rPr>
        </w:r>
        <w:r w:rsidR="00B51E3E">
          <w:rPr>
            <w:noProof/>
            <w:webHidden/>
          </w:rPr>
          <w:fldChar w:fldCharType="separate"/>
        </w:r>
        <w:r w:rsidR="00B51E3E">
          <w:rPr>
            <w:noProof/>
            <w:webHidden/>
          </w:rPr>
          <w:t>29</w:t>
        </w:r>
        <w:r w:rsidR="00B51E3E">
          <w:rPr>
            <w:noProof/>
            <w:webHidden/>
          </w:rPr>
          <w:fldChar w:fldCharType="end"/>
        </w:r>
      </w:hyperlink>
    </w:p>
    <w:p w14:paraId="45C25380" w14:textId="5963CD2B" w:rsidR="001752AE" w:rsidRPr="000B6C37" w:rsidRDefault="00AB6740" w:rsidP="00AB6740">
      <w:pPr>
        <w:pStyle w:val="BodyText"/>
      </w:pPr>
      <w:r w:rsidRPr="0012513F">
        <w:fldChar w:fldCharType="end"/>
      </w:r>
    </w:p>
    <w:p w14:paraId="4B0A2AC5" w14:textId="77777777" w:rsidR="001752AE" w:rsidRPr="000B6C37" w:rsidRDefault="001752AE" w:rsidP="00AB6740">
      <w:pPr>
        <w:pStyle w:val="BodyText"/>
      </w:pPr>
    </w:p>
    <w:p w14:paraId="6017962A" w14:textId="77777777" w:rsidR="001752AE" w:rsidRPr="000B6C37" w:rsidRDefault="001752AE" w:rsidP="00AB6740">
      <w:pPr>
        <w:sectPr w:rsidR="001752AE" w:rsidRPr="000B6C37" w:rsidSect="00DD78DD">
          <w:footerReference w:type="default" r:id="rId12"/>
          <w:pgSz w:w="11907" w:h="16840" w:code="9"/>
          <w:pgMar w:top="1134" w:right="1418" w:bottom="1134" w:left="1418" w:header="284" w:footer="284" w:gutter="0"/>
          <w:pgNumType w:start="1"/>
          <w:cols w:space="720"/>
          <w:titlePg/>
          <w:docGrid w:linePitch="272"/>
        </w:sectPr>
      </w:pPr>
    </w:p>
    <w:p w14:paraId="03E8B7DB" w14:textId="77777777" w:rsidR="006E7C2A" w:rsidRPr="000B6C37" w:rsidRDefault="006E7C2A" w:rsidP="00E73D74">
      <w:r w:rsidRPr="000B6C37">
        <w:lastRenderedPageBreak/>
        <w:t>DEFINIÇÕES</w:t>
      </w:r>
    </w:p>
    <w:p w14:paraId="11E203EF" w14:textId="77777777" w:rsidR="006E7C2A" w:rsidRPr="000B6C37" w:rsidRDefault="006E7C2A" w:rsidP="00E73D74"/>
    <w:tbl>
      <w:tblPr>
        <w:tblW w:w="0" w:type="auto"/>
        <w:tblLayout w:type="fixed"/>
        <w:tblCellMar>
          <w:left w:w="70" w:type="dxa"/>
          <w:right w:w="70" w:type="dxa"/>
        </w:tblCellMar>
        <w:tblLook w:val="0000" w:firstRow="0" w:lastRow="0" w:firstColumn="0" w:lastColumn="0" w:noHBand="0" w:noVBand="0"/>
      </w:tblPr>
      <w:tblGrid>
        <w:gridCol w:w="2050"/>
        <w:gridCol w:w="6739"/>
      </w:tblGrid>
      <w:tr w:rsidR="00AC5440" w:rsidRPr="000B6C37" w14:paraId="5E25B43B" w14:textId="77777777" w:rsidTr="00021CAE">
        <w:tc>
          <w:tcPr>
            <w:tcW w:w="2050" w:type="dxa"/>
            <w:shd w:val="clear" w:color="auto" w:fill="auto"/>
          </w:tcPr>
          <w:p w14:paraId="26BDA438" w14:textId="05DA2DB1" w:rsidR="00976F61" w:rsidRPr="000B6C37" w:rsidRDefault="00AC5440" w:rsidP="00E73D74">
            <w:pPr>
              <w:rPr>
                <w:caps/>
              </w:rPr>
            </w:pPr>
            <w:r w:rsidRPr="000B6C37">
              <w:rPr>
                <w:caps/>
              </w:rPr>
              <w:t>BID</w:t>
            </w:r>
            <w:r w:rsidR="00976F61" w:rsidRPr="000B6C37">
              <w:rPr>
                <w:caps/>
              </w:rPr>
              <w:t xml:space="preserve"> ou </w:t>
            </w:r>
          </w:p>
          <w:p w14:paraId="5451BB41" w14:textId="06980E4D" w:rsidR="00AC5440" w:rsidRPr="000B6C37" w:rsidRDefault="00976F61" w:rsidP="00E73D74">
            <w:pPr>
              <w:rPr>
                <w:caps/>
              </w:rPr>
            </w:pPr>
            <w:r w:rsidRPr="000B6C37">
              <w:rPr>
                <w:caps/>
              </w:rPr>
              <w:t>banco</w:t>
            </w:r>
          </w:p>
        </w:tc>
        <w:tc>
          <w:tcPr>
            <w:tcW w:w="6739" w:type="dxa"/>
            <w:shd w:val="clear" w:color="auto" w:fill="auto"/>
          </w:tcPr>
          <w:p w14:paraId="5E898E51" w14:textId="67389811" w:rsidR="00AC5440" w:rsidRPr="000B6C37" w:rsidRDefault="00AC5440" w:rsidP="00E73D74">
            <w:r w:rsidRPr="000B6C37">
              <w:t>Banco Interamericano de Desenvolvimento. Organismo financeiro multilateral, cujos recursos de capital ordinário financiarão parte do</w:t>
            </w:r>
            <w:r w:rsidRPr="000B6C37">
              <w:rPr>
                <w:b/>
              </w:rPr>
              <w:t xml:space="preserve"> </w:t>
            </w:r>
            <w:r w:rsidR="00E8054B">
              <w:t>p</w:t>
            </w:r>
            <w:r w:rsidRPr="000B6C37">
              <w:t>rojeto</w:t>
            </w:r>
          </w:p>
        </w:tc>
      </w:tr>
      <w:tr w:rsidR="00AC5440" w:rsidRPr="000B6C37" w14:paraId="442C1525" w14:textId="77777777" w:rsidTr="00021CAE">
        <w:tc>
          <w:tcPr>
            <w:tcW w:w="2050" w:type="dxa"/>
            <w:shd w:val="clear" w:color="auto" w:fill="auto"/>
          </w:tcPr>
          <w:p w14:paraId="67803078" w14:textId="6CCD3ECB" w:rsidR="00AC5440" w:rsidRPr="000B6C37" w:rsidRDefault="00AC5440" w:rsidP="00E73D74">
            <w:pPr>
              <w:rPr>
                <w:caps/>
              </w:rPr>
            </w:pPr>
            <w:r w:rsidRPr="000B6C37">
              <w:rPr>
                <w:caps/>
              </w:rPr>
              <w:t>cl</w:t>
            </w:r>
          </w:p>
        </w:tc>
        <w:tc>
          <w:tcPr>
            <w:tcW w:w="6739" w:type="dxa"/>
            <w:shd w:val="clear" w:color="auto" w:fill="auto"/>
          </w:tcPr>
          <w:p w14:paraId="3BD06128" w14:textId="4E18CD73" w:rsidR="00AC5440" w:rsidRPr="000B6C37" w:rsidRDefault="00AC5440" w:rsidP="00E73D74">
            <w:r w:rsidRPr="000B6C37">
              <w:t>Comissão de Licitação</w:t>
            </w:r>
          </w:p>
        </w:tc>
      </w:tr>
      <w:tr w:rsidR="00AC5440" w:rsidRPr="000B6C37" w14:paraId="029B0E10" w14:textId="77777777" w:rsidTr="00021CAE">
        <w:tc>
          <w:tcPr>
            <w:tcW w:w="2050" w:type="dxa"/>
            <w:shd w:val="clear" w:color="auto" w:fill="auto"/>
          </w:tcPr>
          <w:p w14:paraId="34687427" w14:textId="7BA22BD7" w:rsidR="00AC5440" w:rsidRPr="000B6C37" w:rsidRDefault="00AC5440" w:rsidP="00E73D74">
            <w:pPr>
              <w:rPr>
                <w:caps/>
              </w:rPr>
            </w:pPr>
            <w:r w:rsidRPr="000B6C37">
              <w:rPr>
                <w:caps/>
              </w:rPr>
              <w:t>contrato</w:t>
            </w:r>
          </w:p>
        </w:tc>
        <w:tc>
          <w:tcPr>
            <w:tcW w:w="6739" w:type="dxa"/>
            <w:shd w:val="clear" w:color="auto" w:fill="auto"/>
          </w:tcPr>
          <w:p w14:paraId="263CB93D" w14:textId="7E44891D" w:rsidR="00AC5440" w:rsidRPr="000B6C37" w:rsidRDefault="00AC5440" w:rsidP="00E73D74">
            <w:r w:rsidRPr="000B6C37">
              <w:t xml:space="preserve">Contrato de Empréstimo firmado entre o </w:t>
            </w:r>
            <w:r w:rsidR="00D45F84" w:rsidRPr="000B6C37">
              <w:t>Estado</w:t>
            </w:r>
            <w:r w:rsidRPr="000B6C37">
              <w:t xml:space="preserve"> de </w:t>
            </w:r>
            <w:r w:rsidR="000056EB" w:rsidRPr="000B6C37">
              <w:t>Espírito Santo</w:t>
            </w:r>
            <w:r w:rsidRPr="000B6C37">
              <w:t xml:space="preserve"> e o Banco Interamericano de Desenvolvimento, para o financiamento do PROJETO</w:t>
            </w:r>
          </w:p>
        </w:tc>
      </w:tr>
      <w:tr w:rsidR="00AC5440" w:rsidRPr="000B6C37" w14:paraId="1825AC72" w14:textId="77777777" w:rsidTr="00021CAE">
        <w:tc>
          <w:tcPr>
            <w:tcW w:w="2050" w:type="dxa"/>
            <w:shd w:val="clear" w:color="auto" w:fill="auto"/>
          </w:tcPr>
          <w:p w14:paraId="6A2B00FB" w14:textId="585D193B" w:rsidR="00AC5440" w:rsidRPr="000B6C37" w:rsidRDefault="00AC5440" w:rsidP="00E73D74">
            <w:pPr>
              <w:rPr>
                <w:caps/>
              </w:rPr>
            </w:pPr>
            <w:r w:rsidRPr="000B6C37">
              <w:rPr>
                <w:caps/>
              </w:rPr>
              <w:t>E</w:t>
            </w:r>
            <w:r w:rsidR="00416D5E" w:rsidRPr="000B6C37">
              <w:rPr>
                <w:caps/>
              </w:rPr>
              <w:t>S</w:t>
            </w:r>
          </w:p>
        </w:tc>
        <w:tc>
          <w:tcPr>
            <w:tcW w:w="6739" w:type="dxa"/>
            <w:shd w:val="clear" w:color="auto" w:fill="auto"/>
          </w:tcPr>
          <w:p w14:paraId="0ED18D48" w14:textId="296BDC11" w:rsidR="00AC5440" w:rsidRPr="000B6C37" w:rsidRDefault="00AC5440" w:rsidP="00E73D74">
            <w:r w:rsidRPr="000B6C37">
              <w:t>E</w:t>
            </w:r>
            <w:r w:rsidR="003F1386" w:rsidRPr="000B6C37">
              <w:t>stado do E</w:t>
            </w:r>
            <w:r w:rsidRPr="000B6C37">
              <w:t>s</w:t>
            </w:r>
            <w:r w:rsidR="00416D5E" w:rsidRPr="000B6C37">
              <w:t>p</w:t>
            </w:r>
            <w:r w:rsidR="004C51E7">
              <w:t>í</w:t>
            </w:r>
            <w:r w:rsidR="00416D5E" w:rsidRPr="000B6C37">
              <w:t>rito Santo</w:t>
            </w:r>
          </w:p>
        </w:tc>
      </w:tr>
      <w:tr w:rsidR="00AC5440" w:rsidRPr="000B6C37" w14:paraId="2493C144" w14:textId="77777777" w:rsidTr="00021CAE">
        <w:tc>
          <w:tcPr>
            <w:tcW w:w="2050" w:type="dxa"/>
            <w:shd w:val="clear" w:color="auto" w:fill="auto"/>
          </w:tcPr>
          <w:p w14:paraId="7855481C" w14:textId="71BD2FB5" w:rsidR="00AC5440" w:rsidRPr="000B6C37" w:rsidRDefault="00AC5440" w:rsidP="00E73D74">
            <w:pPr>
              <w:rPr>
                <w:caps/>
              </w:rPr>
            </w:pPr>
            <w:r w:rsidRPr="000B6C37">
              <w:rPr>
                <w:caps/>
              </w:rPr>
              <w:t>FINANCIAMENTO</w:t>
            </w:r>
          </w:p>
        </w:tc>
        <w:tc>
          <w:tcPr>
            <w:tcW w:w="6739" w:type="dxa"/>
            <w:shd w:val="clear" w:color="auto" w:fill="auto"/>
          </w:tcPr>
          <w:p w14:paraId="7ABC4AF0" w14:textId="5F912F4B" w:rsidR="00AC5440" w:rsidRPr="000B6C37" w:rsidRDefault="00AC5440" w:rsidP="00E73D74">
            <w:r w:rsidRPr="000B6C37">
              <w:t xml:space="preserve">O montante do Empréstimo que aparece no Contrato </w:t>
            </w:r>
            <w:r w:rsidR="005652CF" w:rsidRPr="000B6C37">
              <w:t>XXXX</w:t>
            </w:r>
            <w:r w:rsidRPr="000B6C37">
              <w:t>/OC-BR e que foi aprovado pela Diretoria Executiva do BID</w:t>
            </w:r>
          </w:p>
        </w:tc>
      </w:tr>
      <w:tr w:rsidR="00AC5440" w:rsidRPr="000B6C37" w14:paraId="7825142E" w14:textId="77777777" w:rsidTr="00021CAE">
        <w:tc>
          <w:tcPr>
            <w:tcW w:w="2050" w:type="dxa"/>
            <w:shd w:val="clear" w:color="auto" w:fill="auto"/>
          </w:tcPr>
          <w:p w14:paraId="64FD70B9" w14:textId="16B1EBBC" w:rsidR="00AC5440" w:rsidRPr="000B6C37" w:rsidRDefault="00AC5440" w:rsidP="00E73D74">
            <w:pPr>
              <w:rPr>
                <w:caps/>
              </w:rPr>
            </w:pPr>
            <w:r w:rsidRPr="000B6C37">
              <w:rPr>
                <w:caps/>
              </w:rPr>
              <w:t>MUTUÁRIO</w:t>
            </w:r>
          </w:p>
        </w:tc>
        <w:tc>
          <w:tcPr>
            <w:tcW w:w="6739" w:type="dxa"/>
            <w:shd w:val="clear" w:color="auto" w:fill="auto"/>
          </w:tcPr>
          <w:p w14:paraId="69DA5613" w14:textId="01180565" w:rsidR="00AC5440" w:rsidRPr="000B6C37" w:rsidRDefault="00416D5E" w:rsidP="00E73D74">
            <w:r w:rsidRPr="000B6C37">
              <w:t>Estado do Esp</w:t>
            </w:r>
            <w:r w:rsidR="00E8054B">
              <w:t>i</w:t>
            </w:r>
            <w:r w:rsidRPr="000B6C37">
              <w:t>r</w:t>
            </w:r>
            <w:r w:rsidR="004C51E7">
              <w:t>í</w:t>
            </w:r>
            <w:r w:rsidRPr="000B6C37">
              <w:t>to Santo</w:t>
            </w:r>
          </w:p>
        </w:tc>
      </w:tr>
      <w:tr w:rsidR="00AC5440" w:rsidRPr="000B6C37" w14:paraId="77976F16" w14:textId="77777777" w:rsidTr="00021CAE">
        <w:tc>
          <w:tcPr>
            <w:tcW w:w="2050" w:type="dxa"/>
            <w:shd w:val="clear" w:color="auto" w:fill="auto"/>
          </w:tcPr>
          <w:p w14:paraId="41841D86" w14:textId="42AD4238" w:rsidR="00AC5440" w:rsidRPr="000B6C37" w:rsidRDefault="00AC5440" w:rsidP="00E73D74">
            <w:pPr>
              <w:rPr>
                <w:caps/>
              </w:rPr>
            </w:pPr>
            <w:r w:rsidRPr="000B6C37">
              <w:rPr>
                <w:caps/>
              </w:rPr>
              <w:t>pa</w:t>
            </w:r>
          </w:p>
        </w:tc>
        <w:tc>
          <w:tcPr>
            <w:tcW w:w="6739" w:type="dxa"/>
            <w:shd w:val="clear" w:color="auto" w:fill="auto"/>
          </w:tcPr>
          <w:p w14:paraId="046D7E6B" w14:textId="77777777" w:rsidR="00AC5440" w:rsidRPr="000B6C37" w:rsidRDefault="00AC5440" w:rsidP="00E73D74">
            <w:r w:rsidRPr="000B6C37">
              <w:t>Plano de Aquisições</w:t>
            </w:r>
          </w:p>
        </w:tc>
      </w:tr>
      <w:tr w:rsidR="00416D5E" w:rsidRPr="000B6C37" w14:paraId="55B9AB19" w14:textId="77777777" w:rsidTr="00021CAE">
        <w:tc>
          <w:tcPr>
            <w:tcW w:w="2050" w:type="dxa"/>
            <w:shd w:val="clear" w:color="auto" w:fill="auto"/>
          </w:tcPr>
          <w:p w14:paraId="078DA33F" w14:textId="0F9A884F" w:rsidR="00416D5E" w:rsidRPr="000B6C37" w:rsidRDefault="00416D5E" w:rsidP="00E73D74">
            <w:pPr>
              <w:rPr>
                <w:caps/>
              </w:rPr>
            </w:pPr>
            <w:r w:rsidRPr="000B6C37">
              <w:rPr>
                <w:caps/>
              </w:rPr>
              <w:t>pg</w:t>
            </w:r>
            <w:r w:rsidR="005652CF" w:rsidRPr="000B6C37">
              <w:rPr>
                <w:caps/>
              </w:rPr>
              <w:t>e</w:t>
            </w:r>
          </w:p>
        </w:tc>
        <w:tc>
          <w:tcPr>
            <w:tcW w:w="6739" w:type="dxa"/>
            <w:shd w:val="clear" w:color="auto" w:fill="auto"/>
          </w:tcPr>
          <w:p w14:paraId="5FBC4BED" w14:textId="6A2BCB16" w:rsidR="00416D5E" w:rsidRPr="000B6C37" w:rsidRDefault="00416D5E" w:rsidP="00E73D74">
            <w:r w:rsidRPr="000B6C37">
              <w:t xml:space="preserve">Procuradoria Geral do </w:t>
            </w:r>
            <w:r w:rsidR="00D45F84" w:rsidRPr="000B6C37">
              <w:t>Estado</w:t>
            </w:r>
            <w:r w:rsidRPr="000B6C37">
              <w:t xml:space="preserve"> de </w:t>
            </w:r>
            <w:r w:rsidR="000056EB" w:rsidRPr="000B6C37">
              <w:t>Esp</w:t>
            </w:r>
            <w:r w:rsidR="004C51E7">
              <w:t>í</w:t>
            </w:r>
            <w:r w:rsidR="000056EB" w:rsidRPr="000B6C37">
              <w:t>rito Santo</w:t>
            </w:r>
          </w:p>
        </w:tc>
      </w:tr>
      <w:tr w:rsidR="00416D5E" w:rsidRPr="000B6C37" w14:paraId="017838E1" w14:textId="77777777" w:rsidTr="00021CAE">
        <w:tc>
          <w:tcPr>
            <w:tcW w:w="2050" w:type="dxa"/>
            <w:shd w:val="clear" w:color="auto" w:fill="auto"/>
          </w:tcPr>
          <w:p w14:paraId="45C0FF60" w14:textId="48BF96B4" w:rsidR="00416D5E" w:rsidRPr="000B6C37" w:rsidRDefault="00416D5E" w:rsidP="00E73D74">
            <w:pPr>
              <w:rPr>
                <w:caps/>
              </w:rPr>
            </w:pPr>
            <w:r w:rsidRPr="000B6C37">
              <w:rPr>
                <w:caps/>
              </w:rPr>
              <w:t>pmr</w:t>
            </w:r>
          </w:p>
        </w:tc>
        <w:tc>
          <w:tcPr>
            <w:tcW w:w="6739" w:type="dxa"/>
            <w:shd w:val="clear" w:color="auto" w:fill="auto"/>
          </w:tcPr>
          <w:p w14:paraId="1811E483" w14:textId="790552E0" w:rsidR="00416D5E" w:rsidRPr="000B6C37" w:rsidRDefault="00416D5E" w:rsidP="00E73D74">
            <w:r w:rsidRPr="000B6C37">
              <w:rPr>
                <w:i/>
                <w:iCs/>
              </w:rPr>
              <w:t>Progress Monitoring Report</w:t>
            </w:r>
            <w:r w:rsidRPr="000B6C37">
              <w:t xml:space="preserve"> (Relatório de Monitoramento de Progresso), ferramenta gerencial utilizada pelo BID para acompanhar a execução de seus projetos</w:t>
            </w:r>
          </w:p>
        </w:tc>
      </w:tr>
      <w:tr w:rsidR="00416D5E" w:rsidRPr="000B6C37" w14:paraId="1A847742" w14:textId="77777777" w:rsidTr="00021CAE">
        <w:tc>
          <w:tcPr>
            <w:tcW w:w="2050" w:type="dxa"/>
            <w:shd w:val="clear" w:color="auto" w:fill="auto"/>
          </w:tcPr>
          <w:p w14:paraId="7C2AC78E" w14:textId="2CCCD2CC" w:rsidR="00416D5E" w:rsidRPr="000B6C37" w:rsidRDefault="00416D5E" w:rsidP="00E73D74">
            <w:pPr>
              <w:rPr>
                <w:caps/>
              </w:rPr>
            </w:pPr>
            <w:r w:rsidRPr="000B6C37">
              <w:rPr>
                <w:caps/>
              </w:rPr>
              <w:t>poa</w:t>
            </w:r>
          </w:p>
        </w:tc>
        <w:tc>
          <w:tcPr>
            <w:tcW w:w="6739" w:type="dxa"/>
            <w:shd w:val="clear" w:color="auto" w:fill="auto"/>
          </w:tcPr>
          <w:p w14:paraId="10369F28" w14:textId="77777777" w:rsidR="00416D5E" w:rsidRPr="000B6C37" w:rsidRDefault="00416D5E" w:rsidP="00E73D74">
            <w:r w:rsidRPr="000B6C37">
              <w:t>Plano Operativo Anual</w:t>
            </w:r>
          </w:p>
        </w:tc>
      </w:tr>
      <w:tr w:rsidR="003963B1" w:rsidRPr="000B6C37" w14:paraId="1CD0397A" w14:textId="77777777" w:rsidTr="00021CAE">
        <w:tc>
          <w:tcPr>
            <w:tcW w:w="2050" w:type="dxa"/>
            <w:shd w:val="clear" w:color="auto" w:fill="auto"/>
          </w:tcPr>
          <w:p w14:paraId="10A85DCA" w14:textId="40794396" w:rsidR="003963B1" w:rsidRPr="000B6C37" w:rsidRDefault="003963B1" w:rsidP="00E73D74">
            <w:pPr>
              <w:rPr>
                <w:caps/>
              </w:rPr>
            </w:pPr>
            <w:r w:rsidRPr="000B6C37">
              <w:rPr>
                <w:caps/>
              </w:rPr>
              <w:t>ppl</w:t>
            </w:r>
          </w:p>
        </w:tc>
        <w:tc>
          <w:tcPr>
            <w:tcW w:w="6739" w:type="dxa"/>
            <w:shd w:val="clear" w:color="auto" w:fill="auto"/>
          </w:tcPr>
          <w:p w14:paraId="2622B6EC" w14:textId="55F4D488" w:rsidR="003963B1" w:rsidRPr="000B6C37" w:rsidRDefault="006401A2" w:rsidP="00E73D74">
            <w:pPr>
              <w:rPr>
                <w:rFonts w:eastAsia="Cambria"/>
              </w:rPr>
            </w:pPr>
            <w:r w:rsidRPr="000B6C37">
              <w:rPr>
                <w:rFonts w:eastAsia="Cambria"/>
              </w:rPr>
              <w:t>Pessoas Privadas de Liberdade</w:t>
            </w:r>
          </w:p>
        </w:tc>
      </w:tr>
      <w:tr w:rsidR="00416D5E" w:rsidRPr="000B6C37" w14:paraId="41C47AB9" w14:textId="77777777" w:rsidTr="00021CAE">
        <w:tc>
          <w:tcPr>
            <w:tcW w:w="2050" w:type="dxa"/>
            <w:shd w:val="clear" w:color="auto" w:fill="auto"/>
          </w:tcPr>
          <w:p w14:paraId="66DFDB84" w14:textId="55C6C0C7" w:rsidR="00416D5E" w:rsidRPr="000B6C37" w:rsidRDefault="00416D5E" w:rsidP="00E73D74">
            <w:pPr>
              <w:rPr>
                <w:caps/>
              </w:rPr>
            </w:pPr>
            <w:r w:rsidRPr="000B6C37">
              <w:rPr>
                <w:caps/>
              </w:rPr>
              <w:t>projeto</w:t>
            </w:r>
          </w:p>
        </w:tc>
        <w:tc>
          <w:tcPr>
            <w:tcW w:w="6739" w:type="dxa"/>
            <w:shd w:val="clear" w:color="auto" w:fill="auto"/>
          </w:tcPr>
          <w:p w14:paraId="34F54E2A" w14:textId="3F2390F6" w:rsidR="00416D5E" w:rsidRPr="000B6C37" w:rsidRDefault="003C135A" w:rsidP="00E73D74">
            <w:r w:rsidRPr="000B6C37">
              <w:rPr>
                <w:rFonts w:eastAsia="Cambria"/>
              </w:rPr>
              <w:t xml:space="preserve">Programa de </w:t>
            </w:r>
            <w:r w:rsidR="000A3342">
              <w:rPr>
                <w:rFonts w:eastAsia="Cambria"/>
              </w:rPr>
              <w:t>Ampliação e Modernização do Sistema Prisional</w:t>
            </w:r>
            <w:r w:rsidRPr="000B6C37">
              <w:rPr>
                <w:rFonts w:eastAsia="Cambria"/>
              </w:rPr>
              <w:t xml:space="preserve"> do Espírito Santo</w:t>
            </w:r>
          </w:p>
        </w:tc>
      </w:tr>
      <w:tr w:rsidR="00416D5E" w:rsidRPr="000B6C37" w14:paraId="349C9CEA" w14:textId="77777777" w:rsidTr="00021CAE">
        <w:tc>
          <w:tcPr>
            <w:tcW w:w="2050" w:type="dxa"/>
            <w:shd w:val="clear" w:color="auto" w:fill="auto"/>
          </w:tcPr>
          <w:p w14:paraId="05BFA844" w14:textId="2AD9630E" w:rsidR="00416D5E" w:rsidRPr="000B6C37" w:rsidRDefault="00416D5E" w:rsidP="00C7795F">
            <w:pPr>
              <w:jc w:val="left"/>
              <w:rPr>
                <w:caps/>
              </w:rPr>
            </w:pPr>
            <w:r w:rsidRPr="000B6C37">
              <w:rPr>
                <w:caps/>
              </w:rPr>
              <w:t>ro</w:t>
            </w:r>
            <w:r w:rsidR="00AF78D9" w:rsidRPr="000B6C37">
              <w:rPr>
                <w:caps/>
              </w:rPr>
              <w:t>P</w:t>
            </w:r>
            <w:r w:rsidRPr="000B6C37">
              <w:rPr>
                <w:caps/>
              </w:rPr>
              <w:t xml:space="preserve"> OU REGULAMENTO</w:t>
            </w:r>
          </w:p>
        </w:tc>
        <w:tc>
          <w:tcPr>
            <w:tcW w:w="6739" w:type="dxa"/>
            <w:shd w:val="clear" w:color="auto" w:fill="auto"/>
          </w:tcPr>
          <w:p w14:paraId="24A6F89E" w14:textId="3D8E8F2C" w:rsidR="00416D5E" w:rsidRPr="000B6C37" w:rsidRDefault="00416D5E" w:rsidP="00E73D74">
            <w:r w:rsidRPr="000B6C37">
              <w:t>Regulamento Operativo</w:t>
            </w:r>
            <w:r w:rsidR="003F1386" w:rsidRPr="000B6C37">
              <w:t xml:space="preserve"> do Programa</w:t>
            </w:r>
            <w:r w:rsidRPr="000B6C37">
              <w:t>, o presente documento</w:t>
            </w:r>
          </w:p>
        </w:tc>
      </w:tr>
      <w:tr w:rsidR="003F1386" w:rsidRPr="000B6C37" w14:paraId="54A214E3" w14:textId="77777777" w:rsidTr="00021CAE">
        <w:tc>
          <w:tcPr>
            <w:tcW w:w="2050" w:type="dxa"/>
            <w:shd w:val="clear" w:color="auto" w:fill="auto"/>
          </w:tcPr>
          <w:p w14:paraId="6B0151E1" w14:textId="2F653551" w:rsidR="003F1386" w:rsidRPr="000B6C37" w:rsidRDefault="003F1386" w:rsidP="00E73D74">
            <w:r w:rsidRPr="000B6C37">
              <w:t>SEFAZ</w:t>
            </w:r>
          </w:p>
        </w:tc>
        <w:tc>
          <w:tcPr>
            <w:tcW w:w="6739" w:type="dxa"/>
            <w:shd w:val="clear" w:color="auto" w:fill="auto"/>
          </w:tcPr>
          <w:p w14:paraId="2CAF1AC0" w14:textId="58BB40F6" w:rsidR="003F1386" w:rsidRPr="000B6C37" w:rsidRDefault="003F1386" w:rsidP="00E73D74">
            <w:r w:rsidRPr="000B6C37">
              <w:t>Secretaria de Estado da Fazenda</w:t>
            </w:r>
          </w:p>
        </w:tc>
      </w:tr>
      <w:tr w:rsidR="003F1386" w:rsidRPr="000B6C37" w14:paraId="670E5AE3" w14:textId="77777777" w:rsidTr="00021CAE">
        <w:tc>
          <w:tcPr>
            <w:tcW w:w="2050" w:type="dxa"/>
            <w:shd w:val="clear" w:color="auto" w:fill="auto"/>
          </w:tcPr>
          <w:p w14:paraId="345EA9B1" w14:textId="36D27AAB" w:rsidR="003F1386" w:rsidRPr="000B6C37" w:rsidRDefault="003F1386" w:rsidP="00E73D74">
            <w:r w:rsidRPr="000B6C37">
              <w:t>SEP</w:t>
            </w:r>
          </w:p>
        </w:tc>
        <w:tc>
          <w:tcPr>
            <w:tcW w:w="6739" w:type="dxa"/>
            <w:shd w:val="clear" w:color="auto" w:fill="auto"/>
          </w:tcPr>
          <w:p w14:paraId="2EA0BA0D" w14:textId="2D80A507" w:rsidR="003F1386" w:rsidRPr="000B6C37" w:rsidRDefault="003F1386" w:rsidP="00E73D74">
            <w:r w:rsidRPr="000B6C37">
              <w:t xml:space="preserve">Secretaria de Estado de </w:t>
            </w:r>
            <w:r w:rsidR="00AD564A" w:rsidRPr="000B6C37">
              <w:t>Economia e Planejamento</w:t>
            </w:r>
          </w:p>
        </w:tc>
      </w:tr>
      <w:tr w:rsidR="003F1386" w:rsidRPr="000B6C37" w14:paraId="2519052E" w14:textId="77777777" w:rsidTr="00021CAE">
        <w:tc>
          <w:tcPr>
            <w:tcW w:w="2050" w:type="dxa"/>
            <w:shd w:val="clear" w:color="auto" w:fill="auto"/>
          </w:tcPr>
          <w:p w14:paraId="4B5B88A0" w14:textId="7AF2A6BE" w:rsidR="003F1386" w:rsidRPr="000B6C37" w:rsidRDefault="003F1386" w:rsidP="00E73D74">
            <w:r w:rsidRPr="000B6C37">
              <w:t>SEJUS</w:t>
            </w:r>
          </w:p>
        </w:tc>
        <w:tc>
          <w:tcPr>
            <w:tcW w:w="6739" w:type="dxa"/>
            <w:shd w:val="clear" w:color="auto" w:fill="auto"/>
          </w:tcPr>
          <w:p w14:paraId="11953B85" w14:textId="22C7DDEE" w:rsidR="003F1386" w:rsidRPr="000B6C37" w:rsidRDefault="003F1386" w:rsidP="00E73D74">
            <w:r w:rsidRPr="000B6C37">
              <w:t>Secretaria de Estado da Justiça</w:t>
            </w:r>
          </w:p>
        </w:tc>
      </w:tr>
      <w:tr w:rsidR="003F1386" w:rsidRPr="000B6C37" w14:paraId="00E59824" w14:textId="77777777" w:rsidTr="00021CAE">
        <w:tc>
          <w:tcPr>
            <w:tcW w:w="2050" w:type="dxa"/>
            <w:shd w:val="clear" w:color="auto" w:fill="auto"/>
          </w:tcPr>
          <w:p w14:paraId="4BE88177" w14:textId="7F828F25" w:rsidR="003F1386" w:rsidRPr="000B6C37" w:rsidRDefault="003F1386" w:rsidP="00E73D74">
            <w:r w:rsidRPr="000B6C37">
              <w:t>UGP</w:t>
            </w:r>
          </w:p>
        </w:tc>
        <w:tc>
          <w:tcPr>
            <w:tcW w:w="6739" w:type="dxa"/>
            <w:shd w:val="clear" w:color="auto" w:fill="auto"/>
          </w:tcPr>
          <w:p w14:paraId="31BB7E35" w14:textId="4EBA76ED" w:rsidR="003F1386" w:rsidRPr="000B6C37" w:rsidRDefault="003F1386" w:rsidP="00E73D74">
            <w:r w:rsidRPr="000B6C37">
              <w:t>Unidade de Gestão do Projeto, constituída dentro da estrutura do Órgão Executor para coordenar a execução do Projeto</w:t>
            </w:r>
          </w:p>
        </w:tc>
      </w:tr>
      <w:tr w:rsidR="006401A2" w:rsidRPr="000B6C37" w14:paraId="44BA41A9" w14:textId="77777777" w:rsidTr="00021CAE">
        <w:tc>
          <w:tcPr>
            <w:tcW w:w="2050" w:type="dxa"/>
            <w:shd w:val="clear" w:color="auto" w:fill="auto"/>
          </w:tcPr>
          <w:p w14:paraId="61DE51F5" w14:textId="5451B4D6" w:rsidR="006401A2" w:rsidRPr="000B6C37" w:rsidRDefault="006401A2" w:rsidP="00E73D74">
            <w:r w:rsidRPr="000B6C37">
              <w:t>UP</w:t>
            </w:r>
          </w:p>
        </w:tc>
        <w:tc>
          <w:tcPr>
            <w:tcW w:w="6739" w:type="dxa"/>
            <w:shd w:val="clear" w:color="auto" w:fill="auto"/>
          </w:tcPr>
          <w:p w14:paraId="28FB1DFD" w14:textId="06E2A680" w:rsidR="006401A2" w:rsidRPr="000B6C37" w:rsidRDefault="006401A2" w:rsidP="00E73D74">
            <w:r w:rsidRPr="000B6C37">
              <w:t>Unidade Prisional</w:t>
            </w:r>
          </w:p>
        </w:tc>
      </w:tr>
    </w:tbl>
    <w:p w14:paraId="030A4B3D" w14:textId="77777777" w:rsidR="002B7A8C" w:rsidRPr="000B6C37" w:rsidRDefault="002B7A8C" w:rsidP="00C7795F">
      <w:pPr>
        <w:pStyle w:val="ListParagraph"/>
        <w:numPr>
          <w:ilvl w:val="0"/>
          <w:numId w:val="1"/>
        </w:numPr>
        <w:ind w:left="709" w:hanging="709"/>
        <w:sectPr w:rsidR="002B7A8C" w:rsidRPr="000B6C37" w:rsidSect="00DD78DD">
          <w:pgSz w:w="11907" w:h="16840" w:code="9"/>
          <w:pgMar w:top="1134" w:right="1418" w:bottom="1134" w:left="1418" w:header="284" w:footer="284" w:gutter="0"/>
          <w:cols w:space="720"/>
          <w:titlePg/>
          <w:docGrid w:linePitch="272"/>
        </w:sectPr>
      </w:pPr>
    </w:p>
    <w:p w14:paraId="3CF51271" w14:textId="04325C50" w:rsidR="008916DA" w:rsidRPr="000B6C37" w:rsidRDefault="008916DA">
      <w:pPr>
        <w:pStyle w:val="Heading1"/>
      </w:pPr>
      <w:bookmarkStart w:id="0" w:name="_Toc19790771"/>
      <w:bookmarkStart w:id="1" w:name="_Toc43470423"/>
      <w:bookmarkStart w:id="2" w:name="_Toc45546106"/>
      <w:bookmarkStart w:id="3" w:name="_Toc43719309"/>
      <w:r w:rsidRPr="000B6C37">
        <w:lastRenderedPageBreak/>
        <w:t>Apresentação</w:t>
      </w:r>
      <w:bookmarkEnd w:id="0"/>
      <w:bookmarkEnd w:id="1"/>
      <w:bookmarkEnd w:id="2"/>
      <w:bookmarkEnd w:id="3"/>
    </w:p>
    <w:p w14:paraId="2E2C91BF" w14:textId="21900DAB" w:rsidR="008916DA" w:rsidRPr="000B6C37" w:rsidRDefault="008916DA" w:rsidP="00C7795F">
      <w:pPr>
        <w:pStyle w:val="ListParagraph"/>
        <w:ind w:left="709" w:hanging="709"/>
      </w:pPr>
      <w:r w:rsidRPr="000B6C37">
        <w:t>O presente Regulamento estabelece a organização, procedimentos, termos e condições que regem a execução do Pro</w:t>
      </w:r>
      <w:r w:rsidR="0016056F" w:rsidRPr="000B6C37">
        <w:t>grama</w:t>
      </w:r>
      <w:r w:rsidRPr="000B6C37">
        <w:t xml:space="preserve"> de </w:t>
      </w:r>
      <w:r w:rsidR="00502CCA">
        <w:t xml:space="preserve">Ampliação e </w:t>
      </w:r>
      <w:r w:rsidR="00E44080" w:rsidRPr="000B6C37">
        <w:t xml:space="preserve">Modernização </w:t>
      </w:r>
      <w:r w:rsidR="00502CCA">
        <w:t>do Sistema Prisional</w:t>
      </w:r>
      <w:r w:rsidR="00E44080" w:rsidRPr="000B6C37">
        <w:t xml:space="preserve"> do Espírito Santo</w:t>
      </w:r>
      <w:r w:rsidRPr="000B6C37">
        <w:t>, financiado pelo Banco Interamericano de Desenvolvimento (BID).</w:t>
      </w:r>
    </w:p>
    <w:p w14:paraId="7EE01823" w14:textId="65205566" w:rsidR="008916DA" w:rsidRPr="000B6C37" w:rsidRDefault="008916DA" w:rsidP="00C7795F">
      <w:pPr>
        <w:pStyle w:val="ListParagraph"/>
        <w:ind w:left="709" w:hanging="709"/>
      </w:pPr>
      <w:r w:rsidRPr="000B6C37">
        <w:t>Esta no</w:t>
      </w:r>
      <w:r w:rsidR="00D2339D" w:rsidRPr="000B6C37">
        <w:t>rma foi aprovada pel</w:t>
      </w:r>
      <w:r w:rsidR="000056EB" w:rsidRPr="000B6C37">
        <w:t xml:space="preserve">a Secretaria de Estado </w:t>
      </w:r>
      <w:r w:rsidR="006664B3" w:rsidRPr="000B6C37">
        <w:t>da Justiça</w:t>
      </w:r>
      <w:r w:rsidR="000056EB" w:rsidRPr="000B6C37">
        <w:t xml:space="preserve"> (</w:t>
      </w:r>
      <w:r w:rsidR="006664B3" w:rsidRPr="000B6C37">
        <w:t>SEJUS</w:t>
      </w:r>
      <w:r w:rsidR="000056EB" w:rsidRPr="000B6C37">
        <w:t xml:space="preserve">) </w:t>
      </w:r>
      <w:r w:rsidRPr="000B6C37">
        <w:t>mediante a Portaria Nº _______</w:t>
      </w:r>
      <w:r w:rsidR="006664B3" w:rsidRPr="000B6C37">
        <w:t xml:space="preserve"> </w:t>
      </w:r>
      <w:r w:rsidRPr="000B6C37">
        <w:t xml:space="preserve">e pelo BID através da comunicação Nº _________. </w:t>
      </w:r>
    </w:p>
    <w:p w14:paraId="760AE90D" w14:textId="7BA00CA0" w:rsidR="005572C7" w:rsidRPr="000B6C37" w:rsidRDefault="005572C7" w:rsidP="00C7795F">
      <w:pPr>
        <w:pStyle w:val="ListParagraph"/>
        <w:ind w:left="709" w:hanging="709"/>
      </w:pPr>
      <w:r w:rsidRPr="000B6C37">
        <w:t xml:space="preserve">O Mutuário e/ou o Executor poderão sugerir alterações a este Regulamento, com vistas a adaptá-lo a novas condições ou circunstâncias que se possam apresentar durante a execução do Projeto. Tais modificações demandarão a prévia aprovação do Banco para sua entrada em vigor, e não poderão contrastar com o disposto no Contrato de Empréstimo </w:t>
      </w:r>
      <w:r w:rsidR="000B41A8" w:rsidRPr="000B6C37">
        <w:t>____</w:t>
      </w:r>
      <w:r w:rsidRPr="000B6C37">
        <w:t>/OC-BR. Até que uma nova versão deste Regulamento seja aprovada pelo Banco e entre formalmente em vigor, substituindo a anterior, todos os dispositivos aqui contidos permanecerão válidos.</w:t>
      </w:r>
    </w:p>
    <w:p w14:paraId="37666455" w14:textId="6FF0333A" w:rsidR="008916DA" w:rsidRPr="000B6C37" w:rsidRDefault="005572C7" w:rsidP="00C7795F">
      <w:pPr>
        <w:pStyle w:val="ListParagraph"/>
        <w:ind w:left="709" w:hanging="709"/>
      </w:pPr>
      <w:r w:rsidRPr="000B6C37">
        <w:t xml:space="preserve">Em caso de conflito entre o estabelecido neste Regulamento e o estabelecido no Contrato de Empréstimo </w:t>
      </w:r>
      <w:r w:rsidR="000B41A8" w:rsidRPr="000B6C37">
        <w:t>____</w:t>
      </w:r>
      <w:r w:rsidRPr="000B6C37">
        <w:t>/OC-BR</w:t>
      </w:r>
      <w:r w:rsidR="00AC246D" w:rsidRPr="000B6C37">
        <w:t xml:space="preserve"> e os documentos de aprovação do Banco</w:t>
      </w:r>
      <w:r w:rsidRPr="000B6C37">
        <w:t>, prevalecerá o disposto neste último.</w:t>
      </w:r>
    </w:p>
    <w:p w14:paraId="291942AC" w14:textId="68C25C2F" w:rsidR="00506249" w:rsidRPr="000B6C37" w:rsidRDefault="00506249" w:rsidP="00A74268">
      <w:pPr>
        <w:ind w:left="567" w:hanging="567"/>
      </w:pPr>
    </w:p>
    <w:p w14:paraId="4EBA8F54" w14:textId="77F4BE24" w:rsidR="00417BFA" w:rsidRPr="000B6C37" w:rsidRDefault="00417BFA">
      <w:pPr>
        <w:pStyle w:val="Heading1"/>
      </w:pPr>
      <w:bookmarkStart w:id="4" w:name="_Toc43470424"/>
      <w:bookmarkStart w:id="5" w:name="_Toc45546107"/>
      <w:bookmarkStart w:id="6" w:name="_Toc43719310"/>
      <w:r w:rsidRPr="000B6C37">
        <w:t>DESCRIÇÃO DO PROJETO</w:t>
      </w:r>
      <w:bookmarkEnd w:id="4"/>
      <w:bookmarkEnd w:id="5"/>
      <w:bookmarkEnd w:id="6"/>
    </w:p>
    <w:p w14:paraId="53F6988D" w14:textId="76E0FC22" w:rsidR="00A74268" w:rsidRPr="000B6C37" w:rsidRDefault="00417BFA" w:rsidP="006A330E">
      <w:pPr>
        <w:pStyle w:val="Heading2"/>
        <w:spacing w:before="0" w:after="0"/>
        <w:rPr>
          <w:rFonts w:eastAsia="Arial"/>
        </w:rPr>
      </w:pPr>
      <w:bookmarkStart w:id="7" w:name="_Toc43470425"/>
      <w:bookmarkStart w:id="8" w:name="_Toc45546108"/>
      <w:bookmarkStart w:id="9" w:name="_Toc43719311"/>
      <w:r w:rsidRPr="000B6C37">
        <w:rPr>
          <w:rFonts w:eastAsia="Arial"/>
        </w:rPr>
        <w:t>Contexto</w:t>
      </w:r>
      <w:bookmarkEnd w:id="7"/>
      <w:bookmarkEnd w:id="8"/>
      <w:bookmarkEnd w:id="9"/>
    </w:p>
    <w:p w14:paraId="37557CE8" w14:textId="77777777" w:rsidR="00A74268" w:rsidRPr="00C7795F" w:rsidRDefault="00A74268" w:rsidP="006A330E">
      <w:pPr>
        <w:pStyle w:val="ListParagraph"/>
        <w:numPr>
          <w:ilvl w:val="0"/>
          <w:numId w:val="24"/>
        </w:numPr>
        <w:spacing w:after="0"/>
        <w:ind w:left="709" w:hanging="709"/>
      </w:pPr>
    </w:p>
    <w:p w14:paraId="6E4B84DE" w14:textId="5125EF2D" w:rsidR="00417BFA" w:rsidRPr="00D37D79" w:rsidRDefault="00417BFA" w:rsidP="00C7795F">
      <w:pPr>
        <w:pStyle w:val="ListParagraph"/>
        <w:numPr>
          <w:ilvl w:val="1"/>
          <w:numId w:val="24"/>
        </w:numPr>
        <w:ind w:left="709" w:hanging="709"/>
      </w:pPr>
      <w:r w:rsidRPr="00D37D79">
        <w:t>Desde a década de 1980, o Brasil registrou um crescimento constante da violência, atingindo uma taxa de 30,3 homicídios por 100.000 habitantes em 2016. No entanto, nos últimos três anos, houve um declínio acentuado na maioria dos casos de crimes violentos, incluindo uma redução de 30% nos homicídios. As causas e a sustentabilidade desse declínio ainda são incertas. Apesar disso, o Brasil possui a terceira maior taxa de homicídios da América do Sul, o que afeta principalmente jovens negros das periferias urbanas. A violência contra as mulheres e a violência doméstica continuaram a crescer. O Brasil registra 221.238 queixas de lesões corporais intencionais devido à violência doméstica por ano (600 por dia) e é o quinto país com a maior taxa de feminicídios do mundo, segundo a OMS. Apesar da violência estar altamente concentrada em certos territórios, pessoas e comportamentos, a política de segurança tem sido principalmente reativa e repressiva. Na prisão, por exemplo, com mais de 750.000 presos e uma taxa de 307 presos por 100.000 habitantes, o Brasil tem a terceira maior população carcerária do mundo. O encarceramento prolongado nos últimos 20 anos levou a 66% de superlotação e a falta de políticas eficazes de reintegração social para ter 70% de reincidência criminal. Levando em consideração todo o sistema de justiça e segurança criminal, estima-se que o Brasil aloque 4,9% do PIB para enfrentar os custos diretos e indiretos do crime e as respostas a ele.</w:t>
      </w:r>
    </w:p>
    <w:p w14:paraId="2EFDF314" w14:textId="4301F997" w:rsidR="00417BFA" w:rsidRPr="00D37D79" w:rsidRDefault="00417BFA" w:rsidP="00C7795F">
      <w:pPr>
        <w:pStyle w:val="ListParagraph"/>
        <w:numPr>
          <w:ilvl w:val="1"/>
          <w:numId w:val="24"/>
        </w:numPr>
        <w:ind w:left="709" w:hanging="709"/>
      </w:pPr>
      <w:r w:rsidRPr="00D37D79">
        <w:t>Entre 2005 e 2019, o Espírito Santo (ES) aumentou sua população carcerária em 368% (de 5.095 para 23.836), aumentando sua taxa de encarceramento para Pessoas Privadas de Liberdade (PPL) para mais que o dobro da média da América Latina e do Caribe (566 vs. 262 por 100.000</w:t>
      </w:r>
      <w:r w:rsidR="00B17B33" w:rsidRPr="00D37D79">
        <w:t> </w:t>
      </w:r>
      <w:r w:rsidRPr="00D37D79">
        <w:t xml:space="preserve">habitantes) e 84% superior ao do Brasil (307). Sua taxa de superlotação é de 75%; e 40% dos PPL aguardam provisoriamente a sentença. A Secretaria de Estado da Justiça (SEJUS), que possui 35 prisões (4 do sexo feminino, o restante do sexo masculino), tem entre seus poderes a coordenação, o planejamento, a implementação e o monitoramento da política prisional do estado, a supervisão e a aplicação de sentenças de custódia e supervisão dos programas de </w:t>
      </w:r>
      <w:r w:rsidRPr="00D37D79">
        <w:lastRenderedPageBreak/>
        <w:t>reintegração social do PPL. Os PPLs são em sua maioria homens (95%), jovens (61%</w:t>
      </w:r>
      <w:r w:rsidR="00A74268" w:rsidRPr="00D37D79">
        <w:t> </w:t>
      </w:r>
      <w:r w:rsidRPr="00D37D79">
        <w:t>têm mais de 18 anos e menos de 35 anos), negros (78%) e com baixa escolaridade (58% não concluíram o ensino fundamental, e apenas 7% dos homens terminaram o ensino médio).</w:t>
      </w:r>
    </w:p>
    <w:p w14:paraId="5F631623" w14:textId="7CA9E378" w:rsidR="00417BFA" w:rsidRPr="00FB2408" w:rsidRDefault="004F5477" w:rsidP="008878A1">
      <w:pPr>
        <w:pStyle w:val="Caption"/>
      </w:pPr>
      <w:r w:rsidRPr="00FB2408">
        <w:rPr>
          <w:rFonts w:eastAsia="Arial"/>
          <w:noProof/>
        </w:rPr>
        <w:drawing>
          <wp:anchor distT="0" distB="0" distL="0" distR="0" simplePos="0" relativeHeight="251660800" behindDoc="0" locked="0" layoutInCell="1" hidden="0" allowOverlap="1" wp14:anchorId="4F39318C" wp14:editId="5F946D81">
            <wp:simplePos x="0" y="0"/>
            <wp:positionH relativeFrom="page">
              <wp:align>center</wp:align>
            </wp:positionH>
            <wp:positionV relativeFrom="paragraph">
              <wp:posOffset>321310</wp:posOffset>
            </wp:positionV>
            <wp:extent cx="4687200" cy="2498400"/>
            <wp:effectExtent l="0" t="0" r="0" b="0"/>
            <wp:wrapTopAndBottom/>
            <wp:docPr id="5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srcRect/>
                    <a:stretch>
                      <a:fillRect/>
                    </a:stretch>
                  </pic:blipFill>
                  <pic:spPr>
                    <a:xfrm>
                      <a:off x="0" y="0"/>
                      <a:ext cx="4687200" cy="2498400"/>
                    </a:xfrm>
                    <a:prstGeom prst="rect">
                      <a:avLst/>
                    </a:prstGeom>
                    <a:ln/>
                  </pic:spPr>
                </pic:pic>
              </a:graphicData>
            </a:graphic>
            <wp14:sizeRelH relativeFrom="margin">
              <wp14:pctWidth>0</wp14:pctWidth>
            </wp14:sizeRelH>
            <wp14:sizeRelV relativeFrom="margin">
              <wp14:pctHeight>0</wp14:pctHeight>
            </wp14:sizeRelV>
          </wp:anchor>
        </w:drawing>
      </w:r>
      <w:r w:rsidR="00417BFA" w:rsidRPr="00FB2408">
        <w:rPr>
          <w:rFonts w:eastAsia="Arial"/>
        </w:rPr>
        <w:t>Gráfico 1. Evolução das vagas penitenciárias e da população carcerária no Espírito Santo, 2005-2019</w:t>
      </w:r>
    </w:p>
    <w:p w14:paraId="77552EAD" w14:textId="2F8FA14E" w:rsidR="00417BFA" w:rsidRPr="000B6C37" w:rsidRDefault="00417BFA" w:rsidP="0050241D">
      <w:pPr>
        <w:ind w:left="567"/>
        <w:rPr>
          <w:rFonts w:eastAsia="Arial"/>
        </w:rPr>
      </w:pPr>
    </w:p>
    <w:p w14:paraId="4C9513E8" w14:textId="0F42A558" w:rsidR="00AC246D" w:rsidRPr="00D37D79" w:rsidRDefault="00AC246D" w:rsidP="00B51E3E">
      <w:pPr>
        <w:pStyle w:val="ListParagraph"/>
        <w:numPr>
          <w:ilvl w:val="1"/>
          <w:numId w:val="24"/>
        </w:numPr>
        <w:ind w:left="709" w:hanging="709"/>
      </w:pPr>
      <w:r w:rsidRPr="00D37D79">
        <w:t>Neste cenário o Estado de ES solicitou o apoio do BID para atender a problemática no marco de uma Linha Condicional de Crédito (</w:t>
      </w:r>
      <w:r w:rsidRPr="00B51E3E">
        <w:t xml:space="preserve">CCLIP). Este Regulamento corresponde a primeira operação individual do CLIPP. </w:t>
      </w:r>
    </w:p>
    <w:p w14:paraId="7586A9C0" w14:textId="77777777" w:rsidR="00AC246D" w:rsidRPr="00D37D79" w:rsidRDefault="00417BFA" w:rsidP="00B51E3E">
      <w:pPr>
        <w:pStyle w:val="ListParagraph"/>
        <w:numPr>
          <w:ilvl w:val="1"/>
          <w:numId w:val="24"/>
        </w:numPr>
        <w:ind w:left="709" w:hanging="709"/>
      </w:pPr>
      <w:r w:rsidRPr="00D37D79">
        <w:t xml:space="preserve">O problema geral que esta primeira operação de empréstimo individual abordará é o alto nível de reincidência criminal no ES, o que contribui para o alto índice de encarceramento que, na ausência de uma política de reintegração abrangente e adequada, contribui para a superlotação. Estima-se que a taxa de reincidência no nível estadual para o Brasil varie de 35% a 55% e para o ES em 35% (2019). </w:t>
      </w:r>
    </w:p>
    <w:p w14:paraId="19ECAD9E" w14:textId="3C146580" w:rsidR="00417BFA" w:rsidRPr="00C7795F" w:rsidRDefault="00417BFA" w:rsidP="00C7795F">
      <w:pPr>
        <w:pStyle w:val="ListParagraph"/>
        <w:numPr>
          <w:ilvl w:val="1"/>
          <w:numId w:val="24"/>
        </w:numPr>
        <w:ind w:left="709" w:hanging="709"/>
      </w:pPr>
      <w:r w:rsidRPr="00C7795F">
        <w:t>Os principais desafios que o ES enfrenta são:</w:t>
      </w:r>
    </w:p>
    <w:p w14:paraId="7D149D12" w14:textId="1AF325E1" w:rsidR="00AC246D" w:rsidRPr="000B6C37" w:rsidRDefault="009B410F" w:rsidP="008748DA">
      <w:pPr>
        <w:pStyle w:val="ListParagraph"/>
        <w:ind w:left="720" w:hanging="720"/>
      </w:pPr>
      <w:r w:rsidRPr="007F5A2C">
        <w:rPr>
          <w:b/>
          <w:bCs/>
        </w:rPr>
        <w:t>Baixa oferta e falta de foco dos serviços de reintegração social com base em evidências científicas</w:t>
      </w:r>
      <w:r w:rsidRPr="007F5A2C">
        <w:t xml:space="preserve">. O sistema prisional de ES não possui um modelo de base científica que permita avaliar os riscos associados à reincidência criminal e definir planos de acompanhamento individual que utilizem ferramentas com evidências empíricas de eficácia na prevenção da reincidência. Os programas SEJUS não cobrem as necessidades de reabilitação dos PPLs. Do total de PPLs, em regime fechado e </w:t>
      </w:r>
      <w:r w:rsidR="00A31917" w:rsidRPr="007F5A2C">
        <w:t>semiaberto</w:t>
      </w:r>
      <w:r w:rsidRPr="007F5A2C">
        <w:t xml:space="preserve">, apenas 10,9% trabalham e 15,9% estudam. Não existem programas de tratamento para mudar os padrões de comportamento criminal, que é onde existem as melhores evidências para prevenir a reincidência. Os serviços de apoio ao retorno à comunidade também são precários e insuficientes, especialmente em termos de empregabilidade. Embora a SEJUS tenha um </w:t>
      </w:r>
      <w:r w:rsidR="002F4167" w:rsidRPr="007F5A2C">
        <w:t>Escritório</w:t>
      </w:r>
      <w:r w:rsidRPr="007F5A2C">
        <w:t xml:space="preserve"> Socia</w:t>
      </w:r>
      <w:r w:rsidR="008735FF" w:rsidRPr="007F5A2C">
        <w:t>l</w:t>
      </w:r>
      <w:r w:rsidRPr="007F5A2C">
        <w:t xml:space="preserve">, sua cobertura é limitada (apenas 4,2% dos que passaram pelo Balcão obtiveram emprego remunerado em 2019, e há poucos incentivos). O sistema de penalidades alternativas é pouco utilizado devido à ausência de uma ferramenta de avaliação de risco e à baixa </w:t>
      </w:r>
      <w:r w:rsidR="00A31917" w:rsidRPr="007F5A2C">
        <w:t>infraestrutura</w:t>
      </w:r>
      <w:r w:rsidRPr="007F5A2C">
        <w:t xml:space="preserve"> e capacidade técnica para acompanhar as medidas. Isto leva a um uso excessivo de prisões provisórias, particularmente para penas inferiores a 4 anos. Estima-se que, dos 40% dos PPLs que estão em prisão provisória, uma porcentagem significativa receberá uma pena que não inclui privação de liberdade</w:t>
      </w:r>
      <w:r w:rsidR="008735FF" w:rsidRPr="007F5A2C">
        <w:t>.</w:t>
      </w:r>
    </w:p>
    <w:p w14:paraId="122C6C68" w14:textId="7D141053" w:rsidR="00955A06" w:rsidRPr="000B6C37" w:rsidRDefault="00955A06" w:rsidP="00C7795F">
      <w:pPr>
        <w:pStyle w:val="ListParagraph"/>
        <w:ind w:left="709" w:hanging="709"/>
      </w:pPr>
      <w:r w:rsidRPr="000B6C37">
        <w:rPr>
          <w:b/>
          <w:bCs/>
        </w:rPr>
        <w:t>Pouco uso de tecnologias necessárias para a reintegração social</w:t>
      </w:r>
      <w:r w:rsidRPr="000B6C37">
        <w:t xml:space="preserve">. O sistema prisional carece de um sistema de informação abrangente para melhorar a gestão de </w:t>
      </w:r>
      <w:r w:rsidRPr="000B6C37">
        <w:lastRenderedPageBreak/>
        <w:t>recursos humanos e financeiros, a análise de dados centralizados, em especial sobre grupos vulneráveis (mulheres grávidas ou com filhos pequenos, LGBT+), ou o acompanhamento integrado dos presos e sua situação legal, tornando as políticas de acompanhamento para estes grupos subótimas e ineficientes. Os sistemas de informação das PPLs são em sua maioria em papel ou planilhas Excel, e desconectados dos sistemas de outras secretarias, como a da Saúde, ou do Tribunal de Justiça. Da mesma forma, os sistemas tecnológicos não nos permitem conhecer a localização dos PPLs nas prisões, o que afeta os movimentos internos e o acesso aos programas de preparação para a liberação (apoio terapêutico, educação e trabalho). A falta de automação na gestão dos movimentos dos PPLs e dos agentes penitenciários não permite otimizar os princípios de segurança e ressocialização, fazendo com que os primeiros se sobreponham aos segundos de forma desproporcional. Finalmente, as deficiências tecnológicas (por exemplo, instalações de videoconferência) alongam desnecessariamente algumas medidas de precaução quando, por falta de recursos, os PPLs não podem ser transportados para as audiências, além de gerarem altos custos de transporte e segurança. Em 2018, mais de 25.000 acompanhantes foram fornecidos para audiências, um aumento de 57%</w:t>
      </w:r>
      <w:r w:rsidR="00296940" w:rsidRPr="000B6C37">
        <w:t> </w:t>
      </w:r>
      <w:r w:rsidRPr="000B6C37">
        <w:t>entre 2014-2018.</w:t>
      </w:r>
    </w:p>
    <w:p w14:paraId="39CEC75E" w14:textId="39964164" w:rsidR="002A5528" w:rsidRPr="00D37D79" w:rsidRDefault="002A5528" w:rsidP="00C7795F">
      <w:pPr>
        <w:pStyle w:val="ListParagraph"/>
        <w:numPr>
          <w:ilvl w:val="1"/>
          <w:numId w:val="24"/>
        </w:numPr>
        <w:ind w:left="709" w:hanging="709"/>
      </w:pPr>
      <w:r w:rsidRPr="00C7795F">
        <w:t xml:space="preserve">Inadequação da </w:t>
      </w:r>
      <w:r w:rsidR="00A31917" w:rsidRPr="00C7795F">
        <w:t>infraestrutura</w:t>
      </w:r>
      <w:r w:rsidRPr="00C7795F">
        <w:t xml:space="preserve"> prisional para realizar processos e programas de reinserção social de forma sustentável e eficiente</w:t>
      </w:r>
      <w:r w:rsidRPr="00D37D79">
        <w:t xml:space="preserve">. A infraestrutura carcerária atual não permite o acesso dos PPLs aos programas que os preparam para a saída (acadêmica, sócio-emocional e trabalhista), tanto no regime fechado como quando passam do regime fechado para o </w:t>
      </w:r>
      <w:r w:rsidR="00A31917" w:rsidRPr="00D37D79">
        <w:t>semiaberto</w:t>
      </w:r>
      <w:r w:rsidRPr="00D37D79">
        <w:t xml:space="preserve">. A maior parte da superfície das unidades prisionais é dedicada a celas dormitórios, em vez de espaços para educação, trabalho e tratamento psicossocial. Isso também dificulta o fornecimento da </w:t>
      </w:r>
      <w:r w:rsidR="00A31917" w:rsidRPr="00D37D79">
        <w:t>infraestrutura</w:t>
      </w:r>
      <w:r w:rsidRPr="00D37D79">
        <w:t xml:space="preserve"> necessária para o atendimento e isolamento dos pacientes em casos de contágio de epidemias, como a COVID-19. Não há unidade que possa servir de modelo de </w:t>
      </w:r>
      <w:r w:rsidR="00A31917" w:rsidRPr="00D37D79">
        <w:t>infraestrutura</w:t>
      </w:r>
      <w:r w:rsidRPr="00D37D79">
        <w:t xml:space="preserve"> para ressocialização. Eles também apresentam problemas de energia, água e sustentabilidade operacional, aumentando seus custos operacionais e causando riscos à saúde das instalações. 50% dos estabelecimentos não possuem licença ambiental. Apenas os custos de água e energia excedem 10%</w:t>
      </w:r>
      <w:r w:rsidR="00296940" w:rsidRPr="00D37D79">
        <w:t> </w:t>
      </w:r>
      <w:r w:rsidRPr="00D37D79">
        <w:t>do orçamento total do SEJUS, devido à ineficiência dos edifícios.</w:t>
      </w:r>
    </w:p>
    <w:p w14:paraId="6F7B0ED5" w14:textId="48952B18" w:rsidR="002A5528" w:rsidRPr="00D37D79" w:rsidRDefault="002A5528" w:rsidP="00C7795F">
      <w:pPr>
        <w:pStyle w:val="ListParagraph"/>
        <w:numPr>
          <w:ilvl w:val="1"/>
          <w:numId w:val="24"/>
        </w:numPr>
        <w:ind w:left="709" w:hanging="709"/>
      </w:pPr>
      <w:r w:rsidRPr="00D37D79">
        <w:t>Neste contexto, a segurança do cidadão ocupa uma posição central e prioritária no Programa do Governo 2019-2022, que estrutura sua oferta setorial a partir de uma abordagem abrangente que combina medidas preventivas e a aplicação da lei.</w:t>
      </w:r>
    </w:p>
    <w:p w14:paraId="18691F15" w14:textId="7197D251" w:rsidR="00BF73B4" w:rsidRPr="000B6C37" w:rsidRDefault="00BF73B4" w:rsidP="00CF1958">
      <w:pPr>
        <w:pStyle w:val="Heading2"/>
        <w:rPr>
          <w:rFonts w:eastAsia="Arial"/>
        </w:rPr>
      </w:pPr>
      <w:bookmarkStart w:id="10" w:name="_Toc43470426"/>
      <w:bookmarkStart w:id="11" w:name="_Toc45546109"/>
      <w:bookmarkStart w:id="12" w:name="_Toc43719312"/>
      <w:r w:rsidRPr="000B6C37">
        <w:rPr>
          <w:rFonts w:eastAsia="Arial"/>
        </w:rPr>
        <w:t xml:space="preserve">Objetivos do </w:t>
      </w:r>
      <w:r w:rsidR="00A74268" w:rsidRPr="000B6C37">
        <w:rPr>
          <w:rFonts w:eastAsia="Arial"/>
        </w:rPr>
        <w:t>p</w:t>
      </w:r>
      <w:r w:rsidRPr="000B6C37">
        <w:rPr>
          <w:rFonts w:eastAsia="Arial"/>
        </w:rPr>
        <w:t>rojeto</w:t>
      </w:r>
      <w:bookmarkEnd w:id="10"/>
      <w:bookmarkEnd w:id="11"/>
      <w:bookmarkEnd w:id="12"/>
    </w:p>
    <w:p w14:paraId="13DA1A9C" w14:textId="597FF9EA" w:rsidR="00BF73B4" w:rsidRPr="00D37D79" w:rsidRDefault="00BF73B4" w:rsidP="00C7795F">
      <w:pPr>
        <w:pStyle w:val="ListParagraph"/>
        <w:numPr>
          <w:ilvl w:val="1"/>
          <w:numId w:val="24"/>
        </w:numPr>
        <w:ind w:left="709" w:hanging="709"/>
      </w:pPr>
      <w:r w:rsidRPr="00D37D79">
        <w:t xml:space="preserve">O objetivo geral do programa é </w:t>
      </w:r>
      <w:r w:rsidR="009D3A63" w:rsidRPr="009D3A63">
        <w:t xml:space="preserve">contribuir para a reinserção social e a redução da reincidência criminal de forma eficaz e eficiente no </w:t>
      </w:r>
      <w:r w:rsidR="00255138">
        <w:t>ES</w:t>
      </w:r>
      <w:r w:rsidRPr="00D37D79">
        <w:t xml:space="preserve">. </w:t>
      </w:r>
    </w:p>
    <w:p w14:paraId="313B8C11" w14:textId="77777777" w:rsidR="00BF73B4" w:rsidRPr="00D37D79" w:rsidRDefault="00BF73B4" w:rsidP="00C7795F">
      <w:pPr>
        <w:pStyle w:val="ListParagraph"/>
        <w:numPr>
          <w:ilvl w:val="1"/>
          <w:numId w:val="24"/>
        </w:numPr>
        <w:ind w:left="709" w:hanging="709"/>
      </w:pPr>
      <w:r w:rsidRPr="00D37D79">
        <w:t>Os objetivos específicos do programa são:</w:t>
      </w:r>
    </w:p>
    <w:p w14:paraId="54794742" w14:textId="77777777" w:rsidR="00BF73B4" w:rsidRPr="000B6C37" w:rsidRDefault="00BF73B4">
      <w:pPr>
        <w:pStyle w:val="Paragraph"/>
        <w:numPr>
          <w:ilvl w:val="1"/>
          <w:numId w:val="6"/>
        </w:numPr>
      </w:pPr>
      <w:r w:rsidRPr="000B6C37">
        <w:t>aumentar a aplicação de políticas de reinserção social e de programas baseados em evidência;</w:t>
      </w:r>
    </w:p>
    <w:p w14:paraId="4BAF9C12" w14:textId="783912E1" w:rsidR="00BF73B4" w:rsidRPr="000B6C37" w:rsidRDefault="009D3A63">
      <w:pPr>
        <w:pStyle w:val="Paragraph"/>
        <w:numPr>
          <w:ilvl w:val="1"/>
          <w:numId w:val="6"/>
        </w:numPr>
      </w:pPr>
      <w:r w:rsidRPr="009D3A63">
        <w:t>aumentar a eficiência do gasto por meio do uso de novas tecnologias de gestão e monitoramento e da melhoria da infraestrutura penitenciária para reinserção social</w:t>
      </w:r>
      <w:r w:rsidR="00BF73B4" w:rsidRPr="000B6C37">
        <w:t>.</w:t>
      </w:r>
    </w:p>
    <w:p w14:paraId="2B034A5D" w14:textId="6BC2F906" w:rsidR="00BF73B4" w:rsidRPr="000B6C37" w:rsidRDefault="00BF73B4" w:rsidP="00CF1958">
      <w:pPr>
        <w:pStyle w:val="Heading2"/>
      </w:pPr>
      <w:bookmarkStart w:id="13" w:name="_Toc43470427"/>
      <w:bookmarkStart w:id="14" w:name="_Toc45546110"/>
      <w:bookmarkStart w:id="15" w:name="_Toc43719313"/>
      <w:r w:rsidRPr="000B6C37">
        <w:t xml:space="preserve">Descrição do </w:t>
      </w:r>
      <w:r w:rsidR="00A74268" w:rsidRPr="000B6C37">
        <w:t>p</w:t>
      </w:r>
      <w:r w:rsidRPr="000B6C37">
        <w:t>rojeto</w:t>
      </w:r>
      <w:bookmarkEnd w:id="13"/>
      <w:bookmarkEnd w:id="14"/>
      <w:bookmarkEnd w:id="15"/>
    </w:p>
    <w:p w14:paraId="384893DF" w14:textId="77777777" w:rsidR="00BF73B4" w:rsidRPr="00D37D79" w:rsidRDefault="00BF73B4" w:rsidP="00C7795F">
      <w:pPr>
        <w:pStyle w:val="ListParagraph"/>
        <w:numPr>
          <w:ilvl w:val="1"/>
          <w:numId w:val="24"/>
        </w:numPr>
        <w:ind w:left="709" w:hanging="709"/>
      </w:pPr>
      <w:r w:rsidRPr="00D37D79">
        <w:t>As atividades do projeto abrangerão as Unidades Prisionais (UP) localizadas em todo o estado Espírito Santo.</w:t>
      </w:r>
    </w:p>
    <w:p w14:paraId="535DB3CB" w14:textId="77777777" w:rsidR="00BF73B4" w:rsidRPr="00D37D79" w:rsidRDefault="00BF73B4" w:rsidP="00C7795F">
      <w:pPr>
        <w:pStyle w:val="ListParagraph"/>
        <w:numPr>
          <w:ilvl w:val="1"/>
          <w:numId w:val="24"/>
        </w:numPr>
        <w:ind w:left="709" w:hanging="709"/>
      </w:pPr>
      <w:r w:rsidRPr="00D37D79">
        <w:t xml:space="preserve">Para alcançar seu objetivo, o projeto estrutura-se em quatro componentes, descritos a seguir: </w:t>
      </w:r>
    </w:p>
    <w:p w14:paraId="4CC74E28" w14:textId="77777777" w:rsidR="00BF73B4" w:rsidRPr="000B6C37" w:rsidRDefault="00BF73B4" w:rsidP="00C7795F">
      <w:pPr>
        <w:pStyle w:val="ListParagraph"/>
        <w:numPr>
          <w:ilvl w:val="1"/>
          <w:numId w:val="7"/>
        </w:numPr>
        <w:ind w:left="709" w:firstLine="0"/>
      </w:pPr>
      <w:r w:rsidRPr="000B6C37">
        <w:lastRenderedPageBreak/>
        <w:t>Componente 1 – Fortalecimento dos programas de reinserção social</w:t>
      </w:r>
    </w:p>
    <w:p w14:paraId="150E4573" w14:textId="49F9C937" w:rsidR="00BF73B4" w:rsidRPr="000B6C37" w:rsidRDefault="00BF73B4" w:rsidP="00C7795F">
      <w:pPr>
        <w:pStyle w:val="ListParagraph"/>
        <w:numPr>
          <w:ilvl w:val="1"/>
          <w:numId w:val="7"/>
        </w:numPr>
        <w:ind w:left="709" w:firstLine="0"/>
      </w:pPr>
      <w:r w:rsidRPr="000B6C37">
        <w:t>Componente 2 – Modernização da gestão e</w:t>
      </w:r>
      <w:r w:rsidR="004C7098">
        <w:t xml:space="preserve"> da</w:t>
      </w:r>
      <w:r w:rsidRPr="000B6C37">
        <w:t xml:space="preserve"> tecnologia</w:t>
      </w:r>
    </w:p>
    <w:p w14:paraId="5F8B1C59" w14:textId="40964CBB" w:rsidR="00BF73B4" w:rsidRPr="000B6C37" w:rsidRDefault="00BF73B4" w:rsidP="00C7795F">
      <w:pPr>
        <w:pStyle w:val="ListParagraph"/>
        <w:numPr>
          <w:ilvl w:val="1"/>
          <w:numId w:val="7"/>
        </w:numPr>
        <w:ind w:left="709" w:firstLine="0"/>
      </w:pPr>
      <w:r w:rsidRPr="000B6C37">
        <w:t>Componente 3 – Melhoria da infraestrutura penitenciária</w:t>
      </w:r>
    </w:p>
    <w:p w14:paraId="76CB7EC9" w14:textId="09DD495F" w:rsidR="00BF73B4" w:rsidRPr="000B6C37" w:rsidRDefault="00BF73B4" w:rsidP="00C7795F">
      <w:pPr>
        <w:pStyle w:val="ListParagraph"/>
        <w:numPr>
          <w:ilvl w:val="1"/>
          <w:numId w:val="7"/>
        </w:numPr>
        <w:ind w:left="709" w:firstLine="0"/>
      </w:pPr>
      <w:r w:rsidRPr="000B6C37">
        <w:t xml:space="preserve">Componente 4 – Administração do </w:t>
      </w:r>
      <w:r w:rsidR="000178FC" w:rsidRPr="000B6C37">
        <w:t>Pro</w:t>
      </w:r>
      <w:r w:rsidR="000178FC">
        <w:t>grama</w:t>
      </w:r>
      <w:r w:rsidRPr="000B6C37">
        <w:t>.</w:t>
      </w:r>
    </w:p>
    <w:p w14:paraId="43C21C83" w14:textId="050980D5" w:rsidR="00506249" w:rsidRPr="00D37D79" w:rsidRDefault="00506249" w:rsidP="00C7795F">
      <w:pPr>
        <w:pStyle w:val="ListParagraph"/>
        <w:numPr>
          <w:ilvl w:val="1"/>
          <w:numId w:val="24"/>
        </w:numPr>
        <w:ind w:left="709" w:hanging="709"/>
      </w:pPr>
      <w:r w:rsidRPr="00075064">
        <w:rPr>
          <w:b/>
          <w:bCs/>
        </w:rPr>
        <w:t>Beneficiários.</w:t>
      </w:r>
      <w:r w:rsidRPr="00D37D79">
        <w:t xml:space="preserve"> </w:t>
      </w:r>
      <w:r w:rsidR="004C7098" w:rsidRPr="004C7098">
        <w:t xml:space="preserve">O programa </w:t>
      </w:r>
      <w:r w:rsidR="004C7098">
        <w:t xml:space="preserve">beneficia de forma geral </w:t>
      </w:r>
      <w:r w:rsidR="004C7098" w:rsidRPr="004C7098">
        <w:t xml:space="preserve">toda a população </w:t>
      </w:r>
      <w:r w:rsidR="004C7098">
        <w:t>penal</w:t>
      </w:r>
      <w:r w:rsidR="004C7098" w:rsidRPr="004C7098">
        <w:t>, por meio de melhorias na gestão prisional em tecnologia e infraestrutura, e segmentos específicos por meio de serviços de reintegração social, incluindo: (i) a população total do sistema (aproximadamente 23.000 pessoas), com avaliações individualizadas de risco de reincidência ao final do programa; (ii) 5.000 TCCs por ano p</w:t>
      </w:r>
      <w:r w:rsidR="00AB26F6">
        <w:t xml:space="preserve">udendo </w:t>
      </w:r>
      <w:r w:rsidR="004C7098" w:rsidRPr="004C7098">
        <w:t xml:space="preserve">beneficiar até 20.000 pessoas no total; (iii) um máximo de 9.000 pessoas por ano potencialmente elegível com </w:t>
      </w:r>
      <w:r w:rsidR="00AB26F6">
        <w:t>medidas</w:t>
      </w:r>
      <w:r w:rsidR="004C7098" w:rsidRPr="004C7098">
        <w:t xml:space="preserve"> alternativas; (iv) 260 pessoas </w:t>
      </w:r>
      <w:r w:rsidR="00AB26F6">
        <w:t>mediate</w:t>
      </w:r>
      <w:r w:rsidR="004C7098" w:rsidRPr="004C7098">
        <w:t xml:space="preserve"> cooperativas de trabalho; </w:t>
      </w:r>
      <w:r w:rsidR="00AB26F6">
        <w:t>(</w:t>
      </w:r>
      <w:r w:rsidR="004C7098" w:rsidRPr="004C7098">
        <w:t>v</w:t>
      </w:r>
      <w:r w:rsidR="00AB26F6">
        <w:t>) n</w:t>
      </w:r>
      <w:r w:rsidR="004C7098" w:rsidRPr="004C7098">
        <w:t xml:space="preserve">o mínimo, 680 pessoas com </w:t>
      </w:r>
      <w:r w:rsidR="00AB26F6">
        <w:t>vagas</w:t>
      </w:r>
      <w:r w:rsidR="004C7098" w:rsidRPr="004C7098">
        <w:t xml:space="preserve"> de trabalho geradas pelo programa; (vi)</w:t>
      </w:r>
      <w:r w:rsidR="007D6B4D">
        <w:t> </w:t>
      </w:r>
      <w:r w:rsidR="004C7098" w:rsidRPr="004C7098">
        <w:t>1.700</w:t>
      </w:r>
      <w:r w:rsidR="007D6B4D">
        <w:t> </w:t>
      </w:r>
      <w:r w:rsidR="004C7098" w:rsidRPr="004C7098">
        <w:t>pessoas com cursos de formação profissional; (vii) 400 pessoas com assistência técnica e capital semente para empreendedorismo; e (viii) 500 pessoas com bolsas de estudo técnico ou profissional de ensino superior.</w:t>
      </w:r>
      <w:r w:rsidRPr="00D37D79">
        <w:t>.</w:t>
      </w:r>
    </w:p>
    <w:p w14:paraId="2BAB0D39" w14:textId="77777777" w:rsidR="000B6C37" w:rsidRPr="00D37D79" w:rsidRDefault="00506249" w:rsidP="00B51E3E">
      <w:pPr>
        <w:pStyle w:val="ListParagraph"/>
        <w:numPr>
          <w:ilvl w:val="1"/>
          <w:numId w:val="24"/>
        </w:numPr>
        <w:ind w:left="709" w:hanging="709"/>
      </w:pPr>
      <w:r w:rsidRPr="00C7795F">
        <w:t>Impacto e resultados esperados.</w:t>
      </w:r>
      <w:r w:rsidRPr="00D37D79">
        <w:t xml:space="preserve"> </w:t>
      </w:r>
    </w:p>
    <w:p w14:paraId="7ECD5816" w14:textId="2D88A338" w:rsidR="000B6C37" w:rsidRPr="00D37D79" w:rsidRDefault="00506249" w:rsidP="00B51E3E">
      <w:pPr>
        <w:pStyle w:val="ListParagraph"/>
        <w:numPr>
          <w:ilvl w:val="1"/>
          <w:numId w:val="24"/>
        </w:numPr>
        <w:ind w:left="709" w:hanging="709"/>
      </w:pPr>
      <w:r w:rsidRPr="00D37D79">
        <w:t>O</w:t>
      </w:r>
      <w:r w:rsidR="00F63AB6">
        <w:t xml:space="preserve">s principais </w:t>
      </w:r>
      <w:r w:rsidRPr="00D37D79">
        <w:t>impacto</w:t>
      </w:r>
      <w:r w:rsidR="00F63AB6">
        <w:t>s</w:t>
      </w:r>
      <w:r w:rsidRPr="00D37D79">
        <w:t xml:space="preserve"> do programa </w:t>
      </w:r>
      <w:r w:rsidR="00F63AB6">
        <w:t xml:space="preserve">som </w:t>
      </w:r>
      <w:proofErr w:type="gramStart"/>
      <w:r w:rsidR="00F63AB6">
        <w:t xml:space="preserve">a </w:t>
      </w:r>
      <w:r w:rsidRPr="00D37D79">
        <w:t xml:space="preserve"> redução</w:t>
      </w:r>
      <w:proofErr w:type="gramEnd"/>
      <w:r w:rsidRPr="00D37D79">
        <w:t xml:space="preserve"> </w:t>
      </w:r>
      <w:r w:rsidR="00F63AB6">
        <w:t>d</w:t>
      </w:r>
      <w:r w:rsidRPr="00D37D79">
        <w:t xml:space="preserve">a reincidência </w:t>
      </w:r>
      <w:r w:rsidR="000B6C37" w:rsidRPr="00D37D79">
        <w:t xml:space="preserve">criminal </w:t>
      </w:r>
      <w:r w:rsidR="00F63AB6">
        <w:t>(I.1 y I.3)</w:t>
      </w:r>
      <w:r w:rsidRPr="00D37D79">
        <w:t>;</w:t>
      </w:r>
      <w:r w:rsidR="00F63AB6">
        <w:t xml:space="preserve"> o acesso a trabalho remunerado para egressos(I.2), o incremento do uso de penas alternativas (I.4). </w:t>
      </w:r>
    </w:p>
    <w:p w14:paraId="162BDB77" w14:textId="3C7564FE" w:rsidR="00F63AB6" w:rsidRDefault="00506249" w:rsidP="00E9523F">
      <w:pPr>
        <w:pStyle w:val="ListParagraph"/>
        <w:numPr>
          <w:ilvl w:val="1"/>
          <w:numId w:val="24"/>
        </w:numPr>
        <w:ind w:left="709" w:hanging="709"/>
      </w:pPr>
      <w:r w:rsidRPr="00D37D79">
        <w:t xml:space="preserve">Os resultados </w:t>
      </w:r>
      <w:r w:rsidR="00F63AB6">
        <w:t xml:space="preserve">principais </w:t>
      </w:r>
      <w:r w:rsidRPr="00D37D79">
        <w:t xml:space="preserve"> serão</w:t>
      </w:r>
      <w:r w:rsidR="00F63AB6">
        <w:t xml:space="preserve"> a redução di novel de risco de </w:t>
      </w:r>
      <w:r w:rsidRPr="00D37D79">
        <w:t>reincidência</w:t>
      </w:r>
      <w:r w:rsidR="00F63AB6">
        <w:t xml:space="preserve"> (R1.1), o </w:t>
      </w:r>
      <w:r w:rsidRPr="00D37D79">
        <w:t xml:space="preserve"> aumento </w:t>
      </w:r>
      <w:r w:rsidR="00F63AB6">
        <w:t>de trabalho remunerado para PPL, e serviços sociais e de educação para graduados (R.1.3 e R.1.4.), bem como a transformação digital da gestão de casos e audições (R.2.1, R.2.2. e R.2.3) e o uso de energia renovável nos presídios (R.2.4).</w:t>
      </w:r>
    </w:p>
    <w:p w14:paraId="08CCB824" w14:textId="7BADE16D" w:rsidR="00506249" w:rsidRPr="00D37D79" w:rsidRDefault="00506249" w:rsidP="00E9523F"/>
    <w:p w14:paraId="47D8490E" w14:textId="07725C8A" w:rsidR="00417BFA" w:rsidRPr="00075064" w:rsidRDefault="00417BFA" w:rsidP="00C7795F">
      <w:pPr>
        <w:pStyle w:val="ListParagraph"/>
        <w:numPr>
          <w:ilvl w:val="1"/>
          <w:numId w:val="24"/>
        </w:numPr>
        <w:ind w:left="709" w:hanging="709"/>
        <w:rPr>
          <w:b/>
          <w:bCs/>
        </w:rPr>
      </w:pPr>
      <w:bookmarkStart w:id="16" w:name="_heading=h.1fob9te" w:colFirst="0" w:colLast="0"/>
      <w:bookmarkEnd w:id="16"/>
      <w:r w:rsidRPr="00075064">
        <w:rPr>
          <w:b/>
          <w:bCs/>
        </w:rPr>
        <w:t>Componente 1: Fortalecimento dos programas de reinserção social</w:t>
      </w:r>
      <w:r w:rsidR="00A74268" w:rsidRPr="00075064">
        <w:rPr>
          <w:b/>
          <w:bCs/>
        </w:rPr>
        <w:t xml:space="preserve">. </w:t>
      </w:r>
      <w:r w:rsidRPr="00D37D79">
        <w:t>O objetivo deste componente é fortalecer as capacidades da SEJUS de desenhar e implementar políticas de reinserção social e programas baseados em evidência</w:t>
      </w:r>
      <w:r w:rsidR="005441EE">
        <w:t>.</w:t>
      </w:r>
    </w:p>
    <w:p w14:paraId="01F5D6D0" w14:textId="77777777" w:rsidR="00AC4809" w:rsidRPr="00D37D79" w:rsidRDefault="00417BFA" w:rsidP="00C7795F">
      <w:pPr>
        <w:pStyle w:val="ListParagraph"/>
        <w:numPr>
          <w:ilvl w:val="1"/>
          <w:numId w:val="24"/>
        </w:numPr>
        <w:ind w:left="709" w:hanging="709"/>
      </w:pPr>
      <w:r w:rsidRPr="00D37D79">
        <w:t>Ações previstas:</w:t>
      </w:r>
    </w:p>
    <w:p w14:paraId="3F5EA9BB" w14:textId="4A02FA42" w:rsidR="009D3A63" w:rsidRPr="000B6C37" w:rsidRDefault="009D3A63" w:rsidP="009D3A63">
      <w:pPr>
        <w:pStyle w:val="ListParagraph"/>
        <w:numPr>
          <w:ilvl w:val="0"/>
          <w:numId w:val="8"/>
        </w:numPr>
        <w:ind w:left="1134" w:hanging="425"/>
      </w:pPr>
      <w:r w:rsidRPr="009D3A63">
        <w:t>a implementação de CMA (com serviços para o acompanhamento psicossocial da população cumprindo medidas alternativas)</w:t>
      </w:r>
      <w:r w:rsidRPr="000B6C37">
        <w:t xml:space="preserve">. </w:t>
      </w:r>
    </w:p>
    <w:p w14:paraId="02D02642" w14:textId="65410599" w:rsidR="009D3A63" w:rsidRPr="000B6C37" w:rsidRDefault="009D3A63" w:rsidP="009D3A63">
      <w:pPr>
        <w:pStyle w:val="ListParagraph"/>
        <w:numPr>
          <w:ilvl w:val="0"/>
          <w:numId w:val="8"/>
        </w:numPr>
        <w:ind w:left="1134" w:hanging="425"/>
      </w:pPr>
      <w:r>
        <w:rPr>
          <w:sz w:val="23"/>
          <w:szCs w:val="23"/>
        </w:rPr>
        <w:t>a expansão da oferta laboral e educacional adequada aos desafios para os diferentes tipos de perfis de pessoas privadas de liberdade e egressos (bolsas de estudo de educação terciária e incubadoras de cooperativas para aqueles que cumpriram suas penas; apoio às microempresas para os que estão em regime aberto e semi</w:t>
      </w:r>
      <w:r w:rsidR="004C7098">
        <w:rPr>
          <w:sz w:val="23"/>
          <w:szCs w:val="23"/>
        </w:rPr>
        <w:t>-</w:t>
      </w:r>
      <w:r>
        <w:rPr>
          <w:sz w:val="23"/>
          <w:szCs w:val="23"/>
        </w:rPr>
        <w:t>aberto, e oficinas produtivas e centros de formação profissional para os que estão em regime fechado)</w:t>
      </w:r>
      <w:r>
        <w:t>.</w:t>
      </w:r>
    </w:p>
    <w:p w14:paraId="37AA94F7" w14:textId="4BF56452" w:rsidR="00417BFA" w:rsidRPr="000B6C37" w:rsidRDefault="009D3A63" w:rsidP="00C7795F">
      <w:pPr>
        <w:pStyle w:val="ListParagraph"/>
        <w:numPr>
          <w:ilvl w:val="0"/>
          <w:numId w:val="8"/>
        </w:numPr>
        <w:ind w:left="1134" w:hanging="425"/>
      </w:pPr>
      <w:r>
        <w:t>a i</w:t>
      </w:r>
      <w:r w:rsidR="00417BFA" w:rsidRPr="000B6C37">
        <w:t xml:space="preserve">mplantação do Modelo de Risco-Necessidade-Resposta (RNR) (avaliações de risco, centro de referência e tratamento, terapias cognitivo-comportamentais, e programa formativo de agentes de </w:t>
      </w:r>
      <w:r>
        <w:t>ressocialização</w:t>
      </w:r>
      <w:r w:rsidR="00417BFA" w:rsidRPr="000B6C37">
        <w:t>)</w:t>
      </w:r>
      <w:r w:rsidR="00B64850">
        <w:t>, incluindo uma estratégia de gestão da mudança e comunicação que favoreça a adoção e sustentabilidade do novo modelo.</w:t>
      </w:r>
    </w:p>
    <w:p w14:paraId="4F527285" w14:textId="5D9F056E" w:rsidR="00417BFA" w:rsidRPr="00D37D79" w:rsidRDefault="00417BFA" w:rsidP="00C7795F">
      <w:pPr>
        <w:pStyle w:val="ListParagraph"/>
        <w:numPr>
          <w:ilvl w:val="1"/>
          <w:numId w:val="24"/>
        </w:numPr>
        <w:ind w:left="709" w:hanging="709"/>
      </w:pPr>
      <w:r w:rsidRPr="00D37D79">
        <w:t>Todos os produtos incluem a adaptação da infraestrutura existente e equipamentos eficientes para viabilizar as atividades de ressocialização, bem como o treinamento de funcionários penitenciários para ingressar em uma cultura de ressocialização</w:t>
      </w:r>
      <w:r w:rsidR="00B64850">
        <w:t>, e o acompanhamento das salvaguardas penitenciarias.</w:t>
      </w:r>
    </w:p>
    <w:p w14:paraId="0EF63519" w14:textId="01A87012" w:rsidR="00417BFA" w:rsidRPr="00D37D79" w:rsidRDefault="00417BFA" w:rsidP="00C7795F">
      <w:pPr>
        <w:pStyle w:val="ListParagraph"/>
        <w:numPr>
          <w:ilvl w:val="1"/>
          <w:numId w:val="24"/>
        </w:numPr>
        <w:ind w:left="709" w:hanging="709"/>
      </w:pPr>
      <w:r w:rsidRPr="00075064">
        <w:rPr>
          <w:b/>
        </w:rPr>
        <w:t>Evidência empírica</w:t>
      </w:r>
      <w:r w:rsidRPr="00075064">
        <w:rPr>
          <w:b/>
          <w:bCs/>
        </w:rPr>
        <w:t>.</w:t>
      </w:r>
      <w:r w:rsidRPr="00D37D79">
        <w:t xml:space="preserve"> A base de conhecimento científico sobre como reduzir a reincidência e promover a reintegração social se desenvolveu significativamente desde </w:t>
      </w:r>
      <w:r w:rsidRPr="00D37D79">
        <w:lastRenderedPageBreak/>
        <w:t xml:space="preserve">a década de 1980. Em particular, a aparência do Modelo de Resposta a Necessidades </w:t>
      </w:r>
      <w:r w:rsidR="00EA54D6" w:rsidRPr="00D37D79">
        <w:t xml:space="preserve">e </w:t>
      </w:r>
      <w:r w:rsidRPr="00D37D79">
        <w:t xml:space="preserve">Risco (RNR) e Tratamentos Cognitivo-Comportamentais (TCC) </w:t>
      </w:r>
      <w:r w:rsidRPr="00075064">
        <w:rPr>
          <w:color w:val="000000"/>
        </w:rPr>
        <w:t>revolucionaram</w:t>
      </w:r>
      <w:r w:rsidRPr="00D37D79">
        <w:t xml:space="preserve"> o mundo da prisão. O modelo RNR possui sete Revisões Sistemáticas que mostram a eficácia desse modelo, com um efeito médio de reduzir a reincidência de 29%. Os TCCs têm uma Revisão sistemática baseada em 58 avaliações de impacto, das quais 19 foram experimentos controlados e randomizados. Segundo a meta-análise, em média, a TCC conseguiu reduzir a reincidência em 25%, mas esse número chega a 52% nos programas mais eficientes, sem relatos de efeitos colaterais.</w:t>
      </w:r>
    </w:p>
    <w:p w14:paraId="165FC76B" w14:textId="77777777" w:rsidR="00417BFA" w:rsidRPr="00D37D79" w:rsidRDefault="00417BFA" w:rsidP="00C7795F">
      <w:pPr>
        <w:pStyle w:val="ListParagraph"/>
        <w:numPr>
          <w:ilvl w:val="1"/>
          <w:numId w:val="24"/>
        </w:numPr>
        <w:ind w:left="709" w:hanging="709"/>
      </w:pPr>
      <w:r w:rsidRPr="00075064">
        <w:rPr>
          <w:b/>
        </w:rPr>
        <w:t>Coordenação com outros doadores</w:t>
      </w:r>
      <w:r w:rsidRPr="00075064">
        <w:rPr>
          <w:b/>
          <w:bCs/>
        </w:rPr>
        <w:t>.</w:t>
      </w:r>
      <w:r w:rsidRPr="00D37D79">
        <w:t xml:space="preserve"> O programa MODERNIZA-ES possui para as Centrais de Alternativas Penais, em colaboração com o Programa Justiça Presente (JP), uma iniciativa do Conselho Nacional de Justiça (CNJ), em associação com o Programa das Nações Unidas para o Desenvolvimento (PNUD). O objetivo do Programa JP é desenvolver estratégias que promovam a redução da superlotação de prisões no Brasil, considerando todo o ciclo criminal, desde à entrada ao sistema prisional (audiências de custódia, alternativas criminais e monitoramento eletrônico), até a “porta de saída” (promoção da cidadania, garantia de direitos de PPL e apoio às despesas do sistema penitenciário). No MODERNIZA-ES, o Programa JP colaborou com a metodologia dos Centros de Alternativas Penais, desenvolvidos em conjunto com o Departamento Penitenciário do governo federal (DEPEN).</w:t>
      </w:r>
    </w:p>
    <w:p w14:paraId="218F9295" w14:textId="2AB3D40E" w:rsidR="00AC4809" w:rsidRPr="00D37D79" w:rsidRDefault="00417BFA" w:rsidP="00C7795F">
      <w:pPr>
        <w:pStyle w:val="ListParagraph"/>
        <w:numPr>
          <w:ilvl w:val="1"/>
          <w:numId w:val="24"/>
        </w:numPr>
        <w:ind w:left="709" w:hanging="709"/>
      </w:pPr>
      <w:r w:rsidRPr="00075064">
        <w:rPr>
          <w:b/>
        </w:rPr>
        <w:t xml:space="preserve">Condições </w:t>
      </w:r>
      <w:r w:rsidR="000C68FC">
        <w:rPr>
          <w:b/>
        </w:rPr>
        <w:t>especiais de execução</w:t>
      </w:r>
      <w:r w:rsidRPr="00D37D79">
        <w:t xml:space="preserve">. </w:t>
      </w:r>
      <w:r w:rsidR="000C68FC">
        <w:t>As</w:t>
      </w:r>
      <w:r w:rsidR="000C68FC" w:rsidRPr="000B6C37">
        <w:t xml:space="preserve"> atividades relacionadas </w:t>
      </w:r>
      <w:r w:rsidR="000C68FC">
        <w:t xml:space="preserve">às medidas alternativas penais deverão guardar consonância comas políticas estabelecidas pelo </w:t>
      </w:r>
      <w:r w:rsidR="000C68FC" w:rsidRPr="000B6C37">
        <w:t xml:space="preserve">DEPEN e </w:t>
      </w:r>
      <w:r w:rsidR="000C68FC">
        <w:t xml:space="preserve">pelo </w:t>
      </w:r>
      <w:r w:rsidR="000C68FC" w:rsidRPr="000B6C37">
        <w:t>CNJ, para que sejam estabelecidas diretrizes que incentivem o fornecimento de penas alternativas à privação de liberdade utilizada pelos serviços dos Centros</w:t>
      </w:r>
      <w:r w:rsidRPr="00D37D79">
        <w:t>.</w:t>
      </w:r>
    </w:p>
    <w:p w14:paraId="6399200B" w14:textId="4FDAF68D" w:rsidR="00417BFA" w:rsidRPr="00075064" w:rsidRDefault="00417BFA" w:rsidP="00C7795F">
      <w:pPr>
        <w:pStyle w:val="ListParagraph"/>
        <w:numPr>
          <w:ilvl w:val="1"/>
          <w:numId w:val="24"/>
        </w:numPr>
        <w:ind w:left="709" w:hanging="709"/>
        <w:rPr>
          <w:b/>
          <w:bCs/>
        </w:rPr>
      </w:pPr>
      <w:bookmarkStart w:id="17" w:name="_heading=h.3znysh7" w:colFirst="0" w:colLast="0"/>
      <w:bookmarkEnd w:id="17"/>
      <w:r w:rsidRPr="00075064">
        <w:rPr>
          <w:b/>
          <w:bCs/>
        </w:rPr>
        <w:t>Componente 2</w:t>
      </w:r>
      <w:r w:rsidR="00A74268" w:rsidRPr="00075064">
        <w:rPr>
          <w:b/>
          <w:bCs/>
        </w:rPr>
        <w:t>.</w:t>
      </w:r>
      <w:r w:rsidRPr="00075064">
        <w:rPr>
          <w:b/>
          <w:bCs/>
        </w:rPr>
        <w:t xml:space="preserve"> Modernização da gestão e </w:t>
      </w:r>
      <w:r w:rsidR="009D3A63">
        <w:rPr>
          <w:b/>
          <w:bCs/>
        </w:rPr>
        <w:t xml:space="preserve">da </w:t>
      </w:r>
      <w:r w:rsidRPr="00075064">
        <w:rPr>
          <w:b/>
          <w:bCs/>
        </w:rPr>
        <w:t>tecnologia</w:t>
      </w:r>
      <w:r w:rsidR="00A74268" w:rsidRPr="00075064">
        <w:rPr>
          <w:b/>
          <w:bCs/>
        </w:rPr>
        <w:t xml:space="preserve">. </w:t>
      </w:r>
      <w:r w:rsidRPr="00D37D79">
        <w:t xml:space="preserve">Este componente prevê a modernização tecnológica do sistema </w:t>
      </w:r>
      <w:r w:rsidRPr="00075064">
        <w:rPr>
          <w:color w:val="000000"/>
        </w:rPr>
        <w:t>penitenciário</w:t>
      </w:r>
      <w:r w:rsidRPr="00D37D79">
        <w:t xml:space="preserve"> para facilitar a reinserção social e tornar o gasto público</w:t>
      </w:r>
      <w:r w:rsidR="009D3A63" w:rsidRPr="009D3A63">
        <w:t xml:space="preserve"> </w:t>
      </w:r>
      <w:r w:rsidR="009D3A63" w:rsidRPr="00D37D79">
        <w:t xml:space="preserve">mais </w:t>
      </w:r>
      <w:r w:rsidR="009D3A63">
        <w:t xml:space="preserve">eficaz e </w:t>
      </w:r>
      <w:r w:rsidR="009D3A63" w:rsidRPr="00D37D79">
        <w:t>eficiente</w:t>
      </w:r>
      <w:r w:rsidRPr="00D37D79">
        <w:t>.</w:t>
      </w:r>
    </w:p>
    <w:p w14:paraId="2ED0E70A" w14:textId="77777777" w:rsidR="00AC4809" w:rsidRPr="00D37D79" w:rsidRDefault="00417BFA" w:rsidP="00C7795F">
      <w:pPr>
        <w:pStyle w:val="ListParagraph"/>
        <w:numPr>
          <w:ilvl w:val="1"/>
          <w:numId w:val="24"/>
        </w:numPr>
        <w:ind w:left="709" w:hanging="709"/>
      </w:pPr>
      <w:r w:rsidRPr="00D37D79">
        <w:t>Ações previstas:</w:t>
      </w:r>
    </w:p>
    <w:p w14:paraId="37B4B470" w14:textId="65805480" w:rsidR="00417BFA" w:rsidRPr="000B6C37" w:rsidRDefault="009D3A63" w:rsidP="00C7795F">
      <w:pPr>
        <w:pStyle w:val="ListParagraph"/>
        <w:numPr>
          <w:ilvl w:val="0"/>
          <w:numId w:val="9"/>
        </w:numPr>
        <w:ind w:left="1134" w:hanging="425"/>
      </w:pPr>
      <w:r w:rsidRPr="0040454A">
        <w:t>um sistema integrado de gestão de informações de infratores (computadores, software)</w:t>
      </w:r>
      <w:r w:rsidR="00417BFA" w:rsidRPr="000B6C37">
        <w:t xml:space="preserve">; </w:t>
      </w:r>
    </w:p>
    <w:p w14:paraId="2A7B08B3" w14:textId="566D0C57" w:rsidR="00417BFA" w:rsidRPr="000B6C37" w:rsidRDefault="009D3A63" w:rsidP="00C7795F">
      <w:pPr>
        <w:pStyle w:val="ListParagraph"/>
        <w:numPr>
          <w:ilvl w:val="0"/>
          <w:numId w:val="9"/>
        </w:numPr>
        <w:ind w:left="1134" w:hanging="425"/>
      </w:pPr>
      <w:r>
        <w:rPr>
          <w:sz w:val="23"/>
          <w:szCs w:val="23"/>
        </w:rPr>
        <w:t xml:space="preserve">uma central de monitoramento eletrônico (incluindo pulseiras </w:t>
      </w:r>
      <w:r>
        <w:rPr>
          <w:i/>
          <w:iCs/>
          <w:sz w:val="23"/>
          <w:szCs w:val="23"/>
        </w:rPr>
        <w:t>Radio Frequency Identification</w:t>
      </w:r>
      <w:r>
        <w:rPr>
          <w:sz w:val="23"/>
          <w:szCs w:val="23"/>
        </w:rPr>
        <w:t xml:space="preserve">, câmeras de Circuito Fechado, Sistema de </w:t>
      </w:r>
      <w:r>
        <w:rPr>
          <w:i/>
          <w:iCs/>
          <w:sz w:val="23"/>
          <w:szCs w:val="23"/>
        </w:rPr>
        <w:t xml:space="preserve">Internet of Things </w:t>
      </w:r>
      <w:r>
        <w:rPr>
          <w:sz w:val="23"/>
          <w:szCs w:val="23"/>
        </w:rPr>
        <w:t>e scanners corporais) e solução de cibersegurança para proteger os sistemas e dispositivos inteligentes</w:t>
      </w:r>
      <w:r w:rsidR="00417BFA" w:rsidRPr="000B6C37">
        <w:t>;</w:t>
      </w:r>
    </w:p>
    <w:p w14:paraId="4D0996F7" w14:textId="1E8EF49F" w:rsidR="00417BFA" w:rsidRPr="000B6C37" w:rsidRDefault="009D3A63" w:rsidP="00C7795F">
      <w:pPr>
        <w:pStyle w:val="ListParagraph"/>
        <w:numPr>
          <w:ilvl w:val="0"/>
          <w:numId w:val="9"/>
        </w:numPr>
        <w:ind w:left="1134" w:hanging="425"/>
      </w:pPr>
      <w:r>
        <w:rPr>
          <w:sz w:val="23"/>
          <w:szCs w:val="23"/>
        </w:rPr>
        <w:t>equipamentos (como computadores, câmeras, equipamentos de gravação e armazenamento de dados) e sistemas de videoconferência (para realização de audiências em tribunais, assistência médica, formação educacional e visitas familiares)</w:t>
      </w:r>
      <w:r w:rsidR="00417BFA" w:rsidRPr="000B6C37">
        <w:t>.</w:t>
      </w:r>
    </w:p>
    <w:p w14:paraId="5C97EA1E" w14:textId="462623A9" w:rsidR="00417BFA" w:rsidRPr="00D37D79" w:rsidRDefault="00417BFA" w:rsidP="00C7795F">
      <w:pPr>
        <w:pStyle w:val="ListParagraph"/>
        <w:numPr>
          <w:ilvl w:val="1"/>
          <w:numId w:val="24"/>
        </w:numPr>
        <w:ind w:left="709" w:hanging="709"/>
      </w:pPr>
      <w:r w:rsidRPr="00075064">
        <w:rPr>
          <w:b/>
        </w:rPr>
        <w:t>Cenário</w:t>
      </w:r>
      <w:r w:rsidR="00A74268" w:rsidRPr="00075064">
        <w:rPr>
          <w:b/>
        </w:rPr>
        <w:t>.</w:t>
      </w:r>
      <w:r w:rsidRPr="00075064">
        <w:rPr>
          <w:b/>
        </w:rPr>
        <w:t xml:space="preserve"> </w:t>
      </w:r>
      <w:r w:rsidRPr="00D37D79">
        <w:t xml:space="preserve">Pouco uso das tecnologias necessárias para a reintegração social. O sistema penitenciário carece de um sistema abrangente de informações para melhorar o gerenciamento de recursos humanos e financeiros, análise centralizada de dados, particularmente de grupos vulneráveis ​​(mulheres grávidas ou crianças com filhos pequenos, LGBT +) ou suporte integrado para presos e sua situação legal, tornando as políticas de acompanhamento para esses grupos pouco eficiente. Os sistemas de informação dos PPLs são principalmente em papel ou em formato Excel, e desconectados dos sistemas de outros secretários, como Saúde ou Tribunal de Justiça. Da mesma forma, os sistemas tecnológicos não permitem conhecer a localização dos PPLs nas instalações penitenciárias, afetando o deslocamento interno e o acesso aos programas de preparação para a alta (apoio terapêutico, educação e trabalho). A falta de automação na gestão dos movimentos dos PPLs e agentes penitenciários não permite otimizar os princípios de segurança e ressocialização, </w:t>
      </w:r>
      <w:r w:rsidRPr="00D37D79">
        <w:lastRenderedPageBreak/>
        <w:t>fazendo com que o primeiro prevaleça desproporcionalmente sobre o último. Finalmente, deficiências tecnológicas (por exemplo, instalações de videoconferência) prolongam desnecessariamente algumas medidas de precaução quando, devido à falta de recursos, os PPLs não podem ser transportados para o público, além de gerar altos custos de transporte e segurança. Em 2018, foram realizadas mais de 25.000</w:t>
      </w:r>
      <w:r w:rsidR="00296940" w:rsidRPr="00D37D79">
        <w:t> </w:t>
      </w:r>
      <w:r w:rsidRPr="00D37D79">
        <w:t>acompanhantes para o público, um aumento de 57% entre 2014-2018.</w:t>
      </w:r>
    </w:p>
    <w:p w14:paraId="30A11FE9" w14:textId="460B27AC" w:rsidR="00417BFA" w:rsidRPr="00D37D79" w:rsidRDefault="00417BFA" w:rsidP="00C7795F">
      <w:pPr>
        <w:pStyle w:val="ListParagraph"/>
        <w:numPr>
          <w:ilvl w:val="1"/>
          <w:numId w:val="24"/>
        </w:numPr>
        <w:ind w:left="709" w:hanging="709"/>
      </w:pPr>
      <w:r w:rsidRPr="00075064">
        <w:rPr>
          <w:b/>
        </w:rPr>
        <w:t xml:space="preserve">Condições </w:t>
      </w:r>
      <w:r w:rsidR="000C68FC">
        <w:rPr>
          <w:b/>
        </w:rPr>
        <w:t>especiais de execução</w:t>
      </w:r>
      <w:r w:rsidR="00A74268" w:rsidRPr="00075064">
        <w:rPr>
          <w:b/>
        </w:rPr>
        <w:t>.</w:t>
      </w:r>
      <w:r w:rsidRPr="00075064">
        <w:rPr>
          <w:b/>
        </w:rPr>
        <w:t xml:space="preserve"> </w:t>
      </w:r>
      <w:r w:rsidR="000C68FC" w:rsidRPr="000B6C37">
        <w:t xml:space="preserve">Antes do início do Componente 2, a assinatura e entrada em vigor de um </w:t>
      </w:r>
      <w:r w:rsidR="000C68FC">
        <w:t>convênio</w:t>
      </w:r>
      <w:r w:rsidR="000C68FC" w:rsidRPr="000B6C37">
        <w:t xml:space="preserve">, </w:t>
      </w:r>
      <w:r w:rsidR="000C68FC">
        <w:t>nos</w:t>
      </w:r>
      <w:r w:rsidR="000C68FC" w:rsidRPr="000B6C37">
        <w:t xml:space="preserve"> termos previamente estabelecidos com o Banco, entre o </w:t>
      </w:r>
      <w:r w:rsidR="000C68FC">
        <w:t>OE</w:t>
      </w:r>
      <w:r w:rsidR="000C68FC" w:rsidRPr="000B6C37">
        <w:t xml:space="preserve"> e o Instituto de Tecnologia da Informação e Comunicação do Estado do Espírito Santo </w:t>
      </w:r>
      <w:r w:rsidR="000C68FC">
        <w:t>(</w:t>
      </w:r>
      <w:r w:rsidR="000C68FC" w:rsidRPr="000B6C37">
        <w:t>PRODEST</w:t>
      </w:r>
      <w:r w:rsidR="000C68FC">
        <w:t>)</w:t>
      </w:r>
      <w:r w:rsidR="000C68FC" w:rsidRPr="000B6C37">
        <w:t xml:space="preserve">, </w:t>
      </w:r>
      <w:r w:rsidR="000C68FC">
        <w:t>que defina</w:t>
      </w:r>
      <w:r w:rsidR="000C68FC" w:rsidRPr="000B6C37">
        <w:t xml:space="preserve"> as responsabilidades das partes, para que seja dada prioridade à aquisição e desenvolvimento dos sistemas de hardware e software contemplados no Programa</w:t>
      </w:r>
      <w:r w:rsidRPr="00D37D79">
        <w:t>;</w:t>
      </w:r>
      <w:bookmarkStart w:id="18" w:name="_heading=h.vyu2cmuyviw2" w:colFirst="0" w:colLast="0"/>
      <w:bookmarkEnd w:id="18"/>
      <w:r w:rsidRPr="00075064">
        <w:rPr>
          <w:b/>
          <w:shd w:val="clear" w:color="auto" w:fill="EAD1DC"/>
        </w:rPr>
        <w:t xml:space="preserve"> </w:t>
      </w:r>
    </w:p>
    <w:p w14:paraId="53668F34" w14:textId="51C1A9A5" w:rsidR="00417BFA" w:rsidRDefault="00417BFA" w:rsidP="00C7795F">
      <w:pPr>
        <w:pStyle w:val="ListParagraph"/>
        <w:numPr>
          <w:ilvl w:val="1"/>
          <w:numId w:val="24"/>
        </w:numPr>
        <w:ind w:left="709" w:hanging="709"/>
      </w:pPr>
      <w:r w:rsidRPr="00075064">
        <w:rPr>
          <w:b/>
          <w:bCs/>
        </w:rPr>
        <w:t>Componente 3</w:t>
      </w:r>
      <w:r w:rsidR="00A74268" w:rsidRPr="00075064">
        <w:rPr>
          <w:b/>
          <w:bCs/>
        </w:rPr>
        <w:t>.</w:t>
      </w:r>
      <w:r w:rsidRPr="00075064">
        <w:rPr>
          <w:b/>
          <w:bCs/>
        </w:rPr>
        <w:t xml:space="preserve"> Melhoria da infraestrutura penitenciária</w:t>
      </w:r>
      <w:r w:rsidR="00A74268" w:rsidRPr="00075064">
        <w:rPr>
          <w:b/>
          <w:bCs/>
        </w:rPr>
        <w:t>.</w:t>
      </w:r>
      <w:r w:rsidR="00A74268" w:rsidRPr="000B6C37">
        <w:t xml:space="preserve"> </w:t>
      </w:r>
      <w:r w:rsidRPr="00075064">
        <w:rPr>
          <w:color w:val="000000"/>
        </w:rPr>
        <w:t xml:space="preserve">O objetivo deste componente é </w:t>
      </w:r>
      <w:r w:rsidR="005E6E61" w:rsidRPr="00E9523F">
        <w:rPr>
          <w:color w:val="000000"/>
        </w:rPr>
        <w:t xml:space="preserve">construir e adequar equipamentos públicos para que </w:t>
      </w:r>
      <w:r w:rsidRPr="00E9523F">
        <w:rPr>
          <w:color w:val="000000"/>
        </w:rPr>
        <w:t>sejam eficientes, sustentáveis, seguras e apropriadas</w:t>
      </w:r>
      <w:r w:rsidRPr="00D37D79">
        <w:t xml:space="preserve"> para </w:t>
      </w:r>
      <w:r w:rsidR="005E6E61">
        <w:t>a reinserção social</w:t>
      </w:r>
      <w:r w:rsidR="005441EE">
        <w:t>.</w:t>
      </w:r>
    </w:p>
    <w:p w14:paraId="2F70FE47" w14:textId="5163EA13" w:rsidR="005441EE" w:rsidRPr="005441EE" w:rsidRDefault="005441EE" w:rsidP="00C7795F">
      <w:pPr>
        <w:pStyle w:val="ListParagraph"/>
        <w:numPr>
          <w:ilvl w:val="1"/>
          <w:numId w:val="24"/>
        </w:numPr>
        <w:ind w:left="709" w:hanging="709"/>
      </w:pPr>
      <w:r w:rsidRPr="0040454A">
        <w:t>Ações previstas:</w:t>
      </w:r>
    </w:p>
    <w:p w14:paraId="68DCD2CA" w14:textId="51AA41A0" w:rsidR="00417BFA" w:rsidRPr="000B6C37" w:rsidRDefault="005E6E61" w:rsidP="00C7795F">
      <w:pPr>
        <w:pStyle w:val="ListParagraph"/>
        <w:numPr>
          <w:ilvl w:val="0"/>
          <w:numId w:val="10"/>
        </w:numPr>
        <w:ind w:left="1134" w:hanging="425"/>
      </w:pPr>
      <w:r w:rsidRPr="0040454A">
        <w:t>projeto e construção de dois CIR (estabelecimentos penais mistos constituídos por uma unidade fechada e uma semiaberta) que atendam aos padrões mínimos para a ressocialização, nos municípios de Cachoeiro de Itapemirim e Linhares</w:t>
      </w:r>
      <w:r w:rsidR="00417BFA" w:rsidRPr="000B6C37">
        <w:t>;</w:t>
      </w:r>
    </w:p>
    <w:p w14:paraId="1BD70869" w14:textId="769ED6F3" w:rsidR="005E6E61" w:rsidRDefault="005E6E61" w:rsidP="00C7795F">
      <w:pPr>
        <w:pStyle w:val="ListParagraph"/>
        <w:numPr>
          <w:ilvl w:val="0"/>
          <w:numId w:val="10"/>
        </w:numPr>
        <w:ind w:left="1134" w:hanging="425"/>
      </w:pPr>
      <w:r w:rsidRPr="0040454A">
        <w:t>adequação dos equipamentos de energia, água e saneamento (microusinas fotovoltaicas, sistemas de captação de água, estações de tratamento de esgoto) em centros penitenciários para o uso e gestão racional desses recursos</w:t>
      </w:r>
      <w:r>
        <w:rPr>
          <w:sz w:val="23"/>
          <w:szCs w:val="23"/>
        </w:rPr>
        <w:t>;</w:t>
      </w:r>
    </w:p>
    <w:p w14:paraId="6E005C21" w14:textId="1AC1648C" w:rsidR="00417BFA" w:rsidRPr="000B6C37" w:rsidRDefault="005E6E61" w:rsidP="00C7795F">
      <w:pPr>
        <w:pStyle w:val="ListParagraph"/>
        <w:numPr>
          <w:ilvl w:val="0"/>
          <w:numId w:val="10"/>
        </w:numPr>
        <w:ind w:left="1134" w:hanging="425"/>
      </w:pPr>
      <w:r w:rsidRPr="0040454A">
        <w:t>construção de infraestruturas para serviços de alimentação e lavanderia, visando eficiência e sustentabilidade nesses serviços</w:t>
      </w:r>
      <w:r w:rsidR="00417BFA" w:rsidRPr="000B6C37">
        <w:t>.</w:t>
      </w:r>
    </w:p>
    <w:p w14:paraId="1EDB604A" w14:textId="4E04A70B" w:rsidR="00417BFA" w:rsidRPr="00D37D79" w:rsidRDefault="00A31917" w:rsidP="00C7795F">
      <w:pPr>
        <w:pStyle w:val="ListParagraph"/>
        <w:numPr>
          <w:ilvl w:val="1"/>
          <w:numId w:val="24"/>
        </w:numPr>
        <w:ind w:left="709" w:hanging="709"/>
      </w:pPr>
      <w:r w:rsidRPr="00476B84">
        <w:rPr>
          <w:b/>
          <w:bCs/>
        </w:rPr>
        <w:t>Infraestrutura</w:t>
      </w:r>
      <w:r w:rsidR="00417BFA" w:rsidRPr="00476B84">
        <w:rPr>
          <w:b/>
          <w:bCs/>
        </w:rPr>
        <w:t xml:space="preserve"> prisional inadequada para realizar processos e programas de reinserção social de maneira sustentável e eficiente.</w:t>
      </w:r>
      <w:r w:rsidR="00417BFA" w:rsidRPr="00D37D79">
        <w:t xml:space="preserve"> A atual infraestrutura carcerária não permite que as PPLs tenham acesso a programas que os preparam para a alta (acadêmica, socioemocional e trabalhista), tanto no regime fechado quanto quando passam do regime fechado para o </w:t>
      </w:r>
      <w:r w:rsidRPr="00D37D79">
        <w:t>semiaberto</w:t>
      </w:r>
      <w:r w:rsidR="00417BFA" w:rsidRPr="00D37D79">
        <w:t xml:space="preserve">. A maior parte da superfície das unidades penitenciárias é dedicada a células dormitórios, em vez de espaços para educação, trabalho e tratamento psicossocial. Isso também dificulta a </w:t>
      </w:r>
      <w:r w:rsidRPr="00D37D79">
        <w:t>infraestrutura</w:t>
      </w:r>
      <w:r w:rsidR="00417BFA" w:rsidRPr="00D37D79">
        <w:t xml:space="preserve"> necessária para cuidar e isolar pacientes em casos de contágio por epidemias como o COVID-19. Não existe uma unidade que possa servir como modelo de infraestrutura a serviço da ressocialização. As unidades prisionais também apresentam problemas de energia, água e sustentabilidade operacional, aumentando seus custos operacionais e causando riscos à saúde das instalações. Outro ponto é que 50% dos estabelecimentos não possuem licença ambiental. Somente os custos de água e energia excedem 10% do orçamento total da SEJUS, devido à ineficiência dos edifícios.</w:t>
      </w:r>
    </w:p>
    <w:p w14:paraId="4FE12328" w14:textId="46CF4A31" w:rsidR="00417BFA" w:rsidRPr="00075064" w:rsidRDefault="00417BFA" w:rsidP="00C7795F">
      <w:pPr>
        <w:pStyle w:val="ListParagraph"/>
        <w:numPr>
          <w:ilvl w:val="1"/>
          <w:numId w:val="24"/>
        </w:numPr>
        <w:ind w:left="709" w:hanging="709"/>
        <w:rPr>
          <w:shd w:val="clear" w:color="auto" w:fill="D9D2E9"/>
        </w:rPr>
      </w:pPr>
      <w:r w:rsidRPr="00075064">
        <w:rPr>
          <w:b/>
        </w:rPr>
        <w:t xml:space="preserve">Condições </w:t>
      </w:r>
      <w:r w:rsidR="000C68FC">
        <w:rPr>
          <w:b/>
        </w:rPr>
        <w:t>especiais de execução.</w:t>
      </w:r>
      <w:r w:rsidRPr="00075064">
        <w:rPr>
          <w:b/>
        </w:rPr>
        <w:t xml:space="preserve"> </w:t>
      </w:r>
      <w:r w:rsidR="000C68FC" w:rsidRPr="000B6C37">
        <w:t xml:space="preserve">Antes do início </w:t>
      </w:r>
      <w:r w:rsidR="000C68FC">
        <w:t>da obra do primeiro CIR, a contratação de uma consultoria, pelo Mutuário, aceitável para o Banco, para a garantia das salvaguardas penitenciárias</w:t>
      </w:r>
      <w:r w:rsidR="000C68FC" w:rsidRPr="000B6C37">
        <w:t xml:space="preserve">, a fim de acompanhar o cumprimento da regulamentação </w:t>
      </w:r>
      <w:r w:rsidR="00616430">
        <w:t xml:space="preserve">internacional </w:t>
      </w:r>
      <w:r w:rsidR="000C68FC" w:rsidRPr="000B6C37">
        <w:t>aplicável em matéria de respeito aos direitos humanos e infraestrutura penitenciária</w:t>
      </w:r>
      <w:r w:rsidRPr="00D37D79">
        <w:t>.</w:t>
      </w:r>
    </w:p>
    <w:p w14:paraId="2E19D583" w14:textId="6714D06B" w:rsidR="00D32E18" w:rsidRPr="0012513F" w:rsidRDefault="00417BFA" w:rsidP="00C7795F">
      <w:pPr>
        <w:pStyle w:val="ListParagraph"/>
        <w:ind w:left="709" w:hanging="709"/>
      </w:pPr>
      <w:bookmarkStart w:id="19" w:name="_heading=h.p0ipswtg466" w:colFirst="0" w:colLast="0"/>
      <w:bookmarkEnd w:id="19"/>
      <w:r w:rsidRPr="007F5A2C">
        <w:rPr>
          <w:b/>
          <w:bCs/>
        </w:rPr>
        <w:t>Componente 4: Administração do Programa</w:t>
      </w:r>
      <w:r w:rsidR="00A74268" w:rsidRPr="007F5A2C">
        <w:rPr>
          <w:b/>
          <w:bCs/>
        </w:rPr>
        <w:t xml:space="preserve">. </w:t>
      </w:r>
      <w:r w:rsidRPr="007F5A2C">
        <w:t xml:space="preserve">As ações desse componente incluem a execução e gerenciamento do programa, o monitoramento das atividades e a mensuração de seus resultados. Os recursos financiarão os serviços de administração do projeto, auditoria e avaliação da implementação e impacto dos vários programas e iniciativas dos componentes anteriores, incluindo a contratação de empresa para </w:t>
      </w:r>
      <w:r w:rsidRPr="007F5A2C">
        <w:rPr>
          <w:color w:val="000000"/>
        </w:rPr>
        <w:t>gerenciamento</w:t>
      </w:r>
      <w:r w:rsidRPr="007F5A2C">
        <w:t xml:space="preserve"> das obras</w:t>
      </w:r>
      <w:r w:rsidR="00476B84">
        <w:t xml:space="preserve"> (US$2.000.000)</w:t>
      </w:r>
      <w:r w:rsidR="00476B84" w:rsidRPr="007F5A2C">
        <w:t xml:space="preserve">. Também financiará uma consultoria para </w:t>
      </w:r>
      <w:r w:rsidR="00476B84" w:rsidRPr="007F5A2C">
        <w:lastRenderedPageBreak/>
        <w:t xml:space="preserve">acompanhar as salvaguardas penitenciárias e outro suporte organizacional para o gerenciamento de mudanças. </w:t>
      </w:r>
      <w:r w:rsidR="00476B84" w:rsidRPr="006D5D33">
        <w:t>Os termos de referência para a contratação da Gerenciadora</w:t>
      </w:r>
      <w:r w:rsidR="00476B84">
        <w:t xml:space="preserve"> </w:t>
      </w:r>
      <w:r w:rsidR="00476B84" w:rsidRPr="006D5D33">
        <w:t>s</w:t>
      </w:r>
      <w:r w:rsidR="00476B84">
        <w:t>er</w:t>
      </w:r>
      <w:r w:rsidR="00476B84" w:rsidRPr="006D5D33">
        <w:t>ão elaborados pelas equipes técnicas da SE</w:t>
      </w:r>
      <w:r w:rsidR="00476B84">
        <w:t>JUS</w:t>
      </w:r>
      <w:r w:rsidR="00476B84" w:rsidRPr="006D5D33">
        <w:t xml:space="preserve"> e devem ser aprovados pelo Banco antes do primeiro desembolso </w:t>
      </w:r>
      <w:r w:rsidR="00476B84">
        <w:t xml:space="preserve">como parte do </w:t>
      </w:r>
      <w:r w:rsidR="00476B84" w:rsidRPr="006D5D33">
        <w:t>presente ROP</w:t>
      </w:r>
      <w:r w:rsidRPr="007F5A2C">
        <w:t xml:space="preserve">. </w:t>
      </w:r>
    </w:p>
    <w:p w14:paraId="26261233" w14:textId="77777777" w:rsidR="007F5A2C" w:rsidRPr="000B6C37" w:rsidRDefault="007F5A2C" w:rsidP="00CF1958">
      <w:pPr>
        <w:pStyle w:val="Heading2"/>
      </w:pPr>
      <w:bookmarkStart w:id="20" w:name="_heading=h.2et92p0" w:colFirst="0" w:colLast="0"/>
      <w:bookmarkStart w:id="21" w:name="_Toc45546111"/>
      <w:bookmarkStart w:id="22" w:name="_Toc43470428"/>
      <w:bookmarkEnd w:id="20"/>
      <w:r w:rsidRPr="000B6C37">
        <w:t>Prazo de execução do Projeto</w:t>
      </w:r>
      <w:bookmarkEnd w:id="21"/>
    </w:p>
    <w:p w14:paraId="778345EF" w14:textId="77777777" w:rsidR="007F5A2C" w:rsidRPr="00C7795F" w:rsidRDefault="007F5A2C" w:rsidP="00C7795F">
      <w:pPr>
        <w:pStyle w:val="ListParagraph"/>
        <w:ind w:left="709" w:hanging="709"/>
      </w:pPr>
      <w:r w:rsidRPr="00D37D79">
        <w:t>O Projeto será executado em cinco anos, contados da data de assinatura do Contrato de Empréstimo ____/OC-BR.</w:t>
      </w:r>
    </w:p>
    <w:p w14:paraId="021EC961" w14:textId="77777777" w:rsidR="007F5A2C" w:rsidRPr="000B6C37" w:rsidRDefault="007F5A2C" w:rsidP="00CF1958">
      <w:pPr>
        <w:pStyle w:val="Heading2"/>
      </w:pPr>
      <w:bookmarkStart w:id="23" w:name="_Toc45546112"/>
      <w:r w:rsidRPr="000B6C37">
        <w:t>Prazo para início das obras e para desembolsos</w:t>
      </w:r>
      <w:bookmarkEnd w:id="23"/>
    </w:p>
    <w:p w14:paraId="643A2B8D" w14:textId="51035AA6" w:rsidR="007F5A2C" w:rsidRPr="00C7795F" w:rsidRDefault="007F5A2C" w:rsidP="00C7795F">
      <w:pPr>
        <w:pStyle w:val="ListParagraph"/>
        <w:ind w:left="709" w:hanging="709"/>
      </w:pPr>
      <w:r w:rsidRPr="00B51E3E">
        <w:t>O prazo para o início material das obras, compreendidas no Projeto, será de 5 (cinco) anos, contados a partir da assinatura do Contrato de Empréstimo ____/OC-BR. O prazo para o desembolso dos recursos do Financiamento para as obras materialmente iniciadas e para os demais gastos incorridos na execução do Projeto será de 5 (cinco) anos, contados a partir da assinatura do Contrato de Empréstimo ____/OC-BR.</w:t>
      </w:r>
    </w:p>
    <w:p w14:paraId="364BB094" w14:textId="3CBC62B8" w:rsidR="00417BFA" w:rsidRPr="000B6C37" w:rsidRDefault="00417BFA">
      <w:pPr>
        <w:pStyle w:val="Heading1"/>
      </w:pPr>
      <w:bookmarkStart w:id="24" w:name="_Toc45546113"/>
      <w:bookmarkStart w:id="25" w:name="_Toc43719314"/>
      <w:r w:rsidRPr="000B6C37">
        <w:t>ESQUEMA DE EXECUÇÃO</w:t>
      </w:r>
      <w:bookmarkEnd w:id="22"/>
      <w:bookmarkEnd w:id="24"/>
      <w:bookmarkEnd w:id="25"/>
    </w:p>
    <w:p w14:paraId="6B2C2950" w14:textId="106ABA4B" w:rsidR="00D137AB" w:rsidRPr="000B6C37" w:rsidRDefault="00417BFA" w:rsidP="00CF1958">
      <w:pPr>
        <w:pStyle w:val="Heading2"/>
      </w:pPr>
      <w:bookmarkStart w:id="26" w:name="_heading=h.tyjcwt" w:colFirst="0" w:colLast="0"/>
      <w:bookmarkStart w:id="27" w:name="_Toc43470429"/>
      <w:bookmarkStart w:id="28" w:name="_Toc45546114"/>
      <w:bookmarkStart w:id="29" w:name="_Toc43719315"/>
      <w:bookmarkEnd w:id="26"/>
      <w:r w:rsidRPr="000B6C37">
        <w:t>Mutuário, Fiador Executor</w:t>
      </w:r>
      <w:bookmarkEnd w:id="27"/>
      <w:bookmarkEnd w:id="28"/>
      <w:bookmarkEnd w:id="29"/>
    </w:p>
    <w:p w14:paraId="1D2E1661" w14:textId="77777777" w:rsidR="00A74268" w:rsidRPr="00C7795F" w:rsidRDefault="00A74268" w:rsidP="00C7795F">
      <w:pPr>
        <w:pStyle w:val="ListParagraph"/>
        <w:numPr>
          <w:ilvl w:val="0"/>
          <w:numId w:val="25"/>
        </w:numPr>
        <w:ind w:left="709" w:hanging="709"/>
      </w:pPr>
    </w:p>
    <w:p w14:paraId="680CF00F" w14:textId="126B33B2" w:rsidR="00417BFA" w:rsidRPr="007F5A2C" w:rsidRDefault="00417BFA" w:rsidP="00C7795F">
      <w:pPr>
        <w:pStyle w:val="ListParagraph"/>
        <w:ind w:left="709" w:hanging="709"/>
      </w:pPr>
      <w:r w:rsidRPr="007F5A2C">
        <w:t>O Mutuário será o Estado de Espírito Santo. A República Federativa do Brasil será o Fiador das obrigações financeiras do Empréstimo.</w:t>
      </w:r>
      <w:r w:rsidR="007F5A2C">
        <w:t xml:space="preserve"> </w:t>
      </w:r>
      <w:r w:rsidRPr="007F5A2C">
        <w:t>O Órgão Executor será a Secretaria de Estado da Justiça (SEJUS) do Espírito Santo.</w:t>
      </w:r>
    </w:p>
    <w:p w14:paraId="53625A99" w14:textId="1A11E9A3" w:rsidR="00417BFA" w:rsidRPr="000B6C37" w:rsidRDefault="00417BFA" w:rsidP="00CF1958">
      <w:pPr>
        <w:pStyle w:val="Heading2"/>
      </w:pPr>
      <w:bookmarkStart w:id="30" w:name="_heading=h.3dy6vkm" w:colFirst="0" w:colLast="0"/>
      <w:bookmarkStart w:id="31" w:name="_Toc43470430"/>
      <w:bookmarkStart w:id="32" w:name="_Toc45546115"/>
      <w:bookmarkStart w:id="33" w:name="_Toc43719316"/>
      <w:bookmarkEnd w:id="30"/>
      <w:r w:rsidRPr="000B6C37">
        <w:t>Execução e Administração do Projeto</w:t>
      </w:r>
      <w:bookmarkEnd w:id="31"/>
      <w:bookmarkEnd w:id="32"/>
      <w:bookmarkEnd w:id="33"/>
    </w:p>
    <w:p w14:paraId="7F3A6FAD" w14:textId="3B0470E8" w:rsidR="00417BFA" w:rsidRPr="007F5A2C" w:rsidRDefault="00417BFA" w:rsidP="00C7795F">
      <w:pPr>
        <w:pStyle w:val="ListParagraph"/>
        <w:ind w:left="709" w:hanging="709"/>
      </w:pPr>
      <w:r w:rsidRPr="007F5A2C">
        <w:t>A execução e a administração do Projeto serão realizadas pela estrutura formal da SEJUS, por meio de uma Unidade de Gestão do Programa (UGP), vinculada diretamente ao Secretário da SEJUS, como se apresenta na Figura 1.</w:t>
      </w:r>
    </w:p>
    <w:p w14:paraId="7FDB46B7" w14:textId="7A3893EC" w:rsidR="00417BFA" w:rsidRPr="007F5A2C" w:rsidRDefault="00417BFA" w:rsidP="00C7795F">
      <w:pPr>
        <w:pStyle w:val="ListParagraph"/>
        <w:ind w:left="709" w:hanging="709"/>
      </w:pPr>
      <w:r w:rsidRPr="007F5A2C">
        <w:t xml:space="preserve">Para a coordenação interna e priorização das ações do Programa, será instaurado um Comitê Deliberativo interno da SEJUS, que estará composto pelo secretário, subsecretários e pelo(a) coordenador(a) da UGP, sendo convocado pelo menos mensalmente durante todo o período de execução do </w:t>
      </w:r>
      <w:r w:rsidR="008878A1">
        <w:t>p</w:t>
      </w:r>
      <w:r w:rsidRPr="007F5A2C">
        <w:t>rograma.</w:t>
      </w:r>
    </w:p>
    <w:p w14:paraId="1A34D8E3" w14:textId="11C25105" w:rsidR="00417BFA" w:rsidRPr="007F5A2C" w:rsidRDefault="00417BFA" w:rsidP="00C7795F">
      <w:pPr>
        <w:pStyle w:val="ListParagraph"/>
        <w:ind w:left="709" w:hanging="709"/>
      </w:pPr>
      <w:r w:rsidRPr="007F5A2C">
        <w:t xml:space="preserve">A UGP, poderá ser composta por servidores públicos e/ou ocupantes de cargos comissionados do Estado de Espírito Santo ou por profissionais requisitados junto a outros níveis de governo e/ou, ainda, por profissionais contratados exclusivamente para o </w:t>
      </w:r>
      <w:r w:rsidR="008878A1">
        <w:t>p</w:t>
      </w:r>
      <w:r w:rsidRPr="007F5A2C">
        <w:t xml:space="preserve">rograma, além de ser auxiliada em suas funções por outras Secretarias e órgãos do Estado. </w:t>
      </w:r>
    </w:p>
    <w:p w14:paraId="7871406C" w14:textId="50D5FAAF" w:rsidR="00417BFA" w:rsidRPr="007F5A2C" w:rsidRDefault="00417BFA" w:rsidP="00C7795F">
      <w:pPr>
        <w:pStyle w:val="ListParagraph"/>
        <w:ind w:left="709" w:hanging="709"/>
      </w:pPr>
      <w:r w:rsidRPr="007F5A2C">
        <w:t xml:space="preserve">A SEJUS, por meio da UGP, contratará uma firma especializada em gerenciamento de obras para apoiar as ações dos componentes do </w:t>
      </w:r>
      <w:r w:rsidR="00476B84">
        <w:t>p</w:t>
      </w:r>
      <w:r w:rsidRPr="007F5A2C">
        <w:t>rograma</w:t>
      </w:r>
      <w:r w:rsidR="00476B84">
        <w:t xml:space="preserve"> (Gerenciadora de Obras)</w:t>
      </w:r>
      <w:r w:rsidRPr="007F5A2C">
        <w:t>, principalmente referentes ao componente 3 de Infraestrutura, ao abrigo de cujo contrato sejam designados consultores para desempenhar as funções que se considerem necessárias como complemento à UGP. Adicionalmente, para garantir a contraposição de interesses, se contratará uma outra firma especializada para realizar os serviços de supervisão independente das obras contratadas no âmbito do Projeto. Somente serão aceitas pelo Banco, para fins de prestação de contas e liberação de desembolsos, as faturas das empresas contratadas para as construções que vierem com os laudos de medição devidamente atestados pela empresa supervisora das obras e da equipe da Diretoria Geral de Engenharia e Arquitetura (DIGEA), vinculada à Subsecretaria de Planejamento e Controle (SPCON) da SEJUS.</w:t>
      </w:r>
    </w:p>
    <w:p w14:paraId="2BC165C6" w14:textId="504B6878" w:rsidR="00417BFA" w:rsidRPr="007F5A2C" w:rsidRDefault="00417BFA" w:rsidP="00C7795F">
      <w:pPr>
        <w:pStyle w:val="ListParagraph"/>
        <w:ind w:left="709" w:hanging="709"/>
      </w:pPr>
      <w:r w:rsidRPr="007F5A2C">
        <w:lastRenderedPageBreak/>
        <w:t xml:space="preserve">Os salários dos servidores públicos e/ou dos profissionais que a SEJUS contratar para sua equipe fixa associada à UGP poderão ser computados a cargo da contrapartida local </w:t>
      </w:r>
      <w:r w:rsidR="007F5A2C" w:rsidRPr="007F5A2C">
        <w:t xml:space="preserve">tanto como </w:t>
      </w:r>
      <w:r w:rsidRPr="007F5A2C">
        <w:t xml:space="preserve">ao Financiamento. </w:t>
      </w:r>
    </w:p>
    <w:p w14:paraId="356A1E31" w14:textId="77777777" w:rsidR="00417BFA" w:rsidRPr="007F5A2C" w:rsidRDefault="00417BFA" w:rsidP="00C7795F">
      <w:pPr>
        <w:pStyle w:val="ListParagraph"/>
        <w:ind w:left="709" w:hanging="709"/>
      </w:pPr>
      <w:r w:rsidRPr="007F5A2C">
        <w:t>Todas os certames licitatórios destinados à contratação de obras civis serão realizados pela Comissão de Licitações da SEJUS. As aquisições de bens e serviços do Programa, e as consultorias, serão acompanhadas pela UGP, de acordo com as pautas da Assessoria Técnica e a Procuradoria Geral do Estado (PGE).</w:t>
      </w:r>
    </w:p>
    <w:p w14:paraId="43151FA8" w14:textId="77777777" w:rsidR="00417BFA" w:rsidRPr="007F5A2C" w:rsidRDefault="00417BFA" w:rsidP="00C7795F">
      <w:pPr>
        <w:pStyle w:val="ListParagraph"/>
        <w:ind w:left="709" w:hanging="709"/>
      </w:pPr>
      <w:r w:rsidRPr="007F5A2C">
        <w:t>A Subsecretaria de Estado para Assuntos Administrativos da SEJUS (SAA) e a UGP, em conjunto com a Secretaria de Estado da Fazenda (SEFAZ) ficarão responsáveis pela fase de empenhamento, liquidação e pagamento das aquisições do Projeto, sob a supervisão da Secretaria de Estado de Economia e Planejamento (SEP).</w:t>
      </w:r>
    </w:p>
    <w:p w14:paraId="1C6C526A" w14:textId="3ACB7FCF" w:rsidR="00417BFA" w:rsidRPr="000B6C37" w:rsidRDefault="0071011D" w:rsidP="008878A1">
      <w:pPr>
        <w:pStyle w:val="Caption"/>
        <w:rPr>
          <w:rFonts w:eastAsia="Arial"/>
        </w:rPr>
      </w:pPr>
      <w:r w:rsidRPr="0012513F">
        <w:rPr>
          <w:rFonts w:eastAsia="Arial"/>
          <w:noProof/>
        </w:rPr>
        <w:drawing>
          <wp:anchor distT="0" distB="0" distL="114300" distR="114300" simplePos="0" relativeHeight="251661824" behindDoc="0" locked="0" layoutInCell="1" allowOverlap="1" wp14:anchorId="76773349" wp14:editId="7C79692F">
            <wp:simplePos x="0" y="0"/>
            <wp:positionH relativeFrom="page">
              <wp:posOffset>1147445</wp:posOffset>
            </wp:positionH>
            <wp:positionV relativeFrom="paragraph">
              <wp:posOffset>292735</wp:posOffset>
            </wp:positionV>
            <wp:extent cx="5777865" cy="2924175"/>
            <wp:effectExtent l="0" t="0" r="0" b="9525"/>
            <wp:wrapTopAndBottom/>
            <wp:docPr id="53"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4"/>
                    <a:srcRect t="11616" r="9076" b="14119"/>
                    <a:stretch>
                      <a:fillRect/>
                    </a:stretch>
                  </pic:blipFill>
                  <pic:spPr>
                    <a:xfrm>
                      <a:off x="0" y="0"/>
                      <a:ext cx="5777865" cy="2924175"/>
                    </a:xfrm>
                    <a:prstGeom prst="rect">
                      <a:avLst/>
                    </a:prstGeom>
                    <a:ln/>
                  </pic:spPr>
                </pic:pic>
              </a:graphicData>
            </a:graphic>
            <wp14:sizeRelH relativeFrom="margin">
              <wp14:pctWidth>0</wp14:pctWidth>
            </wp14:sizeRelH>
            <wp14:sizeRelV relativeFrom="margin">
              <wp14:pctHeight>0</wp14:pctHeight>
            </wp14:sizeRelV>
          </wp:anchor>
        </w:drawing>
      </w:r>
      <w:r w:rsidR="00417BFA" w:rsidRPr="000B6C37">
        <w:rPr>
          <w:rFonts w:eastAsia="Arial"/>
        </w:rPr>
        <w:t>Figura 1</w:t>
      </w:r>
      <w:r w:rsidRPr="000B6C37">
        <w:rPr>
          <w:rFonts w:eastAsia="Arial"/>
        </w:rPr>
        <w:t xml:space="preserve">. </w:t>
      </w:r>
      <w:r w:rsidR="00417BFA" w:rsidRPr="000B6C37">
        <w:rPr>
          <w:rFonts w:eastAsia="Arial"/>
        </w:rPr>
        <w:t>Esquema de execução</w:t>
      </w:r>
    </w:p>
    <w:p w14:paraId="02A272F2" w14:textId="7081B361" w:rsidR="00417BFA" w:rsidRPr="000B6C37" w:rsidRDefault="00417BFA" w:rsidP="008677AA">
      <w:pPr>
        <w:rPr>
          <w:rFonts w:eastAsia="Arial"/>
        </w:rPr>
      </w:pPr>
    </w:p>
    <w:p w14:paraId="2D205780" w14:textId="6C380086" w:rsidR="00417BFA" w:rsidRPr="000B6C37" w:rsidRDefault="00417BFA" w:rsidP="00CF1958">
      <w:pPr>
        <w:pStyle w:val="Heading2"/>
      </w:pPr>
      <w:bookmarkStart w:id="34" w:name="_heading=h.1t3h5sf" w:colFirst="0" w:colLast="0"/>
      <w:bookmarkStart w:id="35" w:name="_Toc43470431"/>
      <w:bookmarkStart w:id="36" w:name="_Toc45546116"/>
      <w:bookmarkStart w:id="37" w:name="_Toc43719317"/>
      <w:bookmarkEnd w:id="34"/>
      <w:r w:rsidRPr="000B6C37">
        <w:t xml:space="preserve">Unidade de Gestão do </w:t>
      </w:r>
      <w:r w:rsidR="0071011D" w:rsidRPr="000B6C37">
        <w:t>p</w:t>
      </w:r>
      <w:r w:rsidRPr="000B6C37">
        <w:t>rograma</w:t>
      </w:r>
      <w:bookmarkEnd w:id="35"/>
      <w:bookmarkEnd w:id="36"/>
      <w:bookmarkEnd w:id="37"/>
    </w:p>
    <w:p w14:paraId="4CC99C13" w14:textId="6F25274F" w:rsidR="00417BFA" w:rsidRPr="00D37D79" w:rsidRDefault="00417BFA" w:rsidP="00C7795F">
      <w:pPr>
        <w:pStyle w:val="ListParagraph"/>
        <w:numPr>
          <w:ilvl w:val="1"/>
          <w:numId w:val="25"/>
        </w:numPr>
        <w:ind w:left="709" w:hanging="709"/>
      </w:pPr>
      <w:r w:rsidRPr="00D37D79">
        <w:t xml:space="preserve">A execução do </w:t>
      </w:r>
      <w:r w:rsidR="0071011D" w:rsidRPr="00D37D79">
        <w:t>p</w:t>
      </w:r>
      <w:r w:rsidRPr="00D37D79">
        <w:t>rograma ficará a cargo da estrutura formal da SEJUS, dentro da qual será criada uma Unidade de Gestão do Programa (UGP), vinculada diretamente ao Secretário de Justiça.</w:t>
      </w:r>
    </w:p>
    <w:p w14:paraId="6D7555D3" w14:textId="359F59DD" w:rsidR="00417BFA" w:rsidRPr="00D37D79" w:rsidRDefault="00417BFA" w:rsidP="00C7795F">
      <w:pPr>
        <w:pStyle w:val="ListParagraph"/>
        <w:numPr>
          <w:ilvl w:val="1"/>
          <w:numId w:val="25"/>
        </w:numPr>
        <w:ind w:left="709" w:hanging="709"/>
      </w:pPr>
      <w:r w:rsidRPr="00D37D79">
        <w:t xml:space="preserve">A UGP poderá ser apoiada eventualmente pela contratação, com recursos do </w:t>
      </w:r>
      <w:r w:rsidR="0071011D" w:rsidRPr="00D37D79">
        <w:t>f</w:t>
      </w:r>
      <w:r w:rsidRPr="00D37D79">
        <w:t xml:space="preserve">inanciamento, de consultorias para apoio na realização e gerenciamento de atividades técnicas relacionadas diretamente com a execução dos seus componentes. </w:t>
      </w:r>
    </w:p>
    <w:p w14:paraId="01F35826" w14:textId="66F9FD34" w:rsidR="00476B84" w:rsidRDefault="00476B84" w:rsidP="00476B84">
      <w:pPr>
        <w:pStyle w:val="ListParagraph"/>
        <w:numPr>
          <w:ilvl w:val="1"/>
          <w:numId w:val="25"/>
        </w:numPr>
        <w:ind w:left="709" w:hanging="709"/>
      </w:pPr>
      <w:r w:rsidRPr="006D5D33">
        <w:t xml:space="preserve">A UGP contará com o apoio de uma Gerenciadora para a implementação das </w:t>
      </w:r>
      <w:r>
        <w:t xml:space="preserve">obras, em coordenação como a equipe </w:t>
      </w:r>
      <w:r w:rsidRPr="006D5D33">
        <w:t>de gestão administrativo e fiduciário</w:t>
      </w:r>
      <w:r>
        <w:t xml:space="preserve"> </w:t>
      </w:r>
      <w:r w:rsidRPr="006D5D33">
        <w:t xml:space="preserve">do Programa. A seleção da Gerenciadora será feita através de licitação pública internacional, de acordo com os TDR que são ajustados no Anexo </w:t>
      </w:r>
      <w:r>
        <w:t>J</w:t>
      </w:r>
      <w:r w:rsidRPr="006D5D33">
        <w:t>. A UGP realizará a supervisão da Gerenciadora em todos os procedimentos acordados</w:t>
      </w:r>
      <w:r>
        <w:t>.</w:t>
      </w:r>
    </w:p>
    <w:p w14:paraId="496A6016" w14:textId="4216DB99" w:rsidR="00417BFA" w:rsidRPr="00D37D79" w:rsidRDefault="00417BFA" w:rsidP="00C7795F">
      <w:pPr>
        <w:pStyle w:val="ListParagraph"/>
        <w:numPr>
          <w:ilvl w:val="1"/>
          <w:numId w:val="25"/>
        </w:numPr>
        <w:ind w:left="709" w:hanging="709"/>
      </w:pPr>
      <w:r w:rsidRPr="00D37D79">
        <w:t>À SEJUS caberá, por meio de sua UGP, planejar, coordenar, supervisionar e avaliar, técnica e financeiramente, a execução do Programa, em seus diferentes níveis de atuação, além de:</w:t>
      </w:r>
    </w:p>
    <w:p w14:paraId="10F4FD25" w14:textId="616A581F" w:rsidR="00417BFA" w:rsidRPr="00D37D79" w:rsidRDefault="00417BFA" w:rsidP="00C7795F">
      <w:pPr>
        <w:pStyle w:val="ListParagraph"/>
        <w:numPr>
          <w:ilvl w:val="1"/>
          <w:numId w:val="25"/>
        </w:numPr>
        <w:ind w:left="709" w:hanging="709"/>
      </w:pPr>
      <w:r w:rsidRPr="00D37D79">
        <w:lastRenderedPageBreak/>
        <w:t xml:space="preserve">Exercer a gestão técnica, administrativa e de acompanhamento financeiro do </w:t>
      </w:r>
      <w:r w:rsidR="0071011D" w:rsidRPr="00D37D79">
        <w:t>p</w:t>
      </w:r>
      <w:r w:rsidRPr="00D37D79">
        <w:t>rograma nos aspectos de planejamento, coordenação, supervisão, monitoramento e avaliação das suas atividades;</w:t>
      </w:r>
    </w:p>
    <w:p w14:paraId="21A01D0E" w14:textId="77777777" w:rsidR="00417BFA" w:rsidRPr="000B6C37" w:rsidRDefault="00417BFA" w:rsidP="00C7795F">
      <w:pPr>
        <w:pStyle w:val="ListParagraph"/>
        <w:numPr>
          <w:ilvl w:val="0"/>
          <w:numId w:val="11"/>
        </w:numPr>
        <w:ind w:left="1134" w:hanging="425"/>
      </w:pPr>
      <w:r w:rsidRPr="000B6C37">
        <w:t>Assegurar o cumprimento dos requisitos de elegibilidade estabelecidos neste Regulamento;</w:t>
      </w:r>
    </w:p>
    <w:p w14:paraId="168766CC" w14:textId="66E2DFB4" w:rsidR="00417BFA" w:rsidRPr="000B6C37" w:rsidRDefault="00417BFA" w:rsidP="00C7795F">
      <w:pPr>
        <w:pStyle w:val="ListParagraph"/>
        <w:numPr>
          <w:ilvl w:val="0"/>
          <w:numId w:val="11"/>
        </w:numPr>
        <w:ind w:left="1134" w:hanging="425"/>
      </w:pPr>
      <w:r w:rsidRPr="000B6C37">
        <w:t xml:space="preserve">Formalizar mecanismos adequados de articulação institucional, programática e financeira para a execução dos componentes e atividades do </w:t>
      </w:r>
      <w:r w:rsidR="0071011D" w:rsidRPr="000B6C37">
        <w:t>p</w:t>
      </w:r>
      <w:r w:rsidRPr="000B6C37">
        <w:t xml:space="preserve">rograma, com os diversos órgãos e instituições do Estado do Espírito Santo e outras entidades envolvidas com a execução do </w:t>
      </w:r>
      <w:r w:rsidR="0071011D" w:rsidRPr="000B6C37">
        <w:t>p</w:t>
      </w:r>
      <w:r w:rsidRPr="000B6C37">
        <w:t>rograma;</w:t>
      </w:r>
    </w:p>
    <w:p w14:paraId="637F693D" w14:textId="77777777" w:rsidR="00417BFA" w:rsidRPr="000B6C37" w:rsidRDefault="00417BFA" w:rsidP="00C7795F">
      <w:pPr>
        <w:pStyle w:val="ListParagraph"/>
        <w:numPr>
          <w:ilvl w:val="0"/>
          <w:numId w:val="11"/>
        </w:numPr>
        <w:ind w:left="1134" w:hanging="425"/>
      </w:pPr>
      <w:r w:rsidRPr="000B6C37">
        <w:t>Assegurar a fiel e tempestiva execução das atividades do Programa, de acordo com o Contrato de Empréstimo, os Planos Operativos Anuais e o Plano de Aquisições do Projeto;</w:t>
      </w:r>
    </w:p>
    <w:p w14:paraId="29F52DCA" w14:textId="1F73B06C" w:rsidR="00417BFA" w:rsidRDefault="00417BFA" w:rsidP="00C7795F">
      <w:pPr>
        <w:pStyle w:val="ListParagraph"/>
        <w:numPr>
          <w:ilvl w:val="0"/>
          <w:numId w:val="11"/>
        </w:numPr>
        <w:ind w:left="1134" w:hanging="425"/>
      </w:pPr>
      <w:r w:rsidRPr="000B6C37">
        <w:t>Articular-se com as instâncias internas do Estado do Espírito Santo, com o fim de garantir que estas sejam executadas em consonância com os modelos e parâmetros técnicos, gerenciais, financeiros, sociais e ambientais definidos pela SEJUS e exigidos pela legislação pertinente aplicável;</w:t>
      </w:r>
    </w:p>
    <w:p w14:paraId="3443F4BB" w14:textId="4D054883" w:rsidR="00476B84" w:rsidRPr="000B6C37" w:rsidRDefault="00476B84" w:rsidP="00476B84">
      <w:pPr>
        <w:pStyle w:val="ListParagraph"/>
        <w:numPr>
          <w:ilvl w:val="0"/>
          <w:numId w:val="11"/>
        </w:numPr>
        <w:ind w:left="1134" w:hanging="425"/>
      </w:pPr>
      <w:r>
        <w:t>Contratar e supervisar as atuações da Gerenciadora de Obras;</w:t>
      </w:r>
    </w:p>
    <w:p w14:paraId="3DEA760D" w14:textId="2DEC81D1" w:rsidR="00417BFA" w:rsidRPr="000B6C37" w:rsidRDefault="00417BFA" w:rsidP="00C7795F">
      <w:pPr>
        <w:pStyle w:val="ListParagraph"/>
        <w:numPr>
          <w:ilvl w:val="0"/>
          <w:numId w:val="11"/>
        </w:numPr>
        <w:ind w:left="1134" w:hanging="425"/>
      </w:pPr>
      <w:r w:rsidRPr="000B6C37">
        <w:t xml:space="preserve">Selecionar, quando aplicável, os beneficiários das ações de capacitação do </w:t>
      </w:r>
      <w:r w:rsidR="0071011D" w:rsidRPr="000B6C37">
        <w:t>p</w:t>
      </w:r>
      <w:r w:rsidRPr="000B6C37">
        <w:t>rograma;</w:t>
      </w:r>
    </w:p>
    <w:p w14:paraId="66BF9821" w14:textId="77777777" w:rsidR="00417BFA" w:rsidRPr="000B6C37" w:rsidRDefault="00417BFA" w:rsidP="00C7795F">
      <w:pPr>
        <w:pStyle w:val="ListParagraph"/>
        <w:numPr>
          <w:ilvl w:val="0"/>
          <w:numId w:val="11"/>
        </w:numPr>
        <w:ind w:left="1134" w:hanging="425"/>
      </w:pPr>
      <w:r w:rsidRPr="000B6C37">
        <w:t xml:space="preserve">Revisar, anualmente, ou quando solicitado pelo Banco, o Plano de Aquisições (PA) e o Plano Operativo Anual (POA) do Programa;  </w:t>
      </w:r>
    </w:p>
    <w:p w14:paraId="5F3C07CC" w14:textId="77777777" w:rsidR="00417BFA" w:rsidRPr="000B6C37" w:rsidRDefault="00417BFA" w:rsidP="00C7795F">
      <w:pPr>
        <w:pStyle w:val="ListParagraph"/>
        <w:numPr>
          <w:ilvl w:val="0"/>
          <w:numId w:val="11"/>
        </w:numPr>
        <w:ind w:left="1134" w:hanging="425"/>
      </w:pPr>
      <w:r w:rsidRPr="000B6C37">
        <w:t xml:space="preserve">Elaborar os Relatórios de Execução e Progresso, para encaminhamento oportuno ao Banco, de modo a manter atualizadas as informações sobre o Programa; </w:t>
      </w:r>
    </w:p>
    <w:p w14:paraId="1D0406D6" w14:textId="77777777" w:rsidR="00417BFA" w:rsidRPr="000B6C37" w:rsidRDefault="00417BFA" w:rsidP="00C7795F">
      <w:pPr>
        <w:pStyle w:val="ListParagraph"/>
        <w:numPr>
          <w:ilvl w:val="0"/>
          <w:numId w:val="11"/>
        </w:numPr>
        <w:ind w:left="1134" w:hanging="425"/>
      </w:pPr>
      <w:r w:rsidRPr="000B6C37">
        <w:t>Aprovar a programação de desembolsos do Programa para financiar as atividades que o integram;</w:t>
      </w:r>
    </w:p>
    <w:p w14:paraId="3E86FE88" w14:textId="0CF93DD9" w:rsidR="00417BFA" w:rsidRPr="000B6C37" w:rsidRDefault="00417BFA" w:rsidP="00C7795F">
      <w:pPr>
        <w:pStyle w:val="ListParagraph"/>
        <w:numPr>
          <w:ilvl w:val="0"/>
          <w:numId w:val="11"/>
        </w:numPr>
        <w:ind w:left="1134" w:hanging="425"/>
      </w:pPr>
      <w:r w:rsidRPr="000B6C37">
        <w:t xml:space="preserve">Velar pelo cumprimento das normas e procedimentos técnicos, administrativos, contábeis e financeiros para a implementação do Programa definidas no Contrato de Empréstimo </w:t>
      </w:r>
      <w:r w:rsidR="006A2354" w:rsidRPr="000B6C37">
        <w:t>_____</w:t>
      </w:r>
      <w:r w:rsidRPr="000B6C37">
        <w:t>/OC-BR (Projeto BR-L1526) e seus anexos;</w:t>
      </w:r>
    </w:p>
    <w:p w14:paraId="5BDF897C" w14:textId="77777777" w:rsidR="00417BFA" w:rsidRPr="000B6C37" w:rsidRDefault="00417BFA" w:rsidP="00C7795F">
      <w:pPr>
        <w:pStyle w:val="ListParagraph"/>
        <w:numPr>
          <w:ilvl w:val="0"/>
          <w:numId w:val="11"/>
        </w:numPr>
        <w:ind w:left="1134" w:hanging="425"/>
      </w:pPr>
      <w:r w:rsidRPr="000B6C37">
        <w:t>Acompanhar a liberação dos recursos e controlar a disponibilidade financeira do Programa, assegurando os adequados registros contábeis comprobatórios de despesas;</w:t>
      </w:r>
    </w:p>
    <w:p w14:paraId="29AA5156" w14:textId="77777777" w:rsidR="00417BFA" w:rsidRPr="000B6C37" w:rsidRDefault="00417BFA" w:rsidP="00C7795F">
      <w:pPr>
        <w:pStyle w:val="ListParagraph"/>
        <w:numPr>
          <w:ilvl w:val="0"/>
          <w:numId w:val="11"/>
        </w:numPr>
        <w:ind w:left="1134" w:hanging="425"/>
      </w:pPr>
      <w:r w:rsidRPr="000B6C37">
        <w:t>Definir, em conjunto com o Banco, os Termos de Referência e as Especificações Técnicas para a contratação de consultorias, obras, aquisição de equipamentos, nos termos do Contrato de Empréstimo;</w:t>
      </w:r>
    </w:p>
    <w:p w14:paraId="05FF0A51" w14:textId="77777777" w:rsidR="00417BFA" w:rsidRPr="000B6C37" w:rsidRDefault="00417BFA" w:rsidP="00C7795F">
      <w:pPr>
        <w:pStyle w:val="ListParagraph"/>
        <w:numPr>
          <w:ilvl w:val="0"/>
          <w:numId w:val="11"/>
        </w:numPr>
        <w:ind w:left="1134" w:hanging="425"/>
      </w:pPr>
      <w:r w:rsidRPr="000B6C37">
        <w:t xml:space="preserve">Motivar todos os processos licitatórios no âmbito do Programa, assegurando o cumprimento </w:t>
      </w:r>
      <w:proofErr w:type="gramStart"/>
      <w:r w:rsidRPr="000B6C37">
        <w:t>dos mesmos</w:t>
      </w:r>
      <w:proofErr w:type="gramEnd"/>
      <w:r w:rsidRPr="000B6C37">
        <w:t xml:space="preserve"> de acordo com as políticas de aquisições aplicáveis ao Programa;</w:t>
      </w:r>
    </w:p>
    <w:p w14:paraId="243B7023" w14:textId="77777777" w:rsidR="00417BFA" w:rsidRPr="000B6C37" w:rsidRDefault="00417BFA" w:rsidP="00C7795F">
      <w:pPr>
        <w:pStyle w:val="ListParagraph"/>
        <w:numPr>
          <w:ilvl w:val="0"/>
          <w:numId w:val="11"/>
        </w:numPr>
        <w:ind w:left="1134" w:hanging="425"/>
      </w:pPr>
      <w:r w:rsidRPr="000B6C37">
        <w:t>Zelar pela operação e manutenção dos bens e obras adquiridos e construídos com recursos do Programa de acordo com normas técnicas de aceitação geral;</w:t>
      </w:r>
    </w:p>
    <w:p w14:paraId="1749B6B9" w14:textId="77777777" w:rsidR="00417BFA" w:rsidRPr="000B6C37" w:rsidRDefault="00417BFA" w:rsidP="00C7795F">
      <w:pPr>
        <w:pStyle w:val="ListParagraph"/>
        <w:numPr>
          <w:ilvl w:val="0"/>
          <w:numId w:val="11"/>
        </w:numPr>
        <w:ind w:left="1134" w:hanging="425"/>
      </w:pPr>
      <w:r w:rsidRPr="000B6C37">
        <w:t>Preparar e enviar ao BID os relatórios técnicos, contábeis e financeiros do Programa, de acordo com o cronograma previamente acordado e às normas vigentes no Contrato de Empréstimo e seus Anexos.</w:t>
      </w:r>
    </w:p>
    <w:p w14:paraId="01F3A00B" w14:textId="77777777" w:rsidR="00417BFA" w:rsidRPr="00D37D79" w:rsidRDefault="00417BFA" w:rsidP="00C7795F">
      <w:pPr>
        <w:pStyle w:val="ListParagraph"/>
        <w:numPr>
          <w:ilvl w:val="1"/>
          <w:numId w:val="25"/>
        </w:numPr>
        <w:ind w:left="709" w:hanging="709"/>
      </w:pPr>
      <w:r w:rsidRPr="00D37D79">
        <w:t xml:space="preserve">A composição da equipe da UGP deverá se adequar ao ritmo de execução do Programa, incorporando e/ou dispensando colaboradores de acordo com a concentração e dispersão de atividades. O coordenador e a equipe da UGP deverão ter dedicação exclusiva ao programa no âmbito da SEJUS, e garantir agilidade na execução. </w:t>
      </w:r>
    </w:p>
    <w:p w14:paraId="7A4F6863" w14:textId="6B24FF0F" w:rsidR="00417BFA" w:rsidRPr="00D37D79" w:rsidRDefault="00417BFA" w:rsidP="00C7795F">
      <w:pPr>
        <w:pStyle w:val="ListParagraph"/>
        <w:numPr>
          <w:ilvl w:val="1"/>
          <w:numId w:val="25"/>
        </w:numPr>
        <w:ind w:left="709" w:hanging="709"/>
      </w:pPr>
      <w:r w:rsidRPr="00D37D79">
        <w:lastRenderedPageBreak/>
        <w:t xml:space="preserve">Os perfis e atribuições dos profissionais chave da UGP encontram-se descritos na </w:t>
      </w:r>
      <w:r w:rsidR="00920F7F" w:rsidRPr="00D37D79">
        <w:t>s</w:t>
      </w:r>
      <w:r w:rsidRPr="00D37D79">
        <w:t xml:space="preserve">eção </w:t>
      </w:r>
      <w:r w:rsidR="007F5A2C" w:rsidRPr="00D37D79">
        <w:t xml:space="preserve">E </w:t>
      </w:r>
      <w:r w:rsidRPr="00D37D79">
        <w:t>deste</w:t>
      </w:r>
      <w:r w:rsidR="007F5A2C" w:rsidRPr="00D37D79">
        <w:t xml:space="preserve"> </w:t>
      </w:r>
      <w:proofErr w:type="gramStart"/>
      <w:r w:rsidR="007F5A2C" w:rsidRPr="00D37D79">
        <w:t>capitulo</w:t>
      </w:r>
      <w:proofErr w:type="gramEnd"/>
      <w:r w:rsidRPr="00D37D79">
        <w:t>.</w:t>
      </w:r>
    </w:p>
    <w:p w14:paraId="5364861E" w14:textId="0CD55BA8" w:rsidR="00417BFA" w:rsidRPr="000B6C37" w:rsidRDefault="00417BFA" w:rsidP="00CF1958">
      <w:pPr>
        <w:pStyle w:val="Heading2"/>
        <w:rPr>
          <w:rFonts w:eastAsia="Arial"/>
        </w:rPr>
      </w:pPr>
      <w:bookmarkStart w:id="38" w:name="_heading=h.4d34og8" w:colFirst="0" w:colLast="0"/>
      <w:bookmarkStart w:id="39" w:name="_Toc43470432"/>
      <w:bookmarkStart w:id="40" w:name="_Toc45546117"/>
      <w:bookmarkStart w:id="41" w:name="_Toc43719318"/>
      <w:bookmarkEnd w:id="38"/>
      <w:r w:rsidRPr="000B6C37">
        <w:rPr>
          <w:rFonts w:eastAsia="Arial"/>
        </w:rPr>
        <w:t>Subsecretarias da SEJUS</w:t>
      </w:r>
      <w:bookmarkEnd w:id="39"/>
      <w:bookmarkEnd w:id="40"/>
      <w:bookmarkEnd w:id="41"/>
    </w:p>
    <w:p w14:paraId="527A09E2" w14:textId="35C79476" w:rsidR="00417BFA" w:rsidRPr="00D37D79" w:rsidRDefault="00417BFA" w:rsidP="00C7795F">
      <w:pPr>
        <w:pStyle w:val="ListParagraph"/>
        <w:numPr>
          <w:ilvl w:val="1"/>
          <w:numId w:val="25"/>
        </w:numPr>
        <w:ind w:left="709" w:hanging="709"/>
      </w:pPr>
      <w:r w:rsidRPr="00D37D79">
        <w:t>As subsecretarias da SEJUS envolvidas diretamente com a execução do Programa manterão suas atribuições conforme definidas na legislação estadual e na normativa interna da SEJUS. Para que possam absorver as atividades adicionais trazidas pelo Programa, tais subsecretarias poderão ter suas equipes fortalecidas. Estes profissionais poderão ser servidores públicos, destinados exclusivamente para estas funções, ou consultores de longo prazo contratados pela SEJUS ou com recursos do financiamento.</w:t>
      </w:r>
    </w:p>
    <w:p w14:paraId="7E2DBFAC" w14:textId="55D2837B" w:rsidR="00417BFA" w:rsidRPr="00075064" w:rsidRDefault="00417BFA" w:rsidP="00C7795F">
      <w:pPr>
        <w:pStyle w:val="ListParagraph"/>
        <w:numPr>
          <w:ilvl w:val="1"/>
          <w:numId w:val="25"/>
        </w:numPr>
        <w:ind w:left="709" w:hanging="709"/>
        <w:rPr>
          <w:b/>
          <w:bCs/>
        </w:rPr>
      </w:pPr>
      <w:r w:rsidRPr="00075064">
        <w:rPr>
          <w:b/>
          <w:bCs/>
        </w:rPr>
        <w:t>Gerência Financeira (GEFIN)</w:t>
      </w:r>
      <w:r w:rsidR="0071011D" w:rsidRPr="00075064">
        <w:rPr>
          <w:b/>
          <w:bCs/>
        </w:rPr>
        <w:t xml:space="preserve">. </w:t>
      </w:r>
      <w:r w:rsidRPr="00D37D79">
        <w:t xml:space="preserve">A Gerência </w:t>
      </w:r>
      <w:r w:rsidRPr="00075064">
        <w:rPr>
          <w:color w:val="000000"/>
        </w:rPr>
        <w:t>Financeira</w:t>
      </w:r>
      <w:r w:rsidRPr="00D37D79">
        <w:t xml:space="preserve"> (GEFIN) da SEJUS deverá dar apoio e trabalhar junto com a UGP nas questões </w:t>
      </w:r>
      <w:proofErr w:type="gramStart"/>
      <w:r w:rsidRPr="00D37D79">
        <w:t>relativas  a</w:t>
      </w:r>
      <w:proofErr w:type="gramEnd"/>
      <w:r w:rsidRPr="00D37D79">
        <w:t xml:space="preserve"> finanças dentro do Programa, zelando pela correta aplicação das normas e procedimentos do BID, do Órgão Executor e do Mutuário.</w:t>
      </w:r>
    </w:p>
    <w:p w14:paraId="132D2FA6" w14:textId="167E3020" w:rsidR="00417BFA" w:rsidRPr="000B6C37" w:rsidRDefault="00417BFA" w:rsidP="00C7795F">
      <w:pPr>
        <w:pStyle w:val="ListParagraph"/>
        <w:numPr>
          <w:ilvl w:val="1"/>
          <w:numId w:val="25"/>
        </w:numPr>
        <w:ind w:left="709" w:hanging="709"/>
      </w:pPr>
      <w:r w:rsidRPr="00075064">
        <w:rPr>
          <w:b/>
          <w:bCs/>
        </w:rPr>
        <w:t>Comissão</w:t>
      </w:r>
      <w:r w:rsidRPr="000B6C37">
        <w:t xml:space="preserve"> </w:t>
      </w:r>
      <w:r w:rsidRPr="00075064">
        <w:rPr>
          <w:b/>
          <w:bCs/>
        </w:rPr>
        <w:t>de Licitações para Obras</w:t>
      </w:r>
      <w:r w:rsidR="0071011D" w:rsidRPr="00075064">
        <w:rPr>
          <w:b/>
          <w:bCs/>
        </w:rPr>
        <w:t>.</w:t>
      </w:r>
      <w:r w:rsidR="0071011D" w:rsidRPr="000B6C37">
        <w:t xml:space="preserve"> </w:t>
      </w:r>
      <w:proofErr w:type="gramStart"/>
      <w:r w:rsidRPr="00D37D79">
        <w:t>Será  formada</w:t>
      </w:r>
      <w:proofErr w:type="gramEnd"/>
      <w:r w:rsidRPr="00D37D79">
        <w:t xml:space="preserve"> uma Comissão de Licitações (CL) na SEJUS responsável por realizar todas as licitações para a contratação de obras civis previstas no Programa e demais obras da Secretaria.</w:t>
      </w:r>
      <w:r w:rsidR="00476B84">
        <w:t xml:space="preserve"> A CL articulará as ações necessárias com a Gerenciadora de Obras responsável pela gestão dos processos de contratação de obras.</w:t>
      </w:r>
    </w:p>
    <w:p w14:paraId="15210194" w14:textId="46A7752F" w:rsidR="00417BFA" w:rsidRPr="000B6C37" w:rsidRDefault="00417BFA" w:rsidP="00C7795F">
      <w:pPr>
        <w:pStyle w:val="ListParagraph"/>
        <w:numPr>
          <w:ilvl w:val="1"/>
          <w:numId w:val="25"/>
        </w:numPr>
        <w:ind w:left="709" w:hanging="709"/>
      </w:pPr>
      <w:r w:rsidRPr="00075064">
        <w:rPr>
          <w:b/>
          <w:bCs/>
        </w:rPr>
        <w:t>Assessoria Técnica</w:t>
      </w:r>
      <w:r w:rsidR="0071011D" w:rsidRPr="00075064">
        <w:rPr>
          <w:b/>
          <w:bCs/>
        </w:rPr>
        <w:t>.</w:t>
      </w:r>
      <w:r w:rsidR="0071011D" w:rsidRPr="000B6C37">
        <w:t xml:space="preserve"> </w:t>
      </w:r>
      <w:r w:rsidRPr="00D37D79">
        <w:t xml:space="preserve">A Assessoria Técnica (AST) da SEJUS, com apoio da Coordenação de Aquisições da UGP, será responsável pela validação e acompanhamento e revisão final dos termos de referência, editais, contratos e demais instrumentos licitatórios e jurídicos do </w:t>
      </w:r>
      <w:r w:rsidR="008878A1">
        <w:t>p</w:t>
      </w:r>
      <w:r w:rsidRPr="00D37D79">
        <w:t xml:space="preserve">rograma, para assegurar o cumprimento da legislação aplicável e do Contrato de Empréstimo </w:t>
      </w:r>
      <w:r w:rsidR="006A2354" w:rsidRPr="00D37D79">
        <w:t>____</w:t>
      </w:r>
      <w:r w:rsidRPr="00D37D79">
        <w:t>/OC-BR (Programa BR-L1526). Ademais, caberá à Assessoria Técnica emitir pareceres prévios à celebração dos ajustes referentes ao Projeto, por parte do Órgão Executor, bem como auxiliar a UGP em quaisquer atividades que requeiram conhecimentos jurídicos. Acompanhamento da PGE.</w:t>
      </w:r>
    </w:p>
    <w:p w14:paraId="412F9DB4" w14:textId="2F6FE72A" w:rsidR="00C64D21" w:rsidRPr="000B6C37" w:rsidRDefault="00417BFA" w:rsidP="00CF1958">
      <w:pPr>
        <w:pStyle w:val="Heading2"/>
        <w:rPr>
          <w:rFonts w:eastAsia="Arial"/>
        </w:rPr>
      </w:pPr>
      <w:bookmarkStart w:id="42" w:name="_heading=h.2s8eyo1" w:colFirst="0" w:colLast="0"/>
      <w:bookmarkEnd w:id="42"/>
      <w:r w:rsidRPr="000B6C37">
        <w:rPr>
          <w:rFonts w:eastAsia="Arial"/>
        </w:rPr>
        <w:t xml:space="preserve"> </w:t>
      </w:r>
      <w:bookmarkStart w:id="43" w:name="_Toc43470433"/>
      <w:bookmarkStart w:id="44" w:name="_Toc45546118"/>
      <w:bookmarkStart w:id="45" w:name="_Toc43719319"/>
      <w:r w:rsidR="00026FD3" w:rsidRPr="000B6C37">
        <w:rPr>
          <w:rFonts w:eastAsia="Arial"/>
        </w:rPr>
        <w:t xml:space="preserve">Perfis e </w:t>
      </w:r>
      <w:r w:rsidR="00026FD3" w:rsidRPr="000B6C37">
        <w:t>atribuições</w:t>
      </w:r>
      <w:r w:rsidR="00026FD3" w:rsidRPr="000B6C37">
        <w:rPr>
          <w:rFonts w:eastAsia="Arial"/>
        </w:rPr>
        <w:t xml:space="preserve"> dos profissionais da UGP</w:t>
      </w:r>
      <w:bookmarkEnd w:id="43"/>
      <w:bookmarkEnd w:id="44"/>
      <w:bookmarkEnd w:id="45"/>
    </w:p>
    <w:p w14:paraId="0EFFC650" w14:textId="77777777" w:rsidR="003A25D3" w:rsidRPr="00D37D79" w:rsidRDefault="00417BFA" w:rsidP="00C7795F">
      <w:pPr>
        <w:pStyle w:val="ListParagraph"/>
        <w:numPr>
          <w:ilvl w:val="1"/>
          <w:numId w:val="25"/>
        </w:numPr>
        <w:ind w:left="709" w:hanging="709"/>
      </w:pPr>
      <w:r w:rsidRPr="00D37D79">
        <w:t>Todos os membros da UGP desempenharão suas atividades em tempo integral no âmbito da SEJUS. A estrutura organizacional da UGP encontra-se na Figura 2.</w:t>
      </w:r>
    </w:p>
    <w:p w14:paraId="48E18D6A" w14:textId="77777777" w:rsidR="008878A1" w:rsidRDefault="008878A1" w:rsidP="003A25D3">
      <w:pPr>
        <w:ind w:left="567"/>
        <w:jc w:val="center"/>
        <w:rPr>
          <w:rFonts w:eastAsia="Arial"/>
          <w:b/>
          <w:bCs/>
        </w:rPr>
      </w:pPr>
    </w:p>
    <w:p w14:paraId="2BBCB0D2" w14:textId="77777777" w:rsidR="008878A1" w:rsidRDefault="008878A1" w:rsidP="003A25D3">
      <w:pPr>
        <w:ind w:left="567"/>
        <w:jc w:val="center"/>
        <w:rPr>
          <w:rFonts w:eastAsia="Arial"/>
          <w:b/>
          <w:bCs/>
        </w:rPr>
      </w:pPr>
    </w:p>
    <w:p w14:paraId="02DB2443" w14:textId="77777777" w:rsidR="008878A1" w:rsidRDefault="008878A1" w:rsidP="003A25D3">
      <w:pPr>
        <w:ind w:left="567"/>
        <w:jc w:val="center"/>
        <w:rPr>
          <w:rFonts w:eastAsia="Arial"/>
          <w:b/>
          <w:bCs/>
        </w:rPr>
      </w:pPr>
    </w:p>
    <w:p w14:paraId="330F5F67" w14:textId="77777777" w:rsidR="008878A1" w:rsidRDefault="008878A1" w:rsidP="003A25D3">
      <w:pPr>
        <w:ind w:left="567"/>
        <w:jc w:val="center"/>
        <w:rPr>
          <w:rFonts w:eastAsia="Arial"/>
          <w:b/>
          <w:bCs/>
        </w:rPr>
      </w:pPr>
    </w:p>
    <w:p w14:paraId="78F61B3E" w14:textId="77777777" w:rsidR="008878A1" w:rsidRDefault="008878A1" w:rsidP="003A25D3">
      <w:pPr>
        <w:ind w:left="567"/>
        <w:jc w:val="center"/>
        <w:rPr>
          <w:rFonts w:eastAsia="Arial"/>
          <w:b/>
          <w:bCs/>
        </w:rPr>
      </w:pPr>
    </w:p>
    <w:p w14:paraId="1264BAF1" w14:textId="77777777" w:rsidR="008878A1" w:rsidRDefault="008878A1" w:rsidP="003A25D3">
      <w:pPr>
        <w:ind w:left="567"/>
        <w:jc w:val="center"/>
        <w:rPr>
          <w:rFonts w:eastAsia="Arial"/>
          <w:b/>
          <w:bCs/>
        </w:rPr>
      </w:pPr>
    </w:p>
    <w:p w14:paraId="4D9707F7" w14:textId="77777777" w:rsidR="008878A1" w:rsidRDefault="008878A1" w:rsidP="003A25D3">
      <w:pPr>
        <w:ind w:left="567"/>
        <w:jc w:val="center"/>
        <w:rPr>
          <w:rFonts w:eastAsia="Arial"/>
          <w:b/>
          <w:bCs/>
        </w:rPr>
      </w:pPr>
    </w:p>
    <w:p w14:paraId="0B0C3557" w14:textId="77777777" w:rsidR="008878A1" w:rsidRDefault="008878A1" w:rsidP="003A25D3">
      <w:pPr>
        <w:ind w:left="567"/>
        <w:jc w:val="center"/>
        <w:rPr>
          <w:rFonts w:eastAsia="Arial"/>
          <w:b/>
          <w:bCs/>
        </w:rPr>
      </w:pPr>
    </w:p>
    <w:p w14:paraId="7FDAE10C" w14:textId="77777777" w:rsidR="008878A1" w:rsidRDefault="008878A1" w:rsidP="003A25D3">
      <w:pPr>
        <w:ind w:left="567"/>
        <w:jc w:val="center"/>
        <w:rPr>
          <w:rFonts w:eastAsia="Arial"/>
          <w:b/>
          <w:bCs/>
        </w:rPr>
      </w:pPr>
    </w:p>
    <w:p w14:paraId="668C03C8" w14:textId="5EC005BA" w:rsidR="008878A1" w:rsidRDefault="008878A1" w:rsidP="003A25D3">
      <w:pPr>
        <w:ind w:left="567"/>
        <w:jc w:val="center"/>
        <w:rPr>
          <w:rFonts w:eastAsia="Arial"/>
          <w:b/>
          <w:bCs/>
        </w:rPr>
      </w:pPr>
    </w:p>
    <w:p w14:paraId="07A88E4F" w14:textId="68682917" w:rsidR="001649AB" w:rsidRDefault="001649AB" w:rsidP="003A25D3">
      <w:pPr>
        <w:ind w:left="567"/>
        <w:jc w:val="center"/>
        <w:rPr>
          <w:rFonts w:eastAsia="Arial"/>
          <w:b/>
          <w:bCs/>
        </w:rPr>
      </w:pPr>
    </w:p>
    <w:p w14:paraId="7EFD40A0" w14:textId="77777777" w:rsidR="001649AB" w:rsidRDefault="001649AB" w:rsidP="003A25D3">
      <w:pPr>
        <w:ind w:left="567"/>
        <w:jc w:val="center"/>
        <w:rPr>
          <w:rFonts w:eastAsia="Arial"/>
          <w:b/>
          <w:bCs/>
        </w:rPr>
      </w:pPr>
    </w:p>
    <w:p w14:paraId="1E6722A4" w14:textId="77CF4B63" w:rsidR="003A25D3" w:rsidRPr="000B6C37" w:rsidRDefault="00417BFA" w:rsidP="003A25D3">
      <w:pPr>
        <w:ind w:left="567"/>
        <w:jc w:val="center"/>
        <w:rPr>
          <w:rFonts w:eastAsia="Arial"/>
          <w:b/>
          <w:bCs/>
        </w:rPr>
      </w:pPr>
      <w:r w:rsidRPr="000B6C37">
        <w:rPr>
          <w:rFonts w:eastAsia="Arial"/>
          <w:b/>
          <w:bCs/>
        </w:rPr>
        <w:lastRenderedPageBreak/>
        <w:t>Figura 2</w:t>
      </w:r>
      <w:r w:rsidR="001E04C7" w:rsidRPr="000B6C37">
        <w:rPr>
          <w:rFonts w:eastAsia="Arial"/>
          <w:b/>
          <w:bCs/>
        </w:rPr>
        <w:t xml:space="preserve">. </w:t>
      </w:r>
      <w:r w:rsidRPr="000B6C37">
        <w:rPr>
          <w:rFonts w:eastAsia="Arial"/>
          <w:b/>
          <w:bCs/>
        </w:rPr>
        <w:t>Organograma UGP</w:t>
      </w:r>
    </w:p>
    <w:p w14:paraId="04E38FED" w14:textId="5FC1870F" w:rsidR="00417BFA" w:rsidRPr="000B6C37" w:rsidRDefault="003A25D3" w:rsidP="003A25D3">
      <w:pPr>
        <w:ind w:left="567"/>
        <w:jc w:val="center"/>
        <w:rPr>
          <w:rFonts w:eastAsia="Arial"/>
        </w:rPr>
      </w:pPr>
      <w:r w:rsidRPr="0012513F">
        <w:rPr>
          <w:rFonts w:eastAsia="Arial"/>
          <w:noProof/>
        </w:rPr>
        <w:drawing>
          <wp:inline distT="114300" distB="114300" distL="114300" distR="114300" wp14:anchorId="452412A4" wp14:editId="15396E18">
            <wp:extent cx="2527300" cy="2660650"/>
            <wp:effectExtent l="0" t="0" r="6350" b="6350"/>
            <wp:docPr id="5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5"/>
                    <a:srcRect l="55330" t="13534" r="10220" b="16308"/>
                    <a:stretch>
                      <a:fillRect/>
                    </a:stretch>
                  </pic:blipFill>
                  <pic:spPr>
                    <a:xfrm>
                      <a:off x="0" y="0"/>
                      <a:ext cx="2527607" cy="2660973"/>
                    </a:xfrm>
                    <a:prstGeom prst="rect">
                      <a:avLst/>
                    </a:prstGeom>
                    <a:ln/>
                  </pic:spPr>
                </pic:pic>
              </a:graphicData>
            </a:graphic>
          </wp:inline>
        </w:drawing>
      </w:r>
    </w:p>
    <w:p w14:paraId="779B447F" w14:textId="77777777" w:rsidR="001E04C7" w:rsidRPr="000B6C37" w:rsidRDefault="001E04C7" w:rsidP="00C7795F">
      <w:pPr>
        <w:ind w:left="720"/>
      </w:pPr>
    </w:p>
    <w:p w14:paraId="6BD9D43F" w14:textId="3D9A4CDF" w:rsidR="00417BFA" w:rsidRPr="000B6C37" w:rsidRDefault="00417BFA" w:rsidP="00C7795F">
      <w:pPr>
        <w:pStyle w:val="ListParagraph"/>
        <w:numPr>
          <w:ilvl w:val="1"/>
          <w:numId w:val="25"/>
        </w:numPr>
        <w:ind w:left="709" w:hanging="709"/>
      </w:pPr>
      <w:r w:rsidRPr="00075064">
        <w:rPr>
          <w:b/>
          <w:bCs/>
        </w:rPr>
        <w:t>Coordenador Geral do Programa</w:t>
      </w:r>
      <w:r w:rsidR="001E04C7" w:rsidRPr="00075064">
        <w:rPr>
          <w:b/>
          <w:bCs/>
        </w:rPr>
        <w:t>.</w:t>
      </w:r>
      <w:r w:rsidR="001E04C7" w:rsidRPr="000B6C37">
        <w:t xml:space="preserve"> </w:t>
      </w:r>
      <w:r w:rsidRPr="00D37D79">
        <w:t xml:space="preserve">O Coordenador Geral do Programa é um integrante de quadro de pessoal efetivo do serviço público do estado e/ou ocupante de cargo comissionado, ou contratado exclusivamente para esse fim. </w:t>
      </w:r>
    </w:p>
    <w:p w14:paraId="1EB07744" w14:textId="77777777" w:rsidR="00417BFA" w:rsidRPr="00D37D79" w:rsidRDefault="00417BFA" w:rsidP="00C7795F">
      <w:pPr>
        <w:pStyle w:val="ListParagraph"/>
        <w:numPr>
          <w:ilvl w:val="1"/>
          <w:numId w:val="25"/>
        </w:numPr>
        <w:ind w:left="709" w:hanging="709"/>
      </w:pPr>
      <w:r w:rsidRPr="00D37D79">
        <w:t>Como titular da UGP, com dependência direta do Secretário de Justiça, será o principal interlocutor com o Banco, com a função primordial de coordenar e supervisionar a execução de todas as atividades previstas no Projeto, e do cumprimento dos compromissos contratuais com o Banco.</w:t>
      </w:r>
    </w:p>
    <w:p w14:paraId="72DC2146" w14:textId="77777777" w:rsidR="00417BFA" w:rsidRPr="00D37D79" w:rsidRDefault="00417BFA" w:rsidP="00C7795F">
      <w:pPr>
        <w:pStyle w:val="ListParagraph"/>
        <w:numPr>
          <w:ilvl w:val="1"/>
          <w:numId w:val="25"/>
        </w:numPr>
        <w:ind w:left="709" w:hanging="709"/>
      </w:pPr>
      <w:r w:rsidRPr="00D37D79">
        <w:t>Suas atribuições incluem, dentre outras:</w:t>
      </w:r>
    </w:p>
    <w:p w14:paraId="01F575C4" w14:textId="386583D7" w:rsidR="00417BFA" w:rsidRPr="000B6C37" w:rsidRDefault="00417BFA" w:rsidP="00C7795F">
      <w:pPr>
        <w:pStyle w:val="ListParagraph"/>
        <w:numPr>
          <w:ilvl w:val="0"/>
          <w:numId w:val="12"/>
        </w:numPr>
        <w:ind w:left="1134" w:hanging="425"/>
      </w:pPr>
      <w:r w:rsidRPr="000B6C37">
        <w:t xml:space="preserve">Planejar, coordenar e supervisionar o trabalho de toda a equipe da UGP e/ou da </w:t>
      </w:r>
      <w:r w:rsidR="00476B84">
        <w:t>gerenciadora</w:t>
      </w:r>
      <w:r w:rsidRPr="000B6C37">
        <w:t xml:space="preserve"> contratada pela SEJUS, bem como coordenar o trabalho relativo ao Programa das áreas internas da SEJUS envolvidas com a sua execução;</w:t>
      </w:r>
    </w:p>
    <w:p w14:paraId="40B39314" w14:textId="77777777" w:rsidR="00417BFA" w:rsidRPr="000B6C37" w:rsidRDefault="00417BFA" w:rsidP="00C7795F">
      <w:pPr>
        <w:pStyle w:val="ListParagraph"/>
        <w:numPr>
          <w:ilvl w:val="0"/>
          <w:numId w:val="12"/>
        </w:numPr>
        <w:ind w:left="1134" w:hanging="425"/>
      </w:pPr>
      <w:r w:rsidRPr="000B6C37">
        <w:t>Gerenciar a implantação das atividades previstas no Programa e seus documentos de planejamento, articulando as áreas internas da UGP com a estrutura de linha do Órgão Executor e buscando sinergias com demais órgãos municipais e estaduais envolvidos;</w:t>
      </w:r>
    </w:p>
    <w:p w14:paraId="441E4CEB" w14:textId="77777777" w:rsidR="00417BFA" w:rsidRPr="000B6C37" w:rsidRDefault="00417BFA" w:rsidP="00C7795F">
      <w:pPr>
        <w:pStyle w:val="ListParagraph"/>
        <w:numPr>
          <w:ilvl w:val="0"/>
          <w:numId w:val="12"/>
        </w:numPr>
        <w:ind w:left="1134" w:hanging="425"/>
      </w:pPr>
      <w:r w:rsidRPr="000B6C37">
        <w:t>Subscrever e enviar ao Banco, com apoio do Coordenador Técnico e demais membros da UGP, os relatórios técnicos, orçamentários e financeiros do Programa, bem como o Plano de Aquisições (PA), o Plano Operativo Anual (POA) e as atualizações do Relatório de Monitoramento de Progresso (PMR, na sigla em inglês);</w:t>
      </w:r>
    </w:p>
    <w:p w14:paraId="5979BE5E" w14:textId="77777777" w:rsidR="00417BFA" w:rsidRPr="000B6C37" w:rsidRDefault="00417BFA" w:rsidP="00C7795F">
      <w:pPr>
        <w:pStyle w:val="ListParagraph"/>
        <w:numPr>
          <w:ilvl w:val="0"/>
          <w:numId w:val="12"/>
        </w:numPr>
        <w:ind w:left="1134" w:hanging="425"/>
      </w:pPr>
      <w:r w:rsidRPr="000B6C37">
        <w:t>Representar o Programa perante o BID e os demais órgãos municipais, estaduais e federais, envolvidos direta ou indiretamente com a execução;</w:t>
      </w:r>
    </w:p>
    <w:p w14:paraId="2E8904AD" w14:textId="77777777" w:rsidR="00417BFA" w:rsidRPr="000B6C37" w:rsidRDefault="00417BFA" w:rsidP="00C7795F">
      <w:pPr>
        <w:pStyle w:val="ListParagraph"/>
        <w:numPr>
          <w:ilvl w:val="0"/>
          <w:numId w:val="12"/>
        </w:numPr>
        <w:ind w:left="1134" w:hanging="425"/>
      </w:pPr>
      <w:r w:rsidRPr="000B6C37">
        <w:t>Assegurar o oportuno cumprimento do Contrato de Empréstimo celebrado entre o Mutuário e o BID;</w:t>
      </w:r>
    </w:p>
    <w:p w14:paraId="5985233C" w14:textId="77777777" w:rsidR="00417BFA" w:rsidRPr="000B6C37" w:rsidRDefault="00417BFA" w:rsidP="00C7795F">
      <w:pPr>
        <w:pStyle w:val="ListParagraph"/>
        <w:numPr>
          <w:ilvl w:val="0"/>
          <w:numId w:val="12"/>
        </w:numPr>
        <w:ind w:left="1134" w:hanging="425"/>
      </w:pPr>
      <w:r w:rsidRPr="000B6C37">
        <w:t>Reportar regularmente ao Secretário de Estado da Justiça e demais Órgãos Públicos sobre o andamento do Programa, inclusive enviando à CML os editais e demais documentos pertinentes para a realização dos certames licitatórios ou de seleção previstos no Programa;</w:t>
      </w:r>
    </w:p>
    <w:p w14:paraId="63A58C16" w14:textId="77777777" w:rsidR="00417BFA" w:rsidRPr="000B6C37" w:rsidRDefault="00417BFA" w:rsidP="00C7795F">
      <w:pPr>
        <w:pStyle w:val="ListParagraph"/>
        <w:numPr>
          <w:ilvl w:val="0"/>
          <w:numId w:val="12"/>
        </w:numPr>
        <w:ind w:left="1134" w:hanging="425"/>
      </w:pPr>
      <w:r w:rsidRPr="000B6C37">
        <w:t xml:space="preserve">Supervisionar a elaboração dos termos de referência e especificações técnicas preparados pelas equipes técnicas e administrativas da UGP, com vistas à </w:t>
      </w:r>
      <w:r w:rsidRPr="000B6C37">
        <w:lastRenderedPageBreak/>
        <w:t>seleção dos serviços de consultoria, bem como à aquisição de bens e contratação de obras previstos no Projeto e formalizar os processos de contratação correspondentes, com o suporte da equipe;</w:t>
      </w:r>
    </w:p>
    <w:p w14:paraId="60FC1948" w14:textId="77777777" w:rsidR="00417BFA" w:rsidRPr="000B6C37" w:rsidRDefault="00417BFA" w:rsidP="00C7795F">
      <w:pPr>
        <w:pStyle w:val="ListParagraph"/>
        <w:numPr>
          <w:ilvl w:val="0"/>
          <w:numId w:val="12"/>
        </w:numPr>
        <w:ind w:left="1134" w:hanging="425"/>
      </w:pPr>
      <w:r w:rsidRPr="000B6C37">
        <w:t>Encaminhar ao BID eventuais solicitações de modificações contratuais apresentadas pelo Mutuário com a não-objeção do Fiador;</w:t>
      </w:r>
    </w:p>
    <w:p w14:paraId="4262D192" w14:textId="77777777" w:rsidR="00417BFA" w:rsidRPr="000B6C37" w:rsidRDefault="00417BFA" w:rsidP="00C7795F">
      <w:pPr>
        <w:pStyle w:val="ListParagraph"/>
        <w:numPr>
          <w:ilvl w:val="0"/>
          <w:numId w:val="12"/>
        </w:numPr>
        <w:ind w:left="1134" w:hanging="425"/>
      </w:pPr>
      <w:r w:rsidRPr="000B6C37">
        <w:t>Solicitar ao Banco o desembolso dos recursos do Financiamento;</w:t>
      </w:r>
    </w:p>
    <w:p w14:paraId="640EB5E3" w14:textId="77777777" w:rsidR="00417BFA" w:rsidRPr="000B6C37" w:rsidRDefault="00417BFA" w:rsidP="00C7795F">
      <w:pPr>
        <w:pStyle w:val="ListParagraph"/>
        <w:numPr>
          <w:ilvl w:val="0"/>
          <w:numId w:val="12"/>
        </w:numPr>
        <w:ind w:left="1134" w:hanging="425"/>
      </w:pPr>
      <w:r w:rsidRPr="000B6C37">
        <w:t>Coordenar, da parte do Mutuário, as missões e visitas de inspeção do Banco ao Projeto, nelas representando-o.</w:t>
      </w:r>
    </w:p>
    <w:p w14:paraId="10CFE0EA" w14:textId="5D0C8465" w:rsidR="00417BFA" w:rsidRPr="00D37D79" w:rsidRDefault="00A22E5F" w:rsidP="00C7795F">
      <w:pPr>
        <w:pStyle w:val="ListParagraph"/>
        <w:numPr>
          <w:ilvl w:val="1"/>
          <w:numId w:val="25"/>
        </w:numPr>
        <w:ind w:left="709" w:hanging="709"/>
      </w:pPr>
      <w:bookmarkStart w:id="46" w:name="_heading=h.amf09k4rw9i7" w:colFirst="0" w:colLast="0"/>
      <w:bookmarkEnd w:id="46"/>
      <w:r>
        <w:rPr>
          <w:b/>
          <w:bCs/>
        </w:rPr>
        <w:t>Especialista Administrativo-</w:t>
      </w:r>
      <w:r w:rsidR="00417BFA" w:rsidRPr="00075064">
        <w:rPr>
          <w:b/>
          <w:bCs/>
        </w:rPr>
        <w:t>Financeir</w:t>
      </w:r>
      <w:r>
        <w:rPr>
          <w:b/>
          <w:bCs/>
        </w:rPr>
        <w:t>o</w:t>
      </w:r>
      <w:r w:rsidR="001E04C7" w:rsidRPr="00075064">
        <w:rPr>
          <w:b/>
          <w:bCs/>
        </w:rPr>
        <w:t xml:space="preserve">. </w:t>
      </w:r>
      <w:r w:rsidR="00417BFA" w:rsidRPr="00D37D79">
        <w:t xml:space="preserve">A Coordenação Financeira da UGP será a responsável por elaborar e executar as atividades financeiras, orçamentárias e contábeis, com apoio da Gerência </w:t>
      </w:r>
      <w:r w:rsidR="00417BFA" w:rsidRPr="00075064">
        <w:rPr>
          <w:color w:val="000000"/>
        </w:rPr>
        <w:t>Financeira</w:t>
      </w:r>
      <w:r w:rsidR="00417BFA" w:rsidRPr="00D37D79">
        <w:t xml:space="preserve"> (GEFIN) da SEJUS, zelando pela correta aplicação das normas e procedimentos do BID, do Órgão Executor e do Mutuário.</w:t>
      </w:r>
    </w:p>
    <w:p w14:paraId="11F43665" w14:textId="77777777" w:rsidR="00417BFA" w:rsidRPr="00D37D79" w:rsidRDefault="00417BFA" w:rsidP="00C7795F">
      <w:pPr>
        <w:pStyle w:val="ListParagraph"/>
        <w:numPr>
          <w:ilvl w:val="1"/>
          <w:numId w:val="25"/>
        </w:numPr>
        <w:ind w:left="709" w:hanging="709"/>
      </w:pPr>
      <w:r w:rsidRPr="00D37D79">
        <w:t xml:space="preserve">A Coordenação Financeira será auxiliada por pelo menos dois assistentes </w:t>
      </w:r>
      <w:r w:rsidRPr="00075064">
        <w:rPr>
          <w:color w:val="000000"/>
        </w:rPr>
        <w:t>administrativos</w:t>
      </w:r>
      <w:r w:rsidRPr="00D37D79">
        <w:t xml:space="preserve"> para apoiá-lo nas atividades de instrução e guarda de processos administrativos, gestão de contratos e realização de registros contábeis do Projeto e relatórios financeiros.</w:t>
      </w:r>
    </w:p>
    <w:p w14:paraId="60D77BCF" w14:textId="77777777" w:rsidR="00417BFA" w:rsidRPr="00D37D79" w:rsidRDefault="00417BFA" w:rsidP="00C7795F">
      <w:pPr>
        <w:pStyle w:val="ListParagraph"/>
        <w:numPr>
          <w:ilvl w:val="1"/>
          <w:numId w:val="25"/>
        </w:numPr>
        <w:ind w:left="709" w:hanging="709"/>
      </w:pPr>
      <w:r w:rsidRPr="00D37D79">
        <w:t xml:space="preserve">Suas </w:t>
      </w:r>
      <w:r w:rsidRPr="00075064">
        <w:rPr>
          <w:color w:val="000000"/>
        </w:rPr>
        <w:t>principais</w:t>
      </w:r>
      <w:r w:rsidRPr="00D37D79">
        <w:t xml:space="preserve"> atribuições são: </w:t>
      </w:r>
    </w:p>
    <w:p w14:paraId="45B59A1A" w14:textId="77777777" w:rsidR="00417BFA" w:rsidRPr="000B6C37" w:rsidRDefault="00417BFA" w:rsidP="00C7795F">
      <w:pPr>
        <w:pStyle w:val="ListParagraph"/>
        <w:numPr>
          <w:ilvl w:val="0"/>
          <w:numId w:val="13"/>
        </w:numPr>
        <w:ind w:left="1134" w:hanging="425"/>
      </w:pPr>
      <w:r w:rsidRPr="000B6C37">
        <w:t>Realizar juntamente com a GEFIN a gestão orçamentário-financeira do Programa, desde a elaboração do orçamento, até a prestação de contas dos recursos desembolsados;</w:t>
      </w:r>
    </w:p>
    <w:p w14:paraId="62E5B27B" w14:textId="77777777" w:rsidR="00417BFA" w:rsidRPr="000B6C37" w:rsidRDefault="00417BFA" w:rsidP="00C7795F">
      <w:pPr>
        <w:pStyle w:val="ListParagraph"/>
        <w:numPr>
          <w:ilvl w:val="0"/>
          <w:numId w:val="13"/>
        </w:numPr>
        <w:ind w:left="1134" w:hanging="425"/>
      </w:pPr>
      <w:r w:rsidRPr="000B6C37">
        <w:t>Elaborar juntamente com a GEFIN o orçamento anual e plurianual do Programa, indicando a adequada previsão orçamentária para custear o plano de ações;</w:t>
      </w:r>
    </w:p>
    <w:p w14:paraId="20FD0D20" w14:textId="77777777" w:rsidR="00417BFA" w:rsidRPr="000B6C37" w:rsidRDefault="00417BFA" w:rsidP="00C7795F">
      <w:pPr>
        <w:pStyle w:val="ListParagraph"/>
        <w:numPr>
          <w:ilvl w:val="0"/>
          <w:numId w:val="13"/>
        </w:numPr>
        <w:ind w:left="1134" w:hanging="425"/>
      </w:pPr>
      <w:r w:rsidRPr="000B6C37">
        <w:t>Executar juntamente com a GEFIN as conciliações bancárias de todas as contas do Programa;</w:t>
      </w:r>
    </w:p>
    <w:p w14:paraId="26ED4271" w14:textId="77777777" w:rsidR="00417BFA" w:rsidRPr="000B6C37" w:rsidRDefault="00417BFA" w:rsidP="00C7795F">
      <w:pPr>
        <w:pStyle w:val="ListParagraph"/>
        <w:numPr>
          <w:ilvl w:val="0"/>
          <w:numId w:val="13"/>
        </w:numPr>
        <w:ind w:left="1134" w:hanging="425"/>
      </w:pPr>
      <w:r w:rsidRPr="000B6C37">
        <w:t>Efetuar o registro de contratos e convênios nos sistemas informatizados do Estado do Espírito Santo;</w:t>
      </w:r>
    </w:p>
    <w:p w14:paraId="771ABD44" w14:textId="77777777" w:rsidR="00417BFA" w:rsidRPr="000B6C37" w:rsidRDefault="00417BFA" w:rsidP="00C7795F">
      <w:pPr>
        <w:pStyle w:val="ListParagraph"/>
        <w:numPr>
          <w:ilvl w:val="0"/>
          <w:numId w:val="13"/>
        </w:numPr>
        <w:ind w:left="1134" w:hanging="425"/>
      </w:pPr>
      <w:r w:rsidRPr="000B6C37">
        <w:t>Supervisionar a emissão de notas de empenho;</w:t>
      </w:r>
    </w:p>
    <w:p w14:paraId="57DBE033" w14:textId="77777777" w:rsidR="00417BFA" w:rsidRPr="000B6C37" w:rsidRDefault="00417BFA" w:rsidP="00C7795F">
      <w:pPr>
        <w:pStyle w:val="ListParagraph"/>
        <w:numPr>
          <w:ilvl w:val="0"/>
          <w:numId w:val="13"/>
        </w:numPr>
        <w:ind w:left="1134" w:hanging="425"/>
      </w:pPr>
      <w:r w:rsidRPr="000B6C37">
        <w:t>Efetivar a liquidação de despesas, observando a fiel retenção de impostos federais, estaduais e municipais.</w:t>
      </w:r>
    </w:p>
    <w:p w14:paraId="2934E02B" w14:textId="77777777" w:rsidR="00417BFA" w:rsidRPr="000B6C37" w:rsidRDefault="00417BFA" w:rsidP="00C7795F">
      <w:pPr>
        <w:pStyle w:val="ListParagraph"/>
        <w:numPr>
          <w:ilvl w:val="0"/>
          <w:numId w:val="13"/>
        </w:numPr>
        <w:ind w:left="1134" w:hanging="425"/>
      </w:pPr>
      <w:r w:rsidRPr="000B6C37">
        <w:t>Realizar, a gestão orçamentário-financeira do Projeto, desde a elaboração do orçamento, quitação, e finalizando com a prestação de contas dos recursos desembolsados pelo Projeto;</w:t>
      </w:r>
    </w:p>
    <w:p w14:paraId="6C888AB7" w14:textId="77777777" w:rsidR="00417BFA" w:rsidRPr="000B6C37" w:rsidRDefault="00417BFA" w:rsidP="00C7795F">
      <w:pPr>
        <w:pStyle w:val="ListParagraph"/>
        <w:numPr>
          <w:ilvl w:val="0"/>
          <w:numId w:val="13"/>
        </w:numPr>
        <w:ind w:left="1134" w:hanging="425"/>
      </w:pPr>
      <w:r w:rsidRPr="000B6C37">
        <w:t xml:space="preserve">Preparar os relatórios de recomposição do fundo rotativo e/ou as solicitações de desembolsos e submetê-los ao Coordenador </w:t>
      </w:r>
      <w:proofErr w:type="gramStart"/>
      <w:r w:rsidRPr="000B6C37">
        <w:t>Geral  para</w:t>
      </w:r>
      <w:proofErr w:type="gramEnd"/>
      <w:r w:rsidRPr="000B6C37">
        <w:t xml:space="preserve"> encaminhamento ao BID;</w:t>
      </w:r>
    </w:p>
    <w:p w14:paraId="4D3E780E" w14:textId="77777777" w:rsidR="00417BFA" w:rsidRPr="000B6C37" w:rsidRDefault="00417BFA" w:rsidP="00C7795F">
      <w:pPr>
        <w:pStyle w:val="ListParagraph"/>
        <w:numPr>
          <w:ilvl w:val="0"/>
          <w:numId w:val="13"/>
        </w:numPr>
        <w:ind w:left="1134" w:hanging="425"/>
      </w:pPr>
      <w:r w:rsidRPr="000B6C37">
        <w:t>Alimentar sistemas informatizados, com o objetivo de obter dados gerenciais consolidados na forma de relatórios, preparação de prestação de contas financeiras, orçamentárias e demais documentos;</w:t>
      </w:r>
    </w:p>
    <w:p w14:paraId="70908860" w14:textId="77777777" w:rsidR="00417BFA" w:rsidRPr="000B6C37" w:rsidRDefault="00417BFA" w:rsidP="00C7795F">
      <w:pPr>
        <w:pStyle w:val="ListParagraph"/>
        <w:numPr>
          <w:ilvl w:val="0"/>
          <w:numId w:val="13"/>
        </w:numPr>
        <w:ind w:left="1134" w:hanging="425"/>
      </w:pPr>
      <w:r w:rsidRPr="000B6C37">
        <w:t>Efetuar o registro de contratos e convênios nos sistemas informatizados do Estado de ES;</w:t>
      </w:r>
    </w:p>
    <w:p w14:paraId="73CCBC2A" w14:textId="77777777" w:rsidR="00417BFA" w:rsidRPr="000B6C37" w:rsidRDefault="00417BFA" w:rsidP="00C7795F">
      <w:pPr>
        <w:pStyle w:val="ListParagraph"/>
        <w:numPr>
          <w:ilvl w:val="0"/>
          <w:numId w:val="13"/>
        </w:numPr>
        <w:ind w:left="1134" w:hanging="425"/>
      </w:pPr>
      <w:r w:rsidRPr="000B6C37">
        <w:t>Articular ações e fazer interface com as áreas técnicas do Projeto e com o Banco Interamericano de Desenvolvimento, no que diz respeito ao acompanhamento financeiro do Projeto;</w:t>
      </w:r>
    </w:p>
    <w:p w14:paraId="105B89AD" w14:textId="77777777" w:rsidR="00417BFA" w:rsidRPr="000B6C37" w:rsidRDefault="00417BFA" w:rsidP="00C7795F">
      <w:pPr>
        <w:pStyle w:val="ListParagraph"/>
        <w:numPr>
          <w:ilvl w:val="0"/>
          <w:numId w:val="13"/>
        </w:numPr>
        <w:ind w:left="1134" w:hanging="425"/>
      </w:pPr>
      <w:r w:rsidRPr="000B6C37">
        <w:t xml:space="preserve">Manter os arquivos financeiros para fins de análise do Banco e de auditoria anual e prestar as informações necessárias à Auditoria Externa, acompanhando sua </w:t>
      </w:r>
      <w:r w:rsidRPr="000B6C37">
        <w:lastRenderedPageBreak/>
        <w:t xml:space="preserve">realização e favorecendo a obtenção de informações junto às várias áreas da UGP e da SEJUS; </w:t>
      </w:r>
    </w:p>
    <w:p w14:paraId="22BD7369" w14:textId="77777777" w:rsidR="00417BFA" w:rsidRPr="000B6C37" w:rsidRDefault="00417BFA" w:rsidP="00C7795F">
      <w:pPr>
        <w:pStyle w:val="ListParagraph"/>
        <w:numPr>
          <w:ilvl w:val="0"/>
          <w:numId w:val="13"/>
        </w:numPr>
        <w:ind w:left="1134" w:hanging="425"/>
      </w:pPr>
      <w:r w:rsidRPr="000B6C37">
        <w:t>Implantar normas e sistemas de controle de documentos e arquivos dos documentos do Projeto.</w:t>
      </w:r>
    </w:p>
    <w:p w14:paraId="59015A82" w14:textId="77B9D3DF" w:rsidR="00417BFA" w:rsidRPr="000B6C37" w:rsidRDefault="00417BFA" w:rsidP="00C7795F">
      <w:pPr>
        <w:pStyle w:val="ListParagraph"/>
        <w:numPr>
          <w:ilvl w:val="0"/>
          <w:numId w:val="13"/>
        </w:numPr>
        <w:ind w:left="1134" w:hanging="425"/>
      </w:pPr>
      <w:r w:rsidRPr="000B6C37">
        <w:t xml:space="preserve">Coordenar as ações de monitoramento da execução financeira de cada uma das ações programadas, como parte do sistema de monitoramento e avaliação do </w:t>
      </w:r>
      <w:r w:rsidR="008878A1">
        <w:t>p</w:t>
      </w:r>
      <w:r w:rsidRPr="000B6C37">
        <w:t>rojeto.</w:t>
      </w:r>
    </w:p>
    <w:p w14:paraId="4E7CF457" w14:textId="44400343" w:rsidR="00417BFA" w:rsidRPr="000B6C37" w:rsidRDefault="00A22E5F" w:rsidP="00C7795F">
      <w:pPr>
        <w:pStyle w:val="ListParagraph"/>
        <w:numPr>
          <w:ilvl w:val="1"/>
          <w:numId w:val="25"/>
        </w:numPr>
        <w:ind w:left="709" w:hanging="709"/>
      </w:pPr>
      <w:r>
        <w:rPr>
          <w:b/>
          <w:bCs/>
        </w:rPr>
        <w:t xml:space="preserve">Especialista em </w:t>
      </w:r>
      <w:r w:rsidR="00417BFA" w:rsidRPr="00075064">
        <w:rPr>
          <w:b/>
          <w:bCs/>
        </w:rPr>
        <w:t>Aquisições</w:t>
      </w:r>
      <w:r w:rsidR="001A09BE" w:rsidRPr="00075064">
        <w:rPr>
          <w:b/>
          <w:bCs/>
        </w:rPr>
        <w:t>.</w:t>
      </w:r>
      <w:r w:rsidR="001A09BE" w:rsidRPr="000B6C37">
        <w:t xml:space="preserve"> </w:t>
      </w:r>
      <w:r w:rsidR="00417BFA" w:rsidRPr="00D37D79">
        <w:t>O Coordenador de Aquisições do Programa é um integrante de quadro de pessoal efetivo do serviço público municipal e/ou ocupante de cargo comissionado, ou contratado exclusivamente para esse fim. Conhecimento sobre as políticas de aquisições do BID será exigido.</w:t>
      </w:r>
    </w:p>
    <w:p w14:paraId="2AB695D5" w14:textId="6FE99268" w:rsidR="00417BFA" w:rsidRPr="00D37D79" w:rsidRDefault="00417BFA" w:rsidP="00C7795F">
      <w:pPr>
        <w:pStyle w:val="ListParagraph"/>
        <w:numPr>
          <w:ilvl w:val="1"/>
          <w:numId w:val="25"/>
        </w:numPr>
        <w:ind w:left="709" w:hanging="709"/>
      </w:pPr>
      <w:r w:rsidRPr="00D37D79">
        <w:t xml:space="preserve">Será o responsável pelas ações de aquisição de bens e serviços, além da seleção e contratação de consultorias do </w:t>
      </w:r>
      <w:r w:rsidR="008878A1">
        <w:t>p</w:t>
      </w:r>
      <w:r w:rsidRPr="00D37D79">
        <w:t xml:space="preserve">rograma. apoio ao Coordenador Geral para coordenar e supervisionar a execução de todas as atividades previstas no </w:t>
      </w:r>
      <w:r w:rsidR="008878A1">
        <w:t>p</w:t>
      </w:r>
      <w:r w:rsidRPr="00D37D79">
        <w:t xml:space="preserve">rojeto. </w:t>
      </w:r>
    </w:p>
    <w:p w14:paraId="399ED942" w14:textId="6C739FD0" w:rsidR="00417BFA" w:rsidRPr="00D37D79" w:rsidRDefault="00417BFA" w:rsidP="00C7795F">
      <w:pPr>
        <w:pStyle w:val="ListParagraph"/>
        <w:numPr>
          <w:ilvl w:val="1"/>
          <w:numId w:val="25"/>
        </w:numPr>
        <w:ind w:left="709" w:hanging="709"/>
      </w:pPr>
      <w:r w:rsidRPr="00D37D79">
        <w:t xml:space="preserve">Será auxiliado por um </w:t>
      </w:r>
      <w:proofErr w:type="gramStart"/>
      <w:r w:rsidRPr="00D37D79">
        <w:t>o mais assistentes administrativos</w:t>
      </w:r>
      <w:proofErr w:type="gramEnd"/>
      <w:r w:rsidRPr="00D37D79">
        <w:t xml:space="preserve">, comporá obrigatoriamente a equipe da Comissão de Licitações e colaborará com a Assessoria Técnica e a PGE em todos os certames do </w:t>
      </w:r>
      <w:r w:rsidR="008878A1">
        <w:t>p</w:t>
      </w:r>
      <w:r w:rsidRPr="00D37D79">
        <w:t>rojeto. Toda a equipe da Comissão deverá receber treinamento nas políticas e procedimentos de aquisições e contratações do Banco.</w:t>
      </w:r>
    </w:p>
    <w:p w14:paraId="1E017A64" w14:textId="77777777" w:rsidR="00417BFA" w:rsidRPr="00D37D79" w:rsidRDefault="00417BFA" w:rsidP="00C7795F">
      <w:pPr>
        <w:pStyle w:val="ListParagraph"/>
        <w:numPr>
          <w:ilvl w:val="1"/>
          <w:numId w:val="25"/>
        </w:numPr>
        <w:ind w:left="709" w:hanging="709"/>
      </w:pPr>
      <w:r w:rsidRPr="00D37D79">
        <w:t>Suas atribuições incluem, dentre outras:</w:t>
      </w:r>
    </w:p>
    <w:p w14:paraId="39C117C2" w14:textId="77777777" w:rsidR="00417BFA" w:rsidRPr="000B6C37" w:rsidRDefault="00417BFA" w:rsidP="00C7795F">
      <w:pPr>
        <w:pStyle w:val="ListParagraph"/>
        <w:numPr>
          <w:ilvl w:val="0"/>
          <w:numId w:val="14"/>
        </w:numPr>
        <w:ind w:left="1134" w:hanging="425"/>
      </w:pPr>
      <w:r w:rsidRPr="000B6C37">
        <w:t>Elaborar, em conjunto com as gerências da SEJUS, os termos de referência para a contratação de bens, serviços e consultorias de cada componente, cabendo-lhes consolidar e submeter esses documentos à apreciação final do Coordenador Geral;</w:t>
      </w:r>
    </w:p>
    <w:p w14:paraId="3FB9479E" w14:textId="77777777" w:rsidR="00417BFA" w:rsidRPr="000B6C37" w:rsidRDefault="00417BFA" w:rsidP="00C7795F">
      <w:pPr>
        <w:pStyle w:val="ListParagraph"/>
        <w:numPr>
          <w:ilvl w:val="0"/>
          <w:numId w:val="14"/>
        </w:numPr>
        <w:ind w:left="1134" w:hanging="425"/>
      </w:pPr>
      <w:r w:rsidRPr="000B6C37">
        <w:t>Elaborar as seções relativas a seus componentes dos Relatórios Semestrais de Progresso a serem submetidos ao Banco;</w:t>
      </w:r>
    </w:p>
    <w:p w14:paraId="41FD3F95" w14:textId="77777777" w:rsidR="00417BFA" w:rsidRPr="000B6C37" w:rsidRDefault="00417BFA" w:rsidP="00C7795F">
      <w:pPr>
        <w:pStyle w:val="ListParagraph"/>
        <w:numPr>
          <w:ilvl w:val="0"/>
          <w:numId w:val="14"/>
        </w:numPr>
        <w:ind w:left="1134" w:hanging="425"/>
      </w:pPr>
      <w:r w:rsidRPr="000B6C37">
        <w:t>Coordenar os contratos firmados com empresas e/ou instituições contratadas para realizar atividades no âmbito de cada componente;</w:t>
      </w:r>
    </w:p>
    <w:p w14:paraId="2B7D0009" w14:textId="77777777" w:rsidR="00417BFA" w:rsidRPr="000B6C37" w:rsidRDefault="00417BFA" w:rsidP="00C7795F">
      <w:pPr>
        <w:pStyle w:val="ListParagraph"/>
        <w:numPr>
          <w:ilvl w:val="0"/>
          <w:numId w:val="14"/>
        </w:numPr>
        <w:ind w:left="1134" w:hanging="425"/>
      </w:pPr>
      <w:r w:rsidRPr="000B6C37">
        <w:t>Analisar e atestar os produtos das prestadoras de serviços e consultoria contratadas no âmbito de seus componentes e submetê-los ao Coordenador Geral para envio ao setor responsável pelos pagamentos;</w:t>
      </w:r>
    </w:p>
    <w:p w14:paraId="757728FE" w14:textId="77777777" w:rsidR="00417BFA" w:rsidRPr="000B6C37" w:rsidRDefault="00417BFA" w:rsidP="00C7795F">
      <w:pPr>
        <w:pStyle w:val="ListParagraph"/>
        <w:numPr>
          <w:ilvl w:val="0"/>
          <w:numId w:val="14"/>
        </w:numPr>
        <w:ind w:left="1134" w:hanging="425"/>
      </w:pPr>
      <w:r w:rsidRPr="000B6C37">
        <w:t>Elaborar, em conjunto com os Assessores Administrativos, os Planos de Aquisições, o Plano Operativo Anual e as atualizações regulares do PMR, para envio ao BID;</w:t>
      </w:r>
    </w:p>
    <w:p w14:paraId="776C7C4D" w14:textId="56EAFF66" w:rsidR="00417BFA" w:rsidRPr="000B6C37" w:rsidRDefault="00417BFA" w:rsidP="00C7795F">
      <w:pPr>
        <w:pStyle w:val="ListParagraph"/>
        <w:numPr>
          <w:ilvl w:val="0"/>
          <w:numId w:val="14"/>
        </w:numPr>
        <w:ind w:left="1134" w:hanging="425"/>
      </w:pPr>
      <w:r w:rsidRPr="000B6C37">
        <w:t xml:space="preserve">Coordenar e alimentar o sistema de gestão de projetos do </w:t>
      </w:r>
      <w:r w:rsidR="00476B84">
        <w:t>p</w:t>
      </w:r>
      <w:r w:rsidRPr="000B6C37">
        <w:t>rograma com informações sobre a execução física de seus componentes, incluindo comentários analíticos e lições aprendidas durante a execução do Projeto;</w:t>
      </w:r>
    </w:p>
    <w:p w14:paraId="17E982B2" w14:textId="27AF6168" w:rsidR="00417BFA" w:rsidRDefault="00417BFA" w:rsidP="00C7795F">
      <w:pPr>
        <w:pStyle w:val="ListParagraph"/>
        <w:numPr>
          <w:ilvl w:val="0"/>
          <w:numId w:val="14"/>
        </w:numPr>
        <w:ind w:left="1134" w:hanging="425"/>
      </w:pPr>
      <w:r w:rsidRPr="000B6C37">
        <w:t xml:space="preserve">Revisar todos os documentos relativos a processos licitatórios e de seleção, bem como preparará pareceres sobre alterações neste Regulamento e elaborar as minutas de quaisquer normativas relacionadas à execução de atividades do </w:t>
      </w:r>
      <w:r w:rsidR="008878A1">
        <w:t>p</w:t>
      </w:r>
      <w:r w:rsidRPr="000B6C37">
        <w:t>rojeto;</w:t>
      </w:r>
    </w:p>
    <w:p w14:paraId="000CA10E" w14:textId="6D677D29" w:rsidR="00476B84" w:rsidRPr="000B6C37" w:rsidRDefault="00476B84" w:rsidP="00476B84">
      <w:pPr>
        <w:pStyle w:val="ListParagraph"/>
        <w:numPr>
          <w:ilvl w:val="0"/>
          <w:numId w:val="14"/>
        </w:numPr>
        <w:ind w:left="1134" w:hanging="425"/>
      </w:pPr>
      <w:r>
        <w:t>Supervisar a atuação da Gerenciadora de Obras;</w:t>
      </w:r>
    </w:p>
    <w:p w14:paraId="7447AFB7" w14:textId="228E6D75" w:rsidR="00417BFA" w:rsidRPr="000B6C37" w:rsidRDefault="00417BFA" w:rsidP="00C7795F">
      <w:pPr>
        <w:pStyle w:val="ListParagraph"/>
        <w:numPr>
          <w:ilvl w:val="0"/>
          <w:numId w:val="14"/>
        </w:numPr>
        <w:ind w:left="1134" w:hanging="425"/>
      </w:pPr>
      <w:r w:rsidRPr="000B6C37">
        <w:t xml:space="preserve">Preparar pareceres prévios sobre todas as aquisições do </w:t>
      </w:r>
      <w:r w:rsidR="00476B84">
        <w:t>p</w:t>
      </w:r>
      <w:r w:rsidRPr="000B6C37">
        <w:t xml:space="preserve">rojeto com o intuito de fornecer insumos que permitam facilitar e agilizar a análise e aprovação das matérias de interesse da UGP na Assessoria Técnica da SEJUS; </w:t>
      </w:r>
    </w:p>
    <w:p w14:paraId="7D2D0380" w14:textId="77777777" w:rsidR="00417BFA" w:rsidRPr="000B6C37" w:rsidRDefault="00417BFA" w:rsidP="00C7795F">
      <w:pPr>
        <w:pStyle w:val="ListParagraph"/>
        <w:numPr>
          <w:ilvl w:val="0"/>
          <w:numId w:val="14"/>
        </w:numPr>
        <w:ind w:left="1134" w:hanging="425"/>
      </w:pPr>
      <w:r w:rsidRPr="000B6C37">
        <w:t>Elaborar relatórios gerenciais e desenvolver outras atividades relativas aos componentes;</w:t>
      </w:r>
    </w:p>
    <w:p w14:paraId="42EC47CD" w14:textId="2DADD3AC" w:rsidR="00417BFA" w:rsidRPr="000B6C37" w:rsidRDefault="00417BFA" w:rsidP="00C7795F">
      <w:pPr>
        <w:pStyle w:val="ListParagraph"/>
        <w:numPr>
          <w:ilvl w:val="0"/>
          <w:numId w:val="14"/>
        </w:numPr>
        <w:ind w:left="1134" w:hanging="425"/>
      </w:pPr>
      <w:r w:rsidRPr="000B6C37">
        <w:lastRenderedPageBreak/>
        <w:t xml:space="preserve">Fornecer, à equipe da UGP, as devidas instruções normativas e procedimentais relativas ao registro contábil e à prestação de contas dos recursos do </w:t>
      </w:r>
      <w:r w:rsidR="008878A1">
        <w:t>p</w:t>
      </w:r>
      <w:r w:rsidRPr="000B6C37">
        <w:t>rojeto;</w:t>
      </w:r>
    </w:p>
    <w:p w14:paraId="37FDA92D" w14:textId="1A7CDE5E" w:rsidR="00417BFA" w:rsidRPr="00D37D79" w:rsidRDefault="00417BFA">
      <w:pPr>
        <w:pStyle w:val="ListParagraph"/>
        <w:numPr>
          <w:ilvl w:val="1"/>
          <w:numId w:val="25"/>
        </w:numPr>
        <w:ind w:left="709" w:hanging="709"/>
      </w:pPr>
      <w:bookmarkStart w:id="47" w:name="_heading=h.t4s0uc3i8gqe" w:colFirst="0" w:colLast="0"/>
      <w:bookmarkEnd w:id="47"/>
      <w:r w:rsidRPr="0040454A">
        <w:rPr>
          <w:b/>
          <w:bCs/>
        </w:rPr>
        <w:t>Pontos Focais de Apoio à Gestão</w:t>
      </w:r>
      <w:r w:rsidR="000861BD" w:rsidRPr="000861BD">
        <w:rPr>
          <w:b/>
          <w:bCs/>
        </w:rPr>
        <w:t xml:space="preserve">. </w:t>
      </w:r>
      <w:r w:rsidRPr="00D37D79">
        <w:t xml:space="preserve">Serão quatro consultores contratados exclusivamente para esse fim. O requisito principal para a contratação, que se dará de forma direta, será a experiência prévia na fase de Planejamento do Programa. </w:t>
      </w:r>
    </w:p>
    <w:p w14:paraId="194FFE77" w14:textId="77777777" w:rsidR="00417BFA" w:rsidRPr="00D37D79" w:rsidRDefault="00417BFA" w:rsidP="00C7795F">
      <w:pPr>
        <w:pStyle w:val="ListParagraph"/>
        <w:numPr>
          <w:ilvl w:val="1"/>
          <w:numId w:val="25"/>
        </w:numPr>
        <w:ind w:left="709" w:hanging="709"/>
      </w:pPr>
      <w:r w:rsidRPr="00D37D79">
        <w:t>Serão responsáveis, dentre outras atividades, por:</w:t>
      </w:r>
    </w:p>
    <w:p w14:paraId="2CE1D560" w14:textId="7957B9DB" w:rsidR="00417BFA" w:rsidRPr="000B6C37" w:rsidRDefault="00417BFA" w:rsidP="00C7795F">
      <w:pPr>
        <w:pStyle w:val="ListParagraph"/>
        <w:numPr>
          <w:ilvl w:val="0"/>
          <w:numId w:val="15"/>
        </w:numPr>
        <w:ind w:left="1134" w:hanging="425"/>
      </w:pPr>
      <w:r w:rsidRPr="000B6C37">
        <w:t xml:space="preserve">Articular-se com as gerências da SEJUS envolvidas com o Projeto para preparar e coordenar a execução </w:t>
      </w:r>
      <w:proofErr w:type="gramStart"/>
      <w:r w:rsidRPr="000B6C37">
        <w:t>do componentes</w:t>
      </w:r>
      <w:proofErr w:type="gramEnd"/>
      <w:r w:rsidRPr="000B6C37">
        <w:t xml:space="preserve"> do projeto, incluindo o monitoramento e avaliação do </w:t>
      </w:r>
      <w:r w:rsidR="008878A1">
        <w:t>p</w:t>
      </w:r>
      <w:r w:rsidRPr="000B6C37">
        <w:t>rograma;</w:t>
      </w:r>
    </w:p>
    <w:p w14:paraId="6EC39BEA" w14:textId="77777777" w:rsidR="00417BFA" w:rsidRPr="000B6C37" w:rsidRDefault="00417BFA" w:rsidP="00C7795F">
      <w:pPr>
        <w:pStyle w:val="ListParagraph"/>
        <w:numPr>
          <w:ilvl w:val="0"/>
          <w:numId w:val="15"/>
        </w:numPr>
        <w:ind w:left="1134" w:hanging="425"/>
      </w:pPr>
      <w:r w:rsidRPr="000B6C37">
        <w:t>Subsidiar ao Coordenador Geral na elaboração das seções relativas a seus componentes dos Relatórios Semestrais de Progresso a serem submetidos ao Banco;</w:t>
      </w:r>
    </w:p>
    <w:p w14:paraId="61414A41" w14:textId="77777777" w:rsidR="00417BFA" w:rsidRPr="000B6C37" w:rsidRDefault="00417BFA" w:rsidP="00C7795F">
      <w:pPr>
        <w:pStyle w:val="ListParagraph"/>
        <w:numPr>
          <w:ilvl w:val="0"/>
          <w:numId w:val="15"/>
        </w:numPr>
        <w:ind w:left="1134" w:hanging="425"/>
      </w:pPr>
      <w:r w:rsidRPr="000B6C37">
        <w:t>Acompanhar os produtos das prestadoras de serviços e consultoria contratadas no âmbito de seu componente e submeter análise ao Coordenador Geral;</w:t>
      </w:r>
    </w:p>
    <w:p w14:paraId="20CA8F55" w14:textId="77777777" w:rsidR="00417BFA" w:rsidRPr="000B6C37" w:rsidRDefault="00417BFA" w:rsidP="00C7795F">
      <w:pPr>
        <w:pStyle w:val="ListParagraph"/>
        <w:numPr>
          <w:ilvl w:val="0"/>
          <w:numId w:val="15"/>
        </w:numPr>
        <w:ind w:left="1134" w:hanging="425"/>
      </w:pPr>
      <w:r w:rsidRPr="000B6C37">
        <w:t>Apoiar os Coordenadores Financeiro e de Aquisições na elaboração dos Planos de Aquisições, o Plano Operativo Anual e as atualizações regulares do PMR, para envio ao BID;</w:t>
      </w:r>
    </w:p>
    <w:p w14:paraId="15E9830D" w14:textId="77777777" w:rsidR="00417BFA" w:rsidRPr="000B6C37" w:rsidRDefault="00417BFA" w:rsidP="00C7795F">
      <w:pPr>
        <w:pStyle w:val="ListParagraph"/>
        <w:numPr>
          <w:ilvl w:val="0"/>
          <w:numId w:val="15"/>
        </w:numPr>
        <w:ind w:left="1134" w:hanging="425"/>
      </w:pPr>
      <w:r w:rsidRPr="000B6C37">
        <w:t>Fornecer informações para alimentar o sistema de gestão de projetos do Programa com informações sobre a execução física de seu componente, incluindo comentários analíticos e lições aprendidas durante a execução do Projeto;</w:t>
      </w:r>
    </w:p>
    <w:p w14:paraId="3A555507" w14:textId="77777777" w:rsidR="00417BFA" w:rsidRPr="000B6C37" w:rsidRDefault="00417BFA" w:rsidP="00C7795F">
      <w:pPr>
        <w:pStyle w:val="ListParagraph"/>
        <w:numPr>
          <w:ilvl w:val="0"/>
          <w:numId w:val="15"/>
        </w:numPr>
        <w:ind w:left="1134" w:hanging="425"/>
      </w:pPr>
      <w:r w:rsidRPr="000B6C37">
        <w:t>Elaborar relatórios gerenciais e desenvolver outras atividades relativas aos componentes.</w:t>
      </w:r>
    </w:p>
    <w:p w14:paraId="3474CA26" w14:textId="0D789F47" w:rsidR="00417BFA" w:rsidRPr="000B6C37" w:rsidRDefault="00417BFA" w:rsidP="00C7795F">
      <w:pPr>
        <w:pStyle w:val="ListParagraph"/>
        <w:numPr>
          <w:ilvl w:val="1"/>
          <w:numId w:val="25"/>
        </w:numPr>
        <w:ind w:left="709" w:hanging="709"/>
      </w:pPr>
      <w:bookmarkStart w:id="48" w:name="_heading=h.kin80es8efet" w:colFirst="0" w:colLast="0"/>
      <w:bookmarkEnd w:id="48"/>
      <w:r w:rsidRPr="00075064">
        <w:rPr>
          <w:b/>
          <w:bCs/>
        </w:rPr>
        <w:t>Assistentes Administrativos</w:t>
      </w:r>
      <w:r w:rsidR="00856499" w:rsidRPr="00075064">
        <w:rPr>
          <w:b/>
          <w:bCs/>
        </w:rPr>
        <w:t>.</w:t>
      </w:r>
      <w:r w:rsidR="00856499" w:rsidRPr="000B6C37">
        <w:t xml:space="preserve"> </w:t>
      </w:r>
      <w:r w:rsidRPr="00D37D79">
        <w:t xml:space="preserve">São integrantes de quadro de pessoal efetivo do serviço público municipal e/ou ocupante de cargo comissionado, ou contratado exclusivamente para esse fim. </w:t>
      </w:r>
    </w:p>
    <w:p w14:paraId="5CE0D874" w14:textId="58CE72A3" w:rsidR="0050241D" w:rsidRPr="000B6C37" w:rsidRDefault="00417BFA" w:rsidP="00C7795F">
      <w:pPr>
        <w:pStyle w:val="ListParagraph"/>
        <w:numPr>
          <w:ilvl w:val="1"/>
          <w:numId w:val="25"/>
        </w:numPr>
        <w:ind w:left="709" w:hanging="709"/>
      </w:pPr>
      <w:r w:rsidRPr="00D37D79">
        <w:t xml:space="preserve">Serão responsáveis por apoiar os Coordenadores na execução de todas as atividades administrativas previstas no </w:t>
      </w:r>
      <w:r w:rsidR="008878A1">
        <w:t>p</w:t>
      </w:r>
      <w:r w:rsidRPr="00D37D79">
        <w:t>rograma.</w:t>
      </w:r>
      <w:r w:rsidR="00212A1D" w:rsidRPr="00D37D79">
        <w:t xml:space="preserve"> </w:t>
      </w:r>
    </w:p>
    <w:p w14:paraId="13E921C3" w14:textId="65F6959B" w:rsidR="006E7C2A" w:rsidRPr="000B6C37" w:rsidRDefault="006E7C2A">
      <w:pPr>
        <w:pStyle w:val="Heading1"/>
      </w:pPr>
      <w:bookmarkStart w:id="49" w:name="_Toc19790782"/>
      <w:bookmarkStart w:id="50" w:name="_Toc43470434"/>
      <w:bookmarkStart w:id="51" w:name="_Toc45546119"/>
      <w:bookmarkStart w:id="52" w:name="_Toc43719320"/>
      <w:r w:rsidRPr="000B6C37">
        <w:t xml:space="preserve">RECURSOS </w:t>
      </w:r>
      <w:r w:rsidR="001752AE" w:rsidRPr="000B6C37">
        <w:t xml:space="preserve">E </w:t>
      </w:r>
      <w:r w:rsidRPr="000B6C37">
        <w:t>DESEMBOLSOS</w:t>
      </w:r>
      <w:r w:rsidR="001752AE" w:rsidRPr="000B6C37">
        <w:t xml:space="preserve"> DO PROJETO</w:t>
      </w:r>
      <w:bookmarkEnd w:id="49"/>
      <w:bookmarkEnd w:id="50"/>
      <w:bookmarkEnd w:id="51"/>
      <w:bookmarkEnd w:id="52"/>
    </w:p>
    <w:p w14:paraId="410F035E" w14:textId="71E9C1F2" w:rsidR="003D43BD" w:rsidRPr="000B6C37" w:rsidRDefault="00920F7F" w:rsidP="00CF1958">
      <w:pPr>
        <w:pStyle w:val="Heading2"/>
      </w:pPr>
      <w:bookmarkStart w:id="53" w:name="_Toc43470435"/>
      <w:bookmarkStart w:id="54" w:name="_Toc45546120"/>
      <w:bookmarkStart w:id="55" w:name="_Toc43719321"/>
      <w:r w:rsidRPr="000B6C37">
        <w:t>Orçamento</w:t>
      </w:r>
      <w:bookmarkEnd w:id="53"/>
      <w:bookmarkEnd w:id="54"/>
      <w:bookmarkEnd w:id="55"/>
    </w:p>
    <w:p w14:paraId="1352FC9D" w14:textId="5D051318" w:rsidR="006E7C2A" w:rsidRPr="000B6C37" w:rsidRDefault="008879BA" w:rsidP="00C7795F">
      <w:pPr>
        <w:pStyle w:val="ListParagraph"/>
        <w:numPr>
          <w:ilvl w:val="1"/>
          <w:numId w:val="26"/>
        </w:numPr>
        <w:ind w:left="709" w:hanging="709"/>
      </w:pPr>
      <w:r w:rsidRPr="000B6C37">
        <w:t xml:space="preserve">O </w:t>
      </w:r>
      <w:r w:rsidRPr="00D37D79">
        <w:t>orçamento</w:t>
      </w:r>
      <w:r w:rsidRPr="000B6C37">
        <w:t xml:space="preserve"> total do Projeto é de U</w:t>
      </w:r>
      <w:r w:rsidR="009E6D9A" w:rsidRPr="000B6C37">
        <w:t>S</w:t>
      </w:r>
      <w:r w:rsidRPr="000B6C37">
        <w:t>$</w:t>
      </w:r>
      <w:r w:rsidR="0067092E" w:rsidRPr="000B6C37">
        <w:t>102</w:t>
      </w:r>
      <w:r w:rsidR="007A619A" w:rsidRPr="000B6C37">
        <w:t>.911</w:t>
      </w:r>
      <w:r w:rsidR="00D0034E" w:rsidRPr="000B6C37">
        <w:t>.500,0</w:t>
      </w:r>
      <w:r w:rsidR="00045543" w:rsidRPr="000B6C37">
        <w:t>0 (cento e dois milhões, novecentos e onze mil</w:t>
      </w:r>
      <w:r w:rsidR="00C27CF0" w:rsidRPr="000B6C37">
        <w:t xml:space="preserve"> </w:t>
      </w:r>
      <w:r w:rsidR="00045543" w:rsidRPr="000B6C37">
        <w:t>e quinhentos</w:t>
      </w:r>
      <w:r w:rsidR="00DA39F0" w:rsidRPr="000B6C37">
        <w:t xml:space="preserve"> </w:t>
      </w:r>
      <w:r w:rsidRPr="000B6C37">
        <w:t xml:space="preserve">dólares estadunidenses), sendo tais recursos </w:t>
      </w:r>
      <w:r w:rsidR="006E7C2A" w:rsidRPr="000B6C37">
        <w:t>oriundos das seguintes fontes:</w:t>
      </w:r>
    </w:p>
    <w:p w14:paraId="4EF94027" w14:textId="5475B10E" w:rsidR="008879BA" w:rsidRPr="000B6C37" w:rsidRDefault="008879BA" w:rsidP="00C7795F">
      <w:pPr>
        <w:pStyle w:val="ListParagraph"/>
        <w:numPr>
          <w:ilvl w:val="1"/>
          <w:numId w:val="26"/>
        </w:numPr>
        <w:ind w:left="709" w:hanging="709"/>
      </w:pPr>
      <w:r w:rsidRPr="00075064">
        <w:rPr>
          <w:b/>
        </w:rPr>
        <w:t>Financiamento</w:t>
      </w:r>
      <w:r w:rsidR="00D850F0" w:rsidRPr="00075064">
        <w:rPr>
          <w:b/>
        </w:rPr>
        <w:t>.</w:t>
      </w:r>
      <w:r w:rsidRPr="00075064">
        <w:rPr>
          <w:b/>
        </w:rPr>
        <w:t xml:space="preserve"> </w:t>
      </w:r>
      <w:r w:rsidR="00D850F0" w:rsidRPr="000B6C37">
        <w:t>R</w:t>
      </w:r>
      <w:r w:rsidR="006E7C2A" w:rsidRPr="000B6C37">
        <w:t xml:space="preserve">ecursos do Capital Ordinário do Banco Interamericano de </w:t>
      </w:r>
      <w:proofErr w:type="gramStart"/>
      <w:r w:rsidR="006E7C2A" w:rsidRPr="000B6C37">
        <w:t>Desenvolvimento</w:t>
      </w:r>
      <w:r w:rsidR="0092701F" w:rsidRPr="000B6C37">
        <w:t xml:space="preserve">, </w:t>
      </w:r>
      <w:r w:rsidR="006E7C2A" w:rsidRPr="000B6C37">
        <w:t xml:space="preserve"> em</w:t>
      </w:r>
      <w:proofErr w:type="gramEnd"/>
      <w:r w:rsidR="006E7C2A" w:rsidRPr="000B6C37">
        <w:t xml:space="preserve"> </w:t>
      </w:r>
      <w:r w:rsidR="006E7C2A" w:rsidRPr="00D37D79">
        <w:t>montante</w:t>
      </w:r>
      <w:r w:rsidR="006E7C2A" w:rsidRPr="000B6C37">
        <w:t xml:space="preserve"> total de U</w:t>
      </w:r>
      <w:r w:rsidR="00461757" w:rsidRPr="000B6C37">
        <w:t>S</w:t>
      </w:r>
      <w:r w:rsidR="006E7C2A" w:rsidRPr="000B6C37">
        <w:t>$</w:t>
      </w:r>
      <w:r w:rsidR="00461757" w:rsidRPr="000B6C37">
        <w:t>82.329</w:t>
      </w:r>
      <w:r w:rsidR="00F110B5" w:rsidRPr="000B6C37">
        <w:t>.200</w:t>
      </w:r>
      <w:r w:rsidR="006E7C2A" w:rsidRPr="000B6C37">
        <w:t xml:space="preserve"> (</w:t>
      </w:r>
      <w:r w:rsidR="00F110B5" w:rsidRPr="000B6C37">
        <w:t>oitenta e dois milhões, trezentos e vinte e nove mil</w:t>
      </w:r>
      <w:r w:rsidR="00C27CF0" w:rsidRPr="000B6C37">
        <w:t xml:space="preserve"> </w:t>
      </w:r>
      <w:r w:rsidR="00F110B5" w:rsidRPr="000B6C37">
        <w:t>e duzentos</w:t>
      </w:r>
      <w:r w:rsidR="00C27CF0" w:rsidRPr="000B6C37">
        <w:t xml:space="preserve"> dólares estadunidenses</w:t>
      </w:r>
      <w:r w:rsidR="006E7C2A" w:rsidRPr="000B6C37">
        <w:t>).</w:t>
      </w:r>
    </w:p>
    <w:p w14:paraId="000B67D0" w14:textId="0173D9C3" w:rsidR="007A5255" w:rsidRPr="000B6C37" w:rsidRDefault="008879BA" w:rsidP="00C7795F">
      <w:pPr>
        <w:pStyle w:val="ListParagraph"/>
        <w:numPr>
          <w:ilvl w:val="1"/>
          <w:numId w:val="26"/>
        </w:numPr>
        <w:ind w:left="709" w:hanging="709"/>
      </w:pPr>
      <w:r w:rsidRPr="00075064">
        <w:rPr>
          <w:b/>
        </w:rPr>
        <w:t>Contrapartida Local</w:t>
      </w:r>
      <w:r w:rsidR="00D850F0" w:rsidRPr="00075064">
        <w:rPr>
          <w:b/>
        </w:rPr>
        <w:t>.</w:t>
      </w:r>
      <w:r w:rsidRPr="00075064">
        <w:rPr>
          <w:b/>
        </w:rPr>
        <w:t xml:space="preserve"> </w:t>
      </w:r>
      <w:r w:rsidR="00D850F0" w:rsidRPr="000B6C37">
        <w:t>R</w:t>
      </w:r>
      <w:r w:rsidR="006E7C2A" w:rsidRPr="000B6C37">
        <w:t xml:space="preserve">ecursos do Orçamento </w:t>
      </w:r>
      <w:r w:rsidR="009A70D8" w:rsidRPr="000B6C37">
        <w:t>Estadual</w:t>
      </w:r>
      <w:r w:rsidR="0092701F" w:rsidRPr="000B6C37">
        <w:t>,</w:t>
      </w:r>
      <w:r w:rsidR="006E7C2A" w:rsidRPr="000B6C37">
        <w:t xml:space="preserve"> </w:t>
      </w:r>
      <w:r w:rsidR="003173CF" w:rsidRPr="000B6C37">
        <w:t>num valor total de US$</w:t>
      </w:r>
      <w:r w:rsidR="00B54C68" w:rsidRPr="000B6C37">
        <w:t>20.</w:t>
      </w:r>
      <w:r w:rsidR="005F5F71" w:rsidRPr="000B6C37">
        <w:t>582</w:t>
      </w:r>
      <w:r w:rsidR="00C27CF0" w:rsidRPr="000B6C37">
        <w:t xml:space="preserve">.300 </w:t>
      </w:r>
      <w:r w:rsidR="003173CF" w:rsidRPr="000B6C37">
        <w:t>(</w:t>
      </w:r>
      <w:r w:rsidR="00C27CF0" w:rsidRPr="000B6C37">
        <w:t>vinte milhões, quinhentos e oitenta e dois mil e trezentos dólares estadunidenses)</w:t>
      </w:r>
      <w:r w:rsidR="003173CF" w:rsidRPr="000B6C37">
        <w:t>.</w:t>
      </w:r>
    </w:p>
    <w:p w14:paraId="499E78BD" w14:textId="26FB3A60" w:rsidR="003930FD" w:rsidRDefault="008879BA" w:rsidP="00C7795F">
      <w:pPr>
        <w:pStyle w:val="ListParagraph"/>
        <w:numPr>
          <w:ilvl w:val="1"/>
          <w:numId w:val="26"/>
        </w:numPr>
        <w:ind w:left="709" w:hanging="709"/>
      </w:pPr>
      <w:r w:rsidRPr="000B6C37">
        <w:t xml:space="preserve">A distribuição do orçamento do </w:t>
      </w:r>
      <w:r w:rsidR="00CF1958">
        <w:t>p</w:t>
      </w:r>
      <w:r w:rsidRPr="000B6C37">
        <w:t xml:space="preserve">rojeto por componente encontra-se sumarizada na Tabela </w:t>
      </w:r>
      <w:r w:rsidR="006D6C2A" w:rsidRPr="000B6C37">
        <w:t>1</w:t>
      </w:r>
      <w:r w:rsidRPr="000B6C37">
        <w:t>.</w:t>
      </w:r>
    </w:p>
    <w:p w14:paraId="56A51B62" w14:textId="4BFB2FBD" w:rsidR="007D6B4D" w:rsidRDefault="007D6B4D" w:rsidP="007D6B4D">
      <w:pPr>
        <w:pStyle w:val="Caption"/>
        <w:ind w:left="360"/>
        <w:jc w:val="both"/>
      </w:pPr>
    </w:p>
    <w:p w14:paraId="7E635646" w14:textId="43F1BBDB" w:rsidR="007D6B4D" w:rsidRDefault="007D6B4D" w:rsidP="007D6B4D"/>
    <w:p w14:paraId="2BC0A749" w14:textId="77777777" w:rsidR="007D6B4D" w:rsidRPr="007D6B4D" w:rsidRDefault="007D6B4D" w:rsidP="00E9523F"/>
    <w:p w14:paraId="6382C853" w14:textId="1A29F4E8" w:rsidR="00F472F9" w:rsidRPr="000B6C37" w:rsidRDefault="00F472F9" w:rsidP="008878A1">
      <w:pPr>
        <w:pStyle w:val="Caption"/>
        <w:numPr>
          <w:ilvl w:val="0"/>
          <w:numId w:val="26"/>
        </w:numPr>
      </w:pPr>
      <w:r w:rsidRPr="000B6C37">
        <w:lastRenderedPageBreak/>
        <w:t>Tabela 1. Distribuição dos recursos do Projeto por Componente (em US$)</w:t>
      </w:r>
    </w:p>
    <w:tbl>
      <w:tblPr>
        <w:tblW w:w="5000" w:type="pct"/>
        <w:tblLayout w:type="fixed"/>
        <w:tblCellMar>
          <w:left w:w="70" w:type="dxa"/>
          <w:right w:w="70" w:type="dxa"/>
        </w:tblCellMar>
        <w:tblLook w:val="04A0" w:firstRow="1" w:lastRow="0" w:firstColumn="1" w:lastColumn="0" w:noHBand="0" w:noVBand="1"/>
      </w:tblPr>
      <w:tblGrid>
        <w:gridCol w:w="5585"/>
        <w:gridCol w:w="1361"/>
        <w:gridCol w:w="1551"/>
        <w:gridCol w:w="554"/>
      </w:tblGrid>
      <w:tr w:rsidR="00F472F9" w:rsidRPr="00C36B57" w14:paraId="5D62F8C0" w14:textId="77777777" w:rsidTr="00476B84">
        <w:trPr>
          <w:trHeight w:val="255"/>
        </w:trPr>
        <w:tc>
          <w:tcPr>
            <w:tcW w:w="3085" w:type="pct"/>
            <w:tcBorders>
              <w:top w:val="nil"/>
              <w:left w:val="single" w:sz="8" w:space="0" w:color="auto"/>
              <w:bottom w:val="nil"/>
              <w:right w:val="nil"/>
            </w:tcBorders>
            <w:shd w:val="clear" w:color="000000" w:fill="000000"/>
            <w:noWrap/>
            <w:vAlign w:val="center"/>
            <w:hideMark/>
          </w:tcPr>
          <w:p w14:paraId="55ACA46F" w14:textId="12CB0B11" w:rsidR="00F472F9" w:rsidRPr="00C36B57" w:rsidRDefault="00F472F9" w:rsidP="00476B84">
            <w:pPr>
              <w:pStyle w:val="NoSpacing"/>
              <w:rPr>
                <w:rFonts w:ascii="Arial" w:hAnsi="Arial" w:cs="Arial"/>
                <w:color w:val="FDE9D9"/>
                <w:sz w:val="18"/>
                <w:szCs w:val="18"/>
                <w:lang w:val="pt-BR" w:eastAsia="es-UY"/>
              </w:rPr>
            </w:pPr>
            <w:r w:rsidRPr="00C36B57">
              <w:rPr>
                <w:rFonts w:ascii="Arial" w:hAnsi="Arial" w:cs="Arial"/>
                <w:color w:val="FDE9D9"/>
                <w:sz w:val="18"/>
                <w:szCs w:val="18"/>
                <w:lang w:val="pt-BR" w:eastAsia="es-UY"/>
              </w:rPr>
              <w:t xml:space="preserve">Componente / </w:t>
            </w:r>
            <w:r>
              <w:rPr>
                <w:rFonts w:ascii="Arial" w:hAnsi="Arial" w:cs="Arial"/>
                <w:color w:val="FDE9D9"/>
                <w:sz w:val="18"/>
                <w:szCs w:val="18"/>
                <w:lang w:val="pt-BR" w:eastAsia="es-UY"/>
              </w:rPr>
              <w:t>Linhas orcamentarias</w:t>
            </w:r>
          </w:p>
        </w:tc>
        <w:tc>
          <w:tcPr>
            <w:tcW w:w="752" w:type="pct"/>
            <w:tcBorders>
              <w:top w:val="nil"/>
              <w:left w:val="nil"/>
              <w:bottom w:val="nil"/>
              <w:right w:val="nil"/>
            </w:tcBorders>
            <w:shd w:val="clear" w:color="000000" w:fill="000000"/>
            <w:vAlign w:val="center"/>
            <w:hideMark/>
          </w:tcPr>
          <w:p w14:paraId="5B2D08E5" w14:textId="77777777" w:rsidR="00F472F9" w:rsidRPr="00C36B57" w:rsidRDefault="00F472F9" w:rsidP="00476B84">
            <w:pPr>
              <w:pStyle w:val="NoSpacing"/>
              <w:jc w:val="right"/>
              <w:rPr>
                <w:rFonts w:ascii="Arial" w:hAnsi="Arial" w:cs="Arial"/>
                <w:color w:val="FDE9D9"/>
                <w:sz w:val="18"/>
                <w:szCs w:val="18"/>
                <w:lang w:val="pt-BR" w:eastAsia="es-UY"/>
              </w:rPr>
            </w:pPr>
            <w:r w:rsidRPr="00C36B57">
              <w:rPr>
                <w:rFonts w:ascii="Arial" w:hAnsi="Arial" w:cs="Arial"/>
                <w:color w:val="FDE9D9"/>
                <w:sz w:val="18"/>
                <w:szCs w:val="18"/>
                <w:lang w:val="pt-BR" w:eastAsia="es-UY"/>
              </w:rPr>
              <w:t>US$</w:t>
            </w:r>
          </w:p>
        </w:tc>
        <w:tc>
          <w:tcPr>
            <w:tcW w:w="857" w:type="pct"/>
            <w:tcBorders>
              <w:top w:val="nil"/>
              <w:left w:val="nil"/>
              <w:bottom w:val="nil"/>
              <w:right w:val="nil"/>
            </w:tcBorders>
            <w:shd w:val="clear" w:color="000000" w:fill="000000"/>
            <w:vAlign w:val="center"/>
            <w:hideMark/>
          </w:tcPr>
          <w:p w14:paraId="69BB1979" w14:textId="77777777" w:rsidR="00F472F9" w:rsidRPr="00C36B57" w:rsidRDefault="00F472F9" w:rsidP="00476B84">
            <w:pPr>
              <w:pStyle w:val="NoSpacing"/>
              <w:jc w:val="right"/>
              <w:rPr>
                <w:rFonts w:ascii="Arial" w:hAnsi="Arial" w:cs="Arial"/>
                <w:color w:val="FDE9D9"/>
                <w:sz w:val="18"/>
                <w:szCs w:val="18"/>
                <w:lang w:val="pt-BR" w:eastAsia="es-UY"/>
              </w:rPr>
            </w:pPr>
            <w:r w:rsidRPr="00C36B57">
              <w:rPr>
                <w:rFonts w:ascii="Arial" w:hAnsi="Arial" w:cs="Arial"/>
                <w:color w:val="FDE9D9"/>
                <w:sz w:val="18"/>
                <w:szCs w:val="18"/>
                <w:lang w:val="pt-BR" w:eastAsia="es-UY"/>
              </w:rPr>
              <w:t>R$</w:t>
            </w:r>
          </w:p>
        </w:tc>
        <w:tc>
          <w:tcPr>
            <w:tcW w:w="306" w:type="pct"/>
            <w:tcBorders>
              <w:top w:val="nil"/>
              <w:left w:val="nil"/>
              <w:bottom w:val="nil"/>
              <w:right w:val="single" w:sz="8" w:space="0" w:color="auto"/>
            </w:tcBorders>
            <w:shd w:val="clear" w:color="000000" w:fill="000000"/>
            <w:vAlign w:val="center"/>
            <w:hideMark/>
          </w:tcPr>
          <w:p w14:paraId="49CD2075" w14:textId="77777777" w:rsidR="00F472F9" w:rsidRPr="00C36B57" w:rsidRDefault="00F472F9" w:rsidP="00476B84">
            <w:pPr>
              <w:pStyle w:val="NoSpacing"/>
              <w:rPr>
                <w:rFonts w:ascii="Arial" w:hAnsi="Arial" w:cs="Arial"/>
                <w:color w:val="FDE9D9"/>
                <w:sz w:val="18"/>
                <w:szCs w:val="18"/>
                <w:lang w:val="pt-BR" w:eastAsia="es-UY"/>
              </w:rPr>
            </w:pPr>
            <w:r w:rsidRPr="00C36B57">
              <w:rPr>
                <w:rFonts w:ascii="Arial" w:hAnsi="Arial" w:cs="Arial"/>
                <w:color w:val="FDE9D9"/>
                <w:sz w:val="18"/>
                <w:szCs w:val="18"/>
                <w:lang w:val="pt-BR" w:eastAsia="es-UY"/>
              </w:rPr>
              <w:t> </w:t>
            </w:r>
          </w:p>
        </w:tc>
      </w:tr>
      <w:tr w:rsidR="00F472F9" w:rsidRPr="00C36B57" w14:paraId="446C4C86" w14:textId="77777777" w:rsidTr="00476B84">
        <w:trPr>
          <w:trHeight w:val="255"/>
        </w:trPr>
        <w:tc>
          <w:tcPr>
            <w:tcW w:w="3085" w:type="pct"/>
            <w:tcBorders>
              <w:top w:val="nil"/>
              <w:left w:val="single" w:sz="8" w:space="0" w:color="auto"/>
              <w:bottom w:val="nil"/>
              <w:right w:val="nil"/>
            </w:tcBorders>
            <w:shd w:val="clear" w:color="000000" w:fill="8DB4E2"/>
            <w:noWrap/>
            <w:vAlign w:val="center"/>
            <w:hideMark/>
          </w:tcPr>
          <w:p w14:paraId="38EDCC32"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 xml:space="preserve">Componente </w:t>
            </w:r>
            <w:proofErr w:type="gramStart"/>
            <w:r w:rsidRPr="00C36B57">
              <w:rPr>
                <w:rFonts w:ascii="Arial" w:hAnsi="Arial" w:cs="Arial"/>
                <w:sz w:val="18"/>
                <w:szCs w:val="18"/>
                <w:lang w:val="pt-BR" w:eastAsia="es-UY"/>
              </w:rPr>
              <w:t>1.Ressocialização</w:t>
            </w:r>
            <w:proofErr w:type="gramEnd"/>
          </w:p>
        </w:tc>
        <w:tc>
          <w:tcPr>
            <w:tcW w:w="752" w:type="pct"/>
            <w:tcBorders>
              <w:top w:val="nil"/>
              <w:left w:val="nil"/>
              <w:bottom w:val="nil"/>
              <w:right w:val="nil"/>
            </w:tcBorders>
            <w:shd w:val="clear" w:color="000000" w:fill="8DB4E2"/>
            <w:noWrap/>
            <w:vAlign w:val="center"/>
            <w:hideMark/>
          </w:tcPr>
          <w:p w14:paraId="15BF69F7"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23,911,500 </w:t>
            </w:r>
          </w:p>
        </w:tc>
        <w:tc>
          <w:tcPr>
            <w:tcW w:w="857" w:type="pct"/>
            <w:tcBorders>
              <w:top w:val="nil"/>
              <w:left w:val="nil"/>
              <w:bottom w:val="nil"/>
              <w:right w:val="nil"/>
            </w:tcBorders>
            <w:shd w:val="clear" w:color="000000" w:fill="8DB4E2"/>
            <w:noWrap/>
            <w:vAlign w:val="center"/>
            <w:hideMark/>
          </w:tcPr>
          <w:p w14:paraId="6B50ED5D"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 119,557,500 </w:t>
            </w:r>
          </w:p>
        </w:tc>
        <w:tc>
          <w:tcPr>
            <w:tcW w:w="306" w:type="pct"/>
            <w:tcBorders>
              <w:top w:val="nil"/>
              <w:left w:val="nil"/>
              <w:bottom w:val="nil"/>
              <w:right w:val="single" w:sz="8" w:space="0" w:color="auto"/>
            </w:tcBorders>
            <w:shd w:val="clear" w:color="000000" w:fill="8DB4E2"/>
            <w:noWrap/>
            <w:vAlign w:val="center"/>
            <w:hideMark/>
          </w:tcPr>
          <w:p w14:paraId="1AAEF150"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23%</w:t>
            </w:r>
          </w:p>
        </w:tc>
      </w:tr>
      <w:tr w:rsidR="00F472F9" w:rsidRPr="00C36B57" w14:paraId="20728B0E" w14:textId="77777777" w:rsidTr="00476B84">
        <w:trPr>
          <w:trHeight w:val="255"/>
        </w:trPr>
        <w:tc>
          <w:tcPr>
            <w:tcW w:w="3085" w:type="pct"/>
            <w:tcBorders>
              <w:top w:val="nil"/>
              <w:left w:val="single" w:sz="8" w:space="0" w:color="auto"/>
              <w:bottom w:val="nil"/>
              <w:right w:val="nil"/>
            </w:tcBorders>
            <w:shd w:val="clear" w:color="auto" w:fill="auto"/>
            <w:noWrap/>
            <w:vAlign w:val="center"/>
            <w:hideMark/>
          </w:tcPr>
          <w:p w14:paraId="09C08EF1"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1.1 Aplicação do modelo RNR</w:t>
            </w:r>
          </w:p>
        </w:tc>
        <w:tc>
          <w:tcPr>
            <w:tcW w:w="752" w:type="pct"/>
            <w:tcBorders>
              <w:top w:val="nil"/>
              <w:left w:val="nil"/>
              <w:bottom w:val="nil"/>
              <w:right w:val="nil"/>
            </w:tcBorders>
            <w:shd w:val="clear" w:color="auto" w:fill="auto"/>
            <w:noWrap/>
            <w:vAlign w:val="center"/>
            <w:hideMark/>
          </w:tcPr>
          <w:p w14:paraId="3B387A5C"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6,884,400 </w:t>
            </w:r>
          </w:p>
        </w:tc>
        <w:tc>
          <w:tcPr>
            <w:tcW w:w="857" w:type="pct"/>
            <w:tcBorders>
              <w:top w:val="nil"/>
              <w:left w:val="nil"/>
              <w:bottom w:val="nil"/>
              <w:right w:val="nil"/>
            </w:tcBorders>
            <w:shd w:val="clear" w:color="auto" w:fill="auto"/>
            <w:noWrap/>
            <w:vAlign w:val="center"/>
            <w:hideMark/>
          </w:tcPr>
          <w:p w14:paraId="00BAE7DA"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 34,422,000 </w:t>
            </w:r>
          </w:p>
        </w:tc>
        <w:tc>
          <w:tcPr>
            <w:tcW w:w="306" w:type="pct"/>
            <w:tcBorders>
              <w:top w:val="nil"/>
              <w:left w:val="nil"/>
              <w:bottom w:val="nil"/>
              <w:right w:val="single" w:sz="8" w:space="0" w:color="auto"/>
            </w:tcBorders>
            <w:shd w:val="clear" w:color="auto" w:fill="auto"/>
            <w:noWrap/>
            <w:vAlign w:val="center"/>
            <w:hideMark/>
          </w:tcPr>
          <w:p w14:paraId="1D5D542A"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 </w:t>
            </w:r>
          </w:p>
        </w:tc>
      </w:tr>
      <w:tr w:rsidR="00F472F9" w:rsidRPr="00C36B57" w14:paraId="3DCDFDDD" w14:textId="77777777" w:rsidTr="00476B84">
        <w:trPr>
          <w:trHeight w:val="255"/>
        </w:trPr>
        <w:tc>
          <w:tcPr>
            <w:tcW w:w="3085" w:type="pct"/>
            <w:tcBorders>
              <w:top w:val="nil"/>
              <w:left w:val="single" w:sz="8" w:space="0" w:color="auto"/>
              <w:bottom w:val="nil"/>
              <w:right w:val="nil"/>
            </w:tcBorders>
            <w:shd w:val="clear" w:color="auto" w:fill="auto"/>
            <w:noWrap/>
            <w:vAlign w:val="center"/>
            <w:hideMark/>
          </w:tcPr>
          <w:p w14:paraId="654D551D"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1.2 Centrais de Alternativas Penais</w:t>
            </w:r>
          </w:p>
        </w:tc>
        <w:tc>
          <w:tcPr>
            <w:tcW w:w="752" w:type="pct"/>
            <w:tcBorders>
              <w:top w:val="nil"/>
              <w:left w:val="nil"/>
              <w:bottom w:val="nil"/>
              <w:right w:val="nil"/>
            </w:tcBorders>
            <w:shd w:val="clear" w:color="auto" w:fill="auto"/>
            <w:noWrap/>
            <w:vAlign w:val="center"/>
            <w:hideMark/>
          </w:tcPr>
          <w:p w14:paraId="62C7247E"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1,464,800 </w:t>
            </w:r>
          </w:p>
        </w:tc>
        <w:tc>
          <w:tcPr>
            <w:tcW w:w="857" w:type="pct"/>
            <w:tcBorders>
              <w:top w:val="nil"/>
              <w:left w:val="nil"/>
              <w:bottom w:val="nil"/>
              <w:right w:val="nil"/>
            </w:tcBorders>
            <w:shd w:val="clear" w:color="auto" w:fill="auto"/>
            <w:noWrap/>
            <w:vAlign w:val="center"/>
            <w:hideMark/>
          </w:tcPr>
          <w:p w14:paraId="0CCFEDF6"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 7,324,000 </w:t>
            </w:r>
          </w:p>
        </w:tc>
        <w:tc>
          <w:tcPr>
            <w:tcW w:w="306" w:type="pct"/>
            <w:tcBorders>
              <w:top w:val="nil"/>
              <w:left w:val="nil"/>
              <w:bottom w:val="nil"/>
              <w:right w:val="single" w:sz="8" w:space="0" w:color="auto"/>
            </w:tcBorders>
            <w:shd w:val="clear" w:color="auto" w:fill="auto"/>
            <w:noWrap/>
            <w:vAlign w:val="center"/>
            <w:hideMark/>
          </w:tcPr>
          <w:p w14:paraId="1FE8B755"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 </w:t>
            </w:r>
          </w:p>
        </w:tc>
      </w:tr>
      <w:tr w:rsidR="00F472F9" w:rsidRPr="00C36B57" w14:paraId="3B5A3A24" w14:textId="77777777" w:rsidTr="00476B84">
        <w:trPr>
          <w:trHeight w:val="255"/>
        </w:trPr>
        <w:tc>
          <w:tcPr>
            <w:tcW w:w="3085" w:type="pct"/>
            <w:tcBorders>
              <w:top w:val="nil"/>
              <w:left w:val="single" w:sz="8" w:space="0" w:color="auto"/>
              <w:bottom w:val="nil"/>
              <w:right w:val="nil"/>
            </w:tcBorders>
            <w:shd w:val="clear" w:color="auto" w:fill="auto"/>
            <w:noWrap/>
            <w:vAlign w:val="center"/>
            <w:hideMark/>
          </w:tcPr>
          <w:p w14:paraId="2290D3CA"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1.3 Incubadora de Cooperativas</w:t>
            </w:r>
          </w:p>
        </w:tc>
        <w:tc>
          <w:tcPr>
            <w:tcW w:w="752" w:type="pct"/>
            <w:tcBorders>
              <w:top w:val="nil"/>
              <w:left w:val="nil"/>
              <w:bottom w:val="nil"/>
              <w:right w:val="nil"/>
            </w:tcBorders>
            <w:shd w:val="clear" w:color="auto" w:fill="auto"/>
            <w:noWrap/>
            <w:vAlign w:val="center"/>
            <w:hideMark/>
          </w:tcPr>
          <w:p w14:paraId="2919B152"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 508,600 </w:t>
            </w:r>
          </w:p>
        </w:tc>
        <w:tc>
          <w:tcPr>
            <w:tcW w:w="857" w:type="pct"/>
            <w:tcBorders>
              <w:top w:val="nil"/>
              <w:left w:val="nil"/>
              <w:bottom w:val="nil"/>
              <w:right w:val="nil"/>
            </w:tcBorders>
            <w:shd w:val="clear" w:color="auto" w:fill="auto"/>
            <w:noWrap/>
            <w:vAlign w:val="center"/>
            <w:hideMark/>
          </w:tcPr>
          <w:p w14:paraId="59B44E76"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 2,543,000 </w:t>
            </w:r>
          </w:p>
        </w:tc>
        <w:tc>
          <w:tcPr>
            <w:tcW w:w="306" w:type="pct"/>
            <w:tcBorders>
              <w:top w:val="nil"/>
              <w:left w:val="nil"/>
              <w:bottom w:val="nil"/>
              <w:right w:val="single" w:sz="8" w:space="0" w:color="auto"/>
            </w:tcBorders>
            <w:shd w:val="clear" w:color="auto" w:fill="auto"/>
            <w:noWrap/>
            <w:vAlign w:val="center"/>
            <w:hideMark/>
          </w:tcPr>
          <w:p w14:paraId="7532DD21"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 </w:t>
            </w:r>
          </w:p>
        </w:tc>
      </w:tr>
      <w:tr w:rsidR="00F472F9" w:rsidRPr="00C36B57" w14:paraId="50B3EC0C" w14:textId="77777777" w:rsidTr="00476B84">
        <w:trPr>
          <w:trHeight w:val="255"/>
        </w:trPr>
        <w:tc>
          <w:tcPr>
            <w:tcW w:w="3085" w:type="pct"/>
            <w:tcBorders>
              <w:top w:val="nil"/>
              <w:left w:val="single" w:sz="8" w:space="0" w:color="auto"/>
              <w:bottom w:val="nil"/>
              <w:right w:val="nil"/>
            </w:tcBorders>
            <w:shd w:val="clear" w:color="auto" w:fill="auto"/>
            <w:noWrap/>
            <w:vAlign w:val="center"/>
            <w:hideMark/>
          </w:tcPr>
          <w:p w14:paraId="0F755A5D"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1.4 Formação e capacitação de egressos</w:t>
            </w:r>
          </w:p>
        </w:tc>
        <w:tc>
          <w:tcPr>
            <w:tcW w:w="752" w:type="pct"/>
            <w:tcBorders>
              <w:top w:val="nil"/>
              <w:left w:val="nil"/>
              <w:bottom w:val="nil"/>
              <w:right w:val="nil"/>
            </w:tcBorders>
            <w:shd w:val="clear" w:color="auto" w:fill="auto"/>
            <w:noWrap/>
            <w:vAlign w:val="center"/>
            <w:hideMark/>
          </w:tcPr>
          <w:p w14:paraId="241848C0"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7,460,000 </w:t>
            </w:r>
          </w:p>
        </w:tc>
        <w:tc>
          <w:tcPr>
            <w:tcW w:w="857" w:type="pct"/>
            <w:tcBorders>
              <w:top w:val="nil"/>
              <w:left w:val="nil"/>
              <w:bottom w:val="nil"/>
              <w:right w:val="nil"/>
            </w:tcBorders>
            <w:shd w:val="clear" w:color="auto" w:fill="auto"/>
            <w:noWrap/>
            <w:vAlign w:val="center"/>
            <w:hideMark/>
          </w:tcPr>
          <w:p w14:paraId="52ABB29C"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 37,300,000 </w:t>
            </w:r>
          </w:p>
        </w:tc>
        <w:tc>
          <w:tcPr>
            <w:tcW w:w="306" w:type="pct"/>
            <w:tcBorders>
              <w:top w:val="nil"/>
              <w:left w:val="nil"/>
              <w:bottom w:val="nil"/>
              <w:right w:val="single" w:sz="8" w:space="0" w:color="auto"/>
            </w:tcBorders>
            <w:shd w:val="clear" w:color="auto" w:fill="auto"/>
            <w:noWrap/>
            <w:vAlign w:val="center"/>
            <w:hideMark/>
          </w:tcPr>
          <w:p w14:paraId="1FEFE1BE"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 </w:t>
            </w:r>
          </w:p>
        </w:tc>
      </w:tr>
      <w:tr w:rsidR="00F472F9" w:rsidRPr="00C36B57" w14:paraId="05FA0354" w14:textId="77777777" w:rsidTr="00476B84">
        <w:trPr>
          <w:trHeight w:val="255"/>
        </w:trPr>
        <w:tc>
          <w:tcPr>
            <w:tcW w:w="3085" w:type="pct"/>
            <w:tcBorders>
              <w:top w:val="nil"/>
              <w:left w:val="single" w:sz="8" w:space="0" w:color="auto"/>
              <w:bottom w:val="nil"/>
              <w:right w:val="nil"/>
            </w:tcBorders>
            <w:shd w:val="clear" w:color="auto" w:fill="auto"/>
            <w:noWrap/>
            <w:vAlign w:val="center"/>
            <w:hideMark/>
          </w:tcPr>
          <w:p w14:paraId="217360C7"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1.5 Oficinas de trabalho</w:t>
            </w:r>
          </w:p>
        </w:tc>
        <w:tc>
          <w:tcPr>
            <w:tcW w:w="752" w:type="pct"/>
            <w:tcBorders>
              <w:top w:val="nil"/>
              <w:left w:val="nil"/>
              <w:bottom w:val="nil"/>
              <w:right w:val="nil"/>
            </w:tcBorders>
            <w:shd w:val="clear" w:color="auto" w:fill="auto"/>
            <w:noWrap/>
            <w:vAlign w:val="center"/>
            <w:hideMark/>
          </w:tcPr>
          <w:p w14:paraId="625472A8"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3,266,800 </w:t>
            </w:r>
          </w:p>
        </w:tc>
        <w:tc>
          <w:tcPr>
            <w:tcW w:w="857" w:type="pct"/>
            <w:tcBorders>
              <w:top w:val="nil"/>
              <w:left w:val="nil"/>
              <w:bottom w:val="nil"/>
              <w:right w:val="nil"/>
            </w:tcBorders>
            <w:shd w:val="clear" w:color="auto" w:fill="auto"/>
            <w:noWrap/>
            <w:vAlign w:val="center"/>
            <w:hideMark/>
          </w:tcPr>
          <w:p w14:paraId="5CBF71FE"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 16,334,000 </w:t>
            </w:r>
          </w:p>
        </w:tc>
        <w:tc>
          <w:tcPr>
            <w:tcW w:w="306" w:type="pct"/>
            <w:tcBorders>
              <w:top w:val="nil"/>
              <w:left w:val="nil"/>
              <w:bottom w:val="nil"/>
              <w:right w:val="single" w:sz="8" w:space="0" w:color="auto"/>
            </w:tcBorders>
            <w:shd w:val="clear" w:color="auto" w:fill="auto"/>
            <w:noWrap/>
            <w:vAlign w:val="center"/>
            <w:hideMark/>
          </w:tcPr>
          <w:p w14:paraId="37850ABF"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 </w:t>
            </w:r>
          </w:p>
        </w:tc>
      </w:tr>
      <w:tr w:rsidR="00F472F9" w:rsidRPr="00C36B57" w14:paraId="15E4628C" w14:textId="77777777" w:rsidTr="00476B84">
        <w:trPr>
          <w:trHeight w:val="255"/>
        </w:trPr>
        <w:tc>
          <w:tcPr>
            <w:tcW w:w="3085" w:type="pct"/>
            <w:tcBorders>
              <w:top w:val="nil"/>
              <w:left w:val="single" w:sz="8" w:space="0" w:color="auto"/>
              <w:bottom w:val="nil"/>
              <w:right w:val="nil"/>
            </w:tcBorders>
            <w:shd w:val="clear" w:color="auto" w:fill="auto"/>
            <w:noWrap/>
            <w:vAlign w:val="center"/>
            <w:hideMark/>
          </w:tcPr>
          <w:p w14:paraId="635E5AFF"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1.6 Centro de Formação Profissional (CEFOP)</w:t>
            </w:r>
          </w:p>
        </w:tc>
        <w:tc>
          <w:tcPr>
            <w:tcW w:w="752" w:type="pct"/>
            <w:tcBorders>
              <w:top w:val="nil"/>
              <w:left w:val="nil"/>
              <w:bottom w:val="nil"/>
              <w:right w:val="nil"/>
            </w:tcBorders>
            <w:shd w:val="clear" w:color="auto" w:fill="auto"/>
            <w:noWrap/>
            <w:vAlign w:val="center"/>
            <w:hideMark/>
          </w:tcPr>
          <w:p w14:paraId="35D5CC4B"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1,888,900 </w:t>
            </w:r>
          </w:p>
        </w:tc>
        <w:tc>
          <w:tcPr>
            <w:tcW w:w="857" w:type="pct"/>
            <w:tcBorders>
              <w:top w:val="nil"/>
              <w:left w:val="nil"/>
              <w:bottom w:val="nil"/>
              <w:right w:val="nil"/>
            </w:tcBorders>
            <w:shd w:val="clear" w:color="auto" w:fill="auto"/>
            <w:noWrap/>
            <w:vAlign w:val="center"/>
            <w:hideMark/>
          </w:tcPr>
          <w:p w14:paraId="660B230C"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 9,444,500 </w:t>
            </w:r>
          </w:p>
        </w:tc>
        <w:tc>
          <w:tcPr>
            <w:tcW w:w="306" w:type="pct"/>
            <w:tcBorders>
              <w:top w:val="nil"/>
              <w:left w:val="nil"/>
              <w:bottom w:val="nil"/>
              <w:right w:val="single" w:sz="8" w:space="0" w:color="auto"/>
            </w:tcBorders>
            <w:shd w:val="clear" w:color="auto" w:fill="auto"/>
            <w:noWrap/>
            <w:vAlign w:val="center"/>
            <w:hideMark/>
          </w:tcPr>
          <w:p w14:paraId="544C8057"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 </w:t>
            </w:r>
          </w:p>
        </w:tc>
      </w:tr>
      <w:tr w:rsidR="00F472F9" w:rsidRPr="00C36B57" w14:paraId="6DCB048E" w14:textId="77777777" w:rsidTr="00476B84">
        <w:trPr>
          <w:trHeight w:val="255"/>
        </w:trPr>
        <w:tc>
          <w:tcPr>
            <w:tcW w:w="3085" w:type="pct"/>
            <w:tcBorders>
              <w:top w:val="nil"/>
              <w:left w:val="single" w:sz="8" w:space="0" w:color="auto"/>
              <w:bottom w:val="nil"/>
              <w:right w:val="nil"/>
            </w:tcBorders>
            <w:shd w:val="clear" w:color="auto" w:fill="auto"/>
            <w:noWrap/>
            <w:vAlign w:val="center"/>
            <w:hideMark/>
          </w:tcPr>
          <w:p w14:paraId="75A55FA3"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1.7 Central de empreendimentos</w:t>
            </w:r>
          </w:p>
        </w:tc>
        <w:tc>
          <w:tcPr>
            <w:tcW w:w="752" w:type="pct"/>
            <w:tcBorders>
              <w:top w:val="nil"/>
              <w:left w:val="nil"/>
              <w:bottom w:val="nil"/>
              <w:right w:val="nil"/>
            </w:tcBorders>
            <w:shd w:val="clear" w:color="auto" w:fill="auto"/>
            <w:noWrap/>
            <w:vAlign w:val="center"/>
            <w:hideMark/>
          </w:tcPr>
          <w:p w14:paraId="6452D4B1"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 990,200 </w:t>
            </w:r>
          </w:p>
        </w:tc>
        <w:tc>
          <w:tcPr>
            <w:tcW w:w="857" w:type="pct"/>
            <w:tcBorders>
              <w:top w:val="nil"/>
              <w:left w:val="nil"/>
              <w:bottom w:val="nil"/>
              <w:right w:val="nil"/>
            </w:tcBorders>
            <w:shd w:val="clear" w:color="auto" w:fill="auto"/>
            <w:noWrap/>
            <w:vAlign w:val="center"/>
            <w:hideMark/>
          </w:tcPr>
          <w:p w14:paraId="58B67A78"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 4,951,000 </w:t>
            </w:r>
          </w:p>
        </w:tc>
        <w:tc>
          <w:tcPr>
            <w:tcW w:w="306" w:type="pct"/>
            <w:tcBorders>
              <w:top w:val="nil"/>
              <w:left w:val="nil"/>
              <w:bottom w:val="nil"/>
              <w:right w:val="single" w:sz="8" w:space="0" w:color="auto"/>
            </w:tcBorders>
            <w:shd w:val="clear" w:color="auto" w:fill="auto"/>
            <w:noWrap/>
            <w:vAlign w:val="center"/>
            <w:hideMark/>
          </w:tcPr>
          <w:p w14:paraId="6B852435"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 </w:t>
            </w:r>
          </w:p>
        </w:tc>
      </w:tr>
      <w:tr w:rsidR="00F472F9" w:rsidRPr="00C36B57" w14:paraId="29F9F304" w14:textId="77777777" w:rsidTr="00476B84">
        <w:trPr>
          <w:trHeight w:val="255"/>
        </w:trPr>
        <w:tc>
          <w:tcPr>
            <w:tcW w:w="3085" w:type="pct"/>
            <w:tcBorders>
              <w:top w:val="nil"/>
              <w:left w:val="single" w:sz="8" w:space="0" w:color="auto"/>
              <w:bottom w:val="nil"/>
              <w:right w:val="nil"/>
            </w:tcBorders>
            <w:shd w:val="clear" w:color="auto" w:fill="auto"/>
            <w:noWrap/>
            <w:vAlign w:val="center"/>
            <w:hideMark/>
          </w:tcPr>
          <w:p w14:paraId="207AACCE"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1.8 Gestão do componente</w:t>
            </w:r>
          </w:p>
        </w:tc>
        <w:tc>
          <w:tcPr>
            <w:tcW w:w="752" w:type="pct"/>
            <w:tcBorders>
              <w:top w:val="nil"/>
              <w:left w:val="nil"/>
              <w:bottom w:val="nil"/>
              <w:right w:val="nil"/>
            </w:tcBorders>
            <w:shd w:val="clear" w:color="auto" w:fill="auto"/>
            <w:noWrap/>
            <w:vAlign w:val="center"/>
            <w:hideMark/>
          </w:tcPr>
          <w:p w14:paraId="1D441FFF"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 847,800 </w:t>
            </w:r>
          </w:p>
        </w:tc>
        <w:tc>
          <w:tcPr>
            <w:tcW w:w="857" w:type="pct"/>
            <w:tcBorders>
              <w:top w:val="nil"/>
              <w:left w:val="nil"/>
              <w:bottom w:val="nil"/>
              <w:right w:val="nil"/>
            </w:tcBorders>
            <w:shd w:val="clear" w:color="auto" w:fill="auto"/>
            <w:noWrap/>
            <w:vAlign w:val="center"/>
            <w:hideMark/>
          </w:tcPr>
          <w:p w14:paraId="598C4636"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 4,239,000 </w:t>
            </w:r>
          </w:p>
        </w:tc>
        <w:tc>
          <w:tcPr>
            <w:tcW w:w="306" w:type="pct"/>
            <w:tcBorders>
              <w:top w:val="nil"/>
              <w:left w:val="nil"/>
              <w:bottom w:val="nil"/>
              <w:right w:val="single" w:sz="8" w:space="0" w:color="auto"/>
            </w:tcBorders>
            <w:shd w:val="clear" w:color="auto" w:fill="auto"/>
            <w:noWrap/>
            <w:vAlign w:val="center"/>
            <w:hideMark/>
          </w:tcPr>
          <w:p w14:paraId="756E77E1"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 </w:t>
            </w:r>
          </w:p>
        </w:tc>
      </w:tr>
      <w:tr w:rsidR="00F472F9" w:rsidRPr="00C36B57" w14:paraId="3DEBF0F5" w14:textId="77777777" w:rsidTr="00476B84">
        <w:trPr>
          <w:trHeight w:val="255"/>
        </w:trPr>
        <w:tc>
          <w:tcPr>
            <w:tcW w:w="3085" w:type="pct"/>
            <w:tcBorders>
              <w:top w:val="nil"/>
              <w:left w:val="single" w:sz="8" w:space="0" w:color="auto"/>
              <w:bottom w:val="nil"/>
              <w:right w:val="nil"/>
            </w:tcBorders>
            <w:shd w:val="clear" w:color="auto" w:fill="auto"/>
            <w:noWrap/>
            <w:vAlign w:val="center"/>
            <w:hideMark/>
          </w:tcPr>
          <w:p w14:paraId="74ECB917" w14:textId="0EC0D073"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 xml:space="preserve">1.9 </w:t>
            </w:r>
            <w:r w:rsidR="00255138" w:rsidRPr="00C36B57">
              <w:rPr>
                <w:rFonts w:ascii="Arial" w:hAnsi="Arial" w:cs="Arial"/>
                <w:sz w:val="18"/>
                <w:szCs w:val="18"/>
                <w:lang w:val="pt-BR" w:eastAsia="es-UY"/>
              </w:rPr>
              <w:t>Ações</w:t>
            </w:r>
            <w:r w:rsidRPr="00C36B57">
              <w:rPr>
                <w:rFonts w:ascii="Arial" w:hAnsi="Arial" w:cs="Arial"/>
                <w:sz w:val="18"/>
                <w:szCs w:val="18"/>
                <w:lang w:val="pt-BR" w:eastAsia="es-UY"/>
              </w:rPr>
              <w:t xml:space="preserve"> de salvaguardas penitenciarias</w:t>
            </w:r>
          </w:p>
        </w:tc>
        <w:tc>
          <w:tcPr>
            <w:tcW w:w="752" w:type="pct"/>
            <w:tcBorders>
              <w:top w:val="nil"/>
              <w:left w:val="nil"/>
              <w:bottom w:val="nil"/>
              <w:right w:val="nil"/>
            </w:tcBorders>
            <w:shd w:val="clear" w:color="auto" w:fill="auto"/>
            <w:noWrap/>
            <w:vAlign w:val="center"/>
            <w:hideMark/>
          </w:tcPr>
          <w:p w14:paraId="3885A2FD"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 600,000 </w:t>
            </w:r>
          </w:p>
        </w:tc>
        <w:tc>
          <w:tcPr>
            <w:tcW w:w="857" w:type="pct"/>
            <w:tcBorders>
              <w:top w:val="nil"/>
              <w:left w:val="nil"/>
              <w:bottom w:val="nil"/>
              <w:right w:val="nil"/>
            </w:tcBorders>
            <w:shd w:val="clear" w:color="auto" w:fill="auto"/>
            <w:noWrap/>
            <w:vAlign w:val="center"/>
            <w:hideMark/>
          </w:tcPr>
          <w:p w14:paraId="79CA92A8"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 3,000,000 </w:t>
            </w:r>
          </w:p>
        </w:tc>
        <w:tc>
          <w:tcPr>
            <w:tcW w:w="306" w:type="pct"/>
            <w:tcBorders>
              <w:top w:val="nil"/>
              <w:left w:val="nil"/>
              <w:bottom w:val="nil"/>
              <w:right w:val="single" w:sz="8" w:space="0" w:color="auto"/>
            </w:tcBorders>
            <w:shd w:val="clear" w:color="auto" w:fill="auto"/>
            <w:noWrap/>
            <w:vAlign w:val="center"/>
            <w:hideMark/>
          </w:tcPr>
          <w:p w14:paraId="6B69338F"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 </w:t>
            </w:r>
          </w:p>
        </w:tc>
      </w:tr>
      <w:tr w:rsidR="00F472F9" w:rsidRPr="00C36B57" w14:paraId="309AC2B8" w14:textId="77777777" w:rsidTr="00476B84">
        <w:trPr>
          <w:trHeight w:val="255"/>
        </w:trPr>
        <w:tc>
          <w:tcPr>
            <w:tcW w:w="3085" w:type="pct"/>
            <w:tcBorders>
              <w:top w:val="nil"/>
              <w:left w:val="single" w:sz="8" w:space="0" w:color="auto"/>
              <w:bottom w:val="nil"/>
              <w:right w:val="nil"/>
            </w:tcBorders>
            <w:shd w:val="clear" w:color="000000" w:fill="8DB4E2"/>
            <w:noWrap/>
            <w:vAlign w:val="center"/>
            <w:hideMark/>
          </w:tcPr>
          <w:p w14:paraId="1F87B229"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Componente 2. Tecnologia Prisional</w:t>
            </w:r>
          </w:p>
        </w:tc>
        <w:tc>
          <w:tcPr>
            <w:tcW w:w="752" w:type="pct"/>
            <w:tcBorders>
              <w:top w:val="nil"/>
              <w:left w:val="nil"/>
              <w:bottom w:val="nil"/>
              <w:right w:val="nil"/>
            </w:tcBorders>
            <w:shd w:val="clear" w:color="000000" w:fill="8DB4E2"/>
            <w:noWrap/>
            <w:vAlign w:val="center"/>
            <w:hideMark/>
          </w:tcPr>
          <w:p w14:paraId="33CA897D"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31,600,000 </w:t>
            </w:r>
          </w:p>
        </w:tc>
        <w:tc>
          <w:tcPr>
            <w:tcW w:w="857" w:type="pct"/>
            <w:tcBorders>
              <w:top w:val="nil"/>
              <w:left w:val="nil"/>
              <w:bottom w:val="nil"/>
              <w:right w:val="nil"/>
            </w:tcBorders>
            <w:shd w:val="clear" w:color="000000" w:fill="8DB4E2"/>
            <w:noWrap/>
            <w:vAlign w:val="center"/>
            <w:hideMark/>
          </w:tcPr>
          <w:p w14:paraId="7C095BE5"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 158,000,000 </w:t>
            </w:r>
          </w:p>
        </w:tc>
        <w:tc>
          <w:tcPr>
            <w:tcW w:w="306" w:type="pct"/>
            <w:tcBorders>
              <w:top w:val="nil"/>
              <w:left w:val="nil"/>
              <w:bottom w:val="nil"/>
              <w:right w:val="single" w:sz="8" w:space="0" w:color="auto"/>
            </w:tcBorders>
            <w:shd w:val="clear" w:color="000000" w:fill="8DB4E2"/>
            <w:noWrap/>
            <w:vAlign w:val="center"/>
            <w:hideMark/>
          </w:tcPr>
          <w:p w14:paraId="0E175814"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31%</w:t>
            </w:r>
          </w:p>
        </w:tc>
      </w:tr>
      <w:tr w:rsidR="00F472F9" w:rsidRPr="00C36B57" w14:paraId="3CE730F7" w14:textId="77777777" w:rsidTr="00476B84">
        <w:trPr>
          <w:trHeight w:val="255"/>
        </w:trPr>
        <w:tc>
          <w:tcPr>
            <w:tcW w:w="3085" w:type="pct"/>
            <w:tcBorders>
              <w:top w:val="nil"/>
              <w:left w:val="single" w:sz="8" w:space="0" w:color="auto"/>
              <w:bottom w:val="nil"/>
              <w:right w:val="nil"/>
            </w:tcBorders>
            <w:shd w:val="clear" w:color="auto" w:fill="auto"/>
            <w:noWrap/>
            <w:vAlign w:val="center"/>
            <w:hideMark/>
          </w:tcPr>
          <w:p w14:paraId="3C2CE350"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2.1 Central de monitoramento inteligente</w:t>
            </w:r>
          </w:p>
        </w:tc>
        <w:tc>
          <w:tcPr>
            <w:tcW w:w="752" w:type="pct"/>
            <w:tcBorders>
              <w:top w:val="nil"/>
              <w:left w:val="nil"/>
              <w:bottom w:val="nil"/>
              <w:right w:val="nil"/>
            </w:tcBorders>
            <w:shd w:val="clear" w:color="auto" w:fill="auto"/>
            <w:noWrap/>
            <w:vAlign w:val="center"/>
            <w:hideMark/>
          </w:tcPr>
          <w:p w14:paraId="21193F11"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13,097,800 </w:t>
            </w:r>
          </w:p>
        </w:tc>
        <w:tc>
          <w:tcPr>
            <w:tcW w:w="857" w:type="pct"/>
            <w:tcBorders>
              <w:top w:val="nil"/>
              <w:left w:val="nil"/>
              <w:bottom w:val="nil"/>
              <w:right w:val="nil"/>
            </w:tcBorders>
            <w:shd w:val="clear" w:color="auto" w:fill="auto"/>
            <w:noWrap/>
            <w:vAlign w:val="center"/>
            <w:hideMark/>
          </w:tcPr>
          <w:p w14:paraId="60954232"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 65,489,000 </w:t>
            </w:r>
          </w:p>
        </w:tc>
        <w:tc>
          <w:tcPr>
            <w:tcW w:w="306" w:type="pct"/>
            <w:tcBorders>
              <w:top w:val="nil"/>
              <w:left w:val="nil"/>
              <w:bottom w:val="nil"/>
              <w:right w:val="single" w:sz="8" w:space="0" w:color="auto"/>
            </w:tcBorders>
            <w:shd w:val="clear" w:color="auto" w:fill="auto"/>
            <w:noWrap/>
            <w:vAlign w:val="center"/>
            <w:hideMark/>
          </w:tcPr>
          <w:p w14:paraId="59195BE4"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 </w:t>
            </w:r>
          </w:p>
        </w:tc>
      </w:tr>
      <w:tr w:rsidR="00F472F9" w:rsidRPr="00C36B57" w14:paraId="4F24EEBB" w14:textId="77777777" w:rsidTr="00476B84">
        <w:trPr>
          <w:trHeight w:val="255"/>
        </w:trPr>
        <w:tc>
          <w:tcPr>
            <w:tcW w:w="3085" w:type="pct"/>
            <w:tcBorders>
              <w:top w:val="nil"/>
              <w:left w:val="single" w:sz="8" w:space="0" w:color="auto"/>
              <w:bottom w:val="nil"/>
              <w:right w:val="nil"/>
            </w:tcBorders>
            <w:shd w:val="clear" w:color="auto" w:fill="auto"/>
            <w:noWrap/>
            <w:vAlign w:val="center"/>
            <w:hideMark/>
          </w:tcPr>
          <w:p w14:paraId="0C4E463B"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2.2 Videoconferência</w:t>
            </w:r>
          </w:p>
        </w:tc>
        <w:tc>
          <w:tcPr>
            <w:tcW w:w="752" w:type="pct"/>
            <w:tcBorders>
              <w:top w:val="nil"/>
              <w:left w:val="nil"/>
              <w:bottom w:val="nil"/>
              <w:right w:val="nil"/>
            </w:tcBorders>
            <w:shd w:val="clear" w:color="auto" w:fill="auto"/>
            <w:noWrap/>
            <w:vAlign w:val="center"/>
            <w:hideMark/>
          </w:tcPr>
          <w:p w14:paraId="31E8F863"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1,600,000 </w:t>
            </w:r>
          </w:p>
        </w:tc>
        <w:tc>
          <w:tcPr>
            <w:tcW w:w="857" w:type="pct"/>
            <w:tcBorders>
              <w:top w:val="nil"/>
              <w:left w:val="nil"/>
              <w:bottom w:val="nil"/>
              <w:right w:val="nil"/>
            </w:tcBorders>
            <w:shd w:val="clear" w:color="auto" w:fill="auto"/>
            <w:noWrap/>
            <w:vAlign w:val="center"/>
            <w:hideMark/>
          </w:tcPr>
          <w:p w14:paraId="518DB539"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 8,000,000 </w:t>
            </w:r>
          </w:p>
        </w:tc>
        <w:tc>
          <w:tcPr>
            <w:tcW w:w="306" w:type="pct"/>
            <w:tcBorders>
              <w:top w:val="nil"/>
              <w:left w:val="nil"/>
              <w:bottom w:val="nil"/>
              <w:right w:val="single" w:sz="8" w:space="0" w:color="auto"/>
            </w:tcBorders>
            <w:shd w:val="clear" w:color="auto" w:fill="auto"/>
            <w:noWrap/>
            <w:vAlign w:val="center"/>
            <w:hideMark/>
          </w:tcPr>
          <w:p w14:paraId="446E1B95"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 </w:t>
            </w:r>
          </w:p>
        </w:tc>
      </w:tr>
      <w:tr w:rsidR="00F472F9" w:rsidRPr="00C36B57" w14:paraId="790A9E72" w14:textId="77777777" w:rsidTr="00476B84">
        <w:trPr>
          <w:trHeight w:val="255"/>
        </w:trPr>
        <w:tc>
          <w:tcPr>
            <w:tcW w:w="3085" w:type="pct"/>
            <w:tcBorders>
              <w:top w:val="nil"/>
              <w:left w:val="single" w:sz="8" w:space="0" w:color="auto"/>
              <w:bottom w:val="nil"/>
              <w:right w:val="nil"/>
            </w:tcBorders>
            <w:shd w:val="clear" w:color="auto" w:fill="auto"/>
            <w:noWrap/>
            <w:vAlign w:val="center"/>
            <w:hideMark/>
          </w:tcPr>
          <w:p w14:paraId="56E76056"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2.3 Plataforma integrada de gestão inteligente</w:t>
            </w:r>
          </w:p>
        </w:tc>
        <w:tc>
          <w:tcPr>
            <w:tcW w:w="752" w:type="pct"/>
            <w:tcBorders>
              <w:top w:val="nil"/>
              <w:left w:val="nil"/>
              <w:bottom w:val="nil"/>
              <w:right w:val="nil"/>
            </w:tcBorders>
            <w:shd w:val="clear" w:color="auto" w:fill="auto"/>
            <w:noWrap/>
            <w:vAlign w:val="center"/>
            <w:hideMark/>
          </w:tcPr>
          <w:p w14:paraId="0567AC5F"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16,702,200 </w:t>
            </w:r>
          </w:p>
        </w:tc>
        <w:tc>
          <w:tcPr>
            <w:tcW w:w="857" w:type="pct"/>
            <w:tcBorders>
              <w:top w:val="nil"/>
              <w:left w:val="nil"/>
              <w:bottom w:val="nil"/>
              <w:right w:val="nil"/>
            </w:tcBorders>
            <w:shd w:val="clear" w:color="auto" w:fill="auto"/>
            <w:noWrap/>
            <w:vAlign w:val="center"/>
            <w:hideMark/>
          </w:tcPr>
          <w:p w14:paraId="754C65EA"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 83,511,000 </w:t>
            </w:r>
          </w:p>
        </w:tc>
        <w:tc>
          <w:tcPr>
            <w:tcW w:w="306" w:type="pct"/>
            <w:tcBorders>
              <w:top w:val="nil"/>
              <w:left w:val="nil"/>
              <w:bottom w:val="nil"/>
              <w:right w:val="single" w:sz="8" w:space="0" w:color="auto"/>
            </w:tcBorders>
            <w:shd w:val="clear" w:color="auto" w:fill="auto"/>
            <w:noWrap/>
            <w:vAlign w:val="center"/>
            <w:hideMark/>
          </w:tcPr>
          <w:p w14:paraId="0EEEC510"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 </w:t>
            </w:r>
          </w:p>
        </w:tc>
      </w:tr>
      <w:tr w:rsidR="00F472F9" w:rsidRPr="00C36B57" w14:paraId="1A78A84C" w14:textId="77777777" w:rsidTr="00476B84">
        <w:trPr>
          <w:trHeight w:val="255"/>
        </w:trPr>
        <w:tc>
          <w:tcPr>
            <w:tcW w:w="3085" w:type="pct"/>
            <w:tcBorders>
              <w:top w:val="nil"/>
              <w:left w:val="single" w:sz="8" w:space="0" w:color="auto"/>
              <w:bottom w:val="nil"/>
              <w:right w:val="nil"/>
            </w:tcBorders>
            <w:shd w:val="clear" w:color="auto" w:fill="auto"/>
            <w:noWrap/>
            <w:vAlign w:val="center"/>
            <w:hideMark/>
          </w:tcPr>
          <w:p w14:paraId="276D7EFD"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 xml:space="preserve">2.4 Sistema de Educação a Distância </w:t>
            </w:r>
          </w:p>
        </w:tc>
        <w:tc>
          <w:tcPr>
            <w:tcW w:w="752" w:type="pct"/>
            <w:tcBorders>
              <w:top w:val="nil"/>
              <w:left w:val="nil"/>
              <w:bottom w:val="nil"/>
              <w:right w:val="nil"/>
            </w:tcBorders>
            <w:shd w:val="clear" w:color="auto" w:fill="auto"/>
            <w:noWrap/>
            <w:vAlign w:val="center"/>
            <w:hideMark/>
          </w:tcPr>
          <w:p w14:paraId="2EAD8841"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 200,000 </w:t>
            </w:r>
          </w:p>
        </w:tc>
        <w:tc>
          <w:tcPr>
            <w:tcW w:w="857" w:type="pct"/>
            <w:tcBorders>
              <w:top w:val="nil"/>
              <w:left w:val="nil"/>
              <w:bottom w:val="nil"/>
              <w:right w:val="nil"/>
            </w:tcBorders>
            <w:shd w:val="clear" w:color="auto" w:fill="auto"/>
            <w:noWrap/>
            <w:vAlign w:val="center"/>
            <w:hideMark/>
          </w:tcPr>
          <w:p w14:paraId="5250DF02"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 1,000,000 </w:t>
            </w:r>
          </w:p>
        </w:tc>
        <w:tc>
          <w:tcPr>
            <w:tcW w:w="306" w:type="pct"/>
            <w:tcBorders>
              <w:top w:val="nil"/>
              <w:left w:val="nil"/>
              <w:bottom w:val="nil"/>
              <w:right w:val="single" w:sz="8" w:space="0" w:color="auto"/>
            </w:tcBorders>
            <w:shd w:val="clear" w:color="auto" w:fill="auto"/>
            <w:noWrap/>
            <w:vAlign w:val="center"/>
            <w:hideMark/>
          </w:tcPr>
          <w:p w14:paraId="03882ED1"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 </w:t>
            </w:r>
          </w:p>
        </w:tc>
      </w:tr>
      <w:tr w:rsidR="00F472F9" w:rsidRPr="00C36B57" w14:paraId="71E67237" w14:textId="77777777" w:rsidTr="00476B84">
        <w:trPr>
          <w:trHeight w:val="255"/>
        </w:trPr>
        <w:tc>
          <w:tcPr>
            <w:tcW w:w="3085" w:type="pct"/>
            <w:tcBorders>
              <w:top w:val="nil"/>
              <w:left w:val="single" w:sz="8" w:space="0" w:color="auto"/>
              <w:bottom w:val="nil"/>
              <w:right w:val="nil"/>
            </w:tcBorders>
            <w:shd w:val="clear" w:color="000000" w:fill="8DB4E2"/>
            <w:noWrap/>
            <w:vAlign w:val="center"/>
            <w:hideMark/>
          </w:tcPr>
          <w:p w14:paraId="21DD3112"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 xml:space="preserve">Componente </w:t>
            </w:r>
            <w:proofErr w:type="gramStart"/>
            <w:r w:rsidRPr="00C36B57">
              <w:rPr>
                <w:rFonts w:ascii="Arial" w:hAnsi="Arial" w:cs="Arial"/>
                <w:sz w:val="18"/>
                <w:szCs w:val="18"/>
                <w:lang w:val="pt-BR" w:eastAsia="es-UY"/>
              </w:rPr>
              <w:t>3.Sustentabilidade</w:t>
            </w:r>
            <w:proofErr w:type="gramEnd"/>
            <w:r w:rsidRPr="00C36B57">
              <w:rPr>
                <w:rFonts w:ascii="Arial" w:hAnsi="Arial" w:cs="Arial"/>
                <w:sz w:val="18"/>
                <w:szCs w:val="18"/>
                <w:lang w:val="pt-BR" w:eastAsia="es-UY"/>
              </w:rPr>
              <w:t xml:space="preserve"> ambiental e infraestrutura</w:t>
            </w:r>
          </w:p>
        </w:tc>
        <w:tc>
          <w:tcPr>
            <w:tcW w:w="752" w:type="pct"/>
            <w:tcBorders>
              <w:top w:val="nil"/>
              <w:left w:val="nil"/>
              <w:bottom w:val="nil"/>
              <w:right w:val="nil"/>
            </w:tcBorders>
            <w:shd w:val="clear" w:color="000000" w:fill="8DB4E2"/>
            <w:noWrap/>
            <w:vAlign w:val="center"/>
            <w:hideMark/>
          </w:tcPr>
          <w:p w14:paraId="3DB041A0"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43,400,000 </w:t>
            </w:r>
          </w:p>
        </w:tc>
        <w:tc>
          <w:tcPr>
            <w:tcW w:w="857" w:type="pct"/>
            <w:tcBorders>
              <w:top w:val="nil"/>
              <w:left w:val="nil"/>
              <w:bottom w:val="nil"/>
              <w:right w:val="nil"/>
            </w:tcBorders>
            <w:shd w:val="clear" w:color="000000" w:fill="8DB4E2"/>
            <w:noWrap/>
            <w:vAlign w:val="center"/>
            <w:hideMark/>
          </w:tcPr>
          <w:p w14:paraId="2DD278E8"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 217,000,000 </w:t>
            </w:r>
          </w:p>
        </w:tc>
        <w:tc>
          <w:tcPr>
            <w:tcW w:w="306" w:type="pct"/>
            <w:tcBorders>
              <w:top w:val="nil"/>
              <w:left w:val="nil"/>
              <w:bottom w:val="nil"/>
              <w:right w:val="single" w:sz="8" w:space="0" w:color="auto"/>
            </w:tcBorders>
            <w:shd w:val="clear" w:color="000000" w:fill="8DB4E2"/>
            <w:noWrap/>
            <w:vAlign w:val="center"/>
            <w:hideMark/>
          </w:tcPr>
          <w:p w14:paraId="7E7537B1"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42%</w:t>
            </w:r>
          </w:p>
        </w:tc>
      </w:tr>
      <w:tr w:rsidR="00F472F9" w:rsidRPr="00C36B57" w14:paraId="35FA6C17" w14:textId="77777777" w:rsidTr="00476B84">
        <w:trPr>
          <w:trHeight w:val="255"/>
        </w:trPr>
        <w:tc>
          <w:tcPr>
            <w:tcW w:w="3085" w:type="pct"/>
            <w:tcBorders>
              <w:top w:val="nil"/>
              <w:left w:val="single" w:sz="8" w:space="0" w:color="auto"/>
              <w:bottom w:val="nil"/>
              <w:right w:val="nil"/>
            </w:tcBorders>
            <w:shd w:val="clear" w:color="auto" w:fill="auto"/>
            <w:noWrap/>
            <w:vAlign w:val="center"/>
            <w:hideMark/>
          </w:tcPr>
          <w:p w14:paraId="30B89DFE" w14:textId="0655276D"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 xml:space="preserve">3.1 Centros </w:t>
            </w:r>
            <w:r w:rsidR="00255138" w:rsidRPr="00C36B57">
              <w:rPr>
                <w:rFonts w:ascii="Arial" w:hAnsi="Arial" w:cs="Arial"/>
                <w:sz w:val="18"/>
                <w:szCs w:val="18"/>
                <w:lang w:val="pt-BR" w:eastAsia="es-UY"/>
              </w:rPr>
              <w:t xml:space="preserve">Integrados </w:t>
            </w:r>
            <w:r w:rsidRPr="00C36B57">
              <w:rPr>
                <w:rFonts w:ascii="Arial" w:hAnsi="Arial" w:cs="Arial"/>
                <w:sz w:val="18"/>
                <w:szCs w:val="18"/>
                <w:lang w:val="pt-BR" w:eastAsia="es-UY"/>
              </w:rPr>
              <w:t>de Ressocialização (C</w:t>
            </w:r>
            <w:r w:rsidR="00255138">
              <w:rPr>
                <w:rFonts w:ascii="Arial" w:hAnsi="Arial" w:cs="Arial"/>
                <w:sz w:val="18"/>
                <w:szCs w:val="18"/>
                <w:lang w:val="pt-BR" w:eastAsia="es-UY"/>
              </w:rPr>
              <w:t>I</w:t>
            </w:r>
            <w:r w:rsidRPr="00C36B57">
              <w:rPr>
                <w:rFonts w:ascii="Arial" w:hAnsi="Arial" w:cs="Arial"/>
                <w:sz w:val="18"/>
                <w:szCs w:val="18"/>
                <w:lang w:val="pt-BR" w:eastAsia="es-UY"/>
              </w:rPr>
              <w:t>R)</w:t>
            </w:r>
          </w:p>
        </w:tc>
        <w:tc>
          <w:tcPr>
            <w:tcW w:w="752" w:type="pct"/>
            <w:tcBorders>
              <w:top w:val="nil"/>
              <w:left w:val="nil"/>
              <w:bottom w:val="nil"/>
              <w:right w:val="nil"/>
            </w:tcBorders>
            <w:shd w:val="clear" w:color="auto" w:fill="auto"/>
            <w:noWrap/>
            <w:vAlign w:val="center"/>
            <w:hideMark/>
          </w:tcPr>
          <w:p w14:paraId="3591F669"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25,750,000 </w:t>
            </w:r>
          </w:p>
        </w:tc>
        <w:tc>
          <w:tcPr>
            <w:tcW w:w="857" w:type="pct"/>
            <w:tcBorders>
              <w:top w:val="nil"/>
              <w:left w:val="nil"/>
              <w:bottom w:val="nil"/>
              <w:right w:val="nil"/>
            </w:tcBorders>
            <w:shd w:val="clear" w:color="auto" w:fill="auto"/>
            <w:noWrap/>
            <w:vAlign w:val="center"/>
            <w:hideMark/>
          </w:tcPr>
          <w:p w14:paraId="3BA6EB84"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 128,750,000 </w:t>
            </w:r>
          </w:p>
        </w:tc>
        <w:tc>
          <w:tcPr>
            <w:tcW w:w="306" w:type="pct"/>
            <w:tcBorders>
              <w:top w:val="nil"/>
              <w:left w:val="nil"/>
              <w:bottom w:val="nil"/>
              <w:right w:val="single" w:sz="8" w:space="0" w:color="auto"/>
            </w:tcBorders>
            <w:shd w:val="clear" w:color="auto" w:fill="auto"/>
            <w:noWrap/>
            <w:vAlign w:val="center"/>
            <w:hideMark/>
          </w:tcPr>
          <w:p w14:paraId="0DA60AD6"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 </w:t>
            </w:r>
          </w:p>
        </w:tc>
      </w:tr>
      <w:tr w:rsidR="00F472F9" w:rsidRPr="00C36B57" w14:paraId="7C01A0C4" w14:textId="77777777" w:rsidTr="00476B84">
        <w:trPr>
          <w:trHeight w:val="255"/>
        </w:trPr>
        <w:tc>
          <w:tcPr>
            <w:tcW w:w="3085" w:type="pct"/>
            <w:tcBorders>
              <w:top w:val="nil"/>
              <w:left w:val="single" w:sz="8" w:space="0" w:color="auto"/>
              <w:bottom w:val="nil"/>
              <w:right w:val="nil"/>
            </w:tcBorders>
            <w:shd w:val="clear" w:color="auto" w:fill="auto"/>
            <w:noWrap/>
            <w:vAlign w:val="center"/>
            <w:hideMark/>
          </w:tcPr>
          <w:p w14:paraId="6311789C"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3.2 Programa de eficiência no uso e gestão de águas de abastecimento e residuárias</w:t>
            </w:r>
          </w:p>
        </w:tc>
        <w:tc>
          <w:tcPr>
            <w:tcW w:w="752" w:type="pct"/>
            <w:tcBorders>
              <w:top w:val="nil"/>
              <w:left w:val="nil"/>
              <w:bottom w:val="nil"/>
              <w:right w:val="nil"/>
            </w:tcBorders>
            <w:shd w:val="clear" w:color="auto" w:fill="auto"/>
            <w:noWrap/>
            <w:vAlign w:val="center"/>
            <w:hideMark/>
          </w:tcPr>
          <w:p w14:paraId="304CD2BD"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5,421,000 </w:t>
            </w:r>
          </w:p>
        </w:tc>
        <w:tc>
          <w:tcPr>
            <w:tcW w:w="857" w:type="pct"/>
            <w:tcBorders>
              <w:top w:val="nil"/>
              <w:left w:val="nil"/>
              <w:bottom w:val="nil"/>
              <w:right w:val="nil"/>
            </w:tcBorders>
            <w:shd w:val="clear" w:color="auto" w:fill="auto"/>
            <w:noWrap/>
            <w:vAlign w:val="center"/>
            <w:hideMark/>
          </w:tcPr>
          <w:p w14:paraId="0E3D5CE1"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 27,105,000 </w:t>
            </w:r>
          </w:p>
        </w:tc>
        <w:tc>
          <w:tcPr>
            <w:tcW w:w="306" w:type="pct"/>
            <w:tcBorders>
              <w:top w:val="nil"/>
              <w:left w:val="nil"/>
              <w:bottom w:val="nil"/>
              <w:right w:val="single" w:sz="8" w:space="0" w:color="auto"/>
            </w:tcBorders>
            <w:shd w:val="clear" w:color="auto" w:fill="auto"/>
            <w:noWrap/>
            <w:vAlign w:val="center"/>
            <w:hideMark/>
          </w:tcPr>
          <w:p w14:paraId="6320CA66"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 </w:t>
            </w:r>
          </w:p>
        </w:tc>
      </w:tr>
      <w:tr w:rsidR="00F472F9" w:rsidRPr="00C36B57" w14:paraId="7C34029C" w14:textId="77777777" w:rsidTr="00476B84">
        <w:trPr>
          <w:trHeight w:val="255"/>
        </w:trPr>
        <w:tc>
          <w:tcPr>
            <w:tcW w:w="3085" w:type="pct"/>
            <w:tcBorders>
              <w:top w:val="nil"/>
              <w:left w:val="single" w:sz="8" w:space="0" w:color="auto"/>
              <w:bottom w:val="nil"/>
              <w:right w:val="nil"/>
            </w:tcBorders>
            <w:shd w:val="clear" w:color="auto" w:fill="auto"/>
            <w:noWrap/>
            <w:vAlign w:val="center"/>
            <w:hideMark/>
          </w:tcPr>
          <w:p w14:paraId="658166C1"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3.3 Infraestrutura autossustentável do sistema prisional</w:t>
            </w:r>
          </w:p>
        </w:tc>
        <w:tc>
          <w:tcPr>
            <w:tcW w:w="752" w:type="pct"/>
            <w:tcBorders>
              <w:top w:val="nil"/>
              <w:left w:val="nil"/>
              <w:bottom w:val="nil"/>
              <w:right w:val="nil"/>
            </w:tcBorders>
            <w:shd w:val="clear" w:color="auto" w:fill="auto"/>
            <w:noWrap/>
            <w:vAlign w:val="center"/>
            <w:hideMark/>
          </w:tcPr>
          <w:p w14:paraId="304FD527"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3,485,900 </w:t>
            </w:r>
          </w:p>
        </w:tc>
        <w:tc>
          <w:tcPr>
            <w:tcW w:w="857" w:type="pct"/>
            <w:tcBorders>
              <w:top w:val="nil"/>
              <w:left w:val="nil"/>
              <w:bottom w:val="nil"/>
              <w:right w:val="nil"/>
            </w:tcBorders>
            <w:shd w:val="clear" w:color="auto" w:fill="auto"/>
            <w:noWrap/>
            <w:vAlign w:val="center"/>
            <w:hideMark/>
          </w:tcPr>
          <w:p w14:paraId="01B1073F"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 17,429,500 </w:t>
            </w:r>
          </w:p>
        </w:tc>
        <w:tc>
          <w:tcPr>
            <w:tcW w:w="306" w:type="pct"/>
            <w:tcBorders>
              <w:top w:val="nil"/>
              <w:left w:val="nil"/>
              <w:bottom w:val="nil"/>
              <w:right w:val="single" w:sz="8" w:space="0" w:color="auto"/>
            </w:tcBorders>
            <w:shd w:val="clear" w:color="auto" w:fill="auto"/>
            <w:noWrap/>
            <w:vAlign w:val="center"/>
            <w:hideMark/>
          </w:tcPr>
          <w:p w14:paraId="7F6FB9B3"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 </w:t>
            </w:r>
          </w:p>
        </w:tc>
      </w:tr>
      <w:tr w:rsidR="00F472F9" w:rsidRPr="00C36B57" w14:paraId="57CD2563" w14:textId="77777777" w:rsidTr="00476B84">
        <w:trPr>
          <w:trHeight w:val="255"/>
        </w:trPr>
        <w:tc>
          <w:tcPr>
            <w:tcW w:w="3085" w:type="pct"/>
            <w:tcBorders>
              <w:top w:val="nil"/>
              <w:left w:val="single" w:sz="8" w:space="0" w:color="auto"/>
              <w:bottom w:val="nil"/>
              <w:right w:val="nil"/>
            </w:tcBorders>
            <w:shd w:val="clear" w:color="auto" w:fill="auto"/>
            <w:noWrap/>
            <w:vAlign w:val="center"/>
            <w:hideMark/>
          </w:tcPr>
          <w:p w14:paraId="725511E1"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3.4 Gestão energética do sistema prisional</w:t>
            </w:r>
          </w:p>
        </w:tc>
        <w:tc>
          <w:tcPr>
            <w:tcW w:w="752" w:type="pct"/>
            <w:tcBorders>
              <w:top w:val="nil"/>
              <w:left w:val="nil"/>
              <w:bottom w:val="nil"/>
              <w:right w:val="nil"/>
            </w:tcBorders>
            <w:shd w:val="clear" w:color="auto" w:fill="auto"/>
            <w:noWrap/>
            <w:vAlign w:val="center"/>
            <w:hideMark/>
          </w:tcPr>
          <w:p w14:paraId="449BE4A4"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8,743,100 </w:t>
            </w:r>
          </w:p>
        </w:tc>
        <w:tc>
          <w:tcPr>
            <w:tcW w:w="857" w:type="pct"/>
            <w:tcBorders>
              <w:top w:val="nil"/>
              <w:left w:val="nil"/>
              <w:bottom w:val="nil"/>
              <w:right w:val="nil"/>
            </w:tcBorders>
            <w:shd w:val="clear" w:color="auto" w:fill="auto"/>
            <w:noWrap/>
            <w:vAlign w:val="center"/>
            <w:hideMark/>
          </w:tcPr>
          <w:p w14:paraId="2B9F43D1"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 43,715,500 </w:t>
            </w:r>
          </w:p>
        </w:tc>
        <w:tc>
          <w:tcPr>
            <w:tcW w:w="306" w:type="pct"/>
            <w:tcBorders>
              <w:top w:val="nil"/>
              <w:left w:val="nil"/>
              <w:bottom w:val="nil"/>
              <w:right w:val="single" w:sz="8" w:space="0" w:color="auto"/>
            </w:tcBorders>
            <w:shd w:val="clear" w:color="auto" w:fill="auto"/>
            <w:noWrap/>
            <w:vAlign w:val="center"/>
            <w:hideMark/>
          </w:tcPr>
          <w:p w14:paraId="17F97368"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 </w:t>
            </w:r>
          </w:p>
        </w:tc>
      </w:tr>
      <w:tr w:rsidR="00F472F9" w:rsidRPr="00C36B57" w14:paraId="3BEC979D" w14:textId="77777777" w:rsidTr="00476B84">
        <w:trPr>
          <w:trHeight w:val="255"/>
        </w:trPr>
        <w:tc>
          <w:tcPr>
            <w:tcW w:w="3085" w:type="pct"/>
            <w:tcBorders>
              <w:top w:val="nil"/>
              <w:left w:val="single" w:sz="8" w:space="0" w:color="auto"/>
              <w:bottom w:val="nil"/>
              <w:right w:val="nil"/>
            </w:tcBorders>
            <w:shd w:val="clear" w:color="000000" w:fill="8DB4E2"/>
            <w:noWrap/>
            <w:vAlign w:val="center"/>
            <w:hideMark/>
          </w:tcPr>
          <w:p w14:paraId="7420212D"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Administração do Programa</w:t>
            </w:r>
          </w:p>
        </w:tc>
        <w:tc>
          <w:tcPr>
            <w:tcW w:w="752" w:type="pct"/>
            <w:tcBorders>
              <w:top w:val="nil"/>
              <w:left w:val="nil"/>
              <w:bottom w:val="nil"/>
              <w:right w:val="nil"/>
            </w:tcBorders>
            <w:shd w:val="clear" w:color="000000" w:fill="8DB4E2"/>
            <w:noWrap/>
            <w:vAlign w:val="center"/>
            <w:hideMark/>
          </w:tcPr>
          <w:p w14:paraId="0FA5AFDD"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4,000,000 </w:t>
            </w:r>
          </w:p>
        </w:tc>
        <w:tc>
          <w:tcPr>
            <w:tcW w:w="857" w:type="pct"/>
            <w:tcBorders>
              <w:top w:val="nil"/>
              <w:left w:val="nil"/>
              <w:bottom w:val="nil"/>
              <w:right w:val="nil"/>
            </w:tcBorders>
            <w:shd w:val="clear" w:color="000000" w:fill="8DB4E2"/>
            <w:noWrap/>
            <w:vAlign w:val="center"/>
            <w:hideMark/>
          </w:tcPr>
          <w:p w14:paraId="62587624"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 20,000,000 </w:t>
            </w:r>
          </w:p>
        </w:tc>
        <w:tc>
          <w:tcPr>
            <w:tcW w:w="306" w:type="pct"/>
            <w:tcBorders>
              <w:top w:val="nil"/>
              <w:left w:val="nil"/>
              <w:bottom w:val="nil"/>
              <w:right w:val="single" w:sz="8" w:space="0" w:color="auto"/>
            </w:tcBorders>
            <w:shd w:val="clear" w:color="000000" w:fill="8DB4E2"/>
            <w:noWrap/>
            <w:vAlign w:val="center"/>
            <w:hideMark/>
          </w:tcPr>
          <w:p w14:paraId="76B94081"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4%</w:t>
            </w:r>
          </w:p>
        </w:tc>
      </w:tr>
      <w:tr w:rsidR="00F472F9" w:rsidRPr="00C36B57" w14:paraId="5B9E2BEE" w14:textId="77777777" w:rsidTr="00476B84">
        <w:trPr>
          <w:trHeight w:val="255"/>
        </w:trPr>
        <w:tc>
          <w:tcPr>
            <w:tcW w:w="3085" w:type="pct"/>
            <w:tcBorders>
              <w:top w:val="nil"/>
              <w:left w:val="single" w:sz="8" w:space="0" w:color="auto"/>
              <w:bottom w:val="nil"/>
              <w:right w:val="nil"/>
            </w:tcBorders>
            <w:shd w:val="clear" w:color="auto" w:fill="auto"/>
            <w:noWrap/>
            <w:vAlign w:val="center"/>
            <w:hideMark/>
          </w:tcPr>
          <w:p w14:paraId="7E813A86"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4.1 Apoio à Gestão do Programa</w:t>
            </w:r>
          </w:p>
        </w:tc>
        <w:tc>
          <w:tcPr>
            <w:tcW w:w="752" w:type="pct"/>
            <w:tcBorders>
              <w:top w:val="nil"/>
              <w:left w:val="nil"/>
              <w:bottom w:val="nil"/>
              <w:right w:val="nil"/>
            </w:tcBorders>
            <w:shd w:val="clear" w:color="auto" w:fill="auto"/>
            <w:noWrap/>
            <w:vAlign w:val="center"/>
            <w:hideMark/>
          </w:tcPr>
          <w:p w14:paraId="3EAF1460"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2,000,000 </w:t>
            </w:r>
          </w:p>
        </w:tc>
        <w:tc>
          <w:tcPr>
            <w:tcW w:w="857" w:type="pct"/>
            <w:tcBorders>
              <w:top w:val="nil"/>
              <w:left w:val="nil"/>
              <w:bottom w:val="nil"/>
              <w:right w:val="nil"/>
            </w:tcBorders>
            <w:shd w:val="clear" w:color="auto" w:fill="auto"/>
            <w:noWrap/>
            <w:vAlign w:val="center"/>
            <w:hideMark/>
          </w:tcPr>
          <w:p w14:paraId="5DAD7DB7"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 10,000,000 </w:t>
            </w:r>
          </w:p>
        </w:tc>
        <w:tc>
          <w:tcPr>
            <w:tcW w:w="306" w:type="pct"/>
            <w:tcBorders>
              <w:top w:val="nil"/>
              <w:left w:val="nil"/>
              <w:bottom w:val="nil"/>
              <w:right w:val="single" w:sz="8" w:space="0" w:color="auto"/>
            </w:tcBorders>
            <w:shd w:val="clear" w:color="auto" w:fill="auto"/>
            <w:noWrap/>
            <w:vAlign w:val="center"/>
            <w:hideMark/>
          </w:tcPr>
          <w:p w14:paraId="63BCC353"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 </w:t>
            </w:r>
          </w:p>
        </w:tc>
      </w:tr>
      <w:tr w:rsidR="00F472F9" w:rsidRPr="00C36B57" w14:paraId="03F6F03D" w14:textId="77777777" w:rsidTr="00476B84">
        <w:trPr>
          <w:trHeight w:val="255"/>
        </w:trPr>
        <w:tc>
          <w:tcPr>
            <w:tcW w:w="3085" w:type="pct"/>
            <w:tcBorders>
              <w:top w:val="nil"/>
              <w:left w:val="single" w:sz="8" w:space="0" w:color="auto"/>
              <w:bottom w:val="nil"/>
              <w:right w:val="nil"/>
            </w:tcBorders>
            <w:shd w:val="clear" w:color="auto" w:fill="auto"/>
            <w:noWrap/>
            <w:vAlign w:val="center"/>
            <w:hideMark/>
          </w:tcPr>
          <w:p w14:paraId="5E082F10"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4.2 Supervisão de Obras</w:t>
            </w:r>
          </w:p>
        </w:tc>
        <w:tc>
          <w:tcPr>
            <w:tcW w:w="752" w:type="pct"/>
            <w:tcBorders>
              <w:top w:val="nil"/>
              <w:left w:val="nil"/>
              <w:bottom w:val="nil"/>
              <w:right w:val="nil"/>
            </w:tcBorders>
            <w:shd w:val="clear" w:color="auto" w:fill="auto"/>
            <w:noWrap/>
            <w:vAlign w:val="center"/>
            <w:hideMark/>
          </w:tcPr>
          <w:p w14:paraId="7B025E56"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2,000,000 </w:t>
            </w:r>
          </w:p>
        </w:tc>
        <w:tc>
          <w:tcPr>
            <w:tcW w:w="857" w:type="pct"/>
            <w:tcBorders>
              <w:top w:val="nil"/>
              <w:left w:val="nil"/>
              <w:bottom w:val="nil"/>
              <w:right w:val="nil"/>
            </w:tcBorders>
            <w:shd w:val="clear" w:color="auto" w:fill="auto"/>
            <w:noWrap/>
            <w:vAlign w:val="center"/>
            <w:hideMark/>
          </w:tcPr>
          <w:p w14:paraId="24EA0E2B" w14:textId="77777777" w:rsidR="00F472F9" w:rsidRPr="00C36B57" w:rsidRDefault="00F472F9" w:rsidP="00476B84">
            <w:pPr>
              <w:pStyle w:val="NoSpacing"/>
              <w:jc w:val="right"/>
              <w:rPr>
                <w:rFonts w:ascii="Arial" w:hAnsi="Arial" w:cs="Arial"/>
                <w:sz w:val="18"/>
                <w:szCs w:val="18"/>
                <w:lang w:val="pt-BR" w:eastAsia="es-UY"/>
              </w:rPr>
            </w:pPr>
            <w:r w:rsidRPr="00C36B57">
              <w:rPr>
                <w:rFonts w:ascii="Arial" w:hAnsi="Arial" w:cs="Arial"/>
                <w:sz w:val="18"/>
                <w:szCs w:val="18"/>
                <w:lang w:val="pt-BR" w:eastAsia="es-UY"/>
              </w:rPr>
              <w:t xml:space="preserve"> 10,000,000 </w:t>
            </w:r>
          </w:p>
        </w:tc>
        <w:tc>
          <w:tcPr>
            <w:tcW w:w="306" w:type="pct"/>
            <w:tcBorders>
              <w:top w:val="nil"/>
              <w:left w:val="nil"/>
              <w:bottom w:val="nil"/>
              <w:right w:val="single" w:sz="8" w:space="0" w:color="auto"/>
            </w:tcBorders>
            <w:shd w:val="clear" w:color="auto" w:fill="auto"/>
            <w:noWrap/>
            <w:vAlign w:val="center"/>
            <w:hideMark/>
          </w:tcPr>
          <w:p w14:paraId="422E4417"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 </w:t>
            </w:r>
          </w:p>
        </w:tc>
      </w:tr>
      <w:tr w:rsidR="00F472F9" w:rsidRPr="00C36B57" w14:paraId="0412303A" w14:textId="77777777" w:rsidTr="00476B84">
        <w:trPr>
          <w:trHeight w:val="270"/>
        </w:trPr>
        <w:tc>
          <w:tcPr>
            <w:tcW w:w="3085" w:type="pct"/>
            <w:tcBorders>
              <w:top w:val="nil"/>
              <w:left w:val="single" w:sz="8" w:space="0" w:color="auto"/>
              <w:bottom w:val="single" w:sz="8" w:space="0" w:color="auto"/>
              <w:right w:val="nil"/>
            </w:tcBorders>
            <w:shd w:val="clear" w:color="000000" w:fill="000000"/>
            <w:noWrap/>
            <w:vAlign w:val="center"/>
            <w:hideMark/>
          </w:tcPr>
          <w:p w14:paraId="336B0B62" w14:textId="77777777" w:rsidR="00F472F9" w:rsidRPr="00C36B57" w:rsidRDefault="00F472F9" w:rsidP="00476B84">
            <w:pPr>
              <w:pStyle w:val="NoSpacing"/>
              <w:rPr>
                <w:rFonts w:ascii="Arial" w:hAnsi="Arial" w:cs="Arial"/>
                <w:color w:val="FDE9D9"/>
                <w:sz w:val="18"/>
                <w:szCs w:val="18"/>
                <w:lang w:val="pt-BR" w:eastAsia="es-UY"/>
              </w:rPr>
            </w:pPr>
            <w:r w:rsidRPr="00C36B57">
              <w:rPr>
                <w:rFonts w:ascii="Arial" w:hAnsi="Arial" w:cs="Arial"/>
                <w:color w:val="FDE9D9"/>
                <w:sz w:val="18"/>
                <w:szCs w:val="18"/>
                <w:lang w:val="pt-BR" w:eastAsia="es-UY"/>
              </w:rPr>
              <w:t>TOTAL</w:t>
            </w:r>
          </w:p>
        </w:tc>
        <w:tc>
          <w:tcPr>
            <w:tcW w:w="752" w:type="pct"/>
            <w:tcBorders>
              <w:top w:val="nil"/>
              <w:left w:val="nil"/>
              <w:bottom w:val="single" w:sz="8" w:space="0" w:color="auto"/>
              <w:right w:val="nil"/>
            </w:tcBorders>
            <w:shd w:val="clear" w:color="000000" w:fill="000000"/>
            <w:vAlign w:val="center"/>
            <w:hideMark/>
          </w:tcPr>
          <w:p w14:paraId="2CA0836C" w14:textId="77777777" w:rsidR="00F472F9" w:rsidRPr="00C36B57" w:rsidRDefault="00F472F9" w:rsidP="00476B84">
            <w:pPr>
              <w:pStyle w:val="NoSpacing"/>
              <w:jc w:val="right"/>
              <w:rPr>
                <w:rFonts w:ascii="Arial" w:hAnsi="Arial" w:cs="Arial"/>
                <w:color w:val="FDE9D9"/>
                <w:sz w:val="18"/>
                <w:szCs w:val="18"/>
                <w:lang w:val="pt-BR" w:eastAsia="es-UY"/>
              </w:rPr>
            </w:pPr>
            <w:r w:rsidRPr="00C36B57">
              <w:rPr>
                <w:rFonts w:ascii="Arial" w:hAnsi="Arial" w:cs="Arial"/>
                <w:color w:val="FDE9D9"/>
                <w:sz w:val="18"/>
                <w:szCs w:val="18"/>
                <w:lang w:val="pt-BR" w:eastAsia="es-UY"/>
              </w:rPr>
              <w:t xml:space="preserve">102,911,500 </w:t>
            </w:r>
          </w:p>
        </w:tc>
        <w:tc>
          <w:tcPr>
            <w:tcW w:w="857" w:type="pct"/>
            <w:tcBorders>
              <w:top w:val="nil"/>
              <w:left w:val="nil"/>
              <w:bottom w:val="single" w:sz="8" w:space="0" w:color="auto"/>
              <w:right w:val="nil"/>
            </w:tcBorders>
            <w:shd w:val="clear" w:color="000000" w:fill="000000"/>
            <w:vAlign w:val="center"/>
            <w:hideMark/>
          </w:tcPr>
          <w:p w14:paraId="24DE9164" w14:textId="77777777" w:rsidR="00F472F9" w:rsidRPr="00C36B57" w:rsidRDefault="00F472F9" w:rsidP="00476B84">
            <w:pPr>
              <w:pStyle w:val="NoSpacing"/>
              <w:jc w:val="right"/>
              <w:rPr>
                <w:rFonts w:ascii="Arial" w:hAnsi="Arial" w:cs="Arial"/>
                <w:color w:val="FDE9D9"/>
                <w:sz w:val="18"/>
                <w:szCs w:val="18"/>
                <w:lang w:val="pt-BR" w:eastAsia="es-UY"/>
              </w:rPr>
            </w:pPr>
            <w:r w:rsidRPr="00C36B57">
              <w:rPr>
                <w:rFonts w:ascii="Arial" w:hAnsi="Arial" w:cs="Arial"/>
                <w:color w:val="FDE9D9"/>
                <w:sz w:val="18"/>
                <w:szCs w:val="18"/>
                <w:lang w:val="pt-BR" w:eastAsia="es-UY"/>
              </w:rPr>
              <w:t xml:space="preserve"> 514,557,500 </w:t>
            </w:r>
          </w:p>
        </w:tc>
        <w:tc>
          <w:tcPr>
            <w:tcW w:w="306" w:type="pct"/>
            <w:tcBorders>
              <w:top w:val="nil"/>
              <w:left w:val="nil"/>
              <w:bottom w:val="nil"/>
              <w:right w:val="single" w:sz="8" w:space="0" w:color="auto"/>
            </w:tcBorders>
            <w:shd w:val="clear" w:color="000000" w:fill="8DB4E2"/>
            <w:noWrap/>
            <w:vAlign w:val="center"/>
            <w:hideMark/>
          </w:tcPr>
          <w:p w14:paraId="097C63ED" w14:textId="77777777" w:rsidR="00F472F9" w:rsidRPr="00C36B57" w:rsidRDefault="00F472F9" w:rsidP="00476B84">
            <w:pPr>
              <w:pStyle w:val="NoSpacing"/>
              <w:rPr>
                <w:rFonts w:ascii="Arial" w:hAnsi="Arial" w:cs="Arial"/>
                <w:sz w:val="18"/>
                <w:szCs w:val="18"/>
                <w:lang w:val="pt-BR" w:eastAsia="es-UY"/>
              </w:rPr>
            </w:pPr>
            <w:r w:rsidRPr="00C36B57">
              <w:rPr>
                <w:rFonts w:ascii="Arial" w:hAnsi="Arial" w:cs="Arial"/>
                <w:sz w:val="18"/>
                <w:szCs w:val="18"/>
                <w:lang w:val="pt-BR" w:eastAsia="es-UY"/>
              </w:rPr>
              <w:t>100%</w:t>
            </w:r>
          </w:p>
        </w:tc>
      </w:tr>
    </w:tbl>
    <w:p w14:paraId="0954C9FE" w14:textId="1DF84015" w:rsidR="00766845" w:rsidRPr="000B6C37" w:rsidRDefault="00FF4EED" w:rsidP="00F472F9">
      <w:pPr>
        <w:ind w:left="567" w:hanging="567"/>
        <w:jc w:val="left"/>
      </w:pPr>
      <w:r w:rsidRPr="000B6C37">
        <w:t>Taxa de câ</w:t>
      </w:r>
      <w:r w:rsidR="00B87DCE" w:rsidRPr="000B6C37">
        <w:t>mbio: US$1 = R$</w:t>
      </w:r>
      <w:r w:rsidR="00D53D07" w:rsidRPr="000B6C37">
        <w:t>5,0</w:t>
      </w:r>
      <w:r w:rsidR="00127B27" w:rsidRPr="000B6C37">
        <w:t>0</w:t>
      </w:r>
      <w:r w:rsidR="003930FD" w:rsidRPr="000B6C37">
        <w:t>.</w:t>
      </w:r>
    </w:p>
    <w:p w14:paraId="11D396A6" w14:textId="45444D46" w:rsidR="006E7C2A" w:rsidRPr="000B6C37" w:rsidRDefault="006E7C2A" w:rsidP="00CF1958">
      <w:pPr>
        <w:pStyle w:val="Heading2"/>
      </w:pPr>
      <w:bookmarkStart w:id="56" w:name="_Toc19790783"/>
      <w:bookmarkStart w:id="57" w:name="_Toc43470436"/>
      <w:bookmarkStart w:id="58" w:name="_Toc45546121"/>
      <w:bookmarkStart w:id="59" w:name="_Toc43719322"/>
      <w:r w:rsidRPr="000B6C37">
        <w:t>Condições Prévias ao Primeiro Desembolso</w:t>
      </w:r>
      <w:r w:rsidR="008879BA" w:rsidRPr="000B6C37">
        <w:t xml:space="preserve"> do Financiamento</w:t>
      </w:r>
      <w:bookmarkEnd w:id="56"/>
      <w:bookmarkEnd w:id="57"/>
      <w:bookmarkEnd w:id="58"/>
      <w:bookmarkEnd w:id="59"/>
    </w:p>
    <w:p w14:paraId="06C6D29E" w14:textId="39B3AE80" w:rsidR="00BD2B5B" w:rsidRPr="00D37D79" w:rsidRDefault="00BD2B5B" w:rsidP="00C7795F">
      <w:pPr>
        <w:pStyle w:val="ListParagraph"/>
        <w:numPr>
          <w:ilvl w:val="1"/>
          <w:numId w:val="26"/>
        </w:numPr>
        <w:ind w:left="709" w:hanging="709"/>
      </w:pPr>
      <w:bookmarkStart w:id="60" w:name="_Ref43290313"/>
      <w:r w:rsidRPr="00D37D79">
        <w:t>A</w:t>
      </w:r>
      <w:r w:rsidRPr="00075064">
        <w:t xml:space="preserve">demais das condições estabelecidas no Artigo 4º.01 das Normas Gerais do Contrato de Empréstimo, o Órgão Executor deverá </w:t>
      </w:r>
      <w:r w:rsidRPr="00D37D79">
        <w:t>demonstrar, à satisfação do Banco, antes do primeiro desembolso dos recursos do Financiamento:</w:t>
      </w:r>
    </w:p>
    <w:p w14:paraId="71C36C76" w14:textId="77777777" w:rsidR="00972916" w:rsidRPr="00D37D79" w:rsidRDefault="003D43BD" w:rsidP="00C7795F">
      <w:pPr>
        <w:pStyle w:val="ListParagraph"/>
        <w:numPr>
          <w:ilvl w:val="1"/>
          <w:numId w:val="26"/>
        </w:numPr>
        <w:ind w:left="709" w:hanging="709"/>
      </w:pPr>
      <w:r w:rsidRPr="00075064">
        <w:t>Condições</w:t>
      </w:r>
      <w:r w:rsidRPr="00D37D79">
        <w:t xml:space="preserve"> contratuais especiais precedentes ao primeiro desembolso do financiamento. O órgão executor deve apresentar evidências ao Banco: </w:t>
      </w:r>
    </w:p>
    <w:p w14:paraId="2BDD1705" w14:textId="6E54B3AD" w:rsidR="00972916" w:rsidRPr="000B6C37" w:rsidRDefault="003D43BD" w:rsidP="00C7795F">
      <w:pPr>
        <w:pStyle w:val="ListParagraph"/>
        <w:numPr>
          <w:ilvl w:val="0"/>
          <w:numId w:val="16"/>
        </w:numPr>
        <w:ind w:left="1134" w:hanging="425"/>
      </w:pPr>
      <w:r w:rsidRPr="000B6C37">
        <w:t>da entrada em vigor do ROP nos termos acordados com o Banco, a fim de estabelecer as diretrizes, procedimentos e mecanismos de coordenação a serem seguidos pelo órgão executor para a execução bem-sucedida do programa</w:t>
      </w:r>
      <w:r w:rsidR="00476B84" w:rsidRPr="00476B84">
        <w:t xml:space="preserve"> </w:t>
      </w:r>
      <w:r w:rsidR="00476B84">
        <w:t>incluídos os Termos de Referência da Gerenciadora de Obras.</w:t>
      </w:r>
      <w:r w:rsidRPr="000B6C37">
        <w:t xml:space="preserve"> </w:t>
      </w:r>
    </w:p>
    <w:p w14:paraId="6349F36A" w14:textId="34CB1796" w:rsidR="00544457" w:rsidRPr="000B6C37" w:rsidRDefault="003D43BD" w:rsidP="00C7795F">
      <w:pPr>
        <w:pStyle w:val="ListParagraph"/>
        <w:numPr>
          <w:ilvl w:val="0"/>
          <w:numId w:val="16"/>
        </w:numPr>
        <w:ind w:left="1134" w:hanging="425"/>
      </w:pPr>
      <w:r w:rsidRPr="000B6C37">
        <w:t xml:space="preserve">publicação, no Diário Oficial do Estado do Espírito Santo, do decreto que cria a UGP e a designação de seu Coordenador Geral com dedicação exclusiva ao Programa, de acordo com os termos acordados com o Banco, para garantir a qualidade e abrangência do </w:t>
      </w:r>
      <w:r w:rsidR="00476B84">
        <w:t>p</w:t>
      </w:r>
      <w:r w:rsidRPr="000B6C37">
        <w:t>rograma</w:t>
      </w:r>
      <w:r w:rsidR="00544457" w:rsidRPr="000B6C37">
        <w:t>.</w:t>
      </w:r>
    </w:p>
    <w:p w14:paraId="247C9E6F" w14:textId="427DE58D" w:rsidR="00544457" w:rsidRPr="00D37D79" w:rsidRDefault="00544457" w:rsidP="00C7795F">
      <w:pPr>
        <w:pStyle w:val="ListParagraph"/>
        <w:numPr>
          <w:ilvl w:val="1"/>
          <w:numId w:val="26"/>
        </w:numPr>
        <w:ind w:left="709" w:hanging="709"/>
      </w:pPr>
      <w:bookmarkStart w:id="61" w:name="_Ref43290329"/>
      <w:bookmarkStart w:id="62" w:name="_Hlk43045596"/>
      <w:bookmarkEnd w:id="60"/>
      <w:r w:rsidRPr="00D37D79">
        <w:t>Condições contratuais anteriores ao desembolso dos recursos dos respectivos Componentes</w:t>
      </w:r>
      <w:r w:rsidR="003F1C3B" w:rsidRPr="00D37D79">
        <w:t>:</w:t>
      </w:r>
    </w:p>
    <w:p w14:paraId="5BD6D37A" w14:textId="0B3F6012" w:rsidR="00544457" w:rsidRPr="000B6C37" w:rsidRDefault="0095751E" w:rsidP="00C7795F">
      <w:pPr>
        <w:pStyle w:val="ListParagraph"/>
        <w:numPr>
          <w:ilvl w:val="0"/>
          <w:numId w:val="17"/>
        </w:numPr>
        <w:ind w:left="1134" w:hanging="425"/>
      </w:pPr>
      <w:r>
        <w:t>As</w:t>
      </w:r>
      <w:r w:rsidR="00544457" w:rsidRPr="000B6C37">
        <w:t xml:space="preserve"> atividades relacionadas </w:t>
      </w:r>
      <w:r>
        <w:t xml:space="preserve">às medidas alternativas penais deverão guardar consonância comas políticas estabelecidas pelo </w:t>
      </w:r>
      <w:r w:rsidR="00544457" w:rsidRPr="000B6C37">
        <w:t xml:space="preserve">DEPEN e </w:t>
      </w:r>
      <w:r>
        <w:t xml:space="preserve">pelo </w:t>
      </w:r>
      <w:r w:rsidR="00544457" w:rsidRPr="000B6C37">
        <w:t xml:space="preserve">CNJ, para que sejam estabelecidas diretrizes que incentivem o fornecimento de penas alternativas à privação de liberdade utilizada pelos serviços dos Centros; </w:t>
      </w:r>
    </w:p>
    <w:p w14:paraId="5B7BD047" w14:textId="0D9BBD00" w:rsidR="00544457" w:rsidRPr="000B6C37" w:rsidRDefault="00544457" w:rsidP="00C7795F">
      <w:pPr>
        <w:pStyle w:val="ListParagraph"/>
        <w:numPr>
          <w:ilvl w:val="0"/>
          <w:numId w:val="17"/>
        </w:numPr>
        <w:ind w:left="1134" w:hanging="425"/>
      </w:pPr>
      <w:r w:rsidRPr="000B6C37">
        <w:lastRenderedPageBreak/>
        <w:t xml:space="preserve">Antes do início do Componente 2, a assinatura e entrada em vigor de um </w:t>
      </w:r>
      <w:r w:rsidR="0095751E">
        <w:t>convênio</w:t>
      </w:r>
      <w:r w:rsidRPr="000B6C37">
        <w:t xml:space="preserve">, </w:t>
      </w:r>
      <w:r w:rsidR="0095751E">
        <w:t>nos</w:t>
      </w:r>
      <w:r w:rsidRPr="000B6C37">
        <w:t xml:space="preserve"> termos previamente estabelecidos com o Banco, entre o </w:t>
      </w:r>
      <w:r w:rsidR="0095751E">
        <w:t>OE</w:t>
      </w:r>
      <w:r w:rsidR="0095751E" w:rsidRPr="000B6C37">
        <w:t xml:space="preserve"> </w:t>
      </w:r>
      <w:r w:rsidRPr="000B6C37">
        <w:t xml:space="preserve">e o Instituto de Tecnologia da Informação e Comunicação do Estado do Espírito Santo </w:t>
      </w:r>
      <w:r w:rsidR="0095751E">
        <w:t>(</w:t>
      </w:r>
      <w:r w:rsidRPr="000B6C37">
        <w:t>PRODEST</w:t>
      </w:r>
      <w:r w:rsidR="0095751E">
        <w:t>)</w:t>
      </w:r>
      <w:r w:rsidRPr="000B6C37">
        <w:t xml:space="preserve">, </w:t>
      </w:r>
      <w:r w:rsidR="0095751E">
        <w:t>que defina</w:t>
      </w:r>
      <w:r w:rsidR="0095751E" w:rsidRPr="000B6C37">
        <w:t xml:space="preserve"> </w:t>
      </w:r>
      <w:r w:rsidRPr="000B6C37">
        <w:t xml:space="preserve">as responsabilidades das partes, para que seja dada prioridade à aquisição e desenvolvimento dos sistemas de hardware e software contemplados no Programa; e </w:t>
      </w:r>
    </w:p>
    <w:p w14:paraId="6E383AF2" w14:textId="32B67150" w:rsidR="00544457" w:rsidRPr="000B6C37" w:rsidRDefault="00544457" w:rsidP="00C7795F">
      <w:pPr>
        <w:pStyle w:val="ListParagraph"/>
        <w:numPr>
          <w:ilvl w:val="0"/>
          <w:numId w:val="17"/>
        </w:numPr>
        <w:ind w:left="1134" w:hanging="425"/>
      </w:pPr>
      <w:r w:rsidRPr="000B6C37">
        <w:t xml:space="preserve">Antes do início </w:t>
      </w:r>
      <w:r w:rsidR="0095751E">
        <w:t>da obra do primeiro CIR, a contratação de uma consultoria, pelo Mutuário, aceitável para o Banco, para a garantia das salvaguardas penitenciárias</w:t>
      </w:r>
      <w:r w:rsidRPr="000B6C37">
        <w:t>, a fim de acompanhar o cumprimento da regulamentação aplicável em matéria de respeito aos direitos humanos e infraestrutura penitenciária.</w:t>
      </w:r>
    </w:p>
    <w:p w14:paraId="11AA7829" w14:textId="589F3377" w:rsidR="006E7C2A" w:rsidRPr="000B6C37" w:rsidRDefault="006E7C2A" w:rsidP="00CF1958">
      <w:pPr>
        <w:pStyle w:val="Heading2"/>
      </w:pPr>
      <w:bookmarkStart w:id="63" w:name="_Toc19790784"/>
      <w:bookmarkStart w:id="64" w:name="_Toc43470437"/>
      <w:bookmarkStart w:id="65" w:name="_Toc45546122"/>
      <w:bookmarkStart w:id="66" w:name="_Toc43719323"/>
      <w:bookmarkEnd w:id="61"/>
      <w:bookmarkEnd w:id="62"/>
      <w:r w:rsidRPr="000B6C37">
        <w:t>Dos Desembolsos e Repasses</w:t>
      </w:r>
      <w:bookmarkEnd w:id="63"/>
      <w:bookmarkEnd w:id="64"/>
      <w:bookmarkEnd w:id="65"/>
      <w:bookmarkEnd w:id="66"/>
    </w:p>
    <w:p w14:paraId="7E56FF79" w14:textId="77777777" w:rsidR="004C06CC" w:rsidRPr="000B6C37" w:rsidRDefault="004C06CC" w:rsidP="00C7795F">
      <w:pPr>
        <w:pStyle w:val="ListParagraph"/>
        <w:numPr>
          <w:ilvl w:val="1"/>
          <w:numId w:val="26"/>
        </w:numPr>
        <w:ind w:left="709" w:hanging="709"/>
      </w:pPr>
      <w:r w:rsidRPr="000B6C37">
        <w:t>Para a execução da operação, os métodos de desembolso disponíveis são os seguintes:</w:t>
      </w:r>
    </w:p>
    <w:p w14:paraId="6A93C78E" w14:textId="25D42A06" w:rsidR="004C06CC" w:rsidRPr="000B6C37" w:rsidRDefault="00527275" w:rsidP="00C7795F">
      <w:pPr>
        <w:pStyle w:val="ListParagraph"/>
        <w:numPr>
          <w:ilvl w:val="1"/>
          <w:numId w:val="26"/>
        </w:numPr>
        <w:ind w:left="709" w:hanging="709"/>
      </w:pPr>
      <w:r w:rsidRPr="00075064">
        <w:rPr>
          <w:b/>
          <w:bCs/>
        </w:rPr>
        <w:t>Antecipação</w:t>
      </w:r>
      <w:r w:rsidR="005A2DAE" w:rsidRPr="00075064">
        <w:rPr>
          <w:b/>
          <w:bCs/>
        </w:rPr>
        <w:t xml:space="preserve"> de fundos</w:t>
      </w:r>
      <w:r w:rsidR="00C64D21" w:rsidRPr="00075064">
        <w:rPr>
          <w:b/>
          <w:bCs/>
        </w:rPr>
        <w:t>.</w:t>
      </w:r>
      <w:r w:rsidR="004C06CC" w:rsidRPr="000B6C37">
        <w:t xml:space="preserve"> </w:t>
      </w:r>
      <w:r w:rsidR="000D5B1B" w:rsidRPr="00B51E3E">
        <w:t xml:space="preserve">Os desembolsos serão feitos sob a modalidade de financiamento antecipado, com base nas necessidades reais de liquidez do programa pelo período máximo de seis meses. Os desembolsos serão feitos para uma conta bancária especial em nome do programa para uso exclusivo dos recursos do empréstimo, conforme estabelecido no documento "Diretrizes de Gestão Financeira para Projetos Financiados pelo BID" (OP-273-12). </w:t>
      </w:r>
      <w:r w:rsidR="004C06CC" w:rsidRPr="000B6C37">
        <w:t xml:space="preserve">São antecipações de recursos com base nas necessidades reais de liquidez do </w:t>
      </w:r>
      <w:r w:rsidR="00F67832" w:rsidRPr="000B6C37">
        <w:t>Projeto</w:t>
      </w:r>
      <w:r w:rsidR="004C06CC" w:rsidRPr="000B6C37">
        <w:t xml:space="preserve">, respaldadas por compromissos assinados (contratos), ou previstas com </w:t>
      </w:r>
      <w:proofErr w:type="gramStart"/>
      <w:r w:rsidR="004C06CC" w:rsidRPr="000B6C37">
        <w:t>um alto grau de</w:t>
      </w:r>
      <w:proofErr w:type="gramEnd"/>
      <w:r w:rsidR="004C06CC" w:rsidRPr="000B6C37">
        <w:t xml:space="preserve"> certeza – por um prazo prede</w:t>
      </w:r>
      <w:r w:rsidR="00800E88" w:rsidRPr="000B6C37">
        <w:t xml:space="preserve">terminado e acordado com a </w:t>
      </w:r>
      <w:r w:rsidR="00CA34CD" w:rsidRPr="000B6C37">
        <w:t>SEJUS</w:t>
      </w:r>
      <w:r w:rsidR="004C06CC" w:rsidRPr="000B6C37">
        <w:t xml:space="preserve"> - para o pagamento pontual de gastos elegíveis imputáveis a empréstimos ou outro tipo de financiamento do Banco. Esse método, além de contribuir, geralmente, para a administração e o controle adequados do uso de recursos dos projetos, facilita, particularmente, a prestação de contas daqueles </w:t>
      </w:r>
      <w:r w:rsidR="00F67832" w:rsidRPr="000B6C37">
        <w:t>Projeto</w:t>
      </w:r>
      <w:r w:rsidR="004C06CC" w:rsidRPr="000B6C37">
        <w:t xml:space="preserve">s que determinam seu progresso físico-financeiro com base em metas ou marcos. Essas necessidades de liquidez surgem do plano financeiro do </w:t>
      </w:r>
      <w:r w:rsidR="00F67832" w:rsidRPr="000B6C37">
        <w:t>Projeto</w:t>
      </w:r>
      <w:r w:rsidR="004C06CC" w:rsidRPr="000B6C37">
        <w:t xml:space="preserve">, que deve ser articulado com o Plano Operacional Anual (POA) e o Plano de Aquisições (PA). Um aspecto que não deve ser negligenciado é a garantia de que os recursos do </w:t>
      </w:r>
      <w:r w:rsidR="00F67832" w:rsidRPr="000B6C37">
        <w:t>Projeto</w:t>
      </w:r>
      <w:r w:rsidR="004C06CC" w:rsidRPr="000B6C37">
        <w:t xml:space="preserve"> sejam incorporados ao orçamento geral do </w:t>
      </w:r>
      <w:r w:rsidR="00471A7B" w:rsidRPr="000B6C37">
        <w:t>estado</w:t>
      </w:r>
      <w:r w:rsidR="004C06CC" w:rsidRPr="000B6C37">
        <w:t xml:space="preserve">, já que de outro modo dificilmente serão executados oportunamente. A prestação de contas dos gastos elegíveis relacionados com adiantamentos recebidos deve ser apresentada quando pelo menos 80% do valor adiantado houver sido </w:t>
      </w:r>
      <w:proofErr w:type="gramStart"/>
      <w:r w:rsidR="004C06CC" w:rsidRPr="000B6C37">
        <w:t>utilizados</w:t>
      </w:r>
      <w:proofErr w:type="gramEnd"/>
      <w:r w:rsidR="00E92608" w:rsidRPr="000B6C37">
        <w:t xml:space="preserve"> em um prazo máximo de 180 dias</w:t>
      </w:r>
      <w:r w:rsidR="004C06CC" w:rsidRPr="000B6C37">
        <w:t>. Essas prestações devem ser apresentadas e aceitas pelo BID</w:t>
      </w:r>
      <w:r w:rsidR="00B41A17" w:rsidRPr="000B6C37">
        <w:t>,</w:t>
      </w:r>
      <w:r w:rsidR="004C06CC" w:rsidRPr="000B6C37">
        <w:t xml:space="preserve"> antes que o mutuário ou o executor possa receber outro adiantamento de recursos.</w:t>
      </w:r>
    </w:p>
    <w:p w14:paraId="425B8381" w14:textId="36778C4D" w:rsidR="004C06CC" w:rsidRPr="000B6C37" w:rsidRDefault="004C06CC" w:rsidP="00C7795F">
      <w:pPr>
        <w:pStyle w:val="ListParagraph"/>
        <w:numPr>
          <w:ilvl w:val="1"/>
          <w:numId w:val="26"/>
        </w:numPr>
        <w:ind w:left="709" w:hanging="709"/>
      </w:pPr>
      <w:r w:rsidRPr="00075064">
        <w:rPr>
          <w:b/>
          <w:bCs/>
        </w:rPr>
        <w:t>Reembolso</w:t>
      </w:r>
      <w:r w:rsidR="00527275" w:rsidRPr="00075064">
        <w:rPr>
          <w:b/>
          <w:bCs/>
        </w:rPr>
        <w:t xml:space="preserve">. </w:t>
      </w:r>
      <w:r w:rsidRPr="000B6C37">
        <w:t xml:space="preserve">O Banco reembolsa o órgão executor dos pagamentos que este tenha efetuado com </w:t>
      </w:r>
      <w:r w:rsidRPr="00075064">
        <w:rPr>
          <w:rFonts w:eastAsia="SimSun"/>
        </w:rPr>
        <w:t>recursos</w:t>
      </w:r>
      <w:r w:rsidRPr="000B6C37">
        <w:t xml:space="preserve"> próprios, a título de gastos elegíveis</w:t>
      </w:r>
      <w:r w:rsidR="00B41A17" w:rsidRPr="000B6C37">
        <w:t>,</w:t>
      </w:r>
      <w:r w:rsidRPr="000B6C37">
        <w:t xml:space="preserve"> incorridos a débito do </w:t>
      </w:r>
      <w:r w:rsidR="00F67832" w:rsidRPr="000B6C37">
        <w:t>Projeto</w:t>
      </w:r>
      <w:r w:rsidRPr="000B6C37">
        <w:t>. </w:t>
      </w:r>
    </w:p>
    <w:p w14:paraId="21B38DC8" w14:textId="0A8B9067" w:rsidR="004C06CC" w:rsidRPr="000B6C37" w:rsidRDefault="004C06CC" w:rsidP="00C7795F">
      <w:pPr>
        <w:pStyle w:val="ListParagraph"/>
        <w:numPr>
          <w:ilvl w:val="1"/>
          <w:numId w:val="26"/>
        </w:numPr>
        <w:ind w:left="709" w:hanging="709"/>
      </w:pPr>
      <w:r w:rsidRPr="00075064">
        <w:rPr>
          <w:b/>
          <w:bCs/>
        </w:rPr>
        <w:t>Pagamentos Diretos</w:t>
      </w:r>
      <w:r w:rsidR="00527275" w:rsidRPr="00075064">
        <w:rPr>
          <w:b/>
          <w:bCs/>
        </w:rPr>
        <w:t>.</w:t>
      </w:r>
      <w:r w:rsidRPr="000B6C37">
        <w:t xml:space="preserve"> Pagamentos efetuados pelo Banco a fornecedores ou empreiteiros no exterior, em nome do órgão executor, a título de bens e serviços elegíveis - de origem </w:t>
      </w:r>
      <w:r w:rsidRPr="00075064">
        <w:rPr>
          <w:rFonts w:eastAsia="SimSun"/>
        </w:rPr>
        <w:t>externa</w:t>
      </w:r>
      <w:r w:rsidRPr="000B6C37">
        <w:t xml:space="preserve"> ou local - destinados à execução do </w:t>
      </w:r>
      <w:r w:rsidR="00F67832" w:rsidRPr="000B6C37">
        <w:t>Projeto</w:t>
      </w:r>
      <w:r w:rsidRPr="000B6C37">
        <w:t>.</w:t>
      </w:r>
    </w:p>
    <w:p w14:paraId="0053002F" w14:textId="77777777" w:rsidR="00553B61" w:rsidRPr="000B6C37" w:rsidRDefault="00553B61" w:rsidP="00C7795F">
      <w:pPr>
        <w:pStyle w:val="ListParagraph"/>
        <w:numPr>
          <w:ilvl w:val="1"/>
          <w:numId w:val="26"/>
        </w:numPr>
        <w:ind w:left="709" w:hanging="709"/>
      </w:pPr>
      <w:r w:rsidRPr="000B6C37">
        <w:t>A revisão das informações de apoio que justificam os gastos ou pagamentos será realizada após o desembolso efetivo dos recu</w:t>
      </w:r>
      <w:r w:rsidR="00800E88" w:rsidRPr="000B6C37">
        <w:t>rsos pelo pessoal do BID ou pelo</w:t>
      </w:r>
      <w:r w:rsidRPr="000B6C37">
        <w:t xml:space="preserve"> Tribunal de Contas, considerando-se a oportunidade e o alcance pertinente das condições de risco fiduciário.  </w:t>
      </w:r>
    </w:p>
    <w:p w14:paraId="0B3ACC57" w14:textId="77777777" w:rsidR="00553B61" w:rsidRPr="000B6C37" w:rsidRDefault="00553B61" w:rsidP="00C7795F">
      <w:pPr>
        <w:pStyle w:val="ListParagraph"/>
        <w:numPr>
          <w:ilvl w:val="1"/>
          <w:numId w:val="26"/>
        </w:numPr>
        <w:ind w:left="709" w:hanging="709"/>
      </w:pPr>
      <w:r w:rsidRPr="000B6C37">
        <w:t xml:space="preserve">Em nenhum caso o órgão executor deverá entender que a revisão posterior realizada pelo Banco confirma, certifica ou </w:t>
      </w:r>
      <w:r w:rsidRPr="00075064">
        <w:rPr>
          <w:rFonts w:eastAsia="SimSun"/>
        </w:rPr>
        <w:t>substitui</w:t>
      </w:r>
      <w:r w:rsidRPr="000B6C37">
        <w:t xml:space="preserve"> sua responsabilidade fiduciária e sua própria gestão do </w:t>
      </w:r>
      <w:r w:rsidR="00F67832" w:rsidRPr="000B6C37">
        <w:t>Projeto</w:t>
      </w:r>
      <w:r w:rsidRPr="000B6C37">
        <w:t>. Nesse sentido, o órgão executor deverá assegurar a qualidade, a pertinência e a transparência da documentação que comprova os gastos submetidos à referida revisão.</w:t>
      </w:r>
    </w:p>
    <w:p w14:paraId="69BDE119" w14:textId="77777777" w:rsidR="00553B61" w:rsidRPr="00075064" w:rsidRDefault="00553B61" w:rsidP="00C7795F">
      <w:pPr>
        <w:pStyle w:val="ListParagraph"/>
        <w:numPr>
          <w:ilvl w:val="1"/>
          <w:numId w:val="26"/>
        </w:numPr>
        <w:ind w:left="709" w:hanging="709"/>
        <w:rPr>
          <w:b/>
        </w:rPr>
      </w:pPr>
      <w:r w:rsidRPr="000B6C37">
        <w:lastRenderedPageBreak/>
        <w:t>As solicitações de desembolso devem ser numeradas sequencialmente, independentemente da modalidade de desembolso utilizada. Além disso, somente poderão ser processadas as solicitações aprovadas por um funcionário designado cuja assinatura esteja registrada, de acordo com os termos do Acordo e em valores iguais ou inferiores (por motivo de ajustes) ao valor solicitado.</w:t>
      </w:r>
    </w:p>
    <w:p w14:paraId="34716CD7" w14:textId="77777777" w:rsidR="00553B61" w:rsidRPr="00075064" w:rsidRDefault="006E7C2A" w:rsidP="00C7795F">
      <w:pPr>
        <w:pStyle w:val="ListParagraph"/>
        <w:numPr>
          <w:ilvl w:val="1"/>
          <w:numId w:val="26"/>
        </w:numPr>
        <w:ind w:left="709" w:hanging="709"/>
        <w:rPr>
          <w:b/>
        </w:rPr>
      </w:pPr>
      <w:r w:rsidRPr="000B6C37">
        <w:t>Os pagamentos referentes a serviços ou bens adquiridos</w:t>
      </w:r>
      <w:r w:rsidR="00D27E04" w:rsidRPr="000B6C37">
        <w:t>,</w:t>
      </w:r>
      <w:r w:rsidRPr="000B6C37">
        <w:t xml:space="preserve"> somente serão realizados após recebidos e aprovados os </w:t>
      </w:r>
      <w:r w:rsidRPr="00075064">
        <w:rPr>
          <w:rFonts w:eastAsia="SimSun"/>
        </w:rPr>
        <w:t>produtos</w:t>
      </w:r>
      <w:r w:rsidRPr="000B6C37">
        <w:t>, bens ou relatórios de conclusão de etapas de obras, e conferidos e atestados todos os documentos comprobatórios e as faturas correspondentes.</w:t>
      </w:r>
    </w:p>
    <w:p w14:paraId="28B4F087" w14:textId="749C5CAD" w:rsidR="006E7C2A" w:rsidRPr="000B6C37" w:rsidRDefault="006E7C2A" w:rsidP="00CF1958">
      <w:pPr>
        <w:pStyle w:val="Heading2"/>
      </w:pPr>
      <w:bookmarkStart w:id="67" w:name="_Toc19790785"/>
      <w:bookmarkStart w:id="68" w:name="_Toc43470438"/>
      <w:bookmarkStart w:id="69" w:name="_Toc45546123"/>
      <w:bookmarkStart w:id="70" w:name="_Toc43719324"/>
      <w:r w:rsidRPr="000B6C37">
        <w:t>Do Reembolso de Despesas</w:t>
      </w:r>
      <w:bookmarkEnd w:id="67"/>
      <w:bookmarkEnd w:id="68"/>
      <w:bookmarkEnd w:id="69"/>
      <w:bookmarkEnd w:id="70"/>
    </w:p>
    <w:p w14:paraId="1E985C9B" w14:textId="118A92C6" w:rsidR="00C7795F" w:rsidRPr="00C7795F" w:rsidRDefault="00C7795F" w:rsidP="00C7795F">
      <w:pPr>
        <w:pStyle w:val="ListParagraph"/>
        <w:numPr>
          <w:ilvl w:val="1"/>
          <w:numId w:val="26"/>
        </w:numPr>
        <w:ind w:left="709" w:hanging="709"/>
      </w:pPr>
      <w:r w:rsidRPr="00C7795F">
        <w:rPr>
          <w:b/>
          <w:bCs/>
        </w:rPr>
        <w:t>Financiamento retroativo e reconhecimento de despesas.</w:t>
      </w:r>
      <w:r w:rsidRPr="00C7795F">
        <w:t xml:space="preserve"> A pedido do Estado de ES, o Banco pode financiar retroativamente a partir dos recursos do empréstimo, até 20% do montante do empréstimo proposto, e reconhecer da contribuição local, até 20% do montante estimado da contribuição local, despesas elegíveis nas categorias de obras, bens, serviços não-consultores, e serviços de consultoria relacionados com programas, tecnologia ou obras de infraestrutura para reinserção, realizados pelo mutuário antes da data de aprovação do empréstimo, desde que tenham sido cumpridos requisitos substancialmente semelhantes aos estabelecidos no contrato de empréstimo, incluindo o cumprimento das políticas de salvaguardas do BID. Tais despesas devem ter sido efetuadas a partir da data de aprovação do Perfil do Projeto (28 de </w:t>
      </w:r>
      <w:proofErr w:type="gramStart"/>
      <w:r w:rsidRPr="00C7795F">
        <w:t>Maio</w:t>
      </w:r>
      <w:proofErr w:type="gramEnd"/>
      <w:r w:rsidRPr="00C7795F">
        <w:t xml:space="preserve"> de 2020), mas em caso algum devem ser incluídas despesas efetuadas mais de 18 meses antes da data de aprovação do empréstimo. A gestão financeira seguirá as disposições do Guia OP-273-12.</w:t>
      </w:r>
    </w:p>
    <w:p w14:paraId="24C31AA0" w14:textId="0B49944F" w:rsidR="006E7C2A" w:rsidRPr="000B6C37" w:rsidRDefault="006E7C2A" w:rsidP="00C7795F">
      <w:pPr>
        <w:pStyle w:val="ListParagraph"/>
        <w:numPr>
          <w:ilvl w:val="1"/>
          <w:numId w:val="26"/>
        </w:numPr>
        <w:ind w:left="709" w:hanging="709"/>
      </w:pPr>
      <w:r w:rsidRPr="000B6C37">
        <w:t>O reembolso de despesas</w:t>
      </w:r>
      <w:r w:rsidR="00D27E04" w:rsidRPr="000B6C37">
        <w:t>,</w:t>
      </w:r>
      <w:r w:rsidRPr="000B6C37">
        <w:t xml:space="preserve"> realizadas anteriormente ao início dos desembolsos do Contrato de Empréstimo</w:t>
      </w:r>
      <w:r w:rsidR="0092701F" w:rsidRPr="000B6C37">
        <w:t>,</w:t>
      </w:r>
      <w:r w:rsidRPr="000B6C37">
        <w:t xml:space="preserve"> somente </w:t>
      </w:r>
      <w:r w:rsidRPr="00075064">
        <w:rPr>
          <w:rFonts w:eastAsia="SimSun"/>
        </w:rPr>
        <w:t>será</w:t>
      </w:r>
      <w:r w:rsidRPr="000B6C37">
        <w:t xml:space="preserve"> efetuado se observadas as seguintes condições:</w:t>
      </w:r>
    </w:p>
    <w:p w14:paraId="6BE13AB9" w14:textId="63A50660" w:rsidR="006E7C2A" w:rsidRPr="000B6C37" w:rsidRDefault="006E7C2A" w:rsidP="00C7795F">
      <w:pPr>
        <w:pStyle w:val="ListParagraph"/>
        <w:numPr>
          <w:ilvl w:val="1"/>
          <w:numId w:val="26"/>
        </w:numPr>
        <w:ind w:left="709" w:hanging="709"/>
      </w:pPr>
      <w:r w:rsidRPr="000B6C37">
        <w:t xml:space="preserve">Os procedimentos </w:t>
      </w:r>
      <w:r w:rsidRPr="00075064">
        <w:rPr>
          <w:rFonts w:eastAsia="SimSun"/>
        </w:rPr>
        <w:t>previstos</w:t>
      </w:r>
      <w:r w:rsidRPr="000B6C37">
        <w:t xml:space="preserve"> no Contrato de Empréstimo </w:t>
      </w:r>
      <w:r w:rsidR="00C04686" w:rsidRPr="000B6C37">
        <w:t>____</w:t>
      </w:r>
      <w:r w:rsidRPr="000B6C37">
        <w:t>/OC-BR e neste Regulamento tenham sido observados;</w:t>
      </w:r>
    </w:p>
    <w:p w14:paraId="3A96B9CD" w14:textId="77777777" w:rsidR="006E7C2A" w:rsidRPr="000B6C37" w:rsidRDefault="006E7C2A" w:rsidP="00C7795F">
      <w:pPr>
        <w:pStyle w:val="ListParagraph"/>
        <w:numPr>
          <w:ilvl w:val="1"/>
          <w:numId w:val="26"/>
        </w:numPr>
        <w:ind w:left="709" w:hanging="709"/>
      </w:pPr>
      <w:r w:rsidRPr="000B6C37">
        <w:t xml:space="preserve">Toda a documentação </w:t>
      </w:r>
      <w:r w:rsidRPr="00075064">
        <w:rPr>
          <w:rFonts w:eastAsia="SimSun"/>
        </w:rPr>
        <w:t>relativa</w:t>
      </w:r>
      <w:r w:rsidRPr="000B6C37">
        <w:t xml:space="preserve"> à despesa realizada for apresentada.</w:t>
      </w:r>
    </w:p>
    <w:p w14:paraId="56869D00" w14:textId="48F9B258" w:rsidR="006E7C2A" w:rsidRPr="00075064" w:rsidRDefault="003336B3" w:rsidP="00C7795F">
      <w:pPr>
        <w:pStyle w:val="ListParagraph"/>
        <w:numPr>
          <w:ilvl w:val="1"/>
          <w:numId w:val="26"/>
        </w:numPr>
        <w:ind w:left="709" w:hanging="709"/>
        <w:rPr>
          <w:b/>
        </w:rPr>
      </w:pPr>
      <w:r w:rsidRPr="000B6C37">
        <w:t xml:space="preserve">A </w:t>
      </w:r>
      <w:r w:rsidR="003931CB" w:rsidRPr="000B6C37">
        <w:t>SEJUS</w:t>
      </w:r>
      <w:r w:rsidR="006E7C2A" w:rsidRPr="000B6C37">
        <w:t xml:space="preserve">, na qualidade de Órgão Executor do </w:t>
      </w:r>
      <w:r w:rsidR="00F67832" w:rsidRPr="000B6C37">
        <w:t>Projeto</w:t>
      </w:r>
      <w:r w:rsidR="006E7C2A" w:rsidRPr="000B6C37">
        <w:t xml:space="preserve">, centralizará, na periodicidade estabelecida no Contrato de Empréstimo, ou quando solicitadas pelo BID, as informações com relação aos desembolsos efetuados. </w:t>
      </w:r>
    </w:p>
    <w:p w14:paraId="4CD5F633" w14:textId="429949EF" w:rsidR="002167D4" w:rsidRPr="000B6C37" w:rsidRDefault="002167D4" w:rsidP="00CF1958">
      <w:pPr>
        <w:pStyle w:val="Heading2"/>
      </w:pPr>
      <w:bookmarkStart w:id="71" w:name="_Toc19790786"/>
      <w:bookmarkStart w:id="72" w:name="_Toc43470439"/>
      <w:bookmarkStart w:id="73" w:name="_Toc45546124"/>
      <w:bookmarkStart w:id="74" w:name="_Toc43719325"/>
      <w:r w:rsidRPr="000B6C37">
        <w:t>Prestação de Contas</w:t>
      </w:r>
      <w:bookmarkEnd w:id="71"/>
      <w:bookmarkEnd w:id="72"/>
      <w:bookmarkEnd w:id="73"/>
      <w:bookmarkEnd w:id="74"/>
    </w:p>
    <w:p w14:paraId="4752D134" w14:textId="3FBC796E" w:rsidR="002167D4" w:rsidRPr="000B6C37" w:rsidRDefault="002167D4" w:rsidP="00C7795F">
      <w:pPr>
        <w:pStyle w:val="ListParagraph"/>
        <w:numPr>
          <w:ilvl w:val="1"/>
          <w:numId w:val="26"/>
        </w:numPr>
        <w:ind w:left="709" w:hanging="709"/>
      </w:pPr>
      <w:r w:rsidRPr="000B6C37">
        <w:t xml:space="preserve">Com o fim de permitir o acompanhamento adequado do </w:t>
      </w:r>
      <w:r w:rsidR="00D850F0" w:rsidRPr="000B6C37">
        <w:t>p</w:t>
      </w:r>
      <w:r w:rsidR="00F67832" w:rsidRPr="000B6C37">
        <w:t>rojeto</w:t>
      </w:r>
      <w:r w:rsidRPr="000B6C37">
        <w:t xml:space="preserve"> e, ao mesmo tempo, manter os custos de transações </w:t>
      </w:r>
      <w:r w:rsidRPr="00075064">
        <w:rPr>
          <w:rFonts w:eastAsia="SimSun"/>
        </w:rPr>
        <w:t>em</w:t>
      </w:r>
      <w:r w:rsidRPr="000B6C37">
        <w:t xml:space="preserve"> um patamar razoável, recomenda-se que as prestações de contas dos gastos efetuados sejam apresentadas ao BID pelo menos duas e não mais de cinco vezes por ano. Essa frequência deverá ser previamente acordada com o BID como parte dos Acordos e Requisitos de Desembolsos e avaliada durante a execução do </w:t>
      </w:r>
      <w:r w:rsidR="00D850F0" w:rsidRPr="000B6C37">
        <w:t>p</w:t>
      </w:r>
      <w:r w:rsidR="00F67832" w:rsidRPr="000B6C37">
        <w:t>rojeto</w:t>
      </w:r>
      <w:r w:rsidRPr="000B6C37">
        <w:t>.</w:t>
      </w:r>
    </w:p>
    <w:p w14:paraId="4F308717" w14:textId="575CF488" w:rsidR="002167D4" w:rsidRPr="000B6C37" w:rsidRDefault="002167D4" w:rsidP="00C7795F">
      <w:pPr>
        <w:pStyle w:val="ListParagraph"/>
        <w:numPr>
          <w:ilvl w:val="1"/>
          <w:numId w:val="26"/>
        </w:numPr>
        <w:ind w:left="709" w:hanging="709"/>
      </w:pPr>
      <w:r w:rsidRPr="000B6C37">
        <w:t>Como regra geral, desde que o Projeto esteja so</w:t>
      </w:r>
      <w:r w:rsidR="00A81E91" w:rsidRPr="000B6C37">
        <w:t xml:space="preserve">b a modalidade de supervisão </w:t>
      </w:r>
      <w:r w:rsidR="00A81E91" w:rsidRPr="00075064">
        <w:rPr>
          <w:i/>
        </w:rPr>
        <w:t xml:space="preserve">ex </w:t>
      </w:r>
      <w:r w:rsidRPr="00075064">
        <w:rPr>
          <w:i/>
        </w:rPr>
        <w:t>post</w:t>
      </w:r>
      <w:r w:rsidRPr="000B6C37">
        <w:t xml:space="preserve"> o BID não exige que a prestação de contas venha acompanhada da documentação de apoio dos gastos ou pagamentos efetuados (i.e., fotocópias </w:t>
      </w:r>
      <w:proofErr w:type="gramStart"/>
      <w:r w:rsidRPr="000B6C37">
        <w:t>dos mesmos</w:t>
      </w:r>
      <w:proofErr w:type="gramEnd"/>
      <w:r w:rsidRPr="000B6C37">
        <w:t xml:space="preserve">). A </w:t>
      </w:r>
      <w:r w:rsidR="00782CE4" w:rsidRPr="000B6C37">
        <w:t>SEJUS</w:t>
      </w:r>
      <w:r w:rsidRPr="000B6C37">
        <w:t xml:space="preserve"> é responsável por providenciar os registros contábeis exigidos e manter os originais de toda a documentação de apoio, com referências cruzadas adequadas para as solicitações aprovadas correspondentes, em conformidade com as políticas de retenção de documentos do BID.</w:t>
      </w:r>
    </w:p>
    <w:p w14:paraId="13BB56F9" w14:textId="77777777" w:rsidR="002167D4" w:rsidRPr="000B6C37" w:rsidRDefault="002167D4" w:rsidP="00C7795F">
      <w:pPr>
        <w:pStyle w:val="ListParagraph"/>
        <w:numPr>
          <w:ilvl w:val="1"/>
          <w:numId w:val="26"/>
        </w:numPr>
        <w:ind w:left="709" w:hanging="709"/>
      </w:pPr>
      <w:r w:rsidRPr="000B6C37">
        <w:lastRenderedPageBreak/>
        <w:t xml:space="preserve">O propósito da prestação de contas é demonstrar o progresso financeiro do </w:t>
      </w:r>
      <w:r w:rsidR="00F67832" w:rsidRPr="000B6C37">
        <w:t>Projeto</w:t>
      </w:r>
      <w:r w:rsidRPr="000B6C37">
        <w:t xml:space="preserve"> e o uso de recursos por cada categoria de investimento (ou componente), e não significa a aprovação, por parte do BID, dos gastos efetuados.</w:t>
      </w:r>
    </w:p>
    <w:p w14:paraId="15044B3A" w14:textId="77777777" w:rsidR="00177441" w:rsidRPr="000B6C37" w:rsidRDefault="002167D4" w:rsidP="00C7795F">
      <w:pPr>
        <w:pStyle w:val="ListParagraph"/>
        <w:numPr>
          <w:ilvl w:val="1"/>
          <w:numId w:val="26"/>
        </w:numPr>
        <w:ind w:left="709" w:hanging="709"/>
      </w:pPr>
      <w:r w:rsidRPr="000B6C37">
        <w:t>A prestação de contas dos gastos elegíveis relacionados com adiantamentos recebidos deve ser apresentada quando</w:t>
      </w:r>
      <w:r w:rsidR="00177441" w:rsidRPr="000B6C37">
        <w:t>, como regra geral,</w:t>
      </w:r>
      <w:r w:rsidRPr="000B6C37">
        <w:t xml:space="preserve"> pelo menos 80% do valor adiantado houverem sido utilizados.  </w:t>
      </w:r>
      <w:r w:rsidR="00177441" w:rsidRPr="000B6C37">
        <w:t>O percentual poderá ser reduzido para casos especiais, segundo os rangos y critérios estabelecidos, na Guia de Gestão Financeira para Projetos Financiados pelo BID (OP-273-6). A aprovação de tais mudanças será feita pelo Representante e requererá a concordância do Chefe de Divisão caso a modificação seja permanente</w:t>
      </w:r>
    </w:p>
    <w:p w14:paraId="60C6AF75" w14:textId="77777777" w:rsidR="002167D4" w:rsidRPr="000B6C37" w:rsidRDefault="00177441" w:rsidP="00C7795F">
      <w:pPr>
        <w:pStyle w:val="ListParagraph"/>
        <w:numPr>
          <w:ilvl w:val="1"/>
          <w:numId w:val="26"/>
        </w:numPr>
        <w:ind w:left="709" w:hanging="709"/>
      </w:pPr>
      <w:r w:rsidRPr="000B6C37">
        <w:t xml:space="preserve">As </w:t>
      </w:r>
      <w:r w:rsidR="002167D4" w:rsidRPr="000B6C37">
        <w:t>prestações devem ser apresentadas e aceitas pelo BID antes que o mutuário ou o executor possa receber outro adiantamento de recursos.</w:t>
      </w:r>
    </w:p>
    <w:p w14:paraId="37B91669" w14:textId="41948AEF" w:rsidR="006E7C2A" w:rsidRPr="000B6C37" w:rsidRDefault="006E7C2A" w:rsidP="00CF1958">
      <w:pPr>
        <w:pStyle w:val="Heading2"/>
      </w:pPr>
      <w:bookmarkStart w:id="75" w:name="_Toc19790787"/>
      <w:bookmarkStart w:id="76" w:name="_Toc43470440"/>
      <w:bookmarkStart w:id="77" w:name="_Toc45546125"/>
      <w:bookmarkStart w:id="78" w:name="_Toc43719326"/>
      <w:r w:rsidRPr="000B6C37">
        <w:t>Das Restrições ao Uso dos Recursos do Financiamento do BID</w:t>
      </w:r>
      <w:bookmarkEnd w:id="75"/>
      <w:bookmarkEnd w:id="76"/>
      <w:bookmarkEnd w:id="77"/>
      <w:bookmarkEnd w:id="78"/>
    </w:p>
    <w:p w14:paraId="03B2EBAB" w14:textId="77777777" w:rsidR="006E7C2A" w:rsidRPr="000B6C37" w:rsidRDefault="006E7C2A" w:rsidP="00C7795F">
      <w:pPr>
        <w:pStyle w:val="ListParagraph"/>
        <w:numPr>
          <w:ilvl w:val="1"/>
          <w:numId w:val="26"/>
        </w:numPr>
        <w:ind w:left="709" w:hanging="709"/>
      </w:pPr>
      <w:r w:rsidRPr="000B6C37">
        <w:t>Os recursos do financiamento do BID não poderão ser utilizados para:</w:t>
      </w:r>
    </w:p>
    <w:p w14:paraId="0207BBBE" w14:textId="77777777" w:rsidR="006E7C2A" w:rsidRPr="000B6C37" w:rsidRDefault="006E7C2A" w:rsidP="00C7795F">
      <w:pPr>
        <w:pStyle w:val="ListParagraph"/>
        <w:numPr>
          <w:ilvl w:val="0"/>
          <w:numId w:val="18"/>
        </w:numPr>
        <w:ind w:left="1134" w:hanging="425"/>
      </w:pPr>
      <w:r w:rsidRPr="000B6C37">
        <w:t>Despesas não previstas no Plano de Aquisições aprovado pelo BID;</w:t>
      </w:r>
    </w:p>
    <w:p w14:paraId="7DBA1979" w14:textId="77777777" w:rsidR="006E7C2A" w:rsidRPr="000B6C37" w:rsidRDefault="006E7C2A" w:rsidP="00C7795F">
      <w:pPr>
        <w:pStyle w:val="ListParagraph"/>
        <w:numPr>
          <w:ilvl w:val="0"/>
          <w:numId w:val="18"/>
        </w:numPr>
        <w:ind w:left="1134" w:hanging="425"/>
      </w:pPr>
      <w:r w:rsidRPr="000B6C37">
        <w:t>Financiar ou refinanciar dívidas;</w:t>
      </w:r>
    </w:p>
    <w:p w14:paraId="677032AA" w14:textId="77777777" w:rsidR="006E7C2A" w:rsidRPr="000B6C37" w:rsidRDefault="006E7C2A" w:rsidP="00C7795F">
      <w:pPr>
        <w:pStyle w:val="ListParagraph"/>
        <w:numPr>
          <w:ilvl w:val="0"/>
          <w:numId w:val="18"/>
        </w:numPr>
        <w:ind w:left="1134" w:hanging="425"/>
      </w:pPr>
      <w:r w:rsidRPr="000B6C37">
        <w:t>Capital de giro;</w:t>
      </w:r>
    </w:p>
    <w:p w14:paraId="56549054" w14:textId="77777777" w:rsidR="006E7C2A" w:rsidRPr="000B6C37" w:rsidRDefault="006E7C2A" w:rsidP="00C7795F">
      <w:pPr>
        <w:pStyle w:val="ListParagraph"/>
        <w:numPr>
          <w:ilvl w:val="0"/>
          <w:numId w:val="18"/>
        </w:numPr>
        <w:ind w:left="1134" w:hanging="425"/>
      </w:pPr>
      <w:r w:rsidRPr="000B6C37">
        <w:t>Despesas correntes de pessoal, operação e manutenção, não incrementais;</w:t>
      </w:r>
    </w:p>
    <w:p w14:paraId="0531C7ED" w14:textId="77777777" w:rsidR="006E7C2A" w:rsidRPr="000B6C37" w:rsidRDefault="006E7C2A" w:rsidP="00C7795F">
      <w:pPr>
        <w:pStyle w:val="ListParagraph"/>
        <w:numPr>
          <w:ilvl w:val="0"/>
          <w:numId w:val="18"/>
        </w:numPr>
        <w:ind w:left="1134" w:hanging="425"/>
      </w:pPr>
      <w:r w:rsidRPr="000B6C37">
        <w:t>Compra de ações;</w:t>
      </w:r>
    </w:p>
    <w:p w14:paraId="61CF87AB" w14:textId="77777777" w:rsidR="006E7C2A" w:rsidRPr="000B6C37" w:rsidRDefault="006E7C2A" w:rsidP="00C7795F">
      <w:pPr>
        <w:pStyle w:val="ListParagraph"/>
        <w:numPr>
          <w:ilvl w:val="0"/>
          <w:numId w:val="18"/>
        </w:numPr>
        <w:ind w:left="1134" w:hanging="425"/>
      </w:pPr>
      <w:r w:rsidRPr="000B6C37">
        <w:t>Aquisição de bens ou contratações de serviços oriundos de países que não sejam membros do BID;</w:t>
      </w:r>
    </w:p>
    <w:p w14:paraId="71948A47" w14:textId="77777777" w:rsidR="006E7C2A" w:rsidRPr="000B6C37" w:rsidRDefault="006E7C2A" w:rsidP="00C7795F">
      <w:pPr>
        <w:pStyle w:val="ListParagraph"/>
        <w:numPr>
          <w:ilvl w:val="0"/>
          <w:numId w:val="18"/>
        </w:numPr>
        <w:ind w:left="1134" w:hanging="425"/>
      </w:pPr>
      <w:r w:rsidRPr="000B6C37">
        <w:t>Projetos que não estejam de acordo com a legislação brasileira de proteção ao meio ambiente;</w:t>
      </w:r>
    </w:p>
    <w:p w14:paraId="6A89B9DB" w14:textId="77777777" w:rsidR="006E7C2A" w:rsidRPr="000B6C37" w:rsidRDefault="006E7C2A" w:rsidP="00C7795F">
      <w:pPr>
        <w:pStyle w:val="ListParagraph"/>
        <w:numPr>
          <w:ilvl w:val="0"/>
          <w:numId w:val="18"/>
        </w:numPr>
        <w:ind w:left="1134" w:hanging="425"/>
      </w:pPr>
      <w:r w:rsidRPr="000B6C37">
        <w:t>Leasing.</w:t>
      </w:r>
    </w:p>
    <w:p w14:paraId="481EFE5E" w14:textId="773CB53F" w:rsidR="00D31214" w:rsidRPr="000B6C37" w:rsidRDefault="00053983" w:rsidP="00C7795F">
      <w:pPr>
        <w:pStyle w:val="ListParagraph"/>
        <w:numPr>
          <w:ilvl w:val="1"/>
          <w:numId w:val="26"/>
        </w:numPr>
        <w:ind w:left="709" w:hanging="709"/>
      </w:pPr>
      <w:r w:rsidRPr="00075064">
        <w:rPr>
          <w:b/>
          <w:bCs/>
        </w:rPr>
        <w:t>Auditor</w:t>
      </w:r>
      <w:r w:rsidR="0059591A" w:rsidRPr="00075064">
        <w:rPr>
          <w:b/>
          <w:bCs/>
        </w:rPr>
        <w:t>i</w:t>
      </w:r>
      <w:r w:rsidRPr="00075064">
        <w:rPr>
          <w:b/>
          <w:bCs/>
        </w:rPr>
        <w:t>as</w:t>
      </w:r>
      <w:r w:rsidRPr="00075064">
        <w:rPr>
          <w:b/>
        </w:rPr>
        <w:t>.</w:t>
      </w:r>
      <w:r w:rsidRPr="000B6C37">
        <w:t xml:space="preserve"> </w:t>
      </w:r>
      <w:r w:rsidR="004B597C" w:rsidRPr="00B51E3E">
        <w:t>As demonstrações financeiras do programa serão auditadas anualmente pelo Tribunal de Contas do Estado do Espírito Santo e, caso não estejam disponíveis, por uma empresa de auditoria externa independente aceitável para o Banco, a ser contratada pelo OE. As demonstrações financeiras auditadas deverão ser apresentadas ao Banco no prazo de 120 dias após o encerramento do exercício social de cada entidade, de acordo com os procedimentos e termos de referência previamente acordados com o Banco.</w:t>
      </w:r>
    </w:p>
    <w:p w14:paraId="7F08F16F" w14:textId="2C8C4719" w:rsidR="00B273E5" w:rsidRPr="00C7795F" w:rsidRDefault="00B273E5" w:rsidP="00C7795F">
      <w:pPr>
        <w:pStyle w:val="ListParagraph"/>
        <w:numPr>
          <w:ilvl w:val="1"/>
          <w:numId w:val="26"/>
        </w:numPr>
        <w:ind w:left="709" w:hanging="709"/>
      </w:pPr>
      <w:r w:rsidRPr="00075064">
        <w:rPr>
          <w:b/>
          <w:bCs/>
        </w:rPr>
        <w:t>Programação e Orçamento.</w:t>
      </w:r>
      <w:r w:rsidRPr="000B6C37">
        <w:t xml:space="preserve"> </w:t>
      </w:r>
      <w:r w:rsidR="00EC3A90" w:rsidRPr="000B6C37">
        <w:t>A</w:t>
      </w:r>
      <w:r w:rsidRPr="000B6C37">
        <w:t xml:space="preserve"> SEJUS/ES, através da UGP, será responsável pela coordenação do processo de planejamento para a execução das atividades, conforme previsto no </w:t>
      </w:r>
      <w:r w:rsidR="00EC3A90" w:rsidRPr="000B6C37">
        <w:t>PEP</w:t>
      </w:r>
      <w:r w:rsidRPr="000B6C37">
        <w:t xml:space="preserve"> e no POA. As entidades do Estado do Espírito Santo utilizam os instrumentos de Planejamento: PPA (Plano Plurianual), LDO (Lei de Diretrizes Orçamentárias), que prevê as diretrizes orçamentárias, e a Lei Orçamentária Anual (LOA). </w:t>
      </w:r>
      <w:r w:rsidRPr="00C7795F">
        <w:t xml:space="preserve">O orçamento do </w:t>
      </w:r>
      <w:r w:rsidR="00486D15" w:rsidRPr="00C7795F">
        <w:t>P</w:t>
      </w:r>
      <w:r w:rsidRPr="00C7795F">
        <w:t>rojeto será parte do LOA.</w:t>
      </w:r>
    </w:p>
    <w:p w14:paraId="6B2523B8" w14:textId="568A1E2A" w:rsidR="00B273E5" w:rsidRPr="00D37D79" w:rsidRDefault="00B273E5" w:rsidP="00C7795F">
      <w:pPr>
        <w:pStyle w:val="ListParagraph"/>
        <w:numPr>
          <w:ilvl w:val="1"/>
          <w:numId w:val="26"/>
        </w:numPr>
        <w:ind w:left="709" w:hanging="709"/>
      </w:pPr>
      <w:r w:rsidRPr="000B6C37">
        <w:t>A UGP deve assegurar que os recursos orçamentários para o projeto, o Banco e a contribuição local sejam devidamente orçados anualmente e assegurados para implementação anual, de acordo com o cronograma do projeto. Os recursos orçamentários devem ser registrados no ano de execução dentro do Sistema Integrado de Gestão Financeira Pública (SIGEFES), como fonte externa. O LOA deve contemplar os fundos necessários à execução, tanto para o crédito externo quanto para a contraparte local.</w:t>
      </w:r>
    </w:p>
    <w:p w14:paraId="085FE796" w14:textId="751C49AB" w:rsidR="00DD401A" w:rsidRPr="000B6C37" w:rsidRDefault="00D23D6E" w:rsidP="00C7795F">
      <w:pPr>
        <w:pStyle w:val="ListParagraph"/>
        <w:numPr>
          <w:ilvl w:val="1"/>
          <w:numId w:val="26"/>
        </w:numPr>
        <w:ind w:left="709" w:hanging="709"/>
      </w:pPr>
      <w:r w:rsidRPr="00075064">
        <w:rPr>
          <w:b/>
          <w:bCs/>
        </w:rPr>
        <w:t xml:space="preserve">Contabilidade e </w:t>
      </w:r>
      <w:r w:rsidR="00D31214" w:rsidRPr="00075064">
        <w:rPr>
          <w:b/>
          <w:bCs/>
        </w:rPr>
        <w:t xml:space="preserve">sistemas de </w:t>
      </w:r>
      <w:r w:rsidRPr="00075064">
        <w:rPr>
          <w:b/>
          <w:bCs/>
        </w:rPr>
        <w:t>informação</w:t>
      </w:r>
      <w:r w:rsidR="00D31214" w:rsidRPr="00075064">
        <w:rPr>
          <w:b/>
          <w:bCs/>
        </w:rPr>
        <w:t>.</w:t>
      </w:r>
      <w:r w:rsidR="00D31214" w:rsidRPr="000B6C37">
        <w:t xml:space="preserve"> </w:t>
      </w:r>
      <w:bookmarkStart w:id="79" w:name="_Hlk506456852"/>
      <w:r w:rsidR="00DD401A" w:rsidRPr="000B6C37">
        <w:t xml:space="preserve">O OE utiliza os sistemas financeiros municipais e estaduais que são obrigatórios para a gestão financeira de entidades </w:t>
      </w:r>
      <w:r w:rsidR="00DD401A" w:rsidRPr="000B6C37">
        <w:lastRenderedPageBreak/>
        <w:t xml:space="preserve">públicas. Neste sentido, a partir de 2014, o órgão executor utiliza o Sistema Integrado de Gestão Financeira Pública (SIGEFES), que é um sistema dinâmico que integra, em um único ambiente, sistemas de controle utilizados no Estado, como o Sistema Integrado de Administração Financeira para Estados e Municípios (SIAFEM), o Sistema Integrado de Planejamento (SIPLAN) e o Sistema de Planejamento Plurianual (SISPPA). </w:t>
      </w:r>
    </w:p>
    <w:p w14:paraId="2AD5BAF9" w14:textId="63E73C2F" w:rsidR="00D7255E" w:rsidRPr="000B6C37" w:rsidRDefault="00DD401A" w:rsidP="00C7795F">
      <w:pPr>
        <w:pStyle w:val="ListParagraph"/>
        <w:numPr>
          <w:ilvl w:val="1"/>
          <w:numId w:val="26"/>
        </w:numPr>
        <w:ind w:left="709" w:hanging="709"/>
      </w:pPr>
      <w:r w:rsidRPr="000B6C37">
        <w:t>Todas as informações contábeis e financeiras do projeto serão registradas no sistema SIGEFES. O sistema SIGEFES não permite atualmente a emissão automática de demonstrações financeiras e relatórios de projetos em dólares e por categoria de investimento, de acordo com os requisitos do BID. Portanto, o órgão executor, no prazo máximo de 6 (seis) meses a partir da assinatura do contrato de empréstimo, deve apresentar evidências da implementação de um sistema auxiliar de gestão e financeiro que permita a emissão dos relatórios do Programa exigidos pelo Banco</w:t>
      </w:r>
      <w:r w:rsidR="0020320B" w:rsidRPr="000B6C37">
        <w:t>.</w:t>
      </w:r>
    </w:p>
    <w:p w14:paraId="501A6561" w14:textId="38E8CCD7" w:rsidR="007B7B4B" w:rsidRPr="000B6C37" w:rsidRDefault="00D31214" w:rsidP="00C7795F">
      <w:pPr>
        <w:pStyle w:val="ListParagraph"/>
        <w:numPr>
          <w:ilvl w:val="1"/>
          <w:numId w:val="26"/>
        </w:numPr>
        <w:ind w:left="709" w:hanging="709"/>
      </w:pPr>
      <w:r w:rsidRPr="00075064">
        <w:rPr>
          <w:b/>
          <w:bCs/>
        </w:rPr>
        <w:t xml:space="preserve">Desembolsos </w:t>
      </w:r>
      <w:r w:rsidR="0020320B" w:rsidRPr="00075064">
        <w:rPr>
          <w:b/>
          <w:bCs/>
        </w:rPr>
        <w:t>e fluxo de caixa</w:t>
      </w:r>
      <w:r w:rsidRPr="00075064">
        <w:rPr>
          <w:b/>
          <w:bCs/>
        </w:rPr>
        <w:t xml:space="preserve">. </w:t>
      </w:r>
      <w:bookmarkEnd w:id="79"/>
      <w:r w:rsidR="007B7B4B" w:rsidRPr="000B6C37">
        <w:t xml:space="preserve">O projeto utilizará o sistema do tesouro nacional do Estado do Espírito Santo. As despesas estarão sujeitas ao processo de execução orçamentária e financeira e serão devidamente registradas no SIGEFES. </w:t>
      </w:r>
    </w:p>
    <w:p w14:paraId="1FB018E0" w14:textId="5AC22915" w:rsidR="007B7B4B" w:rsidRPr="000B6C37" w:rsidRDefault="007B7B4B" w:rsidP="00C7795F">
      <w:pPr>
        <w:pStyle w:val="ListParagraph"/>
        <w:numPr>
          <w:ilvl w:val="1"/>
          <w:numId w:val="26"/>
        </w:numPr>
        <w:ind w:left="709" w:hanging="709"/>
      </w:pPr>
      <w:r w:rsidRPr="000B6C37">
        <w:t xml:space="preserve">Os recursos do Banco serão administrados por meio de uma conta exclusiva que permitirá identificar os recursos financeiros e fazer reconciliações bancárias desses recursos. Isso inclui renda e pagamentos. </w:t>
      </w:r>
    </w:p>
    <w:p w14:paraId="41B70CA9" w14:textId="42972FDC" w:rsidR="007B7B4B" w:rsidRPr="000B6C37" w:rsidRDefault="007B7B4B" w:rsidP="00C7795F">
      <w:pPr>
        <w:pStyle w:val="ListParagraph"/>
        <w:numPr>
          <w:ilvl w:val="1"/>
          <w:numId w:val="26"/>
        </w:numPr>
        <w:ind w:left="709" w:hanging="709"/>
      </w:pPr>
      <w:r w:rsidRPr="000B6C37">
        <w:t xml:space="preserve">Os desembolsos serão feitos em dólares dos Estados Unidos, na modalidade de adiantamento do fundo. Os adiantamentos serão baseados em uma projeção de recursos financeiros de no máximo 180 dias. Adiantamentos futuros exigirão a prestação de contas de pelo menos 80% do total dos saldos acumulados pendentes de justificativa.  </w:t>
      </w:r>
    </w:p>
    <w:p w14:paraId="5069D0A1" w14:textId="77777777" w:rsidR="00C916A5" w:rsidRPr="000B6C37" w:rsidRDefault="007B7B4B" w:rsidP="00C7795F">
      <w:pPr>
        <w:pStyle w:val="ListParagraph"/>
        <w:numPr>
          <w:ilvl w:val="1"/>
          <w:numId w:val="26"/>
        </w:numPr>
        <w:ind w:left="709" w:hanging="709"/>
      </w:pPr>
      <w:r w:rsidRPr="000B6C37">
        <w:t xml:space="preserve">As despesas consideradas inelegíveis pelo Banco devem ser reembolsadas com recursos da contribuição local ou com outros recursos </w:t>
      </w:r>
      <w:r w:rsidR="00C916A5" w:rsidRPr="000B6C37">
        <w:t>à</w:t>
      </w:r>
      <w:r w:rsidRPr="000B6C37">
        <w:t xml:space="preserve"> critério do Banco, dependendo da natureza da inelegibilidade.</w:t>
      </w:r>
    </w:p>
    <w:p w14:paraId="32F491E5" w14:textId="77777777" w:rsidR="002A1477" w:rsidRPr="000B6C37" w:rsidRDefault="002A1477" w:rsidP="00C7795F">
      <w:pPr>
        <w:pStyle w:val="ListParagraph"/>
        <w:numPr>
          <w:ilvl w:val="1"/>
          <w:numId w:val="26"/>
        </w:numPr>
        <w:ind w:left="709" w:hanging="709"/>
      </w:pPr>
      <w:r w:rsidRPr="000B6C37">
        <w:t>Para fins de contabilização dos recursos financeiros e da contrapartida local, os valores pagos em moeda local serão convertidos para a moeda da operação, de acordo com as seguintes disposições cambiais a serem definidas: (i) a taxa efetiva na conversão da moeda da operação em moeda local, no caso de adiantamentos de fundos; (ii) a taxa vigente na data do pagamento; e (iii) outros critérios a serem propostos pela seguradora mútua que sejam aceitáveis pelo Banco.</w:t>
      </w:r>
    </w:p>
    <w:p w14:paraId="041B075E" w14:textId="6EAB2672" w:rsidR="00D31214" w:rsidRPr="000B6C37" w:rsidRDefault="002A1477" w:rsidP="00C7795F">
      <w:pPr>
        <w:pStyle w:val="ListParagraph"/>
        <w:numPr>
          <w:ilvl w:val="1"/>
          <w:numId w:val="26"/>
        </w:numPr>
        <w:ind w:left="709" w:hanging="709"/>
      </w:pPr>
      <w:r w:rsidRPr="00075064">
        <w:rPr>
          <w:b/>
          <w:bCs/>
        </w:rPr>
        <w:t>Controle interno e auditoria interna.</w:t>
      </w:r>
      <w:r w:rsidRPr="000B6C37">
        <w:t xml:space="preserve"> </w:t>
      </w:r>
      <w:r w:rsidR="00A604FB" w:rsidRPr="000B6C37">
        <w:t>O controle interno do Estado é exercido pela Unidade Executiva de Controle Interno, criada em 2017 dentro da estrutura organizacional do Órgão Executivo de Controle Interno, sob ação da Secretaria de Controle e Transparência (SECONT), que é responsável pelo controle interno de todas as entidades estatais</w:t>
      </w:r>
      <w:r w:rsidR="00D31214" w:rsidRPr="000B6C37">
        <w:t>.</w:t>
      </w:r>
      <w:bookmarkStart w:id="80" w:name="_Hlk484771973"/>
    </w:p>
    <w:p w14:paraId="34DAB7F0" w14:textId="164CCE6B" w:rsidR="005B7B19" w:rsidRPr="000B6C37" w:rsidRDefault="00D31214" w:rsidP="00C7795F">
      <w:pPr>
        <w:pStyle w:val="ListParagraph"/>
        <w:numPr>
          <w:ilvl w:val="1"/>
          <w:numId w:val="26"/>
        </w:numPr>
        <w:ind w:left="709" w:hanging="709"/>
      </w:pPr>
      <w:r w:rsidRPr="00075064">
        <w:rPr>
          <w:b/>
          <w:bCs/>
        </w:rPr>
        <w:t xml:space="preserve">Control externo e </w:t>
      </w:r>
      <w:r w:rsidR="005B7B19" w:rsidRPr="00075064">
        <w:rPr>
          <w:b/>
          <w:bCs/>
        </w:rPr>
        <w:t>relatórios</w:t>
      </w:r>
      <w:r w:rsidRPr="00075064">
        <w:rPr>
          <w:b/>
          <w:bCs/>
        </w:rPr>
        <w:t>.</w:t>
      </w:r>
      <w:r w:rsidRPr="000B6C37">
        <w:t xml:space="preserve"> </w:t>
      </w:r>
      <w:bookmarkEnd w:id="80"/>
      <w:r w:rsidR="005B7B19" w:rsidRPr="000B6C37">
        <w:t>O controle externo é exercido pelo TCE/ES. A auditoria externa do programa será realizada pelo Tribunal de Contas do Estado do Espírito Santo, ou por uma firma de auditores externos elegível para o Banco.</w:t>
      </w:r>
    </w:p>
    <w:p w14:paraId="514AB021" w14:textId="61C0FC44" w:rsidR="00D31214" w:rsidRPr="000B6C37" w:rsidRDefault="005B7B19" w:rsidP="00C7795F">
      <w:pPr>
        <w:pStyle w:val="ListParagraph"/>
        <w:numPr>
          <w:ilvl w:val="1"/>
          <w:numId w:val="26"/>
        </w:numPr>
        <w:ind w:left="709" w:hanging="709"/>
      </w:pPr>
      <w:r w:rsidRPr="000B6C37">
        <w:t>A apresentação dos Relatórios Financeiros Auditados anuais (AFR) será feita, de acordo com os Termos de Referência acordados com o Banco, no prazo de 120 dias após o encerramento de cada exercício fiscal. A auditoria final deve ser apresentada em até 120 dias após a data do último desembolso</w:t>
      </w:r>
      <w:r w:rsidR="00D31214" w:rsidRPr="000B6C37">
        <w:t>.</w:t>
      </w:r>
    </w:p>
    <w:p w14:paraId="3953B5D5" w14:textId="6BDE5ACD" w:rsidR="00D31214" w:rsidRPr="000B6C37" w:rsidRDefault="00D31214" w:rsidP="00C7795F">
      <w:pPr>
        <w:pStyle w:val="ListParagraph"/>
        <w:numPr>
          <w:ilvl w:val="1"/>
          <w:numId w:val="26"/>
        </w:numPr>
        <w:ind w:left="709" w:hanging="709"/>
      </w:pPr>
      <w:r w:rsidRPr="00075064">
        <w:rPr>
          <w:b/>
          <w:bCs/>
        </w:rPr>
        <w:t>Pla</w:t>
      </w:r>
      <w:r w:rsidR="001E107E" w:rsidRPr="00075064">
        <w:rPr>
          <w:b/>
          <w:bCs/>
        </w:rPr>
        <w:t>no de supervisão financeira.</w:t>
      </w:r>
      <w:r w:rsidR="001E107E" w:rsidRPr="000B6C37">
        <w:t xml:space="preserve"> Este plano pode ser modificado durante a implementação de acordo com mudanças nos níveis de risco ou necessidades adicionais de controle</w:t>
      </w:r>
      <w:r w:rsidRPr="000B6C37">
        <w:t xml:space="preserve">. </w:t>
      </w:r>
    </w:p>
    <w:p w14:paraId="5B739008" w14:textId="6EAE3429" w:rsidR="00D31214" w:rsidRPr="0079082D" w:rsidRDefault="00D413B5" w:rsidP="008878A1">
      <w:pPr>
        <w:pStyle w:val="Caption"/>
      </w:pPr>
      <w:r w:rsidRPr="0079082D">
        <w:lastRenderedPageBreak/>
        <w:t>Tabela</w:t>
      </w:r>
      <w:r w:rsidR="00D31214" w:rsidRPr="0079082D">
        <w:t xml:space="preserve"> </w:t>
      </w:r>
      <w:r w:rsidR="006D6C2A" w:rsidRPr="0079082D">
        <w:t>2</w:t>
      </w:r>
      <w:r w:rsidR="00D31214" w:rsidRPr="0079082D">
        <w:t>. Plan</w:t>
      </w:r>
      <w:r w:rsidR="001E107E" w:rsidRPr="0079082D">
        <w:t>o de Supervisão Fiduciária</w:t>
      </w:r>
    </w:p>
    <w:tbl>
      <w:tblPr>
        <w:tblStyle w:val="TableGrid"/>
        <w:tblW w:w="4658" w:type="pct"/>
        <w:tblInd w:w="311" w:type="dxa"/>
        <w:tblBorders>
          <w:top w:val="single" w:sz="4" w:space="0" w:color="000000"/>
          <w:left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2694"/>
        <w:gridCol w:w="1744"/>
        <w:gridCol w:w="2073"/>
        <w:gridCol w:w="1930"/>
      </w:tblGrid>
      <w:tr w:rsidR="00D31214" w:rsidRPr="000B6C37" w14:paraId="4BF39FC1" w14:textId="77777777" w:rsidTr="00D850F0">
        <w:trPr>
          <w:trHeight w:val="20"/>
        </w:trPr>
        <w:tc>
          <w:tcPr>
            <w:tcW w:w="1596" w:type="pct"/>
            <w:vMerge w:val="restart"/>
            <w:shd w:val="clear" w:color="auto" w:fill="BFBFBF" w:themeFill="background1" w:themeFillShade="BF"/>
            <w:vAlign w:val="center"/>
            <w:hideMark/>
          </w:tcPr>
          <w:p w14:paraId="7B697312" w14:textId="1C3FA35F" w:rsidR="00D31214" w:rsidRPr="000B6C37" w:rsidRDefault="00D31214" w:rsidP="008878A1">
            <w:pPr>
              <w:spacing w:after="0"/>
              <w:ind w:left="25" w:hanging="25"/>
              <w:jc w:val="center"/>
              <w:rPr>
                <w:b/>
                <w:bCs/>
                <w:sz w:val="18"/>
                <w:szCs w:val="18"/>
              </w:rPr>
            </w:pPr>
            <w:r w:rsidRPr="000B6C37">
              <w:rPr>
                <w:b/>
                <w:bCs/>
                <w:sz w:val="18"/>
                <w:szCs w:val="18"/>
                <w:lang w:eastAsia="es-ES"/>
              </w:rPr>
              <w:t xml:space="preserve">Natureza – </w:t>
            </w:r>
            <w:r w:rsidR="00BB2D67" w:rsidRPr="000B6C37">
              <w:rPr>
                <w:b/>
                <w:bCs/>
                <w:sz w:val="18"/>
                <w:szCs w:val="18"/>
                <w:lang w:eastAsia="es-ES"/>
              </w:rPr>
              <w:t>Escopo</w:t>
            </w:r>
          </w:p>
        </w:tc>
        <w:tc>
          <w:tcPr>
            <w:tcW w:w="1033" w:type="pct"/>
            <w:vMerge w:val="restart"/>
            <w:shd w:val="clear" w:color="auto" w:fill="BFBFBF" w:themeFill="background1" w:themeFillShade="BF"/>
            <w:vAlign w:val="center"/>
            <w:hideMark/>
          </w:tcPr>
          <w:p w14:paraId="17707686" w14:textId="1D1120FF" w:rsidR="00D31214" w:rsidRPr="000B6C37" w:rsidRDefault="00BB2D67" w:rsidP="008878A1">
            <w:pPr>
              <w:spacing w:after="0"/>
              <w:ind w:left="33"/>
              <w:jc w:val="center"/>
              <w:rPr>
                <w:b/>
                <w:bCs/>
                <w:sz w:val="18"/>
                <w:szCs w:val="18"/>
              </w:rPr>
            </w:pPr>
            <w:r w:rsidRPr="000B6C37">
              <w:rPr>
                <w:b/>
                <w:bCs/>
                <w:sz w:val="18"/>
                <w:szCs w:val="18"/>
                <w:lang w:eastAsia="es-ES"/>
              </w:rPr>
              <w:t>Frequência</w:t>
            </w:r>
          </w:p>
        </w:tc>
        <w:tc>
          <w:tcPr>
            <w:tcW w:w="2371" w:type="pct"/>
            <w:gridSpan w:val="2"/>
            <w:shd w:val="clear" w:color="auto" w:fill="BFBFBF" w:themeFill="background1" w:themeFillShade="BF"/>
            <w:vAlign w:val="center"/>
            <w:hideMark/>
          </w:tcPr>
          <w:p w14:paraId="507FA541" w14:textId="24E167BC" w:rsidR="00D31214" w:rsidRPr="000B6C37" w:rsidRDefault="00BB2D67" w:rsidP="008878A1">
            <w:pPr>
              <w:spacing w:after="0"/>
              <w:jc w:val="center"/>
              <w:rPr>
                <w:b/>
                <w:bCs/>
                <w:sz w:val="18"/>
                <w:szCs w:val="18"/>
              </w:rPr>
            </w:pPr>
            <w:r w:rsidRPr="000B6C37">
              <w:rPr>
                <w:b/>
                <w:bCs/>
                <w:sz w:val="18"/>
                <w:szCs w:val="18"/>
                <w:lang w:eastAsia="es-ES"/>
              </w:rPr>
              <w:t>Responsável</w:t>
            </w:r>
          </w:p>
        </w:tc>
      </w:tr>
      <w:tr w:rsidR="00D31214" w:rsidRPr="000B6C37" w14:paraId="2D19C073" w14:textId="77777777" w:rsidTr="00D850F0">
        <w:trPr>
          <w:trHeight w:val="20"/>
        </w:trPr>
        <w:tc>
          <w:tcPr>
            <w:tcW w:w="1596" w:type="pct"/>
            <w:vMerge/>
            <w:vAlign w:val="center"/>
            <w:hideMark/>
          </w:tcPr>
          <w:p w14:paraId="5C449397" w14:textId="77777777" w:rsidR="00D31214" w:rsidRPr="000B6C37" w:rsidRDefault="00D31214" w:rsidP="00BB2D67">
            <w:pPr>
              <w:spacing w:after="0"/>
              <w:jc w:val="left"/>
              <w:rPr>
                <w:b/>
                <w:bCs/>
                <w:sz w:val="18"/>
                <w:szCs w:val="18"/>
              </w:rPr>
            </w:pPr>
          </w:p>
        </w:tc>
        <w:tc>
          <w:tcPr>
            <w:tcW w:w="1033" w:type="pct"/>
            <w:vMerge/>
            <w:vAlign w:val="center"/>
            <w:hideMark/>
          </w:tcPr>
          <w:p w14:paraId="4DDEF7F3" w14:textId="77777777" w:rsidR="00D31214" w:rsidRPr="000B6C37" w:rsidRDefault="00D31214" w:rsidP="00BB2D67">
            <w:pPr>
              <w:spacing w:after="0"/>
              <w:jc w:val="left"/>
              <w:rPr>
                <w:b/>
                <w:bCs/>
                <w:sz w:val="18"/>
                <w:szCs w:val="18"/>
              </w:rPr>
            </w:pPr>
          </w:p>
        </w:tc>
        <w:tc>
          <w:tcPr>
            <w:tcW w:w="1228" w:type="pct"/>
            <w:shd w:val="clear" w:color="auto" w:fill="BFBFBF" w:themeFill="background1" w:themeFillShade="BF"/>
            <w:vAlign w:val="center"/>
            <w:hideMark/>
          </w:tcPr>
          <w:p w14:paraId="7DDAF4EC" w14:textId="77777777" w:rsidR="00D31214" w:rsidRPr="000B6C37" w:rsidRDefault="00D31214" w:rsidP="008878A1">
            <w:pPr>
              <w:spacing w:after="0"/>
              <w:ind w:left="567"/>
              <w:jc w:val="center"/>
              <w:rPr>
                <w:b/>
                <w:bCs/>
                <w:sz w:val="18"/>
                <w:szCs w:val="18"/>
              </w:rPr>
            </w:pPr>
            <w:r w:rsidRPr="000B6C37">
              <w:rPr>
                <w:b/>
                <w:bCs/>
                <w:sz w:val="18"/>
                <w:szCs w:val="18"/>
                <w:lang w:eastAsia="es-ES"/>
              </w:rPr>
              <w:t>Banco</w:t>
            </w:r>
          </w:p>
        </w:tc>
        <w:tc>
          <w:tcPr>
            <w:tcW w:w="1143" w:type="pct"/>
            <w:shd w:val="clear" w:color="auto" w:fill="BFBFBF" w:themeFill="background1" w:themeFillShade="BF"/>
            <w:vAlign w:val="center"/>
            <w:hideMark/>
          </w:tcPr>
          <w:p w14:paraId="53F30528" w14:textId="41813B56" w:rsidR="00D31214" w:rsidRPr="000B6C37" w:rsidRDefault="00D31214" w:rsidP="008878A1">
            <w:pPr>
              <w:spacing w:after="0"/>
              <w:ind w:left="567"/>
              <w:jc w:val="center"/>
              <w:rPr>
                <w:b/>
                <w:bCs/>
                <w:sz w:val="18"/>
                <w:szCs w:val="18"/>
              </w:rPr>
            </w:pPr>
            <w:r w:rsidRPr="000B6C37">
              <w:rPr>
                <w:b/>
                <w:bCs/>
                <w:sz w:val="18"/>
                <w:szCs w:val="18"/>
                <w:lang w:eastAsia="es-ES"/>
              </w:rPr>
              <w:t>E</w:t>
            </w:r>
            <w:r w:rsidR="00BB2D67" w:rsidRPr="000B6C37">
              <w:rPr>
                <w:b/>
                <w:bCs/>
                <w:sz w:val="18"/>
                <w:szCs w:val="18"/>
                <w:lang w:eastAsia="es-ES"/>
              </w:rPr>
              <w:t>x</w:t>
            </w:r>
            <w:r w:rsidRPr="000B6C37">
              <w:rPr>
                <w:b/>
                <w:bCs/>
                <w:sz w:val="18"/>
                <w:szCs w:val="18"/>
                <w:lang w:eastAsia="es-ES"/>
              </w:rPr>
              <w:t>ecutor</w:t>
            </w:r>
          </w:p>
        </w:tc>
      </w:tr>
      <w:tr w:rsidR="00D31214" w:rsidRPr="000B6C37" w14:paraId="4F1A0523" w14:textId="77777777" w:rsidTr="00D850F0">
        <w:trPr>
          <w:trHeight w:val="20"/>
        </w:trPr>
        <w:tc>
          <w:tcPr>
            <w:tcW w:w="1596" w:type="pct"/>
            <w:vAlign w:val="center"/>
            <w:hideMark/>
          </w:tcPr>
          <w:p w14:paraId="4FF8CB5A" w14:textId="52C48488" w:rsidR="00D31214" w:rsidRPr="000B6C37" w:rsidRDefault="00BB2D67" w:rsidP="00BB2D67">
            <w:pPr>
              <w:spacing w:after="0"/>
              <w:jc w:val="left"/>
              <w:rPr>
                <w:sz w:val="18"/>
                <w:szCs w:val="18"/>
              </w:rPr>
            </w:pPr>
            <w:r w:rsidRPr="000B6C37">
              <w:rPr>
                <w:sz w:val="18"/>
                <w:szCs w:val="18"/>
                <w:lang w:eastAsia="es-ES"/>
              </w:rPr>
              <w:t xml:space="preserve">Revisão </w:t>
            </w:r>
            <w:r w:rsidRPr="000B6C37">
              <w:rPr>
                <w:i/>
                <w:iCs/>
                <w:sz w:val="18"/>
                <w:szCs w:val="18"/>
                <w:lang w:eastAsia="es-ES"/>
              </w:rPr>
              <w:t>ex post</w:t>
            </w:r>
            <w:r w:rsidRPr="000B6C37">
              <w:rPr>
                <w:sz w:val="18"/>
                <w:szCs w:val="18"/>
                <w:lang w:eastAsia="es-ES"/>
              </w:rPr>
              <w:t xml:space="preserve"> de desembolsos e aquisições</w:t>
            </w:r>
          </w:p>
        </w:tc>
        <w:tc>
          <w:tcPr>
            <w:tcW w:w="1033" w:type="pct"/>
            <w:vAlign w:val="center"/>
            <w:hideMark/>
          </w:tcPr>
          <w:p w14:paraId="169E11CA" w14:textId="77777777" w:rsidR="00D31214" w:rsidRPr="000B6C37" w:rsidRDefault="00D31214" w:rsidP="00BB2D67">
            <w:pPr>
              <w:spacing w:after="0"/>
              <w:ind w:left="567"/>
              <w:jc w:val="left"/>
              <w:rPr>
                <w:sz w:val="18"/>
                <w:szCs w:val="18"/>
              </w:rPr>
            </w:pPr>
            <w:r w:rsidRPr="000B6C37">
              <w:rPr>
                <w:sz w:val="18"/>
                <w:szCs w:val="18"/>
                <w:lang w:eastAsia="es-ES"/>
              </w:rPr>
              <w:t>Anual</w:t>
            </w:r>
          </w:p>
        </w:tc>
        <w:tc>
          <w:tcPr>
            <w:tcW w:w="1228" w:type="pct"/>
            <w:vAlign w:val="center"/>
            <w:hideMark/>
          </w:tcPr>
          <w:p w14:paraId="491D40E8" w14:textId="65413545" w:rsidR="00D31214" w:rsidRPr="000B6C37" w:rsidRDefault="00D31214" w:rsidP="00BB2D67">
            <w:pPr>
              <w:spacing w:after="0"/>
              <w:ind w:left="567" w:hanging="567"/>
              <w:jc w:val="left"/>
              <w:rPr>
                <w:sz w:val="18"/>
                <w:szCs w:val="18"/>
              </w:rPr>
            </w:pPr>
            <w:r w:rsidRPr="000B6C37">
              <w:rPr>
                <w:sz w:val="18"/>
                <w:szCs w:val="18"/>
                <w:lang w:eastAsia="es-ES"/>
              </w:rPr>
              <w:t>Equip</w:t>
            </w:r>
            <w:r w:rsidR="00BB2D67" w:rsidRPr="000B6C37">
              <w:rPr>
                <w:sz w:val="18"/>
                <w:szCs w:val="18"/>
                <w:lang w:eastAsia="es-ES"/>
              </w:rPr>
              <w:t>e</w:t>
            </w:r>
            <w:r w:rsidRPr="000B6C37">
              <w:rPr>
                <w:sz w:val="18"/>
                <w:szCs w:val="18"/>
                <w:lang w:eastAsia="es-ES"/>
              </w:rPr>
              <w:t xml:space="preserve"> fiduci</w:t>
            </w:r>
            <w:r w:rsidR="00BB2D67" w:rsidRPr="000B6C37">
              <w:rPr>
                <w:sz w:val="18"/>
                <w:szCs w:val="18"/>
                <w:lang w:eastAsia="es-ES"/>
              </w:rPr>
              <w:t>á</w:t>
            </w:r>
            <w:r w:rsidRPr="000B6C37">
              <w:rPr>
                <w:sz w:val="18"/>
                <w:szCs w:val="18"/>
                <w:lang w:eastAsia="es-ES"/>
              </w:rPr>
              <w:t>ri</w:t>
            </w:r>
            <w:r w:rsidR="00BB2D67" w:rsidRPr="000B6C37">
              <w:rPr>
                <w:sz w:val="18"/>
                <w:szCs w:val="18"/>
                <w:lang w:eastAsia="es-ES"/>
              </w:rPr>
              <w:t>a</w:t>
            </w:r>
          </w:p>
        </w:tc>
        <w:tc>
          <w:tcPr>
            <w:tcW w:w="1143" w:type="pct"/>
            <w:vAlign w:val="center"/>
            <w:hideMark/>
          </w:tcPr>
          <w:p w14:paraId="024FEBE9" w14:textId="76E90B7C" w:rsidR="00D31214" w:rsidRPr="000B6C37" w:rsidRDefault="00D31214" w:rsidP="00BB2D67">
            <w:pPr>
              <w:spacing w:after="0"/>
              <w:jc w:val="left"/>
              <w:rPr>
                <w:sz w:val="18"/>
                <w:szCs w:val="18"/>
              </w:rPr>
            </w:pPr>
            <w:r w:rsidRPr="000B6C37">
              <w:rPr>
                <w:sz w:val="18"/>
                <w:szCs w:val="18"/>
                <w:lang w:eastAsia="es-ES"/>
              </w:rPr>
              <w:t>UGP - Auditor Externo</w:t>
            </w:r>
          </w:p>
        </w:tc>
      </w:tr>
      <w:tr w:rsidR="00D31214" w:rsidRPr="000B6C37" w14:paraId="4FA233F1" w14:textId="77777777" w:rsidTr="00D850F0">
        <w:trPr>
          <w:trHeight w:val="20"/>
        </w:trPr>
        <w:tc>
          <w:tcPr>
            <w:tcW w:w="1596" w:type="pct"/>
            <w:vAlign w:val="center"/>
            <w:hideMark/>
          </w:tcPr>
          <w:p w14:paraId="3443F219" w14:textId="7D338AA4" w:rsidR="00D31214" w:rsidRPr="000B6C37" w:rsidRDefault="00BB2D67" w:rsidP="00BB2D67">
            <w:pPr>
              <w:spacing w:after="0"/>
              <w:ind w:left="567" w:hanging="567"/>
              <w:jc w:val="left"/>
              <w:rPr>
                <w:sz w:val="18"/>
                <w:szCs w:val="18"/>
              </w:rPr>
            </w:pPr>
            <w:r w:rsidRPr="000B6C37">
              <w:rPr>
                <w:sz w:val="18"/>
                <w:szCs w:val="18"/>
                <w:lang w:eastAsia="es-ES"/>
              </w:rPr>
              <w:t>Auditoria anual</w:t>
            </w:r>
          </w:p>
        </w:tc>
        <w:tc>
          <w:tcPr>
            <w:tcW w:w="1033" w:type="pct"/>
            <w:vAlign w:val="center"/>
            <w:hideMark/>
          </w:tcPr>
          <w:p w14:paraId="2DAB8685" w14:textId="77777777" w:rsidR="00D31214" w:rsidRPr="000B6C37" w:rsidRDefault="00D31214" w:rsidP="00BB2D67">
            <w:pPr>
              <w:spacing w:after="0"/>
              <w:ind w:left="567"/>
              <w:jc w:val="left"/>
              <w:rPr>
                <w:sz w:val="18"/>
                <w:szCs w:val="18"/>
              </w:rPr>
            </w:pPr>
            <w:r w:rsidRPr="000B6C37">
              <w:rPr>
                <w:sz w:val="18"/>
                <w:szCs w:val="18"/>
                <w:lang w:eastAsia="es-ES"/>
              </w:rPr>
              <w:t>Anual</w:t>
            </w:r>
          </w:p>
        </w:tc>
        <w:tc>
          <w:tcPr>
            <w:tcW w:w="1228" w:type="pct"/>
            <w:vAlign w:val="center"/>
            <w:hideMark/>
          </w:tcPr>
          <w:p w14:paraId="28546333" w14:textId="54D542A1" w:rsidR="00D31214" w:rsidRPr="000B6C37" w:rsidRDefault="00D31214" w:rsidP="00BB2D67">
            <w:pPr>
              <w:spacing w:after="0"/>
              <w:ind w:left="567" w:hanging="567"/>
              <w:jc w:val="left"/>
              <w:rPr>
                <w:sz w:val="18"/>
                <w:szCs w:val="18"/>
              </w:rPr>
            </w:pPr>
            <w:r w:rsidRPr="000B6C37">
              <w:rPr>
                <w:sz w:val="18"/>
                <w:szCs w:val="18"/>
                <w:lang w:eastAsia="es-ES"/>
              </w:rPr>
              <w:t>Equip</w:t>
            </w:r>
            <w:r w:rsidR="00BB2D67" w:rsidRPr="000B6C37">
              <w:rPr>
                <w:sz w:val="18"/>
                <w:szCs w:val="18"/>
                <w:lang w:eastAsia="es-ES"/>
              </w:rPr>
              <w:t>e</w:t>
            </w:r>
            <w:r w:rsidRPr="000B6C37">
              <w:rPr>
                <w:sz w:val="18"/>
                <w:szCs w:val="18"/>
                <w:lang w:eastAsia="es-ES"/>
              </w:rPr>
              <w:t xml:space="preserve"> fiduci</w:t>
            </w:r>
            <w:r w:rsidR="00BB2D67" w:rsidRPr="000B6C37">
              <w:rPr>
                <w:sz w:val="18"/>
                <w:szCs w:val="18"/>
                <w:lang w:eastAsia="es-ES"/>
              </w:rPr>
              <w:t>á</w:t>
            </w:r>
            <w:r w:rsidRPr="000B6C37">
              <w:rPr>
                <w:sz w:val="18"/>
                <w:szCs w:val="18"/>
                <w:lang w:eastAsia="es-ES"/>
              </w:rPr>
              <w:t>ri</w:t>
            </w:r>
            <w:r w:rsidR="00BB2D67" w:rsidRPr="000B6C37">
              <w:rPr>
                <w:sz w:val="18"/>
                <w:szCs w:val="18"/>
                <w:lang w:eastAsia="es-ES"/>
              </w:rPr>
              <w:t>a</w:t>
            </w:r>
          </w:p>
        </w:tc>
        <w:tc>
          <w:tcPr>
            <w:tcW w:w="1143" w:type="pct"/>
            <w:vAlign w:val="center"/>
            <w:hideMark/>
          </w:tcPr>
          <w:p w14:paraId="486E6EEC" w14:textId="656A86D6" w:rsidR="00D31214" w:rsidRPr="000B6C37" w:rsidRDefault="00D31214" w:rsidP="00BB2D67">
            <w:pPr>
              <w:spacing w:after="0"/>
              <w:jc w:val="left"/>
              <w:rPr>
                <w:sz w:val="18"/>
                <w:szCs w:val="18"/>
              </w:rPr>
            </w:pPr>
            <w:r w:rsidRPr="000B6C37">
              <w:rPr>
                <w:sz w:val="18"/>
                <w:szCs w:val="18"/>
                <w:lang w:eastAsia="es-ES"/>
              </w:rPr>
              <w:t>UGP - Auditor Externo</w:t>
            </w:r>
          </w:p>
        </w:tc>
      </w:tr>
      <w:tr w:rsidR="00D31214" w:rsidRPr="000B6C37" w14:paraId="06D65125" w14:textId="77777777" w:rsidTr="00D850F0">
        <w:trPr>
          <w:trHeight w:val="20"/>
        </w:trPr>
        <w:tc>
          <w:tcPr>
            <w:tcW w:w="1596" w:type="pct"/>
            <w:vAlign w:val="center"/>
            <w:hideMark/>
          </w:tcPr>
          <w:p w14:paraId="7E7C3FE7" w14:textId="77777777" w:rsidR="00BB2D67" w:rsidRPr="000B6C37" w:rsidRDefault="00BB2D67" w:rsidP="00BB2D67">
            <w:pPr>
              <w:spacing w:after="0"/>
              <w:ind w:left="567" w:hanging="567"/>
              <w:jc w:val="left"/>
              <w:rPr>
                <w:sz w:val="18"/>
                <w:szCs w:val="18"/>
                <w:lang w:eastAsia="es-ES"/>
              </w:rPr>
            </w:pPr>
            <w:r w:rsidRPr="000B6C37">
              <w:rPr>
                <w:sz w:val="18"/>
                <w:szCs w:val="18"/>
                <w:lang w:eastAsia="es-ES"/>
              </w:rPr>
              <w:t>Revisão de solicitações de</w:t>
            </w:r>
          </w:p>
          <w:p w14:paraId="1CAF8715" w14:textId="0A0BB71B" w:rsidR="00D31214" w:rsidRPr="000B6C37" w:rsidRDefault="00BB2D67" w:rsidP="00BB2D67">
            <w:pPr>
              <w:spacing w:after="0"/>
              <w:ind w:left="567" w:hanging="567"/>
              <w:jc w:val="left"/>
              <w:rPr>
                <w:sz w:val="18"/>
                <w:szCs w:val="18"/>
              </w:rPr>
            </w:pPr>
            <w:r w:rsidRPr="000B6C37">
              <w:rPr>
                <w:sz w:val="18"/>
                <w:szCs w:val="18"/>
                <w:lang w:eastAsia="es-ES"/>
              </w:rPr>
              <w:t>desembolsos</w:t>
            </w:r>
          </w:p>
        </w:tc>
        <w:tc>
          <w:tcPr>
            <w:tcW w:w="1033" w:type="pct"/>
            <w:vAlign w:val="center"/>
            <w:hideMark/>
          </w:tcPr>
          <w:p w14:paraId="14DE0500" w14:textId="77777777" w:rsidR="00D31214" w:rsidRPr="000B6C37" w:rsidRDefault="00D31214" w:rsidP="00BB2D67">
            <w:pPr>
              <w:spacing w:after="0"/>
              <w:ind w:left="567"/>
              <w:jc w:val="left"/>
              <w:rPr>
                <w:sz w:val="18"/>
                <w:szCs w:val="18"/>
              </w:rPr>
            </w:pPr>
            <w:r w:rsidRPr="000B6C37">
              <w:rPr>
                <w:sz w:val="18"/>
                <w:szCs w:val="18"/>
                <w:lang w:eastAsia="es-ES"/>
              </w:rPr>
              <w:t>Periódica</w:t>
            </w:r>
          </w:p>
        </w:tc>
        <w:tc>
          <w:tcPr>
            <w:tcW w:w="1228" w:type="pct"/>
            <w:vAlign w:val="center"/>
            <w:hideMark/>
          </w:tcPr>
          <w:p w14:paraId="247298B5" w14:textId="2D001C7B" w:rsidR="00D31214" w:rsidRPr="000B6C37" w:rsidRDefault="00D31214" w:rsidP="00BB2D67">
            <w:pPr>
              <w:spacing w:after="0"/>
              <w:ind w:left="567" w:hanging="567"/>
              <w:jc w:val="left"/>
              <w:rPr>
                <w:sz w:val="18"/>
                <w:szCs w:val="18"/>
              </w:rPr>
            </w:pPr>
            <w:r w:rsidRPr="000B6C37">
              <w:rPr>
                <w:sz w:val="18"/>
                <w:szCs w:val="18"/>
                <w:lang w:eastAsia="es-ES"/>
              </w:rPr>
              <w:t>Equip</w:t>
            </w:r>
            <w:r w:rsidR="00BB2D67" w:rsidRPr="000B6C37">
              <w:rPr>
                <w:sz w:val="18"/>
                <w:szCs w:val="18"/>
                <w:lang w:eastAsia="es-ES"/>
              </w:rPr>
              <w:t xml:space="preserve">e </w:t>
            </w:r>
            <w:r w:rsidRPr="000B6C37">
              <w:rPr>
                <w:sz w:val="18"/>
                <w:szCs w:val="18"/>
                <w:lang w:eastAsia="es-ES"/>
              </w:rPr>
              <w:t>fiduci</w:t>
            </w:r>
            <w:r w:rsidR="00BB2D67" w:rsidRPr="000B6C37">
              <w:rPr>
                <w:sz w:val="18"/>
                <w:szCs w:val="18"/>
                <w:lang w:eastAsia="es-ES"/>
              </w:rPr>
              <w:t>ária</w:t>
            </w:r>
          </w:p>
        </w:tc>
        <w:tc>
          <w:tcPr>
            <w:tcW w:w="1143" w:type="pct"/>
            <w:vAlign w:val="center"/>
          </w:tcPr>
          <w:p w14:paraId="5B592B13" w14:textId="77777777" w:rsidR="00D31214" w:rsidRPr="000B6C37" w:rsidRDefault="00D31214" w:rsidP="00BB2D67">
            <w:pPr>
              <w:spacing w:after="0"/>
              <w:ind w:left="567"/>
              <w:jc w:val="left"/>
              <w:rPr>
                <w:sz w:val="18"/>
                <w:szCs w:val="18"/>
              </w:rPr>
            </w:pPr>
          </w:p>
        </w:tc>
      </w:tr>
      <w:tr w:rsidR="00D31214" w:rsidRPr="000B6C37" w14:paraId="1FBF12A7" w14:textId="77777777" w:rsidTr="00D850F0">
        <w:trPr>
          <w:trHeight w:val="20"/>
        </w:trPr>
        <w:tc>
          <w:tcPr>
            <w:tcW w:w="1596" w:type="pct"/>
            <w:vAlign w:val="center"/>
            <w:hideMark/>
          </w:tcPr>
          <w:p w14:paraId="66F3B8BA" w14:textId="4608E437" w:rsidR="00D31214" w:rsidRPr="000B6C37" w:rsidRDefault="00D31214" w:rsidP="00BB2D67">
            <w:pPr>
              <w:spacing w:after="0"/>
              <w:jc w:val="left"/>
              <w:rPr>
                <w:sz w:val="18"/>
                <w:szCs w:val="18"/>
              </w:rPr>
            </w:pPr>
            <w:r w:rsidRPr="000B6C37">
              <w:rPr>
                <w:sz w:val="18"/>
                <w:szCs w:val="18"/>
                <w:lang w:eastAsia="es-ES"/>
              </w:rPr>
              <w:t xml:space="preserve">Visita de </w:t>
            </w:r>
            <w:r w:rsidR="00BB2D67" w:rsidRPr="000B6C37">
              <w:rPr>
                <w:sz w:val="18"/>
                <w:szCs w:val="18"/>
                <w:lang w:eastAsia="es-ES"/>
              </w:rPr>
              <w:t>supervisão</w:t>
            </w:r>
          </w:p>
        </w:tc>
        <w:tc>
          <w:tcPr>
            <w:tcW w:w="1033" w:type="pct"/>
            <w:vAlign w:val="center"/>
            <w:hideMark/>
          </w:tcPr>
          <w:p w14:paraId="2F02B1EE" w14:textId="77777777" w:rsidR="00D31214" w:rsidRPr="000B6C37" w:rsidRDefault="00D31214" w:rsidP="00BB2D67">
            <w:pPr>
              <w:spacing w:after="0"/>
              <w:ind w:left="567"/>
              <w:jc w:val="left"/>
              <w:rPr>
                <w:sz w:val="18"/>
                <w:szCs w:val="18"/>
              </w:rPr>
            </w:pPr>
            <w:r w:rsidRPr="000B6C37">
              <w:rPr>
                <w:sz w:val="18"/>
                <w:szCs w:val="18"/>
                <w:lang w:eastAsia="es-ES"/>
              </w:rPr>
              <w:t>Anual</w:t>
            </w:r>
          </w:p>
        </w:tc>
        <w:tc>
          <w:tcPr>
            <w:tcW w:w="1228" w:type="pct"/>
            <w:vAlign w:val="center"/>
            <w:hideMark/>
          </w:tcPr>
          <w:p w14:paraId="2EDBD319" w14:textId="77777777" w:rsidR="00BB2D67" w:rsidRPr="000B6C37" w:rsidRDefault="00D31214" w:rsidP="00BB2D67">
            <w:pPr>
              <w:spacing w:after="0"/>
              <w:ind w:left="567" w:hanging="567"/>
              <w:rPr>
                <w:sz w:val="18"/>
                <w:szCs w:val="18"/>
                <w:lang w:eastAsia="es-ES"/>
              </w:rPr>
            </w:pPr>
            <w:r w:rsidRPr="000B6C37">
              <w:rPr>
                <w:sz w:val="18"/>
                <w:szCs w:val="18"/>
                <w:lang w:eastAsia="es-ES"/>
              </w:rPr>
              <w:t>Especialista</w:t>
            </w:r>
          </w:p>
          <w:p w14:paraId="1570C2B1" w14:textId="423E1FB4" w:rsidR="00D31214" w:rsidRPr="000B6C37" w:rsidRDefault="00D31214" w:rsidP="00BB2D67">
            <w:pPr>
              <w:spacing w:after="0"/>
              <w:ind w:left="567" w:hanging="567"/>
              <w:rPr>
                <w:sz w:val="18"/>
                <w:szCs w:val="18"/>
              </w:rPr>
            </w:pPr>
            <w:r w:rsidRPr="000B6C37">
              <w:rPr>
                <w:sz w:val="18"/>
                <w:szCs w:val="18"/>
                <w:lang w:eastAsia="es-ES"/>
              </w:rPr>
              <w:t>fiduci</w:t>
            </w:r>
            <w:r w:rsidR="00BB2D67" w:rsidRPr="000B6C37">
              <w:rPr>
                <w:sz w:val="18"/>
                <w:szCs w:val="18"/>
                <w:lang w:eastAsia="es-ES"/>
              </w:rPr>
              <w:t>ário</w:t>
            </w:r>
          </w:p>
        </w:tc>
        <w:tc>
          <w:tcPr>
            <w:tcW w:w="1143" w:type="pct"/>
            <w:vAlign w:val="center"/>
          </w:tcPr>
          <w:p w14:paraId="21E9C1DD" w14:textId="77777777" w:rsidR="00D31214" w:rsidRPr="000B6C37" w:rsidRDefault="00D31214" w:rsidP="00BB2D67">
            <w:pPr>
              <w:spacing w:after="0"/>
              <w:ind w:left="567"/>
              <w:jc w:val="left"/>
              <w:rPr>
                <w:sz w:val="18"/>
                <w:szCs w:val="18"/>
              </w:rPr>
            </w:pPr>
          </w:p>
        </w:tc>
      </w:tr>
    </w:tbl>
    <w:p w14:paraId="57208AA8" w14:textId="2EA5387D" w:rsidR="0050241D" w:rsidRPr="000B6C37" w:rsidRDefault="0050241D" w:rsidP="008748DA">
      <w:pPr>
        <w:pStyle w:val="BodyText"/>
      </w:pPr>
    </w:p>
    <w:p w14:paraId="025C9350" w14:textId="29915F7B" w:rsidR="006E7C2A" w:rsidRPr="000B6C37" w:rsidRDefault="006E7C2A" w:rsidP="008878A1">
      <w:pPr>
        <w:pStyle w:val="Heading1"/>
        <w:spacing w:after="120"/>
      </w:pPr>
      <w:bookmarkStart w:id="81" w:name="_Toc43719327"/>
      <w:bookmarkStart w:id="82" w:name="_Toc19790788"/>
      <w:bookmarkStart w:id="83" w:name="_Toc43470441"/>
      <w:bookmarkStart w:id="84" w:name="_Toc45546126"/>
      <w:r w:rsidRPr="000B6C37">
        <w:t xml:space="preserve">ASPECTOS </w:t>
      </w:r>
      <w:r w:rsidR="00075064">
        <w:t>SOCIOAMBIENTAIS</w:t>
      </w:r>
      <w:r w:rsidRPr="000B6C37">
        <w:t xml:space="preserve"> DO </w:t>
      </w:r>
      <w:r w:rsidR="00F67832" w:rsidRPr="000B6C37">
        <w:t>PROJETO</w:t>
      </w:r>
      <w:bookmarkEnd w:id="81"/>
      <w:bookmarkEnd w:id="82"/>
      <w:bookmarkEnd w:id="83"/>
      <w:bookmarkEnd w:id="84"/>
    </w:p>
    <w:p w14:paraId="08948298" w14:textId="7676D975" w:rsidR="00574689" w:rsidRPr="000B6C37" w:rsidRDefault="00574689" w:rsidP="00255138">
      <w:pPr>
        <w:pStyle w:val="Heading2"/>
      </w:pPr>
      <w:bookmarkStart w:id="85" w:name="_Toc43470444"/>
      <w:bookmarkStart w:id="86" w:name="_Toc45546127"/>
      <w:bookmarkStart w:id="87" w:name="_Toc43719330"/>
      <w:r w:rsidRPr="000B6C37">
        <w:rPr>
          <w:bCs/>
        </w:rPr>
        <w:t xml:space="preserve">Exigência </w:t>
      </w:r>
      <w:r w:rsidRPr="000B6C37">
        <w:t>socioambiental</w:t>
      </w:r>
      <w:bookmarkEnd w:id="85"/>
      <w:bookmarkEnd w:id="86"/>
      <w:bookmarkEnd w:id="87"/>
    </w:p>
    <w:p w14:paraId="2AE6213E" w14:textId="38DA5486" w:rsidR="00BB62C2" w:rsidRPr="000B6C37" w:rsidRDefault="00BB62C2" w:rsidP="00C7795F">
      <w:pPr>
        <w:pStyle w:val="ListParagraph"/>
        <w:numPr>
          <w:ilvl w:val="1"/>
          <w:numId w:val="27"/>
        </w:numPr>
        <w:ind w:left="709" w:hanging="709"/>
      </w:pPr>
      <w:r w:rsidRPr="000B6C37">
        <w:t xml:space="preserve">Órgão Executor, por meio da UGP, deve contratar uma empresa para supervisionar as obras (a “Empresa de Supervisão”), que terá como atribuição a supervisão dos </w:t>
      </w:r>
      <w:r w:rsidRPr="00D37D79">
        <w:t>requisitos</w:t>
      </w:r>
      <w:r w:rsidRPr="000B6C37">
        <w:t xml:space="preserve"> socioambientais do AASE/PGAS do Programa. Um especialista socioambiental deve ser incluído como parte da equipe da Empresa de Supervisão.</w:t>
      </w:r>
    </w:p>
    <w:p w14:paraId="6B211148" w14:textId="3E57DD20" w:rsidR="00BB62C2" w:rsidRPr="000B6C37" w:rsidRDefault="00BB62C2" w:rsidP="00C7795F">
      <w:pPr>
        <w:pStyle w:val="ListParagraph"/>
        <w:numPr>
          <w:ilvl w:val="1"/>
          <w:numId w:val="27"/>
        </w:numPr>
        <w:ind w:left="709" w:hanging="709"/>
      </w:pPr>
      <w:r w:rsidRPr="000B6C37">
        <w:t>O Órgão Executor, por meio da UGP, deve implementar processos de participação com as partes interessadas nas obras previstas no Programa para garantir que as comunidades afetadas sejam informadas e consultadas sobre o andamento das obras e a gestão socioambiental do Programa e tenham acesso aos mecanismos resolução de conflitos e divulgar qualquer avaliação e plano de gestão socioambiental relacionado às obras.</w:t>
      </w:r>
    </w:p>
    <w:p w14:paraId="6EA0D8DC" w14:textId="70140DFF" w:rsidR="00BB62C2" w:rsidRPr="000B6C37" w:rsidRDefault="00BB62C2" w:rsidP="00C7795F">
      <w:pPr>
        <w:pStyle w:val="ListParagraph"/>
        <w:numPr>
          <w:ilvl w:val="1"/>
          <w:numId w:val="27"/>
        </w:numPr>
        <w:ind w:left="709" w:hanging="709"/>
      </w:pPr>
      <w:r w:rsidRPr="000B6C37">
        <w:t xml:space="preserve">Para a licitação </w:t>
      </w:r>
      <w:proofErr w:type="gramStart"/>
      <w:r w:rsidRPr="000B6C37">
        <w:t>dos obras</w:t>
      </w:r>
      <w:proofErr w:type="gramEnd"/>
      <w:r w:rsidRPr="000B6C37">
        <w:t xml:space="preserve"> do </w:t>
      </w:r>
      <w:r w:rsidR="00F8276E" w:rsidRPr="000B6C37">
        <w:t>p</w:t>
      </w:r>
      <w:r w:rsidRPr="000B6C37">
        <w:t xml:space="preserve">rograma, o Órgão Executor, por meio da UGP, deve garantir que os documentos de licitação incluam o requisito de conformidade com as salvaguardas do Banco e o AASE/PGAS do </w:t>
      </w:r>
      <w:r w:rsidR="00F8276E" w:rsidRPr="000B6C37">
        <w:t>p</w:t>
      </w:r>
      <w:r w:rsidRPr="000B6C37">
        <w:t xml:space="preserve">rograma. Um especialista socioambiental deve ser incluído como parte da equipe do empreiteiro. </w:t>
      </w:r>
    </w:p>
    <w:p w14:paraId="2BAC6ABB" w14:textId="78FD5DED" w:rsidR="00BB62C2" w:rsidRPr="000B6C37" w:rsidRDefault="00BB62C2" w:rsidP="00C7795F">
      <w:pPr>
        <w:pStyle w:val="ListParagraph"/>
        <w:numPr>
          <w:ilvl w:val="1"/>
          <w:numId w:val="27"/>
        </w:numPr>
        <w:ind w:left="709" w:hanging="709"/>
      </w:pPr>
      <w:r w:rsidRPr="000B6C37">
        <w:t>Qualquer mudança substancial nos planos socioambientais deve ser efetuada por escrito e aprovada pelo Banco de maneira consistente com as políticas de salvaguardas sociais e ambientais do Banco.</w:t>
      </w:r>
    </w:p>
    <w:p w14:paraId="108756B0" w14:textId="1AA79A34" w:rsidR="00BB62C2" w:rsidRPr="000B6C37" w:rsidRDefault="00BB62C2" w:rsidP="00C7795F">
      <w:pPr>
        <w:pStyle w:val="ListParagraph"/>
        <w:numPr>
          <w:ilvl w:val="1"/>
          <w:numId w:val="27"/>
        </w:numPr>
        <w:ind w:left="709" w:hanging="709"/>
      </w:pPr>
      <w:r w:rsidRPr="000B6C37">
        <w:t>Com relação ao Programa e suas Instalações Associadas, a Órgão Executor, por meio da UGP, notificará o Banco por escrito dentro de dez (10) dias de qualquer (1) possível violação material ou real dos requisitos ambientais e sociais; (2) acidentes, incidentes ou outros eventos importantes, como derramamentos, incêndios, e descargas de substâncias perigosas; (3) conflitos sociais significativos reais ou iminentes; (4) ação regulatórias socioambientais, por exemplo, inspeções e relatórios governamentais, mudanças significativas, ações judiciais e arbitrais; ou (5) qualquer risco e impacto ambiental e social recentemente identificado, que possa afetar os aspectos ambientais e sociais do Programa e suas Instalações Associadas, em cada caso, a referida notificação deverá incluir ações tomadas ou propostas com relação a tais eventos.</w:t>
      </w:r>
    </w:p>
    <w:p w14:paraId="33154DBE" w14:textId="72D0EF17" w:rsidR="00BB62C2" w:rsidRPr="000B6C37" w:rsidRDefault="00BB62C2" w:rsidP="00C7795F">
      <w:pPr>
        <w:pStyle w:val="ListParagraph"/>
        <w:numPr>
          <w:ilvl w:val="1"/>
          <w:numId w:val="27"/>
        </w:numPr>
        <w:ind w:left="709" w:hanging="709"/>
      </w:pPr>
      <w:r w:rsidRPr="000B6C37">
        <w:t>Os projetos da categoria A não podem ser financiados, de acordo com a classificação descrita nas Políticas Ambientais e Sociais de Salvaguardas do Banco. Também não serão elegíveis projetos que envolvam reassentamento involuntário da população, impactos negativos significativos nos povos indígenas ou habitat natural crítico, ou impactos adversos relacionados aos meios de subsistência ou atividades econômicas, conforme descrito no PGAS do Programa.</w:t>
      </w:r>
    </w:p>
    <w:p w14:paraId="53544784" w14:textId="22528796" w:rsidR="00BB62C2" w:rsidRPr="000B6C37" w:rsidRDefault="00BB62C2" w:rsidP="00C7795F">
      <w:pPr>
        <w:pStyle w:val="ListParagraph"/>
        <w:numPr>
          <w:ilvl w:val="1"/>
          <w:numId w:val="27"/>
        </w:numPr>
        <w:ind w:left="709" w:hanging="709"/>
      </w:pPr>
      <w:r w:rsidRPr="000B6C37">
        <w:lastRenderedPageBreak/>
        <w:t>O Órgão Executor, por meio da UGP, deve preparar e submeter à satisfação do Banco um relatório de cumprimento socioambiental na forma e com o conteúdo acordados com o Banco, conforme apresentado em anexo ao AASE/PGAS, como parte do relatório de progresso semestral e até dois anos após a conclusão da construção.</w:t>
      </w:r>
    </w:p>
    <w:p w14:paraId="63487675" w14:textId="65C0BA3F" w:rsidR="00BB62C2" w:rsidRPr="000B6C37" w:rsidRDefault="00BB62C2" w:rsidP="00C7795F">
      <w:pPr>
        <w:pStyle w:val="ListParagraph"/>
        <w:numPr>
          <w:ilvl w:val="1"/>
          <w:numId w:val="27"/>
        </w:numPr>
        <w:ind w:left="709" w:hanging="709"/>
      </w:pPr>
      <w:r w:rsidRPr="000B6C37">
        <w:t>No início da fase de construção, o Órgão Executor, por meio da UGP, deve desenvolver uma análise para identificar os passivos ambientais de cada local específico identificado. Além disso, os locais de descarte/tratamento de materiais perigosos que podem ser encontrados durante os trabalhos de expansão e aprimoramento dos centros educacionais existentes devem ser identificados, bem como planos de gerenciamento específicos, se for o caso de atender material contendo amianto.</w:t>
      </w:r>
    </w:p>
    <w:p w14:paraId="41B1F800" w14:textId="07816DF5" w:rsidR="00F77402" w:rsidRPr="000B6C37" w:rsidRDefault="00BB62C2" w:rsidP="00C7795F">
      <w:pPr>
        <w:pStyle w:val="ListParagraph"/>
        <w:numPr>
          <w:ilvl w:val="1"/>
          <w:numId w:val="27"/>
        </w:numPr>
        <w:ind w:left="709" w:hanging="709"/>
      </w:pPr>
      <w:r w:rsidRPr="000B6C37">
        <w:t xml:space="preserve">O Órgão Executor, por meio da UGP, deve preparar, com antecedência, na fase de projeto dos edifícios, os estudos de pré-viabilidade (por exemplo, estudos de solo, análise de falhas e estudos ambientais relevantes) para os </w:t>
      </w:r>
      <w:r w:rsidR="00BD3003" w:rsidRPr="000B6C37">
        <w:t>Centros de Ressocialização Integrada (CRIs)</w:t>
      </w:r>
      <w:r w:rsidRPr="000B6C37">
        <w:t xml:space="preserve"> para evitar riscos de desastres naturais. Além disso, o Órgão Executor deve garantir que o desenho dos edifícios inclua os regulamentos de incêndio aplicáveis.</w:t>
      </w:r>
    </w:p>
    <w:p w14:paraId="1CB3AC4E" w14:textId="20C4B49F" w:rsidR="008B17F1" w:rsidRPr="000B6C37" w:rsidRDefault="00BB62C2" w:rsidP="00C7795F">
      <w:pPr>
        <w:pStyle w:val="ListParagraph"/>
        <w:ind w:left="709" w:hanging="709"/>
      </w:pPr>
      <w:r w:rsidRPr="00075064">
        <w:t xml:space="preserve">Dois meses antes do início da operação de cada </w:t>
      </w:r>
      <w:r w:rsidR="00E702F6" w:rsidRPr="00075064">
        <w:t>CRI</w:t>
      </w:r>
      <w:r w:rsidRPr="00075064">
        <w:t>, o Órgão Executor, por meio da UGP, deve apresentar os planos de resposta a emergências do Banco para a sua não objeção, de acordo com as diretrizes do AASE/PGAS.</w:t>
      </w:r>
    </w:p>
    <w:p w14:paraId="1ED5C44A" w14:textId="207DE1E7" w:rsidR="006E7C2A" w:rsidRPr="000B6C37" w:rsidRDefault="006E7C2A" w:rsidP="00CF1958">
      <w:pPr>
        <w:pStyle w:val="Heading2"/>
      </w:pPr>
      <w:bookmarkStart w:id="88" w:name="_Toc19790791"/>
      <w:bookmarkStart w:id="89" w:name="_Toc43470445"/>
      <w:bookmarkStart w:id="90" w:name="_Toc45546128"/>
      <w:bookmarkStart w:id="91" w:name="_Toc43719331"/>
      <w:r w:rsidRPr="000B6C37">
        <w:t>Critérios de Elegibilidade Ambiental e Social</w:t>
      </w:r>
      <w:bookmarkEnd w:id="88"/>
      <w:bookmarkEnd w:id="89"/>
      <w:bookmarkEnd w:id="90"/>
      <w:bookmarkEnd w:id="91"/>
    </w:p>
    <w:p w14:paraId="3EE9B9B9" w14:textId="77777777" w:rsidR="006E7C2A" w:rsidRPr="000B6C37" w:rsidRDefault="00B87DCE" w:rsidP="00C7795F">
      <w:pPr>
        <w:pStyle w:val="ListParagraph"/>
        <w:numPr>
          <w:ilvl w:val="1"/>
          <w:numId w:val="27"/>
        </w:numPr>
        <w:ind w:left="709" w:hanging="709"/>
      </w:pPr>
      <w:r w:rsidRPr="000B6C37">
        <w:t>Nenhuma obra de infra</w:t>
      </w:r>
      <w:r w:rsidR="006E7C2A" w:rsidRPr="000B6C37">
        <w:t xml:space="preserve">estrutura cuja construção venha a ser financiada pelo </w:t>
      </w:r>
      <w:r w:rsidR="00F67832" w:rsidRPr="000B6C37">
        <w:t>Projeto</w:t>
      </w:r>
      <w:r w:rsidR="006E7C2A" w:rsidRPr="000B6C37">
        <w:t xml:space="preserve"> será localizada em áreas inundáveis ou em áreas de risco natural ou ambiental, exceto quando esses riscos sejam eliminados ou mitigados</w:t>
      </w:r>
      <w:r w:rsidR="000C5BB5" w:rsidRPr="000B6C37">
        <w:t>,</w:t>
      </w:r>
      <w:r w:rsidR="006E7C2A" w:rsidRPr="000B6C37">
        <w:t xml:space="preserve"> através de outro </w:t>
      </w:r>
      <w:r w:rsidR="00F67832" w:rsidRPr="000B6C37">
        <w:t>Projeto</w:t>
      </w:r>
      <w:r w:rsidR="006E7C2A" w:rsidRPr="000B6C37">
        <w:t xml:space="preserve"> (antes da implantação do projeto).</w:t>
      </w:r>
    </w:p>
    <w:p w14:paraId="2786C2E1" w14:textId="6E4A6678" w:rsidR="00800E88" w:rsidRPr="000B6C37" w:rsidRDefault="006E7C2A" w:rsidP="00C7795F">
      <w:pPr>
        <w:pStyle w:val="ListParagraph"/>
        <w:numPr>
          <w:ilvl w:val="1"/>
          <w:numId w:val="27"/>
        </w:numPr>
        <w:ind w:left="709" w:hanging="709"/>
      </w:pPr>
      <w:r w:rsidRPr="000B6C37">
        <w:t>O BID requererá</w:t>
      </w:r>
      <w:r w:rsidR="000C5BB5" w:rsidRPr="000B6C37">
        <w:t>,</w:t>
      </w:r>
      <w:r w:rsidRPr="000B6C37">
        <w:t xml:space="preserve"> do Órgão Executor</w:t>
      </w:r>
      <w:r w:rsidR="000C5BB5" w:rsidRPr="000B6C37">
        <w:t>,</w:t>
      </w:r>
      <w:r w:rsidRPr="000B6C37">
        <w:t xml:space="preserve"> a comprovação legal da </w:t>
      </w:r>
      <w:r w:rsidR="00707ED6" w:rsidRPr="000B6C37">
        <w:t xml:space="preserve">posse legal </w:t>
      </w:r>
      <w:r w:rsidRPr="000B6C37">
        <w:t>dos terrenos</w:t>
      </w:r>
      <w:r w:rsidR="0092701F" w:rsidRPr="000B6C37">
        <w:t>,</w:t>
      </w:r>
      <w:r w:rsidRPr="000B6C37">
        <w:t xml:space="preserve"> antes que sejam licitadas as obras previstas no </w:t>
      </w:r>
      <w:r w:rsidR="00F8276E" w:rsidRPr="000B6C37">
        <w:t>p</w:t>
      </w:r>
      <w:r w:rsidR="00F67832" w:rsidRPr="000B6C37">
        <w:t>rojeto</w:t>
      </w:r>
      <w:r w:rsidRPr="000B6C37">
        <w:t xml:space="preserve">. </w:t>
      </w:r>
    </w:p>
    <w:p w14:paraId="77EEEEF4" w14:textId="77777777" w:rsidR="006E7C2A" w:rsidRPr="000B6C37" w:rsidRDefault="00FF4EED" w:rsidP="00C7795F">
      <w:pPr>
        <w:pStyle w:val="ListParagraph"/>
        <w:numPr>
          <w:ilvl w:val="1"/>
          <w:numId w:val="27"/>
        </w:numPr>
        <w:ind w:left="709" w:hanging="709"/>
      </w:pPr>
      <w:r w:rsidRPr="000B6C37">
        <w:t xml:space="preserve">Nenhuma obra de infraestrutura cuja construção venha a ser financiada pelo </w:t>
      </w:r>
      <w:r w:rsidR="00F67832" w:rsidRPr="000B6C37">
        <w:t>Projeto</w:t>
      </w:r>
      <w:r w:rsidRPr="000B6C37">
        <w:t xml:space="preserve"> será localizada</w:t>
      </w:r>
      <w:r w:rsidR="00B87DCE" w:rsidRPr="000B6C37">
        <w:t xml:space="preserve"> </w:t>
      </w:r>
      <w:r w:rsidR="006E7C2A" w:rsidRPr="000B6C37">
        <w:t>em áreas que requeir</w:t>
      </w:r>
      <w:r w:rsidR="00B87DCE" w:rsidRPr="000B6C37">
        <w:t>am o reassentamento de famílias.</w:t>
      </w:r>
    </w:p>
    <w:p w14:paraId="2451EFD8" w14:textId="582192BA" w:rsidR="006E7C2A" w:rsidRPr="000B6C37" w:rsidRDefault="006E7C2A" w:rsidP="00C7795F">
      <w:pPr>
        <w:pStyle w:val="ListParagraph"/>
        <w:numPr>
          <w:ilvl w:val="1"/>
          <w:numId w:val="27"/>
        </w:numPr>
        <w:ind w:left="709" w:hanging="709"/>
      </w:pPr>
      <w:r w:rsidRPr="000B6C37">
        <w:t>Os projetos e as obras cumprirão com os r</w:t>
      </w:r>
      <w:r w:rsidR="003336B3" w:rsidRPr="000B6C37">
        <w:t>equisitos do Código de Obras do</w:t>
      </w:r>
      <w:r w:rsidR="00471A7B" w:rsidRPr="000B6C37">
        <w:t xml:space="preserve"> Estado</w:t>
      </w:r>
      <w:r w:rsidR="003336B3" w:rsidRPr="000B6C37">
        <w:t xml:space="preserve"> de </w:t>
      </w:r>
      <w:r w:rsidR="000056EB" w:rsidRPr="000B6C37">
        <w:t>Espírito Santo</w:t>
      </w:r>
      <w:r w:rsidR="003336B3" w:rsidRPr="000B6C37">
        <w:t>, bem como com seu código sanitário</w:t>
      </w:r>
      <w:r w:rsidRPr="000B6C37">
        <w:t xml:space="preserve"> e outras normas vigentes </w:t>
      </w:r>
      <w:r w:rsidR="0092701F" w:rsidRPr="000B6C37">
        <w:t>em</w:t>
      </w:r>
      <w:r w:rsidRPr="000B6C37">
        <w:t xml:space="preserve"> nível</w:t>
      </w:r>
      <w:r w:rsidR="00471A7B" w:rsidRPr="000B6C37">
        <w:t xml:space="preserve"> </w:t>
      </w:r>
      <w:r w:rsidRPr="000B6C37">
        <w:t xml:space="preserve">municipal, estadual e federal, bem como com as normas pertinentes da ABNT. Todas as obras deverão seguir a normatização municipal, estadual e federal referentes à acessibilidade de pessoas </w:t>
      </w:r>
      <w:r w:rsidR="00FF4EED" w:rsidRPr="000B6C37">
        <w:t>com</w:t>
      </w:r>
      <w:r w:rsidRPr="000B6C37">
        <w:t xml:space="preserve"> necessidades especiais a edificações, espaço, mobiliário e equipamentos urbanos.</w:t>
      </w:r>
    </w:p>
    <w:p w14:paraId="766AE5D7" w14:textId="42C65B6F" w:rsidR="006E7C2A" w:rsidRPr="00075064" w:rsidRDefault="006E7C2A" w:rsidP="00C7795F">
      <w:pPr>
        <w:pStyle w:val="ListParagraph"/>
        <w:numPr>
          <w:ilvl w:val="1"/>
          <w:numId w:val="27"/>
        </w:numPr>
        <w:ind w:left="709" w:hanging="709"/>
        <w:rPr>
          <w:color w:val="FF0000"/>
        </w:rPr>
      </w:pPr>
      <w:r w:rsidRPr="000B6C37">
        <w:t>As medidas necessárias serão tomadas e as obras implementadas, com recursos próprios</w:t>
      </w:r>
      <w:r w:rsidR="003336B3" w:rsidRPr="000B6C37">
        <w:t xml:space="preserve"> do </w:t>
      </w:r>
      <w:r w:rsidR="00D45F84" w:rsidRPr="000B6C37">
        <w:t>estado</w:t>
      </w:r>
      <w:r w:rsidRPr="000B6C37">
        <w:t>, visando assegurar a adequada disposição do esgoto (por meio da implantação de soluções individuais de tratamento quando não for possível a conexão à rede de esgoto) e a coleta dos resíduos sólidos, em conformidade com toda a legislação local pertinente</w:t>
      </w:r>
      <w:r w:rsidR="003336B3" w:rsidRPr="000B6C37">
        <w:t>.</w:t>
      </w:r>
      <w:r w:rsidRPr="000B6C37">
        <w:t xml:space="preserve"> </w:t>
      </w:r>
    </w:p>
    <w:p w14:paraId="7E006808" w14:textId="23160611" w:rsidR="006E7C2A" w:rsidRPr="000B6C37" w:rsidRDefault="006E7C2A" w:rsidP="00C7795F">
      <w:pPr>
        <w:pStyle w:val="ListParagraph"/>
        <w:numPr>
          <w:ilvl w:val="1"/>
          <w:numId w:val="27"/>
        </w:numPr>
        <w:ind w:left="709" w:hanging="709"/>
      </w:pPr>
      <w:r w:rsidRPr="000B6C37">
        <w:t>As atividades de operação e manutenção devem assegurar que as condições de proteção à saúde, à segurança do trabalho e ao meio ambiente sejam preservadas. A manutenção das instalações sanitárias, da evacuação do esgoto, da qualidade do abastecimento de água e da coleta de lixo dar-se-á de maneira ambientalmente segura.</w:t>
      </w:r>
    </w:p>
    <w:p w14:paraId="3184B6BE" w14:textId="18DE767C" w:rsidR="0050241D" w:rsidRDefault="0050241D" w:rsidP="0050241D">
      <w:pPr>
        <w:ind w:left="567"/>
      </w:pPr>
    </w:p>
    <w:p w14:paraId="29743A28" w14:textId="77777777" w:rsidR="007D6B4D" w:rsidRPr="000B6C37" w:rsidRDefault="007D6B4D" w:rsidP="0050241D">
      <w:pPr>
        <w:ind w:left="567"/>
      </w:pPr>
    </w:p>
    <w:p w14:paraId="591CF046" w14:textId="18A324DA" w:rsidR="00220E6A" w:rsidRPr="000B6C37" w:rsidRDefault="005269C1">
      <w:pPr>
        <w:pStyle w:val="Heading1"/>
        <w:rPr>
          <w:bCs/>
          <w:smallCaps/>
        </w:rPr>
      </w:pPr>
      <w:bookmarkStart w:id="92" w:name="_Toc45546129"/>
      <w:bookmarkStart w:id="93" w:name="_Toc43719334"/>
      <w:r w:rsidRPr="000B6C37">
        <w:lastRenderedPageBreak/>
        <w:t>AQUISIÇÕES</w:t>
      </w:r>
      <w:bookmarkEnd w:id="92"/>
      <w:bookmarkEnd w:id="93"/>
    </w:p>
    <w:p w14:paraId="6BF7B9C0" w14:textId="4695B46C" w:rsidR="00220E6A" w:rsidRPr="000B6C37" w:rsidRDefault="00114525" w:rsidP="00CF1958">
      <w:pPr>
        <w:pStyle w:val="Heading2"/>
      </w:pPr>
      <w:bookmarkStart w:id="94" w:name="_Toc45546130"/>
      <w:bookmarkStart w:id="95" w:name="_Toc43719335"/>
      <w:r w:rsidRPr="000B6C37">
        <w:t>Execução das aquisições</w:t>
      </w:r>
      <w:bookmarkEnd w:id="94"/>
      <w:bookmarkEnd w:id="95"/>
    </w:p>
    <w:p w14:paraId="66A2F350" w14:textId="77777777" w:rsidR="0015799F" w:rsidRPr="00C7795F" w:rsidRDefault="0015799F" w:rsidP="00C7795F">
      <w:pPr>
        <w:pStyle w:val="ListParagraph"/>
        <w:numPr>
          <w:ilvl w:val="0"/>
          <w:numId w:val="28"/>
        </w:numPr>
        <w:ind w:left="709" w:hanging="709"/>
      </w:pPr>
    </w:p>
    <w:p w14:paraId="0D08D512" w14:textId="27B85BB5" w:rsidR="00F5497C" w:rsidRPr="000B6C37" w:rsidRDefault="00F5497C" w:rsidP="00C7795F">
      <w:pPr>
        <w:pStyle w:val="ListParagraph"/>
        <w:numPr>
          <w:ilvl w:val="1"/>
          <w:numId w:val="28"/>
        </w:numPr>
        <w:ind w:left="709" w:hanging="709"/>
      </w:pPr>
      <w:r w:rsidRPr="00075064">
        <w:rPr>
          <w:b/>
          <w:bCs/>
        </w:rPr>
        <w:t xml:space="preserve">Aquisição de obras, bens e serviços que não sejam de consultoria. </w:t>
      </w:r>
      <w:r w:rsidRPr="000B6C37">
        <w:t>Os contratos estarão sujeitos à Licitação Concorrencial Internacional (ICB) e serão executados utilizando os Documentos de Licitação Padrão (</w:t>
      </w:r>
      <w:r w:rsidR="003260FF" w:rsidRPr="000B6C37">
        <w:t>DLP</w:t>
      </w:r>
      <w:r w:rsidRPr="000B6C37">
        <w:t xml:space="preserve">) emitidos pelo Banco. Licitações sujeitas a Licitações Públicas Nacionais (LPN) serão realizadas utilizando Documentos de Licitações Nacionais acordados com o Banco. </w:t>
      </w:r>
    </w:p>
    <w:p w14:paraId="26E2C3B8" w14:textId="74C50A8F" w:rsidR="00F5497C" w:rsidRPr="000B6C37" w:rsidRDefault="00F5497C" w:rsidP="00C7795F">
      <w:pPr>
        <w:pStyle w:val="ListParagraph"/>
        <w:numPr>
          <w:ilvl w:val="1"/>
          <w:numId w:val="28"/>
        </w:numPr>
        <w:ind w:left="709" w:hanging="709"/>
      </w:pPr>
      <w:r w:rsidRPr="00075064">
        <w:rPr>
          <w:b/>
          <w:bCs/>
        </w:rPr>
        <w:t>Seleção e Contratação de Consultores.</w:t>
      </w:r>
      <w:r w:rsidRPr="000B6C37">
        <w:t xml:space="preserve"> Os contratos serão executados utilizando </w:t>
      </w:r>
      <w:r w:rsidR="00C813A6" w:rsidRPr="000B6C37">
        <w:t xml:space="preserve">a Solicitação de Propostas Padrão </w:t>
      </w:r>
      <w:r w:rsidRPr="000B6C37">
        <w:t>(</w:t>
      </w:r>
      <w:r w:rsidR="00C813A6" w:rsidRPr="000B6C37">
        <w:t>SPP</w:t>
      </w:r>
      <w:r w:rsidRPr="000B6C37">
        <w:t xml:space="preserve">) emitido pelo Banco. A revisão do </w:t>
      </w:r>
      <w:r w:rsidR="002D442B" w:rsidRPr="000B6C37">
        <w:t>TDR</w:t>
      </w:r>
      <w:r w:rsidRPr="000B6C37">
        <w:t xml:space="preserve"> para contratação dos serviços é de responsabilidade do especialista do setor. A seleção e contratação serão realizadas de acordo com as Políticas de Seleção e Contratação de Consultores do BID (GN-2350-15).</w:t>
      </w:r>
    </w:p>
    <w:p w14:paraId="647B3BD0" w14:textId="2C610251" w:rsidR="00F5497C" w:rsidRPr="000B6C37" w:rsidRDefault="00F5497C" w:rsidP="00C7795F">
      <w:pPr>
        <w:pStyle w:val="ListParagraph"/>
        <w:numPr>
          <w:ilvl w:val="1"/>
          <w:numId w:val="28"/>
        </w:numPr>
        <w:ind w:left="709" w:hanging="709"/>
      </w:pPr>
      <w:r w:rsidRPr="00075064">
        <w:rPr>
          <w:b/>
          <w:bCs/>
        </w:rPr>
        <w:t>Uso do sistema nacional de compras.</w:t>
      </w:r>
      <w:r w:rsidRPr="000B6C37">
        <w:t xml:space="preserve"> O subsistema nacional de compras aprovado pelo Banco, o Pregão Eletrônico, será utilizado para a aquisição de bens comuns de até US$5 milhões. Qualquer sistema ou subsistema que seja aprovado posteriormente será aplicável à operação. O </w:t>
      </w:r>
      <w:r w:rsidR="00A43B40" w:rsidRPr="000B6C37">
        <w:t>PA</w:t>
      </w:r>
      <w:r w:rsidRPr="000B6C37">
        <w:t xml:space="preserve"> e suas atualizações indicarão quais aquisições serão executadas através dos sistemas nacionais aprovados. </w:t>
      </w:r>
    </w:p>
    <w:p w14:paraId="15FC8E80" w14:textId="7B5FF9CC" w:rsidR="00220E6A" w:rsidRPr="00075064" w:rsidRDefault="00F5497C" w:rsidP="00C7795F">
      <w:pPr>
        <w:pStyle w:val="ListParagraph"/>
        <w:numPr>
          <w:ilvl w:val="1"/>
          <w:numId w:val="28"/>
        </w:numPr>
        <w:ind w:left="709" w:hanging="709"/>
        <w:rPr>
          <w:i/>
          <w:iCs/>
        </w:rPr>
      </w:pPr>
      <w:r w:rsidRPr="00075064">
        <w:rPr>
          <w:b/>
          <w:bCs/>
        </w:rPr>
        <w:t>Financiamento Retroativo.</w:t>
      </w:r>
      <w:r w:rsidRPr="000B6C37">
        <w:t xml:space="preserve"> Destina-se a financiar retroativamente até 20% do valor do empréstimo proposto</w:t>
      </w:r>
      <w:r w:rsidR="00FB2408">
        <w:t xml:space="preserve"> (US$16.465.840)</w:t>
      </w:r>
      <w:r w:rsidRPr="000B6C37">
        <w:t>, e a reconhecer da contribuição local até 20% do valor estimado da contribuição local</w:t>
      </w:r>
      <w:r w:rsidR="00FB2408">
        <w:t xml:space="preserve"> (</w:t>
      </w:r>
      <w:r w:rsidR="00B64850">
        <w:t>US$</w:t>
      </w:r>
      <w:r w:rsidR="00FB2408" w:rsidRPr="00862AA4">
        <w:t>4.116.460</w:t>
      </w:r>
      <w:r w:rsidR="00FB2408">
        <w:t>)</w:t>
      </w:r>
      <w:r w:rsidRPr="000B6C37">
        <w:t>, despesas elegíveis nas categorias de obras, bens, serviços não consultivos e serviços de consultoria relacionados a programas, obras de tecnologia ou infraestrutura para reinserção, incorridos pelo mutuário antes da data de aprovação do empréstimo</w:t>
      </w:r>
      <w:r w:rsidR="00B64850">
        <w:t>,</w:t>
      </w:r>
      <w:r w:rsidR="00B64850" w:rsidRPr="00B64850">
        <w:t xml:space="preserve"> desde que tenham sido cumpridos requisitos substancialmente semelhantes aos estabelecidos no contrato de empréstimo, incluindo o cumprimento das políticas de salvaguardas do BID</w:t>
      </w:r>
      <w:r w:rsidR="00B64850">
        <w:t>.</w:t>
      </w:r>
      <w:r w:rsidRPr="000B6C37">
        <w:t xml:space="preserve"> Tais despesas devem ter sido incorridas a partir da data de aprovação do Perfil do Projeto (28 de maio de 2020), mas em nenhum caso devem incluir despesas incorridas mais de 18 meses antes da data de aprovação do empréstimo</w:t>
      </w:r>
      <w:r w:rsidR="00220E6A" w:rsidRPr="00D37D79">
        <w:t xml:space="preserve">. </w:t>
      </w:r>
    </w:p>
    <w:p w14:paraId="5BD2BD8B" w14:textId="159B6CC3" w:rsidR="00220E6A" w:rsidRPr="000B6C37" w:rsidRDefault="00F61DD1" w:rsidP="00C7795F">
      <w:pPr>
        <w:pStyle w:val="ListParagraph"/>
        <w:numPr>
          <w:ilvl w:val="1"/>
          <w:numId w:val="28"/>
        </w:numPr>
        <w:ind w:left="709" w:hanging="709"/>
      </w:pPr>
      <w:r w:rsidRPr="00075064">
        <w:rPr>
          <w:b/>
          <w:bCs/>
        </w:rPr>
        <w:t>Contratações Diretas</w:t>
      </w:r>
      <w:r w:rsidR="00460928" w:rsidRPr="00075064">
        <w:rPr>
          <w:b/>
          <w:bCs/>
        </w:rPr>
        <w:t>.</w:t>
      </w:r>
      <w:r w:rsidR="00460928" w:rsidRPr="000B6C37">
        <w:t xml:space="preserve"> </w:t>
      </w:r>
      <w:r w:rsidRPr="000B6C37">
        <w:t xml:space="preserve">Está previsto que quatro consultores individuais serão contratados diretamente para apoiar a gestão da UGP, </w:t>
      </w:r>
      <w:r w:rsidR="007B6BB1" w:rsidRPr="000B6C37">
        <w:t>pel</w:t>
      </w:r>
      <w:r w:rsidRPr="000B6C37">
        <w:t>a vantagem de manter a continuidade dos serviços, de acordo com a política GN-2350-15 (parágrafo 5.4, subparágrafo a). O valor estimado é de US$</w:t>
      </w:r>
      <w:r w:rsidR="0038108E">
        <w:t>36</w:t>
      </w:r>
      <w:r w:rsidRPr="000B6C37">
        <w:t>0.000 para os cinco anos de implementação</w:t>
      </w:r>
      <w:r w:rsidR="00220E6A" w:rsidRPr="000B6C37">
        <w:t>.</w:t>
      </w:r>
    </w:p>
    <w:p w14:paraId="3EBE5922" w14:textId="17E7533F" w:rsidR="00220E6A" w:rsidRPr="00A66EE7" w:rsidRDefault="006D6C2A" w:rsidP="008878A1">
      <w:pPr>
        <w:pStyle w:val="Caption"/>
      </w:pPr>
      <w:r w:rsidRPr="00A66EE7">
        <w:t>Tabela</w:t>
      </w:r>
      <w:r w:rsidR="00220E6A" w:rsidRPr="00A66EE7">
        <w:t xml:space="preserve"> </w:t>
      </w:r>
      <w:r w:rsidRPr="00A66EE7">
        <w:t>3</w:t>
      </w:r>
      <w:r w:rsidR="00220E6A" w:rsidRPr="00A66EE7">
        <w:t xml:space="preserve">. </w:t>
      </w:r>
      <w:r w:rsidR="003124CE" w:rsidRPr="00C7795F">
        <w:t>Valores limite para licitação internacional e lista curta com conformação internacional</w:t>
      </w:r>
    </w:p>
    <w:tbl>
      <w:tblPr>
        <w:tblW w:w="4566" w:type="pct"/>
        <w:tblInd w:w="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2"/>
        <w:gridCol w:w="1693"/>
        <w:gridCol w:w="2550"/>
        <w:gridCol w:w="2340"/>
      </w:tblGrid>
      <w:tr w:rsidR="00AB6D08" w:rsidRPr="000B6C37" w14:paraId="491D0A8B" w14:textId="77777777" w:rsidTr="00460928">
        <w:trPr>
          <w:trHeight w:val="638"/>
        </w:trPr>
        <w:tc>
          <w:tcPr>
            <w:tcW w:w="1022" w:type="pct"/>
            <w:shd w:val="clear" w:color="auto" w:fill="A6A6A6" w:themeFill="background1" w:themeFillShade="A6"/>
            <w:vAlign w:val="center"/>
          </w:tcPr>
          <w:p w14:paraId="677CE967" w14:textId="77777777" w:rsidR="00AB6D08" w:rsidRPr="000B6C37" w:rsidRDefault="00AB6D08" w:rsidP="00B6284A">
            <w:pPr>
              <w:spacing w:after="0"/>
              <w:ind w:left="567" w:hanging="567"/>
              <w:jc w:val="center"/>
              <w:rPr>
                <w:b/>
                <w:bCs/>
                <w:sz w:val="18"/>
                <w:szCs w:val="18"/>
              </w:rPr>
            </w:pPr>
            <w:r w:rsidRPr="00C7795F">
              <w:rPr>
                <w:b/>
                <w:sz w:val="18"/>
              </w:rPr>
              <w:t>Método</w:t>
            </w:r>
          </w:p>
        </w:tc>
        <w:tc>
          <w:tcPr>
            <w:tcW w:w="1023" w:type="pct"/>
            <w:shd w:val="clear" w:color="auto" w:fill="A6A6A6" w:themeFill="background1" w:themeFillShade="A6"/>
            <w:vAlign w:val="center"/>
          </w:tcPr>
          <w:p w14:paraId="3E12F108" w14:textId="77777777" w:rsidR="00AB6D08" w:rsidRPr="000B6C37" w:rsidRDefault="00AB6D08" w:rsidP="00B6284A">
            <w:pPr>
              <w:spacing w:after="0"/>
              <w:jc w:val="center"/>
              <w:rPr>
                <w:b/>
                <w:bCs/>
                <w:sz w:val="18"/>
                <w:szCs w:val="18"/>
              </w:rPr>
            </w:pPr>
            <w:r w:rsidRPr="00C7795F">
              <w:rPr>
                <w:b/>
                <w:sz w:val="18"/>
              </w:rPr>
              <w:t>Obras de LPI</w:t>
            </w:r>
          </w:p>
        </w:tc>
        <w:tc>
          <w:tcPr>
            <w:tcW w:w="1541" w:type="pct"/>
            <w:shd w:val="clear" w:color="auto" w:fill="A6A6A6" w:themeFill="background1" w:themeFillShade="A6"/>
            <w:vAlign w:val="center"/>
          </w:tcPr>
          <w:p w14:paraId="77B586DC" w14:textId="77777777" w:rsidR="00AB6D08" w:rsidRPr="000B6C37" w:rsidRDefault="00AB6D08" w:rsidP="00B6284A">
            <w:pPr>
              <w:spacing w:after="0"/>
              <w:jc w:val="center"/>
              <w:rPr>
                <w:b/>
                <w:bCs/>
                <w:sz w:val="18"/>
                <w:szCs w:val="18"/>
              </w:rPr>
            </w:pPr>
            <w:r w:rsidRPr="00C7795F">
              <w:rPr>
                <w:b/>
                <w:sz w:val="18"/>
              </w:rPr>
              <w:t>Bens e Serviços LPI Além da Consultoria</w:t>
            </w:r>
          </w:p>
        </w:tc>
        <w:tc>
          <w:tcPr>
            <w:tcW w:w="1414" w:type="pct"/>
            <w:shd w:val="clear" w:color="auto" w:fill="A6A6A6" w:themeFill="background1" w:themeFillShade="A6"/>
            <w:vAlign w:val="center"/>
          </w:tcPr>
          <w:p w14:paraId="0A03A6A7" w14:textId="77777777" w:rsidR="00AB6D08" w:rsidRPr="000B6C37" w:rsidRDefault="00AB6D08" w:rsidP="00B6284A">
            <w:pPr>
              <w:spacing w:after="0"/>
              <w:jc w:val="center"/>
              <w:rPr>
                <w:b/>
                <w:bCs/>
                <w:sz w:val="18"/>
                <w:szCs w:val="18"/>
              </w:rPr>
            </w:pPr>
            <w:r w:rsidRPr="00C7795F">
              <w:rPr>
                <w:b/>
                <w:sz w:val="18"/>
              </w:rPr>
              <w:t>Lista curta internacional sobre serviços de consultoria</w:t>
            </w:r>
          </w:p>
        </w:tc>
      </w:tr>
      <w:tr w:rsidR="00AB6D08" w:rsidRPr="000B6C37" w14:paraId="486C7228" w14:textId="77777777" w:rsidTr="00460928">
        <w:trPr>
          <w:trHeight w:val="188"/>
        </w:trPr>
        <w:tc>
          <w:tcPr>
            <w:tcW w:w="1022" w:type="pct"/>
            <w:shd w:val="clear" w:color="auto" w:fill="auto"/>
            <w:vAlign w:val="center"/>
          </w:tcPr>
          <w:p w14:paraId="7A2A40F9" w14:textId="77777777" w:rsidR="00AB6D08" w:rsidRPr="000B6C37" w:rsidRDefault="00AB6D08" w:rsidP="00460928">
            <w:pPr>
              <w:spacing w:after="0"/>
              <w:jc w:val="center"/>
              <w:rPr>
                <w:sz w:val="18"/>
                <w:szCs w:val="18"/>
              </w:rPr>
            </w:pPr>
            <w:r w:rsidRPr="00C7795F">
              <w:rPr>
                <w:sz w:val="18"/>
              </w:rPr>
              <w:t>Quantidade limite</w:t>
            </w:r>
          </w:p>
        </w:tc>
        <w:tc>
          <w:tcPr>
            <w:tcW w:w="1023" w:type="pct"/>
            <w:shd w:val="clear" w:color="auto" w:fill="auto"/>
            <w:vAlign w:val="center"/>
          </w:tcPr>
          <w:p w14:paraId="420B7F6D" w14:textId="77777777" w:rsidR="00AB6D08" w:rsidRPr="000B6C37" w:rsidRDefault="00AB6D08" w:rsidP="00460928">
            <w:pPr>
              <w:spacing w:after="0"/>
              <w:jc w:val="center"/>
              <w:rPr>
                <w:sz w:val="18"/>
                <w:szCs w:val="18"/>
              </w:rPr>
            </w:pPr>
            <w:r w:rsidRPr="00C7795F">
              <w:rPr>
                <w:sz w:val="18"/>
              </w:rPr>
              <w:t>25 milhões de dólares</w:t>
            </w:r>
          </w:p>
        </w:tc>
        <w:tc>
          <w:tcPr>
            <w:tcW w:w="1541" w:type="pct"/>
            <w:vAlign w:val="center"/>
          </w:tcPr>
          <w:p w14:paraId="4E2452E3" w14:textId="77777777" w:rsidR="00AB6D08" w:rsidRPr="000B6C37" w:rsidRDefault="00AB6D08" w:rsidP="00460928">
            <w:pPr>
              <w:spacing w:after="0"/>
              <w:ind w:left="567" w:hanging="567"/>
              <w:jc w:val="center"/>
              <w:rPr>
                <w:sz w:val="18"/>
                <w:szCs w:val="18"/>
              </w:rPr>
            </w:pPr>
            <w:r w:rsidRPr="00C7795F">
              <w:rPr>
                <w:sz w:val="18"/>
              </w:rPr>
              <w:t>5 milhões de dólares</w:t>
            </w:r>
          </w:p>
        </w:tc>
        <w:tc>
          <w:tcPr>
            <w:tcW w:w="1414" w:type="pct"/>
            <w:shd w:val="clear" w:color="auto" w:fill="auto"/>
            <w:vAlign w:val="center"/>
          </w:tcPr>
          <w:p w14:paraId="628CA395" w14:textId="77777777" w:rsidR="00AB6D08" w:rsidRPr="000B6C37" w:rsidRDefault="00AB6D08" w:rsidP="00460928">
            <w:pPr>
              <w:spacing w:after="0"/>
              <w:ind w:left="567" w:hanging="567"/>
              <w:jc w:val="center"/>
              <w:rPr>
                <w:sz w:val="18"/>
                <w:szCs w:val="18"/>
              </w:rPr>
            </w:pPr>
            <w:r w:rsidRPr="00C7795F">
              <w:rPr>
                <w:sz w:val="18"/>
              </w:rPr>
              <w:t>1 milhão de dólares</w:t>
            </w:r>
          </w:p>
        </w:tc>
      </w:tr>
    </w:tbl>
    <w:p w14:paraId="1AB3C189" w14:textId="77777777" w:rsidR="008878A1" w:rsidRPr="008878A1" w:rsidRDefault="008878A1" w:rsidP="008878A1">
      <w:pPr>
        <w:rPr>
          <w:rFonts w:eastAsia="Arial"/>
        </w:rPr>
      </w:pPr>
      <w:bookmarkStart w:id="96" w:name="_Toc244412090"/>
    </w:p>
    <w:p w14:paraId="36EBB85A" w14:textId="4E43D0F2" w:rsidR="00AB6D08" w:rsidRPr="00A66EE7" w:rsidRDefault="00AB6D08" w:rsidP="008878A1">
      <w:pPr>
        <w:pStyle w:val="Caption"/>
      </w:pPr>
      <w:r w:rsidRPr="00C7795F">
        <w:t>Mesa 2. Principais Aquisições</w:t>
      </w:r>
      <w:bookmarkEnd w:id="96"/>
    </w:p>
    <w:tbl>
      <w:tblPr>
        <w:tblW w:w="4629" w:type="pct"/>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1"/>
        <w:gridCol w:w="1476"/>
        <w:gridCol w:w="1476"/>
        <w:gridCol w:w="1476"/>
      </w:tblGrid>
      <w:tr w:rsidR="00AB6D08" w:rsidRPr="000B6C37" w14:paraId="0CC3E038" w14:textId="77777777" w:rsidTr="00460928">
        <w:trPr>
          <w:trHeight w:val="20"/>
          <w:tblHeader/>
        </w:trPr>
        <w:tc>
          <w:tcPr>
            <w:tcW w:w="2360" w:type="pct"/>
            <w:shd w:val="clear" w:color="auto" w:fill="A6A6A6" w:themeFill="background1" w:themeFillShade="A6"/>
            <w:vAlign w:val="center"/>
          </w:tcPr>
          <w:p w14:paraId="0C0C1822" w14:textId="77777777" w:rsidR="00AB6D08" w:rsidRPr="000B6C37" w:rsidRDefault="00AB6D08" w:rsidP="00A74268">
            <w:pPr>
              <w:spacing w:after="0"/>
              <w:jc w:val="center"/>
              <w:rPr>
                <w:b/>
                <w:bCs/>
                <w:sz w:val="18"/>
                <w:szCs w:val="18"/>
              </w:rPr>
            </w:pPr>
            <w:r w:rsidRPr="00C7795F">
              <w:rPr>
                <w:b/>
                <w:sz w:val="18"/>
              </w:rPr>
              <w:t>Objeto de Aquisição</w:t>
            </w:r>
          </w:p>
        </w:tc>
        <w:tc>
          <w:tcPr>
            <w:tcW w:w="880" w:type="pct"/>
            <w:shd w:val="clear" w:color="auto" w:fill="A6A6A6" w:themeFill="background1" w:themeFillShade="A6"/>
            <w:vAlign w:val="center"/>
          </w:tcPr>
          <w:p w14:paraId="4706961C" w14:textId="77777777" w:rsidR="00AB6D08" w:rsidRPr="000B6C37" w:rsidRDefault="00AB6D08" w:rsidP="00A74268">
            <w:pPr>
              <w:spacing w:after="0"/>
              <w:jc w:val="center"/>
              <w:rPr>
                <w:b/>
                <w:bCs/>
                <w:sz w:val="18"/>
                <w:szCs w:val="18"/>
              </w:rPr>
            </w:pPr>
            <w:r w:rsidRPr="00C7795F">
              <w:rPr>
                <w:b/>
                <w:sz w:val="18"/>
              </w:rPr>
              <w:t>Método de seleção</w:t>
            </w:r>
          </w:p>
        </w:tc>
        <w:tc>
          <w:tcPr>
            <w:tcW w:w="880" w:type="pct"/>
            <w:shd w:val="clear" w:color="auto" w:fill="A6A6A6" w:themeFill="background1" w:themeFillShade="A6"/>
            <w:vAlign w:val="center"/>
          </w:tcPr>
          <w:p w14:paraId="62B98E21" w14:textId="77777777" w:rsidR="00AB6D08" w:rsidRPr="000B6C37" w:rsidRDefault="00AB6D08" w:rsidP="00A74268">
            <w:pPr>
              <w:spacing w:after="0"/>
              <w:jc w:val="center"/>
              <w:rPr>
                <w:b/>
                <w:bCs/>
                <w:sz w:val="18"/>
                <w:szCs w:val="18"/>
              </w:rPr>
            </w:pPr>
            <w:r w:rsidRPr="00C7795F">
              <w:rPr>
                <w:b/>
                <w:sz w:val="18"/>
              </w:rPr>
              <w:t>Data estimada</w:t>
            </w:r>
          </w:p>
        </w:tc>
        <w:tc>
          <w:tcPr>
            <w:tcW w:w="879" w:type="pct"/>
            <w:shd w:val="clear" w:color="auto" w:fill="A6A6A6" w:themeFill="background1" w:themeFillShade="A6"/>
            <w:vAlign w:val="center"/>
          </w:tcPr>
          <w:p w14:paraId="038E7FA7" w14:textId="77777777" w:rsidR="00AB6D08" w:rsidRPr="000B6C37" w:rsidRDefault="00AB6D08" w:rsidP="00A74268">
            <w:pPr>
              <w:spacing w:after="0"/>
              <w:jc w:val="center"/>
              <w:rPr>
                <w:b/>
                <w:bCs/>
                <w:sz w:val="18"/>
                <w:szCs w:val="18"/>
              </w:rPr>
            </w:pPr>
            <w:r w:rsidRPr="00C7795F">
              <w:rPr>
                <w:b/>
                <w:sz w:val="18"/>
              </w:rPr>
              <w:t>Valor estimado (US$ Milhões)</w:t>
            </w:r>
          </w:p>
        </w:tc>
      </w:tr>
      <w:tr w:rsidR="00AB6D08" w:rsidRPr="000B6C37" w14:paraId="56C37571" w14:textId="77777777" w:rsidTr="00460928">
        <w:trPr>
          <w:trHeight w:val="20"/>
        </w:trPr>
        <w:tc>
          <w:tcPr>
            <w:tcW w:w="5000" w:type="pct"/>
            <w:gridSpan w:val="4"/>
            <w:tcBorders>
              <w:top w:val="single" w:sz="4" w:space="0" w:color="auto"/>
              <w:left w:val="single" w:sz="4" w:space="0" w:color="auto"/>
              <w:bottom w:val="single" w:sz="4" w:space="0" w:color="auto"/>
            </w:tcBorders>
            <w:shd w:val="clear" w:color="auto" w:fill="BFBFBF" w:themeFill="background1" w:themeFillShade="BF"/>
            <w:vAlign w:val="center"/>
          </w:tcPr>
          <w:p w14:paraId="517D80CF" w14:textId="77777777" w:rsidR="00AB6D08" w:rsidRPr="000B6C37" w:rsidRDefault="00AB6D08" w:rsidP="00A74268">
            <w:pPr>
              <w:spacing w:after="0"/>
              <w:jc w:val="center"/>
              <w:rPr>
                <w:b/>
                <w:bCs/>
                <w:sz w:val="18"/>
                <w:szCs w:val="18"/>
              </w:rPr>
            </w:pPr>
            <w:r w:rsidRPr="00C7795F">
              <w:rPr>
                <w:b/>
                <w:sz w:val="18"/>
              </w:rPr>
              <w:t>Diferenciais de consultoria de bens e serviços</w:t>
            </w:r>
          </w:p>
        </w:tc>
      </w:tr>
      <w:tr w:rsidR="00AB6D08" w:rsidRPr="000B6C37" w14:paraId="5C426E49" w14:textId="77777777" w:rsidTr="00460928">
        <w:trPr>
          <w:trHeight w:val="20"/>
        </w:trPr>
        <w:tc>
          <w:tcPr>
            <w:tcW w:w="2360" w:type="pct"/>
            <w:vAlign w:val="center"/>
          </w:tcPr>
          <w:p w14:paraId="237D4DA3" w14:textId="0AA55AC5" w:rsidR="00AB6D08" w:rsidRPr="000B6C37" w:rsidRDefault="00AB6D08" w:rsidP="00A74268">
            <w:pPr>
              <w:spacing w:after="0"/>
              <w:jc w:val="left"/>
              <w:rPr>
                <w:sz w:val="18"/>
                <w:szCs w:val="18"/>
              </w:rPr>
            </w:pPr>
            <w:r w:rsidRPr="00C7795F">
              <w:rPr>
                <w:sz w:val="18"/>
              </w:rPr>
              <w:t>Equipamentos de movimentação e localização (</w:t>
            </w:r>
            <w:r w:rsidR="00625752" w:rsidRPr="00C7795F">
              <w:rPr>
                <w:sz w:val="18"/>
              </w:rPr>
              <w:t>RFID</w:t>
            </w:r>
            <w:r w:rsidRPr="00C7795F">
              <w:rPr>
                <w:sz w:val="18"/>
              </w:rPr>
              <w:t>)</w:t>
            </w:r>
          </w:p>
        </w:tc>
        <w:tc>
          <w:tcPr>
            <w:tcW w:w="880" w:type="pct"/>
            <w:vAlign w:val="center"/>
          </w:tcPr>
          <w:p w14:paraId="19183B09" w14:textId="0ACD4438" w:rsidR="00AB6D08" w:rsidRPr="000B6C37" w:rsidRDefault="00AB6D08" w:rsidP="00A74268">
            <w:pPr>
              <w:spacing w:after="0"/>
              <w:jc w:val="center"/>
              <w:rPr>
                <w:sz w:val="18"/>
                <w:szCs w:val="18"/>
              </w:rPr>
            </w:pPr>
            <w:r w:rsidRPr="000B6C37">
              <w:rPr>
                <w:sz w:val="18"/>
                <w:szCs w:val="18"/>
              </w:rPr>
              <w:t>LPI</w:t>
            </w:r>
          </w:p>
        </w:tc>
        <w:tc>
          <w:tcPr>
            <w:tcW w:w="880" w:type="pct"/>
            <w:vAlign w:val="center"/>
          </w:tcPr>
          <w:p w14:paraId="519D936C" w14:textId="77777777" w:rsidR="00AB6D08" w:rsidRPr="000B6C37" w:rsidRDefault="00AB6D08" w:rsidP="00A74268">
            <w:pPr>
              <w:spacing w:after="0"/>
              <w:jc w:val="center"/>
              <w:rPr>
                <w:sz w:val="18"/>
                <w:szCs w:val="18"/>
              </w:rPr>
            </w:pPr>
            <w:r w:rsidRPr="00C7795F">
              <w:rPr>
                <w:sz w:val="18"/>
              </w:rPr>
              <w:t>2021</w:t>
            </w:r>
          </w:p>
        </w:tc>
        <w:tc>
          <w:tcPr>
            <w:tcW w:w="879" w:type="pct"/>
            <w:vAlign w:val="center"/>
          </w:tcPr>
          <w:p w14:paraId="252D7732" w14:textId="77777777" w:rsidR="00AB6D08" w:rsidRPr="000B6C37" w:rsidRDefault="00AB6D08" w:rsidP="00A74268">
            <w:pPr>
              <w:spacing w:after="0"/>
              <w:jc w:val="center"/>
              <w:rPr>
                <w:sz w:val="18"/>
                <w:szCs w:val="18"/>
              </w:rPr>
            </w:pPr>
            <w:r w:rsidRPr="00C7795F">
              <w:rPr>
                <w:sz w:val="18"/>
              </w:rPr>
              <w:t>6,1</w:t>
            </w:r>
          </w:p>
        </w:tc>
      </w:tr>
      <w:tr w:rsidR="00AB6D08" w:rsidRPr="000B6C37" w14:paraId="312B22AB" w14:textId="77777777" w:rsidTr="00460928">
        <w:trPr>
          <w:trHeight w:val="20"/>
        </w:trPr>
        <w:tc>
          <w:tcPr>
            <w:tcW w:w="2360" w:type="pct"/>
            <w:vAlign w:val="center"/>
          </w:tcPr>
          <w:p w14:paraId="7B8DDE67" w14:textId="77777777" w:rsidR="00AB6D08" w:rsidRPr="000B6C37" w:rsidRDefault="00AB6D08" w:rsidP="00A74268">
            <w:pPr>
              <w:spacing w:after="0"/>
              <w:jc w:val="left"/>
              <w:rPr>
                <w:sz w:val="18"/>
                <w:szCs w:val="18"/>
              </w:rPr>
            </w:pPr>
            <w:r w:rsidRPr="00C7795F">
              <w:rPr>
                <w:sz w:val="18"/>
              </w:rPr>
              <w:t>Sistema centralizado de gestão e controle</w:t>
            </w:r>
          </w:p>
        </w:tc>
        <w:tc>
          <w:tcPr>
            <w:tcW w:w="880" w:type="pct"/>
            <w:vAlign w:val="center"/>
          </w:tcPr>
          <w:p w14:paraId="0C9A073D" w14:textId="06315ACE" w:rsidR="00AB6D08" w:rsidRPr="000B6C37" w:rsidRDefault="00AB6D08" w:rsidP="00A74268">
            <w:pPr>
              <w:spacing w:after="0"/>
              <w:jc w:val="center"/>
              <w:rPr>
                <w:sz w:val="18"/>
                <w:szCs w:val="18"/>
              </w:rPr>
            </w:pPr>
            <w:r w:rsidRPr="000B6C37">
              <w:rPr>
                <w:sz w:val="18"/>
                <w:szCs w:val="18"/>
              </w:rPr>
              <w:t>LPI</w:t>
            </w:r>
          </w:p>
        </w:tc>
        <w:tc>
          <w:tcPr>
            <w:tcW w:w="880" w:type="pct"/>
            <w:vAlign w:val="center"/>
          </w:tcPr>
          <w:p w14:paraId="0C145F58" w14:textId="77777777" w:rsidR="00AB6D08" w:rsidRPr="000B6C37" w:rsidRDefault="00AB6D08" w:rsidP="00A74268">
            <w:pPr>
              <w:spacing w:after="0"/>
              <w:jc w:val="center"/>
              <w:rPr>
                <w:sz w:val="18"/>
                <w:szCs w:val="18"/>
              </w:rPr>
            </w:pPr>
            <w:r w:rsidRPr="00C7795F">
              <w:rPr>
                <w:sz w:val="18"/>
              </w:rPr>
              <w:t>2021</w:t>
            </w:r>
          </w:p>
        </w:tc>
        <w:tc>
          <w:tcPr>
            <w:tcW w:w="879" w:type="pct"/>
            <w:vAlign w:val="center"/>
          </w:tcPr>
          <w:p w14:paraId="049A5E95" w14:textId="77777777" w:rsidR="00AB6D08" w:rsidRPr="000B6C37" w:rsidRDefault="00AB6D08" w:rsidP="00A74268">
            <w:pPr>
              <w:spacing w:after="0"/>
              <w:jc w:val="center"/>
              <w:rPr>
                <w:sz w:val="18"/>
                <w:szCs w:val="18"/>
              </w:rPr>
            </w:pPr>
            <w:r w:rsidRPr="00C7795F">
              <w:rPr>
                <w:sz w:val="18"/>
              </w:rPr>
              <w:t>6,0</w:t>
            </w:r>
          </w:p>
        </w:tc>
      </w:tr>
      <w:tr w:rsidR="00AB6D08" w:rsidRPr="000B6C37" w14:paraId="7AE36688" w14:textId="77777777" w:rsidTr="00460928">
        <w:trPr>
          <w:trHeight w:val="20"/>
        </w:trPr>
        <w:tc>
          <w:tcPr>
            <w:tcW w:w="5000" w:type="pct"/>
            <w:gridSpan w:val="4"/>
            <w:tcBorders>
              <w:top w:val="single" w:sz="4" w:space="0" w:color="auto"/>
              <w:left w:val="single" w:sz="4" w:space="0" w:color="auto"/>
              <w:bottom w:val="single" w:sz="4" w:space="0" w:color="auto"/>
            </w:tcBorders>
            <w:shd w:val="clear" w:color="auto" w:fill="DDD9C3" w:themeFill="background2" w:themeFillShade="E6"/>
            <w:vAlign w:val="center"/>
          </w:tcPr>
          <w:p w14:paraId="5EDDB7DC" w14:textId="77777777" w:rsidR="00AB6D08" w:rsidRPr="000B6C37" w:rsidRDefault="00AB6D08" w:rsidP="00A74268">
            <w:pPr>
              <w:spacing w:after="0"/>
              <w:jc w:val="left"/>
              <w:rPr>
                <w:b/>
                <w:bCs/>
                <w:sz w:val="18"/>
                <w:szCs w:val="18"/>
                <w:lang w:eastAsia="en-US"/>
              </w:rPr>
            </w:pPr>
            <w:r w:rsidRPr="00C7795F">
              <w:rPr>
                <w:b/>
                <w:sz w:val="18"/>
              </w:rPr>
              <w:t>Consultorias</w:t>
            </w:r>
          </w:p>
        </w:tc>
      </w:tr>
      <w:tr w:rsidR="00AB6D08" w:rsidRPr="000B6C37" w14:paraId="0F6D8DF8" w14:textId="77777777" w:rsidTr="00460928">
        <w:trPr>
          <w:trHeight w:val="20"/>
        </w:trPr>
        <w:tc>
          <w:tcPr>
            <w:tcW w:w="2360" w:type="pct"/>
            <w:vAlign w:val="center"/>
          </w:tcPr>
          <w:p w14:paraId="00E17A07" w14:textId="51BD9090" w:rsidR="00AB6D08" w:rsidRPr="000B6C37" w:rsidRDefault="00625752" w:rsidP="00A74268">
            <w:pPr>
              <w:spacing w:after="0"/>
              <w:jc w:val="left"/>
              <w:rPr>
                <w:sz w:val="18"/>
                <w:szCs w:val="18"/>
                <w:lang w:eastAsia="en-US"/>
              </w:rPr>
            </w:pPr>
            <w:r w:rsidRPr="00C7795F">
              <w:rPr>
                <w:sz w:val="18"/>
              </w:rPr>
              <w:lastRenderedPageBreak/>
              <w:t>Supervisão de obras</w:t>
            </w:r>
          </w:p>
        </w:tc>
        <w:tc>
          <w:tcPr>
            <w:tcW w:w="880" w:type="pct"/>
            <w:vAlign w:val="center"/>
          </w:tcPr>
          <w:p w14:paraId="65131384" w14:textId="77777777" w:rsidR="00AB6D08" w:rsidRPr="000B6C37" w:rsidRDefault="00AB6D08" w:rsidP="00A74268">
            <w:pPr>
              <w:spacing w:after="0"/>
              <w:jc w:val="center"/>
              <w:rPr>
                <w:sz w:val="18"/>
                <w:szCs w:val="18"/>
                <w:lang w:eastAsia="en-US"/>
              </w:rPr>
            </w:pPr>
            <w:r w:rsidRPr="00C7795F">
              <w:rPr>
                <w:sz w:val="18"/>
              </w:rPr>
              <w:t>SBQC</w:t>
            </w:r>
          </w:p>
        </w:tc>
        <w:tc>
          <w:tcPr>
            <w:tcW w:w="880" w:type="pct"/>
            <w:vAlign w:val="center"/>
          </w:tcPr>
          <w:p w14:paraId="27E098E8" w14:textId="77777777" w:rsidR="00AB6D08" w:rsidRPr="000B6C37" w:rsidRDefault="00AB6D08" w:rsidP="00A74268">
            <w:pPr>
              <w:spacing w:after="0"/>
              <w:jc w:val="center"/>
              <w:rPr>
                <w:sz w:val="18"/>
                <w:szCs w:val="18"/>
                <w:lang w:eastAsia="en-US"/>
              </w:rPr>
            </w:pPr>
            <w:r w:rsidRPr="00C7795F">
              <w:rPr>
                <w:sz w:val="18"/>
              </w:rPr>
              <w:t>2020</w:t>
            </w:r>
          </w:p>
        </w:tc>
        <w:tc>
          <w:tcPr>
            <w:tcW w:w="879" w:type="pct"/>
            <w:vAlign w:val="center"/>
          </w:tcPr>
          <w:p w14:paraId="6E56B513" w14:textId="77777777" w:rsidR="00AB6D08" w:rsidRPr="000B6C37" w:rsidRDefault="00AB6D08" w:rsidP="00A74268">
            <w:pPr>
              <w:spacing w:after="0"/>
              <w:jc w:val="center"/>
              <w:rPr>
                <w:sz w:val="18"/>
                <w:szCs w:val="18"/>
                <w:lang w:eastAsia="en-US"/>
              </w:rPr>
            </w:pPr>
            <w:r w:rsidRPr="00C7795F">
              <w:rPr>
                <w:sz w:val="18"/>
              </w:rPr>
              <w:t>1,9</w:t>
            </w:r>
          </w:p>
        </w:tc>
      </w:tr>
      <w:tr w:rsidR="00AB6D08" w:rsidRPr="000B6C37" w14:paraId="164158A9" w14:textId="77777777" w:rsidTr="00460928">
        <w:trPr>
          <w:trHeight w:val="20"/>
        </w:trPr>
        <w:tc>
          <w:tcPr>
            <w:tcW w:w="5000" w:type="pct"/>
            <w:gridSpan w:val="4"/>
            <w:tcBorders>
              <w:top w:val="single" w:sz="4" w:space="0" w:color="auto"/>
              <w:left w:val="single" w:sz="4" w:space="0" w:color="auto"/>
              <w:bottom w:val="single" w:sz="4" w:space="0" w:color="auto"/>
            </w:tcBorders>
            <w:shd w:val="clear" w:color="auto" w:fill="BFBFBF" w:themeFill="background1" w:themeFillShade="BF"/>
            <w:vAlign w:val="center"/>
          </w:tcPr>
          <w:p w14:paraId="78EC2481" w14:textId="77777777" w:rsidR="00AB6D08" w:rsidRPr="000B6C37" w:rsidRDefault="00AB6D08" w:rsidP="00A74268">
            <w:pPr>
              <w:spacing w:after="0"/>
              <w:jc w:val="left"/>
              <w:rPr>
                <w:b/>
                <w:bCs/>
                <w:sz w:val="18"/>
                <w:szCs w:val="18"/>
              </w:rPr>
            </w:pPr>
            <w:r w:rsidRPr="00C7795F">
              <w:rPr>
                <w:b/>
                <w:sz w:val="18"/>
              </w:rPr>
              <w:t>Funciona</w:t>
            </w:r>
          </w:p>
        </w:tc>
      </w:tr>
      <w:tr w:rsidR="00AB6D08" w:rsidRPr="000B6C37" w14:paraId="4C28592D" w14:textId="77777777" w:rsidTr="00460928">
        <w:trPr>
          <w:trHeight w:val="20"/>
        </w:trPr>
        <w:tc>
          <w:tcPr>
            <w:tcW w:w="2360" w:type="pct"/>
            <w:vAlign w:val="center"/>
          </w:tcPr>
          <w:p w14:paraId="63F2FF2B" w14:textId="77777777" w:rsidR="00AB6D08" w:rsidRPr="000B6C37" w:rsidRDefault="00AB6D08" w:rsidP="00A74268">
            <w:pPr>
              <w:spacing w:after="0"/>
              <w:jc w:val="left"/>
              <w:rPr>
                <w:sz w:val="18"/>
                <w:szCs w:val="18"/>
              </w:rPr>
            </w:pPr>
            <w:r w:rsidRPr="00C7795F">
              <w:rPr>
                <w:sz w:val="18"/>
              </w:rPr>
              <w:t>Microplantas fotovoltáicas</w:t>
            </w:r>
          </w:p>
        </w:tc>
        <w:tc>
          <w:tcPr>
            <w:tcW w:w="880" w:type="pct"/>
            <w:vAlign w:val="center"/>
          </w:tcPr>
          <w:p w14:paraId="7C34022A" w14:textId="70D04F51" w:rsidR="00AB6D08" w:rsidRPr="000B6C37" w:rsidRDefault="00AB6D08" w:rsidP="00A74268">
            <w:pPr>
              <w:spacing w:after="0"/>
              <w:jc w:val="center"/>
              <w:rPr>
                <w:sz w:val="18"/>
                <w:szCs w:val="18"/>
              </w:rPr>
            </w:pPr>
            <w:r w:rsidRPr="00C7795F">
              <w:rPr>
                <w:sz w:val="18"/>
              </w:rPr>
              <w:t>LPN</w:t>
            </w:r>
          </w:p>
        </w:tc>
        <w:tc>
          <w:tcPr>
            <w:tcW w:w="880" w:type="pct"/>
            <w:vAlign w:val="center"/>
          </w:tcPr>
          <w:p w14:paraId="7243F486" w14:textId="77777777" w:rsidR="00AB6D08" w:rsidRPr="000B6C37" w:rsidRDefault="00AB6D08" w:rsidP="00A74268">
            <w:pPr>
              <w:spacing w:after="0"/>
              <w:jc w:val="center"/>
              <w:rPr>
                <w:sz w:val="18"/>
                <w:szCs w:val="18"/>
              </w:rPr>
            </w:pPr>
            <w:r w:rsidRPr="00C7795F">
              <w:rPr>
                <w:sz w:val="18"/>
              </w:rPr>
              <w:t>2020</w:t>
            </w:r>
          </w:p>
        </w:tc>
        <w:tc>
          <w:tcPr>
            <w:tcW w:w="879" w:type="pct"/>
            <w:vAlign w:val="center"/>
          </w:tcPr>
          <w:p w14:paraId="3408AED8" w14:textId="77777777" w:rsidR="00AB6D08" w:rsidRPr="000B6C37" w:rsidRDefault="00AB6D08" w:rsidP="00A74268">
            <w:pPr>
              <w:spacing w:after="0"/>
              <w:jc w:val="center"/>
              <w:rPr>
                <w:sz w:val="18"/>
                <w:szCs w:val="18"/>
              </w:rPr>
            </w:pPr>
            <w:r w:rsidRPr="00C7795F">
              <w:rPr>
                <w:sz w:val="18"/>
              </w:rPr>
              <w:t>2,2</w:t>
            </w:r>
          </w:p>
        </w:tc>
      </w:tr>
      <w:tr w:rsidR="00AB6D08" w:rsidRPr="000B6C37" w14:paraId="57D86486" w14:textId="77777777" w:rsidTr="00460928">
        <w:trPr>
          <w:trHeight w:val="20"/>
        </w:trPr>
        <w:tc>
          <w:tcPr>
            <w:tcW w:w="2360" w:type="pct"/>
            <w:vAlign w:val="center"/>
          </w:tcPr>
          <w:p w14:paraId="42F202D7" w14:textId="14A25D0A" w:rsidR="00AB6D08" w:rsidRPr="000B6C37" w:rsidRDefault="00AB6D08" w:rsidP="00A74268">
            <w:pPr>
              <w:spacing w:after="0"/>
              <w:jc w:val="left"/>
              <w:rPr>
                <w:sz w:val="18"/>
                <w:szCs w:val="18"/>
              </w:rPr>
            </w:pPr>
            <w:r w:rsidRPr="00C7795F">
              <w:rPr>
                <w:sz w:val="18"/>
              </w:rPr>
              <w:t xml:space="preserve">CRI </w:t>
            </w:r>
            <w:r w:rsidR="00B6284A" w:rsidRPr="00C7795F">
              <w:rPr>
                <w:sz w:val="18"/>
              </w:rPr>
              <w:t xml:space="preserve">- </w:t>
            </w:r>
            <w:r w:rsidRPr="00C7795F">
              <w:rPr>
                <w:sz w:val="18"/>
              </w:rPr>
              <w:t>Linhares</w:t>
            </w:r>
          </w:p>
        </w:tc>
        <w:tc>
          <w:tcPr>
            <w:tcW w:w="880" w:type="pct"/>
            <w:vAlign w:val="center"/>
          </w:tcPr>
          <w:p w14:paraId="5963D6BC" w14:textId="6F2AE89D" w:rsidR="00AB6D08" w:rsidRPr="000B6C37" w:rsidRDefault="00AB6D08" w:rsidP="00A74268">
            <w:pPr>
              <w:spacing w:after="0"/>
              <w:jc w:val="center"/>
              <w:rPr>
                <w:sz w:val="18"/>
                <w:szCs w:val="18"/>
              </w:rPr>
            </w:pPr>
            <w:r w:rsidRPr="00C7795F">
              <w:rPr>
                <w:sz w:val="18"/>
              </w:rPr>
              <w:t>LPN</w:t>
            </w:r>
          </w:p>
        </w:tc>
        <w:tc>
          <w:tcPr>
            <w:tcW w:w="880" w:type="pct"/>
            <w:vAlign w:val="center"/>
          </w:tcPr>
          <w:p w14:paraId="6631C1F6" w14:textId="77777777" w:rsidR="00AB6D08" w:rsidRPr="000B6C37" w:rsidRDefault="00AB6D08" w:rsidP="00A74268">
            <w:pPr>
              <w:spacing w:after="0"/>
              <w:jc w:val="center"/>
              <w:rPr>
                <w:sz w:val="18"/>
                <w:szCs w:val="18"/>
              </w:rPr>
            </w:pPr>
            <w:r w:rsidRPr="00C7795F">
              <w:rPr>
                <w:sz w:val="18"/>
              </w:rPr>
              <w:t>2022</w:t>
            </w:r>
          </w:p>
        </w:tc>
        <w:tc>
          <w:tcPr>
            <w:tcW w:w="879" w:type="pct"/>
            <w:vAlign w:val="center"/>
          </w:tcPr>
          <w:p w14:paraId="1DEAE824" w14:textId="77777777" w:rsidR="00AB6D08" w:rsidRPr="000B6C37" w:rsidRDefault="00AB6D08" w:rsidP="00A74268">
            <w:pPr>
              <w:spacing w:after="0"/>
              <w:jc w:val="center"/>
              <w:rPr>
                <w:sz w:val="18"/>
                <w:szCs w:val="18"/>
              </w:rPr>
            </w:pPr>
            <w:r w:rsidRPr="00C7795F">
              <w:rPr>
                <w:sz w:val="18"/>
              </w:rPr>
              <w:t>10,4</w:t>
            </w:r>
          </w:p>
        </w:tc>
      </w:tr>
      <w:tr w:rsidR="00AB6D08" w:rsidRPr="000B6C37" w14:paraId="43457A82" w14:textId="77777777" w:rsidTr="00460928">
        <w:trPr>
          <w:trHeight w:val="20"/>
        </w:trPr>
        <w:tc>
          <w:tcPr>
            <w:tcW w:w="2360" w:type="pct"/>
            <w:vAlign w:val="center"/>
          </w:tcPr>
          <w:p w14:paraId="23955268" w14:textId="77777777" w:rsidR="00AB6D08" w:rsidRPr="000B6C37" w:rsidRDefault="00AB6D08" w:rsidP="00A74268">
            <w:pPr>
              <w:spacing w:after="0"/>
              <w:jc w:val="left"/>
              <w:rPr>
                <w:sz w:val="18"/>
                <w:szCs w:val="18"/>
              </w:rPr>
            </w:pPr>
            <w:r w:rsidRPr="00C7795F">
              <w:rPr>
                <w:sz w:val="18"/>
              </w:rPr>
              <w:t>CRI - Cachoeiro do Itapemirim</w:t>
            </w:r>
          </w:p>
        </w:tc>
        <w:tc>
          <w:tcPr>
            <w:tcW w:w="880" w:type="pct"/>
            <w:vAlign w:val="center"/>
          </w:tcPr>
          <w:p w14:paraId="32871E93" w14:textId="3456ED70" w:rsidR="00AB6D08" w:rsidRPr="000B6C37" w:rsidRDefault="00AB6D08" w:rsidP="00A74268">
            <w:pPr>
              <w:spacing w:after="0"/>
              <w:jc w:val="center"/>
              <w:rPr>
                <w:sz w:val="18"/>
                <w:szCs w:val="18"/>
              </w:rPr>
            </w:pPr>
            <w:r w:rsidRPr="00C7795F">
              <w:rPr>
                <w:sz w:val="18"/>
              </w:rPr>
              <w:t>LPN</w:t>
            </w:r>
          </w:p>
        </w:tc>
        <w:tc>
          <w:tcPr>
            <w:tcW w:w="880" w:type="pct"/>
            <w:vAlign w:val="center"/>
          </w:tcPr>
          <w:p w14:paraId="04ACA920" w14:textId="77777777" w:rsidR="00AB6D08" w:rsidRPr="000B6C37" w:rsidRDefault="00AB6D08" w:rsidP="00A74268">
            <w:pPr>
              <w:spacing w:after="0"/>
              <w:jc w:val="center"/>
              <w:rPr>
                <w:sz w:val="18"/>
                <w:szCs w:val="18"/>
              </w:rPr>
            </w:pPr>
            <w:r w:rsidRPr="00C7795F">
              <w:rPr>
                <w:sz w:val="18"/>
              </w:rPr>
              <w:t>2022</w:t>
            </w:r>
          </w:p>
        </w:tc>
        <w:tc>
          <w:tcPr>
            <w:tcW w:w="879" w:type="pct"/>
            <w:vAlign w:val="center"/>
          </w:tcPr>
          <w:p w14:paraId="6EE0DB2F" w14:textId="77777777" w:rsidR="00AB6D08" w:rsidRPr="000B6C37" w:rsidRDefault="00AB6D08" w:rsidP="00A74268">
            <w:pPr>
              <w:spacing w:after="0"/>
              <w:jc w:val="center"/>
              <w:rPr>
                <w:sz w:val="18"/>
                <w:szCs w:val="18"/>
              </w:rPr>
            </w:pPr>
            <w:r w:rsidRPr="00C7795F">
              <w:rPr>
                <w:sz w:val="18"/>
              </w:rPr>
              <w:t>13,9</w:t>
            </w:r>
          </w:p>
        </w:tc>
      </w:tr>
    </w:tbl>
    <w:p w14:paraId="5B799E5F" w14:textId="29F71A4B" w:rsidR="00AB6D08" w:rsidRPr="000B6C37" w:rsidRDefault="00AB6D08" w:rsidP="00460928">
      <w:pPr>
        <w:ind w:left="720"/>
        <w:rPr>
          <w:sz w:val="18"/>
          <w:szCs w:val="18"/>
        </w:rPr>
      </w:pPr>
      <w:r w:rsidRPr="00C7795F">
        <w:rPr>
          <w:sz w:val="18"/>
        </w:rPr>
        <w:t>* Para acessar o PA.</w:t>
      </w:r>
    </w:p>
    <w:p w14:paraId="6AB98B04" w14:textId="77777777" w:rsidR="00557C24" w:rsidRPr="000B6C37" w:rsidRDefault="00557C24" w:rsidP="00092037"/>
    <w:p w14:paraId="30F9BE87" w14:textId="3331F95F" w:rsidR="00220E6A" w:rsidRPr="000B6C37" w:rsidRDefault="00F25A62" w:rsidP="00CF1958">
      <w:pPr>
        <w:pStyle w:val="Heading2"/>
      </w:pPr>
      <w:bookmarkStart w:id="97" w:name="_Toc45546131"/>
      <w:bookmarkStart w:id="98" w:name="_Toc43719336"/>
      <w:r w:rsidRPr="000B6C37">
        <w:t>Supervisão de Aquisições</w:t>
      </w:r>
      <w:bookmarkEnd w:id="97"/>
      <w:bookmarkEnd w:id="98"/>
    </w:p>
    <w:p w14:paraId="275C2149" w14:textId="28C0C800" w:rsidR="00F25A62" w:rsidRPr="000B6C37" w:rsidRDefault="00F25A62" w:rsidP="00C7795F">
      <w:pPr>
        <w:pStyle w:val="ListParagraph"/>
        <w:numPr>
          <w:ilvl w:val="1"/>
          <w:numId w:val="28"/>
        </w:numPr>
        <w:ind w:left="709" w:hanging="709"/>
      </w:pPr>
      <w:r w:rsidRPr="000B6C37">
        <w:t xml:space="preserve">O método de monitoramento deve ser </w:t>
      </w:r>
      <w:r w:rsidRPr="00075064">
        <w:rPr>
          <w:i/>
          <w:iCs/>
        </w:rPr>
        <w:t>ex post</w:t>
      </w:r>
      <w:r w:rsidRPr="000B6C37">
        <w:t xml:space="preserve">, exceto nos casos em que o monitoramento </w:t>
      </w:r>
      <w:r w:rsidRPr="00075064">
        <w:rPr>
          <w:i/>
          <w:iCs/>
        </w:rPr>
        <w:t>ex ante</w:t>
      </w:r>
      <w:r w:rsidRPr="000B6C37">
        <w:t xml:space="preserve"> for justificado. Quando a aquisição é implementada através do sistema nacional, o monitoramento também deve ser realizado através do sistema do país.</w:t>
      </w:r>
    </w:p>
    <w:p w14:paraId="1D8E20B9" w14:textId="66CD4F99" w:rsidR="00220E6A" w:rsidRPr="000B6C37" w:rsidRDefault="00F25A62" w:rsidP="00C7795F">
      <w:pPr>
        <w:pStyle w:val="ListParagraph"/>
        <w:numPr>
          <w:ilvl w:val="1"/>
          <w:numId w:val="28"/>
        </w:numPr>
        <w:ind w:left="709" w:hanging="709"/>
      </w:pPr>
      <w:r w:rsidRPr="000B6C37">
        <w:t xml:space="preserve">O método de monitoramento deve ser determinado para cada processo de seleção. As revisões </w:t>
      </w:r>
      <w:r w:rsidRPr="00075064">
        <w:rPr>
          <w:i/>
          <w:iCs/>
        </w:rPr>
        <w:t>ex</w:t>
      </w:r>
      <w:r w:rsidR="00D53875" w:rsidRPr="00075064">
        <w:rPr>
          <w:i/>
          <w:iCs/>
        </w:rPr>
        <w:t xml:space="preserve"> </w:t>
      </w:r>
      <w:r w:rsidRPr="00075064">
        <w:rPr>
          <w:i/>
          <w:iCs/>
        </w:rPr>
        <w:t>post</w:t>
      </w:r>
      <w:r w:rsidRPr="000B6C37">
        <w:t xml:space="preserve"> serão realizadas a cada 12 meses, de acordo com o plano de monitoramento do projeto</w:t>
      </w:r>
      <w:r w:rsidR="00220E6A" w:rsidRPr="000B6C37">
        <w:t xml:space="preserve">. </w:t>
      </w:r>
    </w:p>
    <w:p w14:paraId="708A1512" w14:textId="1932CEA6" w:rsidR="00220E6A" w:rsidRPr="00A66EE7" w:rsidRDefault="006D6C2A" w:rsidP="008878A1">
      <w:pPr>
        <w:pStyle w:val="Caption"/>
      </w:pPr>
      <w:r w:rsidRPr="00A66EE7">
        <w:t>Tabela</w:t>
      </w:r>
      <w:r w:rsidR="00220E6A" w:rsidRPr="00A66EE7">
        <w:t xml:space="preserve"> </w:t>
      </w:r>
      <w:r w:rsidRPr="00A66EE7">
        <w:t>4</w:t>
      </w:r>
      <w:r w:rsidR="00220E6A" w:rsidRPr="00A66EE7">
        <w:t>. L</w:t>
      </w:r>
      <w:r w:rsidR="00332F84" w:rsidRPr="00A66EE7">
        <w:t>i</w:t>
      </w:r>
      <w:r w:rsidR="00220E6A" w:rsidRPr="00A66EE7">
        <w:t xml:space="preserve">mite para </w:t>
      </w:r>
      <w:r w:rsidR="00332F84" w:rsidRPr="00A66EE7">
        <w:t>Revisão</w:t>
      </w:r>
      <w:r w:rsidR="00220E6A" w:rsidRPr="00A66EE7">
        <w:t xml:space="preserve"> Ex Post</w:t>
      </w:r>
    </w:p>
    <w:tbl>
      <w:tblPr>
        <w:tblW w:w="4551" w:type="pct"/>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1"/>
        <w:gridCol w:w="2388"/>
        <w:gridCol w:w="3208"/>
      </w:tblGrid>
      <w:tr w:rsidR="00220E6A" w:rsidRPr="000B6C37" w14:paraId="2470FF8D" w14:textId="77777777" w:rsidTr="00460928">
        <w:trPr>
          <w:trHeight w:val="125"/>
        </w:trPr>
        <w:tc>
          <w:tcPr>
            <w:tcW w:w="1607" w:type="pct"/>
            <w:shd w:val="clear" w:color="auto" w:fill="A6A6A6" w:themeFill="background1" w:themeFillShade="A6"/>
          </w:tcPr>
          <w:p w14:paraId="7C5758C2" w14:textId="77777777" w:rsidR="00220E6A" w:rsidRPr="000B6C37" w:rsidRDefault="00220E6A" w:rsidP="008878A1">
            <w:pPr>
              <w:spacing w:after="0"/>
              <w:jc w:val="center"/>
              <w:rPr>
                <w:b/>
                <w:bCs/>
              </w:rPr>
            </w:pPr>
            <w:r w:rsidRPr="000B6C37">
              <w:rPr>
                <w:b/>
                <w:bCs/>
              </w:rPr>
              <w:t>Obras</w:t>
            </w:r>
          </w:p>
        </w:tc>
        <w:tc>
          <w:tcPr>
            <w:tcW w:w="1448" w:type="pct"/>
            <w:shd w:val="clear" w:color="auto" w:fill="A6A6A6" w:themeFill="background1" w:themeFillShade="A6"/>
          </w:tcPr>
          <w:p w14:paraId="3DF5092E" w14:textId="65A47F1B" w:rsidR="00220E6A" w:rsidRPr="000B6C37" w:rsidRDefault="006801C6" w:rsidP="008878A1">
            <w:pPr>
              <w:spacing w:after="0"/>
              <w:jc w:val="center"/>
              <w:rPr>
                <w:b/>
                <w:bCs/>
              </w:rPr>
            </w:pPr>
            <w:r w:rsidRPr="000B6C37">
              <w:rPr>
                <w:b/>
                <w:bCs/>
              </w:rPr>
              <w:t>Bens</w:t>
            </w:r>
          </w:p>
        </w:tc>
        <w:tc>
          <w:tcPr>
            <w:tcW w:w="1945" w:type="pct"/>
            <w:shd w:val="clear" w:color="auto" w:fill="A6A6A6" w:themeFill="background1" w:themeFillShade="A6"/>
          </w:tcPr>
          <w:p w14:paraId="7C6E098A" w14:textId="12C298CF" w:rsidR="00220E6A" w:rsidRPr="000B6C37" w:rsidRDefault="006801C6" w:rsidP="008878A1">
            <w:pPr>
              <w:spacing w:after="0"/>
              <w:jc w:val="center"/>
              <w:rPr>
                <w:b/>
                <w:bCs/>
              </w:rPr>
            </w:pPr>
            <w:r w:rsidRPr="000B6C37">
              <w:rPr>
                <w:b/>
                <w:bCs/>
              </w:rPr>
              <w:t>Serviços</w:t>
            </w:r>
            <w:r w:rsidR="00220E6A" w:rsidRPr="000B6C37">
              <w:rPr>
                <w:b/>
                <w:bCs/>
              </w:rPr>
              <w:t xml:space="preserve"> de Consultor</w:t>
            </w:r>
            <w:r w:rsidR="008A2B9F" w:rsidRPr="000B6C37">
              <w:rPr>
                <w:b/>
                <w:bCs/>
              </w:rPr>
              <w:t>i</w:t>
            </w:r>
            <w:r w:rsidR="00220E6A" w:rsidRPr="000B6C37">
              <w:rPr>
                <w:b/>
                <w:bCs/>
              </w:rPr>
              <w:t>a</w:t>
            </w:r>
          </w:p>
        </w:tc>
      </w:tr>
      <w:tr w:rsidR="00220E6A" w:rsidRPr="000B6C37" w14:paraId="37345376" w14:textId="77777777" w:rsidTr="00460928">
        <w:trPr>
          <w:trHeight w:val="125"/>
        </w:trPr>
        <w:tc>
          <w:tcPr>
            <w:tcW w:w="1607" w:type="pct"/>
          </w:tcPr>
          <w:p w14:paraId="1E0886FC" w14:textId="6CA1DA4B" w:rsidR="00220E6A" w:rsidRPr="000B6C37" w:rsidRDefault="00220E6A" w:rsidP="00092037">
            <w:pPr>
              <w:spacing w:after="0"/>
            </w:pPr>
            <w:r w:rsidRPr="000B6C37">
              <w:t xml:space="preserve">LPN </w:t>
            </w:r>
            <w:r w:rsidR="006801C6" w:rsidRPr="000B6C37">
              <w:t>e</w:t>
            </w:r>
            <w:r w:rsidRPr="000B6C37">
              <w:t xml:space="preserve"> CP</w:t>
            </w:r>
          </w:p>
        </w:tc>
        <w:tc>
          <w:tcPr>
            <w:tcW w:w="1448" w:type="pct"/>
          </w:tcPr>
          <w:p w14:paraId="482F4551" w14:textId="76A7F27F" w:rsidR="00220E6A" w:rsidRPr="000B6C37" w:rsidRDefault="00220E6A" w:rsidP="00092037">
            <w:pPr>
              <w:spacing w:after="0"/>
            </w:pPr>
            <w:r w:rsidRPr="000B6C37">
              <w:t xml:space="preserve">LPN </w:t>
            </w:r>
            <w:r w:rsidR="006801C6" w:rsidRPr="000B6C37">
              <w:t>e</w:t>
            </w:r>
            <w:r w:rsidRPr="000B6C37">
              <w:t xml:space="preserve"> </w:t>
            </w:r>
            <w:r w:rsidRPr="000B6C37">
              <w:rPr>
                <w:i/>
                <w:iCs/>
              </w:rPr>
              <w:t>Pregão</w:t>
            </w:r>
          </w:p>
        </w:tc>
        <w:tc>
          <w:tcPr>
            <w:tcW w:w="1945" w:type="pct"/>
          </w:tcPr>
          <w:p w14:paraId="5883111C" w14:textId="3BE2B4FE" w:rsidR="00220E6A" w:rsidRPr="000B6C37" w:rsidRDefault="00220E6A" w:rsidP="00092037">
            <w:pPr>
              <w:spacing w:after="0"/>
            </w:pPr>
            <w:r w:rsidRPr="000B6C37">
              <w:t xml:space="preserve">Menor </w:t>
            </w:r>
            <w:r w:rsidR="006801C6" w:rsidRPr="000B6C37">
              <w:t>que</w:t>
            </w:r>
            <w:r w:rsidRPr="000B6C37">
              <w:t xml:space="preserve"> US$1 </w:t>
            </w:r>
            <w:r w:rsidR="006801C6" w:rsidRPr="000B6C37">
              <w:t>milhão</w:t>
            </w:r>
          </w:p>
        </w:tc>
      </w:tr>
    </w:tbl>
    <w:p w14:paraId="6D72AC1B" w14:textId="66ECAF77" w:rsidR="00220E6A" w:rsidRPr="000B6C37" w:rsidRDefault="00D53875" w:rsidP="00CF1958">
      <w:pPr>
        <w:pStyle w:val="Heading2"/>
      </w:pPr>
      <w:bookmarkStart w:id="99" w:name="_Toc45546132"/>
      <w:bookmarkStart w:id="100" w:name="_Toc43719337"/>
      <w:r w:rsidRPr="000B6C37">
        <w:t>Registros e Arquivos</w:t>
      </w:r>
      <w:bookmarkEnd w:id="99"/>
      <w:bookmarkEnd w:id="100"/>
    </w:p>
    <w:p w14:paraId="74294086" w14:textId="311FF664" w:rsidR="00A25B59" w:rsidRPr="000B6C37" w:rsidRDefault="00790A1D" w:rsidP="00C7795F">
      <w:pPr>
        <w:pStyle w:val="ListParagraph"/>
        <w:numPr>
          <w:ilvl w:val="1"/>
          <w:numId w:val="28"/>
        </w:numPr>
        <w:ind w:left="709" w:hanging="709"/>
      </w:pPr>
      <w:r w:rsidRPr="000B6C37">
        <w:t>A documentação do processo será feita pela UGP, que manterá a documentação necessária para fins de monitoramento e auditoria</w:t>
      </w:r>
      <w:r w:rsidR="00220E6A" w:rsidRPr="000B6C37">
        <w:t>.</w:t>
      </w:r>
    </w:p>
    <w:p w14:paraId="323C2076" w14:textId="48AC261A" w:rsidR="0050241D" w:rsidRPr="000B6C37" w:rsidRDefault="0050241D" w:rsidP="0050241D"/>
    <w:p w14:paraId="27A86C8A" w14:textId="1F2398D5" w:rsidR="00A25B59" w:rsidRPr="000B6C37" w:rsidRDefault="004577DE">
      <w:pPr>
        <w:pStyle w:val="Heading1"/>
        <w:rPr>
          <w:bCs/>
        </w:rPr>
      </w:pPr>
      <w:bookmarkStart w:id="101" w:name="_Toc43470452"/>
      <w:bookmarkStart w:id="102" w:name="_Toc45546133"/>
      <w:bookmarkStart w:id="103" w:name="_Toc43719338"/>
      <w:r w:rsidRPr="000B6C37">
        <w:t>RISCOS</w:t>
      </w:r>
      <w:bookmarkEnd w:id="101"/>
      <w:bookmarkEnd w:id="102"/>
      <w:bookmarkEnd w:id="103"/>
    </w:p>
    <w:p w14:paraId="19B529D6" w14:textId="4BBE495C" w:rsidR="00972916" w:rsidRPr="000B6C37" w:rsidRDefault="00E325CF" w:rsidP="00CF1958">
      <w:pPr>
        <w:pStyle w:val="Heading2"/>
      </w:pPr>
      <w:bookmarkStart w:id="104" w:name="_Toc43470453"/>
      <w:bookmarkStart w:id="105" w:name="_Toc45546134"/>
      <w:bookmarkStart w:id="106" w:name="_Toc43719339"/>
      <w:r w:rsidRPr="000B6C37">
        <w:t>Riscos fiduciários.</w:t>
      </w:r>
      <w:bookmarkEnd w:id="104"/>
      <w:bookmarkEnd w:id="105"/>
      <w:bookmarkEnd w:id="106"/>
      <w:r w:rsidRPr="000B6C37">
        <w:t xml:space="preserve"> </w:t>
      </w:r>
    </w:p>
    <w:p w14:paraId="73EA7008" w14:textId="77777777" w:rsidR="004B7809" w:rsidRPr="000B6C37" w:rsidRDefault="002F3597" w:rsidP="00C7795F">
      <w:pPr>
        <w:pStyle w:val="ListParagraph"/>
        <w:numPr>
          <w:ilvl w:val="1"/>
          <w:numId w:val="29"/>
        </w:numPr>
        <w:ind w:left="709" w:hanging="709"/>
      </w:pPr>
      <w:r w:rsidRPr="000B6C37">
        <w:t>Os resultados do PACI e do workshop de risco indicam que a SEJUS tem a capacidade necessária para gerenciar as ações que serão realizadas dentro do escopo do programa. Entretanto, foi identificado que a SO precisará formar uma Unidade de Gestão de Programas (UGP) e treinar a equipe da UGP nos procedimentos financeiros e políticas de compras do Banco, a fim de garantir um processo de compras ágil e uma gestão financeira eficaz. Foi identificado como risco médio-alto que se não for dada a devida prioridade aos processos de aquisição ou desenvolvimento de sistemas de TI na Secretaria de Controle e Transparência (SECONT), na Assessoria Jurídica do Estado (PGE) e no Instituto de Tecnologia da Informação e Comunicação do ES (PRODEST), respectivamente, a entrega dos produtos poderá ser atrasada, então o cronograma do programa será atrasado. A fim de mitigar este risco, está previsto: (i)</w:t>
      </w:r>
      <w:r w:rsidR="0015799F" w:rsidRPr="000B6C37">
        <w:t> </w:t>
      </w:r>
      <w:r w:rsidRPr="000B6C37">
        <w:t>os treinamentos fiduciários deverão incluir SECONT, PGE, PRODEST; (ii) a PGE designará um membro para atender às demandas do programa, e (iii) uma consultoria será contratada para desenvolver os projetos executivos das obras que serão desenvolvidas durante o primeiro ano do programa, e para apoiar a supervisão das obras de infraestrutura do programa</w:t>
      </w:r>
      <w:r w:rsidR="000150CA" w:rsidRPr="000B6C37">
        <w:t>.</w:t>
      </w:r>
    </w:p>
    <w:p w14:paraId="6C253045" w14:textId="585E719B" w:rsidR="000150CA" w:rsidRPr="000B6C37" w:rsidRDefault="000150CA" w:rsidP="00CF1958">
      <w:pPr>
        <w:pStyle w:val="Heading2"/>
        <w:rPr>
          <w:noProof/>
        </w:rPr>
      </w:pPr>
      <w:bookmarkStart w:id="107" w:name="_Toc43320086"/>
      <w:bookmarkStart w:id="108" w:name="_Hlk532915444"/>
      <w:bookmarkStart w:id="109" w:name="_Toc43470454"/>
      <w:bookmarkStart w:id="110" w:name="_Toc45546135"/>
      <w:bookmarkStart w:id="111" w:name="_Toc43719340"/>
      <w:r w:rsidRPr="000B6C37">
        <w:rPr>
          <w:noProof/>
        </w:rPr>
        <w:t>O</w:t>
      </w:r>
      <w:r w:rsidR="001835B7" w:rsidRPr="000B6C37">
        <w:rPr>
          <w:noProof/>
        </w:rPr>
        <w:t>u</w:t>
      </w:r>
      <w:r w:rsidRPr="000B6C37">
        <w:rPr>
          <w:noProof/>
        </w:rPr>
        <w:t>tros</w:t>
      </w:r>
      <w:r w:rsidR="001835B7" w:rsidRPr="000B6C37">
        <w:rPr>
          <w:noProof/>
        </w:rPr>
        <w:t xml:space="preserve"> riscos e temas chave</w:t>
      </w:r>
      <w:bookmarkEnd w:id="107"/>
      <w:bookmarkEnd w:id="108"/>
      <w:bookmarkEnd w:id="109"/>
      <w:bookmarkEnd w:id="110"/>
      <w:bookmarkEnd w:id="111"/>
    </w:p>
    <w:p w14:paraId="69B9C4B8" w14:textId="2BF9363F" w:rsidR="000150CA" w:rsidRPr="000B6C37" w:rsidRDefault="001835B7" w:rsidP="00C7795F">
      <w:pPr>
        <w:pStyle w:val="ListParagraph"/>
        <w:numPr>
          <w:ilvl w:val="1"/>
          <w:numId w:val="29"/>
        </w:numPr>
        <w:ind w:left="709" w:hanging="709"/>
      </w:pPr>
      <w:r w:rsidRPr="000B6C37">
        <w:t xml:space="preserve">Na fase de preparação do </w:t>
      </w:r>
      <w:r w:rsidR="006F17A7" w:rsidRPr="000B6C37">
        <w:t xml:space="preserve">Projeto, foram identificados </w:t>
      </w:r>
      <w:r w:rsidR="00D13136">
        <w:t>tre</w:t>
      </w:r>
      <w:r w:rsidRPr="000B6C37">
        <w:t>s riscos adicionais</w:t>
      </w:r>
      <w:r w:rsidR="000150CA" w:rsidRPr="000B6C37">
        <w:t>:</w:t>
      </w:r>
    </w:p>
    <w:p w14:paraId="16BCB837" w14:textId="269F7C2D" w:rsidR="000150CA" w:rsidRPr="000B6C37" w:rsidRDefault="00F7087B" w:rsidP="00C7795F">
      <w:pPr>
        <w:pStyle w:val="ListParagraph"/>
        <w:numPr>
          <w:ilvl w:val="0"/>
          <w:numId w:val="19"/>
        </w:numPr>
        <w:ind w:left="709" w:hanging="709"/>
      </w:pPr>
      <w:r w:rsidRPr="000B6C37">
        <w:rPr>
          <w:b/>
          <w:bCs/>
        </w:rPr>
        <w:lastRenderedPageBreak/>
        <w:t>Desenvolvimento</w:t>
      </w:r>
      <w:r w:rsidR="000150CA" w:rsidRPr="000B6C37">
        <w:rPr>
          <w:b/>
          <w:bCs/>
        </w:rPr>
        <w:t>.</w:t>
      </w:r>
      <w:r w:rsidR="000150CA" w:rsidRPr="000B6C37">
        <w:t xml:space="preserve"> </w:t>
      </w:r>
      <w:r w:rsidR="003B638B" w:rsidRPr="000B6C37">
        <w:t>For</w:t>
      </w:r>
      <w:r w:rsidR="00D13136">
        <w:t xml:space="preserve"> </w:t>
      </w:r>
      <w:r w:rsidR="003B638B" w:rsidRPr="000B6C37">
        <w:t xml:space="preserve">identificado </w:t>
      </w:r>
      <w:proofErr w:type="gramStart"/>
      <w:r w:rsidR="00D13136">
        <w:t xml:space="preserve">um </w:t>
      </w:r>
      <w:r w:rsidR="003B638B" w:rsidRPr="000B6C37">
        <w:t xml:space="preserve"> risco</w:t>
      </w:r>
      <w:proofErr w:type="gramEnd"/>
      <w:r w:rsidR="00D13136">
        <w:t xml:space="preserve"> </w:t>
      </w:r>
      <w:r w:rsidR="003B638B" w:rsidRPr="000B6C37">
        <w:t>médio-alto: (i) que os funcionários do sistema prisional não adotarão as novas metodologias de trabalho previstas no Componente 1 (avaliações de risco ou terapias cognitivo</w:t>
      </w:r>
      <w:r w:rsidR="0015799F" w:rsidRPr="000B6C37">
        <w:noBreakHyphen/>
      </w:r>
      <w:r w:rsidR="003B638B" w:rsidRPr="000B6C37">
        <w:t>comportamentais). Para mitigar isso, o OE desenvolverá um plano de gestão de mudança e promoverá treinamento para os agentes do sistema prisional. Da mesma forma, uma nova carreira como agente de ressocialização será desenhada e pilotada</w:t>
      </w:r>
      <w:r w:rsidR="000150CA" w:rsidRPr="000B6C37">
        <w:t>.</w:t>
      </w:r>
    </w:p>
    <w:p w14:paraId="4E158928" w14:textId="6E2A76B0" w:rsidR="00F17C3F" w:rsidRPr="000B6C37" w:rsidRDefault="00F17C3F" w:rsidP="00C7795F">
      <w:pPr>
        <w:pStyle w:val="ListParagraph"/>
        <w:numPr>
          <w:ilvl w:val="0"/>
          <w:numId w:val="19"/>
        </w:numPr>
        <w:ind w:left="709" w:hanging="709"/>
      </w:pPr>
      <w:r w:rsidRPr="000B6C37">
        <w:rPr>
          <w:b/>
          <w:bCs/>
        </w:rPr>
        <w:t>Gestão pública e governança</w:t>
      </w:r>
      <w:r w:rsidRPr="00C7795F">
        <w:rPr>
          <w:b/>
        </w:rPr>
        <w:t>.</w:t>
      </w:r>
      <w:r w:rsidRPr="000B6C37">
        <w:t xml:space="preserve"> Foi identificado um risco médio-alto, que possíveis casos de violência por parte dos beneficiários do programa seriam destacados na mídia. Para mitigar esse risco, será desenvolvida uma estratégia de comunicação</w:t>
      </w:r>
      <w:r w:rsidR="00D13136">
        <w:t xml:space="preserve"> e a contratação de</w:t>
      </w:r>
      <w:r w:rsidRPr="000B6C37">
        <w:t xml:space="preserve"> uma organização externa de reconhecimento internacional que apoiará o OE no cumprimento das salvaguardas prisionais do programa.</w:t>
      </w:r>
    </w:p>
    <w:p w14:paraId="027ECAF3" w14:textId="70ACCB3D" w:rsidR="000150CA" w:rsidRPr="000B6C37" w:rsidRDefault="00F17C3F" w:rsidP="00C7795F">
      <w:pPr>
        <w:pStyle w:val="ListParagraph"/>
        <w:numPr>
          <w:ilvl w:val="0"/>
          <w:numId w:val="19"/>
        </w:numPr>
        <w:ind w:left="709" w:hanging="709"/>
      </w:pPr>
      <w:r w:rsidRPr="000B6C37">
        <w:rPr>
          <w:b/>
          <w:bCs/>
        </w:rPr>
        <w:t xml:space="preserve">Sustentabilidade </w:t>
      </w:r>
      <w:r w:rsidR="00521C77">
        <w:rPr>
          <w:b/>
          <w:bCs/>
        </w:rPr>
        <w:t>m</w:t>
      </w:r>
      <w:r w:rsidRPr="000B6C37">
        <w:rPr>
          <w:b/>
          <w:bCs/>
        </w:rPr>
        <w:t xml:space="preserve">acroeconômica e </w:t>
      </w:r>
      <w:r w:rsidR="00521C77">
        <w:rPr>
          <w:b/>
          <w:bCs/>
        </w:rPr>
        <w:t>f</w:t>
      </w:r>
      <w:r w:rsidRPr="000B6C37">
        <w:rPr>
          <w:b/>
          <w:bCs/>
        </w:rPr>
        <w:t>iscal</w:t>
      </w:r>
      <w:r w:rsidR="00C77A2C" w:rsidRPr="00C7795F">
        <w:rPr>
          <w:b/>
        </w:rPr>
        <w:t>.</w:t>
      </w:r>
      <w:r w:rsidR="00C77A2C" w:rsidRPr="000B6C37">
        <w:t xml:space="preserve"> </w:t>
      </w:r>
      <w:r w:rsidRPr="000B6C37">
        <w:t xml:space="preserve">Foi identificado um risco médio-alto, que se a capacidade fiscal do Estado piorar devido aos efeitos econômicos da pandemia da COVID-19, a classificação do CAPAG </w:t>
      </w:r>
      <w:r w:rsidR="00D13136">
        <w:t>A que atualmente tiene o ES poderia piorar, impo</w:t>
      </w:r>
      <w:r w:rsidRPr="000B6C37">
        <w:t xml:space="preserve">ssibilitando a assinatura do Contrato de Empréstimo. Para mitigar este risco, </w:t>
      </w:r>
      <w:r w:rsidR="00E46D53" w:rsidRPr="000B6C37">
        <w:t>ele</w:t>
      </w:r>
      <w:r w:rsidRPr="000B6C37">
        <w:t xml:space="preserve"> será compartilhado com os governos federal e estaduais, bem como a busca de soluções criativas, como uma nova classificação que mede o esforço fiscal dos estados em tempos de pandemia</w:t>
      </w:r>
      <w:r w:rsidR="000150CA" w:rsidRPr="000B6C37">
        <w:t>.</w:t>
      </w:r>
    </w:p>
    <w:p w14:paraId="52C90CBC" w14:textId="77DA5B95" w:rsidR="0050241D" w:rsidRPr="000B6C37" w:rsidRDefault="0050241D" w:rsidP="00A74268">
      <w:pPr>
        <w:ind w:left="720"/>
        <w:rPr>
          <w:rFonts w:eastAsiaTheme="minorHAnsi"/>
        </w:rPr>
      </w:pPr>
    </w:p>
    <w:p w14:paraId="6467DC96" w14:textId="2AF973ED" w:rsidR="001F5246" w:rsidRPr="000B6C37" w:rsidRDefault="001F5246">
      <w:pPr>
        <w:pStyle w:val="Heading1"/>
      </w:pPr>
      <w:bookmarkStart w:id="112" w:name="_Toc19790795"/>
      <w:bookmarkStart w:id="113" w:name="_Toc43470455"/>
      <w:bookmarkStart w:id="114" w:name="_Toc45546136"/>
      <w:bookmarkStart w:id="115" w:name="_Toc43719341"/>
      <w:r w:rsidRPr="000B6C37">
        <w:t>SUPERVISÃO, MONITORAMENTO E AVALIAÇÃO DO PROJETO</w:t>
      </w:r>
      <w:bookmarkEnd w:id="112"/>
      <w:bookmarkEnd w:id="113"/>
      <w:bookmarkEnd w:id="114"/>
      <w:bookmarkEnd w:id="115"/>
    </w:p>
    <w:p w14:paraId="5E027BAB" w14:textId="6A9D2CDF" w:rsidR="001F5246" w:rsidRPr="000B6C37" w:rsidRDefault="001F5246" w:rsidP="00CF1958">
      <w:pPr>
        <w:pStyle w:val="Heading2"/>
      </w:pPr>
      <w:bookmarkStart w:id="116" w:name="_Toc19790796"/>
      <w:bookmarkStart w:id="117" w:name="_Toc43470456"/>
      <w:bookmarkStart w:id="118" w:name="_Toc45546137"/>
      <w:bookmarkStart w:id="119" w:name="_Toc43719342"/>
      <w:r w:rsidRPr="000B6C37">
        <w:t>Procedimentos de Supervisão e Monitoramento do Projeto</w:t>
      </w:r>
      <w:bookmarkEnd w:id="116"/>
      <w:bookmarkEnd w:id="117"/>
      <w:bookmarkEnd w:id="118"/>
      <w:bookmarkEnd w:id="119"/>
    </w:p>
    <w:p w14:paraId="12336119" w14:textId="007E4874" w:rsidR="003F4531" w:rsidRPr="00075064" w:rsidRDefault="003F4531" w:rsidP="00C7795F">
      <w:pPr>
        <w:pStyle w:val="ListParagraph"/>
        <w:numPr>
          <w:ilvl w:val="1"/>
          <w:numId w:val="29"/>
        </w:numPr>
        <w:ind w:left="709" w:hanging="709"/>
        <w:rPr>
          <w:b/>
        </w:rPr>
      </w:pPr>
      <w:r w:rsidRPr="00075064">
        <w:rPr>
          <w:b/>
        </w:rPr>
        <w:t xml:space="preserve">Monitoramento pelo </w:t>
      </w:r>
      <w:r w:rsidR="00817F1F" w:rsidRPr="00075064">
        <w:rPr>
          <w:b/>
        </w:rPr>
        <w:t>OE</w:t>
      </w:r>
      <w:r w:rsidRPr="00075064">
        <w:rPr>
          <w:b/>
        </w:rPr>
        <w:t xml:space="preserve">. </w:t>
      </w:r>
      <w:r w:rsidRPr="000B6C37">
        <w:t>Os seguintes documentos serão utilizados pel</w:t>
      </w:r>
      <w:r w:rsidR="00817F1F" w:rsidRPr="000B6C37">
        <w:t xml:space="preserve">o </w:t>
      </w:r>
      <w:r w:rsidRPr="000B6C37">
        <w:t>O</w:t>
      </w:r>
      <w:r w:rsidR="00817F1F" w:rsidRPr="000B6C37">
        <w:t>E</w:t>
      </w:r>
      <w:r w:rsidRPr="000B6C37">
        <w:t xml:space="preserve"> para monitorar o programa: (i) Matriz de Resultados (M</w:t>
      </w:r>
      <w:r w:rsidR="00817F1F" w:rsidRPr="000B6C37">
        <w:t>R</w:t>
      </w:r>
      <w:r w:rsidRPr="000B6C37">
        <w:t xml:space="preserve">); (ii) Plano de Execução do Programa (PEP); (iii) Plano de Monitoramento e Avaliação (PME); (iv) </w:t>
      </w:r>
      <w:r w:rsidR="00817F1F" w:rsidRPr="000B6C37">
        <w:t>PA</w:t>
      </w:r>
      <w:r w:rsidRPr="000B6C37">
        <w:t xml:space="preserve">; (v) Matriz de </w:t>
      </w:r>
      <w:r w:rsidR="00817F1F" w:rsidRPr="000B6C37">
        <w:t>Gestão</w:t>
      </w:r>
      <w:r w:rsidRPr="000B6C37">
        <w:t xml:space="preserve"> de Risco do Programa; (vi) Relatório de </w:t>
      </w:r>
      <w:r w:rsidR="00817F1F" w:rsidRPr="000B6C37">
        <w:t>Monitoramento</w:t>
      </w:r>
      <w:r w:rsidRPr="000B6C37">
        <w:t xml:space="preserve"> de Progresso (PMR); (vii) Relatório </w:t>
      </w:r>
      <w:r w:rsidR="003F4833" w:rsidRPr="000B6C37">
        <w:t xml:space="preserve">Semestral </w:t>
      </w:r>
      <w:r w:rsidRPr="000B6C37">
        <w:t>de Progresso; e (viii) Demonstrações Financeiras Auditadas do Programa. A UGP preparará relatórios semestrais consolidados de progresso para revisão pelo Banco, que serão enviados no máximo 30 dias após o final de cada semestre</w:t>
      </w:r>
      <w:r w:rsidRPr="00075064">
        <w:rPr>
          <w:b/>
        </w:rPr>
        <w:t>.</w:t>
      </w:r>
    </w:p>
    <w:p w14:paraId="6FFAD0E9" w14:textId="3FFAB0F2" w:rsidR="00C734DA" w:rsidRPr="000B6C37" w:rsidRDefault="003F4531" w:rsidP="00C7795F">
      <w:pPr>
        <w:pStyle w:val="ListParagraph"/>
        <w:numPr>
          <w:ilvl w:val="1"/>
          <w:numId w:val="29"/>
        </w:numPr>
        <w:ind w:left="709" w:hanging="709"/>
      </w:pPr>
      <w:r w:rsidRPr="00075064">
        <w:rPr>
          <w:b/>
        </w:rPr>
        <w:t xml:space="preserve">Monitoramento pelo Banco. </w:t>
      </w:r>
      <w:r w:rsidRPr="000B6C37">
        <w:t>O Banco realizará missões gerenciais ou visitas de inspeção, dependendo da importância e complexidade da implementação do programa, seguindo o cronograma definido no PEP, que identifica os momentos em que a supervisão técnica do Banco é considerada necessária; o Banco concorda que o EO utilizará o PMR.</w:t>
      </w:r>
    </w:p>
    <w:p w14:paraId="08715A97" w14:textId="04788001" w:rsidR="00705473" w:rsidRPr="000B6C37" w:rsidRDefault="00705473" w:rsidP="00C7795F">
      <w:pPr>
        <w:pStyle w:val="ListParagraph"/>
        <w:numPr>
          <w:ilvl w:val="1"/>
          <w:numId w:val="29"/>
        </w:numPr>
        <w:ind w:left="709" w:hanging="709"/>
      </w:pPr>
      <w:r w:rsidRPr="00075064">
        <w:rPr>
          <w:b/>
        </w:rPr>
        <w:t>Avaliação</w:t>
      </w:r>
      <w:r w:rsidR="00C734DA" w:rsidRPr="00075064">
        <w:rPr>
          <w:b/>
          <w:bCs/>
        </w:rPr>
        <w:t xml:space="preserve">. </w:t>
      </w:r>
      <w:r w:rsidRPr="000B6C37">
        <w:t>A verificação do cumprimento das metas de resultados e impacto contidas na MR será feita através de uma avaliação de médio prazo, uma vez que 50% da execução do programa em tempo ou recursos tenham sido alcançados e uma avaliação final do programa que relatará a evolução dos indicadores como resposta à implementação do programa proposto em seus diferentes componentes.</w:t>
      </w:r>
    </w:p>
    <w:p w14:paraId="1AFD71A1" w14:textId="6B2B4A03" w:rsidR="00C734DA" w:rsidRPr="000B6C37" w:rsidRDefault="00705473" w:rsidP="00C7795F">
      <w:pPr>
        <w:pStyle w:val="ListParagraph"/>
        <w:numPr>
          <w:ilvl w:val="1"/>
          <w:numId w:val="29"/>
        </w:numPr>
        <w:ind w:left="709" w:hanging="709"/>
      </w:pPr>
      <w:r w:rsidRPr="000B6C37">
        <w:t xml:space="preserve">O Banco realizará uma avaliação final como parte do Relatório de Conclusão do Projeto, a ser iniciado quando o projeto atingir 95% de seu desembolso e apresentado nos 180 dias seguintes. Este relatório terá como entrada os relatórios periódicos de progresso, os indicadores de MR, as Demonstrações Financeiras Auditadas, os resultados da avaliação de impacto e os demais resultados obtidos. A avaliação final inclui uma avaliação econômica </w:t>
      </w:r>
      <w:r w:rsidRPr="00075064">
        <w:rPr>
          <w:i/>
          <w:iCs/>
        </w:rPr>
        <w:t>ex</w:t>
      </w:r>
      <w:r w:rsidR="000C3FE7" w:rsidRPr="00075064">
        <w:rPr>
          <w:i/>
          <w:iCs/>
        </w:rPr>
        <w:t xml:space="preserve"> </w:t>
      </w:r>
      <w:r w:rsidRPr="00075064">
        <w:rPr>
          <w:i/>
          <w:iCs/>
        </w:rPr>
        <w:t>post</w:t>
      </w:r>
      <w:r w:rsidRPr="000B6C37">
        <w:t xml:space="preserve">, onde o custo benefício real da intervenção será calculado através da replicação da metodologia de análise custo-benefício desenvolvida para a análise econômica </w:t>
      </w:r>
      <w:r w:rsidRPr="00075064">
        <w:rPr>
          <w:i/>
          <w:iCs/>
        </w:rPr>
        <w:t>ex ante</w:t>
      </w:r>
      <w:r w:rsidR="00C734DA" w:rsidRPr="000B6C37">
        <w:t xml:space="preserve"> (ver </w:t>
      </w:r>
      <w:hyperlink r:id="rId16" w:history="1">
        <w:r w:rsidR="00C734DA" w:rsidRPr="000B6C37">
          <w:rPr>
            <w:rStyle w:val="Hyperlink"/>
          </w:rPr>
          <w:t>PME</w:t>
        </w:r>
      </w:hyperlink>
      <w:r w:rsidR="00C734DA" w:rsidRPr="000B6C37">
        <w:t>).</w:t>
      </w:r>
    </w:p>
    <w:p w14:paraId="03E2F8C2" w14:textId="4113FC2E" w:rsidR="0050241D" w:rsidRPr="00CF1958" w:rsidRDefault="008725A0" w:rsidP="00C7795F">
      <w:pPr>
        <w:pStyle w:val="ListParagraph"/>
        <w:numPr>
          <w:ilvl w:val="1"/>
          <w:numId w:val="29"/>
        </w:numPr>
        <w:ind w:left="709" w:hanging="709"/>
      </w:pPr>
      <w:bookmarkStart w:id="120" w:name="_Toc19790798"/>
      <w:r w:rsidRPr="00075064">
        <w:rPr>
          <w:shd w:val="clear" w:color="auto" w:fill="FFFFFF"/>
        </w:rPr>
        <w:t xml:space="preserve">Para gerar conhecimento sobre a eficácia dos programas de tratamento </w:t>
      </w:r>
      <w:r w:rsidRPr="000B6C37">
        <w:t>comportamental</w:t>
      </w:r>
      <w:r w:rsidRPr="00075064">
        <w:rPr>
          <w:shd w:val="clear" w:color="auto" w:fill="FFFFFF"/>
        </w:rPr>
        <w:t xml:space="preserve">, pretende-se uma </w:t>
      </w:r>
      <w:r w:rsidRPr="00C7795F">
        <w:rPr>
          <w:shd w:val="clear" w:color="auto" w:fill="FFFFFF"/>
        </w:rPr>
        <w:t>avaliação de impacto</w:t>
      </w:r>
      <w:r w:rsidRPr="00075064">
        <w:rPr>
          <w:shd w:val="clear" w:color="auto" w:fill="FFFFFF"/>
        </w:rPr>
        <w:t xml:space="preserve"> quase-experimental </w:t>
      </w:r>
      <w:r w:rsidRPr="00075064">
        <w:rPr>
          <w:shd w:val="clear" w:color="auto" w:fill="FFFFFF"/>
        </w:rPr>
        <w:lastRenderedPageBreak/>
        <w:t xml:space="preserve">utilizando um modelo de </w:t>
      </w:r>
      <w:r w:rsidR="00091933" w:rsidRPr="00075064">
        <w:rPr>
          <w:shd w:val="clear" w:color="auto" w:fill="FFFFFF"/>
        </w:rPr>
        <w:t xml:space="preserve">diferenças em </w:t>
      </w:r>
      <w:r w:rsidRPr="00075064">
        <w:rPr>
          <w:shd w:val="clear" w:color="auto" w:fill="FFFFFF"/>
        </w:rPr>
        <w:t>diferenças. O principal objetivo é medir o impacto na reincidência e perfil de risco da PPL. Como resultado, espera-se contribuir para a promoção de políticas de reintegração social baseadas em evidências científicas.</w:t>
      </w:r>
    </w:p>
    <w:p w14:paraId="36BE4348" w14:textId="77777777" w:rsidR="00CF1958" w:rsidRPr="000B6C37" w:rsidRDefault="00CF1958" w:rsidP="00C7795F">
      <w:pPr>
        <w:pStyle w:val="ListParagraph"/>
        <w:numPr>
          <w:ilvl w:val="0"/>
          <w:numId w:val="0"/>
        </w:numPr>
        <w:ind w:left="709"/>
      </w:pPr>
    </w:p>
    <w:p w14:paraId="321B76A3" w14:textId="77777777" w:rsidR="00075064" w:rsidRPr="000B6C37" w:rsidRDefault="00075064" w:rsidP="00CF1958">
      <w:pPr>
        <w:pStyle w:val="Heading2"/>
      </w:pPr>
      <w:bookmarkStart w:id="121" w:name="_Toc45546138"/>
      <w:r w:rsidRPr="000B6C37">
        <w:t>Dos Registros, Relatórios, Prestações de Contas</w:t>
      </w:r>
      <w:bookmarkEnd w:id="121"/>
    </w:p>
    <w:p w14:paraId="62A313E5" w14:textId="3DAF1083" w:rsidR="00075064" w:rsidRPr="000B6C37" w:rsidRDefault="00075064" w:rsidP="00C7795F">
      <w:pPr>
        <w:pStyle w:val="ListParagraph"/>
        <w:numPr>
          <w:ilvl w:val="1"/>
          <w:numId w:val="27"/>
        </w:numPr>
        <w:ind w:left="709" w:hanging="709"/>
      </w:pPr>
      <w:r w:rsidRPr="000B6C37">
        <w:t xml:space="preserve">O Órgão Executor preparará e submeterá, ao Banco, relatórios semestrais com informação sobre os seguintes aspectos: (i) estado de cumprimento dos objetivos e resultados de cada componente, incluindo a análise e acompanhamento dos riscos a que estão sujeitos e as medidas implementadas para mitigá-los; (ii) nível de cumprimento da execução do POA; (iii) estado de execução e situação do Plano de Aquisições; (iv) cumprimento das cláusulas contratuais do Contrato de Empréstimo; e (v) estado de execução financeira do orçamento do Projeto, por categoria de investimento e fonte de financiamento, incorporando minimamente os investimentos acumulados até o início do semestre, as realizadas durante o período relativo ao relatório, bem como o saldo a executar, incluindo o fundo rotativo. Adicionalmente, o relatório do segundo semestre de cada ano calendário incluirá o seguinte: (i) o POA para o ano subsequente; (ii) o Plano de Aquisições atualizado para os 18 meses subsequentes; e, se aplicável, (iii) as ações previstas para implementar as recomendações da auditoria externa. A Representação do Banco, no Brasil, com a assistência técnica da equipe do Projeto, será encarregada de supervisionar o desempenho do </w:t>
      </w:r>
      <w:r w:rsidR="00E8054B">
        <w:t>p</w:t>
      </w:r>
      <w:r w:rsidRPr="000B6C37">
        <w:t xml:space="preserve">rojeto. A equipe do Banco realizará, ao menos, uma missão de supervisão técnica por ano, a fim de conhecer o progresso nas atividades e de avaliar o Projeto. </w:t>
      </w:r>
    </w:p>
    <w:p w14:paraId="253F1960" w14:textId="77777777" w:rsidR="00075064" w:rsidRPr="000B6C37" w:rsidRDefault="00075064" w:rsidP="00C7795F">
      <w:pPr>
        <w:pStyle w:val="ListParagraph"/>
        <w:numPr>
          <w:ilvl w:val="1"/>
          <w:numId w:val="27"/>
        </w:numPr>
        <w:ind w:left="709" w:hanging="709"/>
      </w:pPr>
      <w:r w:rsidRPr="000B6C37">
        <w:t>O Mutuário e o Banco buscarão reunir-se durante o primeiro semestre de cada ano para analisar o avanço alcançado na execução, tendo como base as informações apresentadas nos relatórios semestrais. A primeira reunião terá lugar tão logo sejam aprovados os desembolsos da operação. O relatório inicial incluirá o POA relativo ao primeiro ano do Projeto e o Plano de Aquisições do Projeto.</w:t>
      </w:r>
    </w:p>
    <w:p w14:paraId="00BD41E9" w14:textId="77777777" w:rsidR="00075064" w:rsidRPr="000B6C37" w:rsidRDefault="00075064" w:rsidP="00CF1958">
      <w:pPr>
        <w:pStyle w:val="Heading2"/>
      </w:pPr>
      <w:bookmarkStart w:id="122" w:name="_Toc45546139"/>
      <w:r w:rsidRPr="000B6C37">
        <w:t>Inspeções</w:t>
      </w:r>
      <w:bookmarkEnd w:id="122"/>
    </w:p>
    <w:p w14:paraId="77962670" w14:textId="35687677" w:rsidR="00075064" w:rsidRPr="000B6C37" w:rsidRDefault="00075064" w:rsidP="00C7795F">
      <w:pPr>
        <w:pStyle w:val="ListParagraph"/>
        <w:numPr>
          <w:ilvl w:val="1"/>
          <w:numId w:val="27"/>
        </w:numPr>
        <w:ind w:left="709" w:hanging="709"/>
      </w:pPr>
      <w:r w:rsidRPr="000B6C37">
        <w:t xml:space="preserve">O BID poderá revisar, quando julgar oportuno, a documentação, os procedimentos administrativos, licitatórios, de seleção e contratação de consultoria, financeiros e contábeis, adotados na execução do </w:t>
      </w:r>
      <w:r w:rsidR="00476B84">
        <w:t>p</w:t>
      </w:r>
      <w:r w:rsidRPr="000B6C37">
        <w:t xml:space="preserve">rojeto. O Coordenador Geral do Projeto informará ao BID, por intermédio dos relatórios financeiros, o resultado das análises efetuadas ressaltando as divergências detectadas. </w:t>
      </w:r>
    </w:p>
    <w:p w14:paraId="564D89A1" w14:textId="77777777" w:rsidR="00075064" w:rsidRPr="000B6C37" w:rsidRDefault="00075064" w:rsidP="00C7795F">
      <w:pPr>
        <w:pStyle w:val="ListParagraph"/>
        <w:numPr>
          <w:ilvl w:val="1"/>
          <w:numId w:val="27"/>
        </w:numPr>
        <w:ind w:left="709" w:hanging="709"/>
      </w:pPr>
      <w:r w:rsidRPr="000B6C37">
        <w:t>Neste caso, o BID poderá adotar as medidas previstas nas Normas Gerais do Contrato de Empréstimo e nas Políticas 2349-15 e 2350-15, de maio de 2019.</w:t>
      </w:r>
    </w:p>
    <w:p w14:paraId="77A5BCED" w14:textId="2A24495B" w:rsidR="00075064" w:rsidRPr="000B6C37" w:rsidRDefault="00075064" w:rsidP="00C7795F">
      <w:pPr>
        <w:pStyle w:val="ListParagraph"/>
        <w:numPr>
          <w:ilvl w:val="1"/>
          <w:numId w:val="27"/>
        </w:numPr>
        <w:ind w:left="709" w:hanging="709"/>
      </w:pPr>
      <w:r w:rsidRPr="000B6C37">
        <w:t xml:space="preserve">O Órgão Executor deverá manter em perfeitas condições de verificação, pelo prazo mínimo de 6 (seis) anos da data de encerramento dos desembolsos do Contrato de Empréstimo, cópias dos contratos e documentos de aquisição de bens e de serviços que tenham sido firmados durante a execução do </w:t>
      </w:r>
      <w:r w:rsidR="00476B84">
        <w:t>p</w:t>
      </w:r>
      <w:r w:rsidRPr="000B6C37">
        <w:t>rojeto, para eventuais análises que venham a se fazer necessárias.</w:t>
      </w:r>
    </w:p>
    <w:p w14:paraId="2E772E67" w14:textId="2FC8D3DE" w:rsidR="005572C7" w:rsidRPr="000B6C37" w:rsidRDefault="00A60CEF">
      <w:pPr>
        <w:pStyle w:val="Heading1"/>
      </w:pPr>
      <w:bookmarkStart w:id="123" w:name="_Toc43470457"/>
      <w:bookmarkStart w:id="124" w:name="_Toc45546140"/>
      <w:bookmarkStart w:id="125" w:name="_Toc43719343"/>
      <w:r w:rsidRPr="000B6C37">
        <w:t>ANEXOS</w:t>
      </w:r>
      <w:bookmarkEnd w:id="120"/>
      <w:bookmarkEnd w:id="123"/>
      <w:bookmarkEnd w:id="124"/>
      <w:bookmarkEnd w:id="125"/>
    </w:p>
    <w:p w14:paraId="0053EED0" w14:textId="59B76DD1" w:rsidR="005818A6" w:rsidRPr="000B6C37" w:rsidRDefault="005818A6" w:rsidP="00C7795F">
      <w:pPr>
        <w:pStyle w:val="Heading2"/>
        <w:numPr>
          <w:ilvl w:val="1"/>
          <w:numId w:val="39"/>
        </w:numPr>
      </w:pPr>
      <w:bookmarkStart w:id="126" w:name="_Toc19790799"/>
      <w:bookmarkStart w:id="127" w:name="_Toc43470458"/>
      <w:bookmarkStart w:id="128" w:name="_Toc45546141"/>
      <w:bookmarkStart w:id="129" w:name="_Toc43719344"/>
      <w:r w:rsidRPr="000B6C37">
        <w:t>Matriz de Indicadores do Projeto – (Anexo II)</w:t>
      </w:r>
      <w:bookmarkEnd w:id="126"/>
      <w:bookmarkEnd w:id="127"/>
      <w:bookmarkEnd w:id="128"/>
      <w:bookmarkEnd w:id="129"/>
    </w:p>
    <w:p w14:paraId="2EFD635A" w14:textId="6CFCD77F" w:rsidR="005818A6" w:rsidRPr="000B6C37" w:rsidRDefault="005818A6">
      <w:pPr>
        <w:pStyle w:val="Heading2"/>
      </w:pPr>
      <w:bookmarkStart w:id="130" w:name="_Toc19790800"/>
      <w:bookmarkStart w:id="131" w:name="_Toc43470459"/>
      <w:bookmarkStart w:id="132" w:name="_Toc45546142"/>
      <w:bookmarkStart w:id="133" w:name="_Toc43719345"/>
      <w:r w:rsidRPr="000B6C37">
        <w:t>Plano de Execução Plurianual - (EER#2)</w:t>
      </w:r>
      <w:bookmarkEnd w:id="130"/>
      <w:bookmarkEnd w:id="131"/>
      <w:bookmarkEnd w:id="132"/>
      <w:bookmarkEnd w:id="133"/>
    </w:p>
    <w:p w14:paraId="49D9399B" w14:textId="5EB3AC42" w:rsidR="005818A6" w:rsidRPr="000B6C37" w:rsidRDefault="005818A6">
      <w:pPr>
        <w:pStyle w:val="Heading2"/>
      </w:pPr>
      <w:bookmarkStart w:id="134" w:name="_Toc19790801"/>
      <w:bookmarkStart w:id="135" w:name="_Toc43470460"/>
      <w:bookmarkStart w:id="136" w:name="_Toc45546143"/>
      <w:bookmarkStart w:id="137" w:name="_Toc43719346"/>
      <w:r w:rsidRPr="000B6C37">
        <w:lastRenderedPageBreak/>
        <w:t>Plano de Aquisições - (EER#5)</w:t>
      </w:r>
      <w:bookmarkEnd w:id="134"/>
      <w:bookmarkEnd w:id="135"/>
      <w:bookmarkEnd w:id="136"/>
      <w:bookmarkEnd w:id="137"/>
    </w:p>
    <w:p w14:paraId="2D83C33B" w14:textId="36952582" w:rsidR="005818A6" w:rsidRPr="000B6C37" w:rsidRDefault="005818A6">
      <w:pPr>
        <w:pStyle w:val="Heading2"/>
      </w:pPr>
      <w:bookmarkStart w:id="138" w:name="_Toc19790802"/>
      <w:bookmarkStart w:id="139" w:name="_Toc43470461"/>
      <w:bookmarkStart w:id="140" w:name="_Toc45546144"/>
      <w:bookmarkStart w:id="141" w:name="_Toc43719347"/>
      <w:r w:rsidRPr="000B6C37">
        <w:t>Orçamento Detalhado (EEO#3)</w:t>
      </w:r>
      <w:bookmarkEnd w:id="138"/>
      <w:bookmarkEnd w:id="139"/>
      <w:bookmarkEnd w:id="140"/>
      <w:bookmarkEnd w:id="141"/>
    </w:p>
    <w:p w14:paraId="276DDC59" w14:textId="46E828B7" w:rsidR="005818A6" w:rsidRPr="000B6C37" w:rsidRDefault="005818A6">
      <w:pPr>
        <w:pStyle w:val="Heading2"/>
      </w:pPr>
      <w:bookmarkStart w:id="142" w:name="_Toc43719349"/>
      <w:bookmarkStart w:id="143" w:name="_Toc19790804"/>
      <w:bookmarkStart w:id="144" w:name="_Toc43470463"/>
      <w:bookmarkStart w:id="145" w:name="_Toc45546146"/>
      <w:r w:rsidRPr="000B6C37">
        <w:t>Acordos e Requisitos Fiduciários (</w:t>
      </w:r>
      <w:hyperlink r:id="rId17" w:history="1">
        <w:r w:rsidRPr="000B6C37">
          <w:t>Anexo III</w:t>
        </w:r>
      </w:hyperlink>
      <w:bookmarkEnd w:id="142"/>
      <w:r w:rsidRPr="000B6C37">
        <w:t>);</w:t>
      </w:r>
      <w:bookmarkEnd w:id="143"/>
      <w:bookmarkEnd w:id="144"/>
      <w:bookmarkEnd w:id="145"/>
      <w:r w:rsidRPr="000B6C37">
        <w:t xml:space="preserve"> </w:t>
      </w:r>
    </w:p>
    <w:p w14:paraId="3CAB1953" w14:textId="362623B9" w:rsidR="005818A6" w:rsidRPr="000B6C37" w:rsidRDefault="005818A6">
      <w:pPr>
        <w:pStyle w:val="Heading2"/>
      </w:pPr>
      <w:bookmarkStart w:id="146" w:name="_Toc43719350"/>
      <w:bookmarkStart w:id="147" w:name="_Toc19790805"/>
      <w:bookmarkStart w:id="148" w:name="_Toc43470464"/>
      <w:bookmarkStart w:id="149" w:name="_Toc45546147"/>
      <w:r w:rsidRPr="000B6C37">
        <w:t>Plano de Monitoramento e Avaliação (</w:t>
      </w:r>
      <w:hyperlink r:id="rId18" w:history="1">
        <w:r w:rsidRPr="000B6C37">
          <w:t>EER#3</w:t>
        </w:r>
      </w:hyperlink>
      <w:bookmarkEnd w:id="146"/>
      <w:r w:rsidRPr="000B6C37">
        <w:t>);</w:t>
      </w:r>
      <w:bookmarkEnd w:id="147"/>
      <w:bookmarkEnd w:id="148"/>
      <w:bookmarkEnd w:id="149"/>
      <w:r w:rsidRPr="000B6C37">
        <w:t xml:space="preserve"> </w:t>
      </w:r>
    </w:p>
    <w:p w14:paraId="0AF75A93" w14:textId="05404EDA" w:rsidR="005818A6" w:rsidRDefault="005818A6">
      <w:pPr>
        <w:pStyle w:val="Heading2"/>
      </w:pPr>
      <w:bookmarkStart w:id="150" w:name="_Toc19790806"/>
      <w:bookmarkStart w:id="151" w:name="_Toc43470465"/>
      <w:bookmarkStart w:id="152" w:name="_Toc45546148"/>
      <w:bookmarkStart w:id="153" w:name="_Toc43719351"/>
      <w:r w:rsidRPr="000B6C37">
        <w:t>Relatório de Gestão Ambiental e Social (EER#5)</w:t>
      </w:r>
      <w:bookmarkEnd w:id="150"/>
      <w:bookmarkEnd w:id="151"/>
      <w:bookmarkEnd w:id="152"/>
      <w:bookmarkEnd w:id="153"/>
    </w:p>
    <w:p w14:paraId="0457FD40" w14:textId="77777777" w:rsidR="00476B84" w:rsidRPr="006D5D33" w:rsidRDefault="00476B84" w:rsidP="00476B84">
      <w:pPr>
        <w:pStyle w:val="Heading2"/>
      </w:pPr>
      <w:r>
        <w:t xml:space="preserve">Termos de </w:t>
      </w:r>
      <w:proofErr w:type="gramStart"/>
      <w:r>
        <w:t>Referencia</w:t>
      </w:r>
      <w:proofErr w:type="gramEnd"/>
      <w:r>
        <w:t xml:space="preserve"> da empresa Gerenciadora de Obras</w:t>
      </w:r>
    </w:p>
    <w:p w14:paraId="0F1DC695" w14:textId="77777777" w:rsidR="00476B84" w:rsidRPr="00476B84" w:rsidRDefault="00476B84" w:rsidP="00476B84"/>
    <w:sectPr w:rsidR="00476B84" w:rsidRPr="00476B84" w:rsidSect="00972916">
      <w:pgSz w:w="11907" w:h="16840" w:code="9"/>
      <w:pgMar w:top="1728" w:right="1418" w:bottom="1134" w:left="1418" w:header="567" w:footer="586"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FFF58B" w14:textId="77777777" w:rsidR="00A206DB" w:rsidRDefault="00A206DB" w:rsidP="00920F7F">
      <w:r>
        <w:separator/>
      </w:r>
    </w:p>
  </w:endnote>
  <w:endnote w:type="continuationSeparator" w:id="0">
    <w:p w14:paraId="6429811E" w14:textId="77777777" w:rsidR="00A206DB" w:rsidRDefault="00A206DB" w:rsidP="00920F7F">
      <w:r>
        <w:continuationSeparator/>
      </w:r>
    </w:p>
  </w:endnote>
  <w:endnote w:type="continuationNotice" w:id="1">
    <w:p w14:paraId="0D17084B" w14:textId="77777777" w:rsidR="00A206DB" w:rsidRDefault="00A206D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D14F25" w14:textId="77777777" w:rsidR="004C7098" w:rsidRDefault="004C7098" w:rsidP="00920F7F">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14D61A62" w14:textId="77777777" w:rsidR="004C7098" w:rsidRDefault="004C7098" w:rsidP="00920F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EB0A9E" w14:textId="4812EAEC" w:rsidR="004C7098" w:rsidRPr="00D469B3" w:rsidRDefault="004C7098" w:rsidP="00100802">
    <w:pPr>
      <w:pStyle w:val="Footer"/>
      <w:ind w:left="567"/>
      <w:jc w:val="right"/>
    </w:pPr>
  </w:p>
  <w:p w14:paraId="5C414BC8" w14:textId="228D0638" w:rsidR="004C7098" w:rsidRDefault="004C7098" w:rsidP="00100802">
    <w:pPr>
      <w:pStyle w:val="Footer"/>
      <w:ind w:left="567"/>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B0AF0" w14:textId="14AE52B5" w:rsidR="004C7098" w:rsidRPr="0014392D" w:rsidRDefault="004C7098" w:rsidP="00AB6740">
    <w:pPr>
      <w:pStyle w:val="Footer"/>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FA4001" w14:textId="77777777" w:rsidR="00A206DB" w:rsidRDefault="00A206DB" w:rsidP="00920F7F">
      <w:r>
        <w:separator/>
      </w:r>
    </w:p>
  </w:footnote>
  <w:footnote w:type="continuationSeparator" w:id="0">
    <w:p w14:paraId="7576147C" w14:textId="77777777" w:rsidR="00A206DB" w:rsidRDefault="00A206DB" w:rsidP="00920F7F">
      <w:r>
        <w:continuationSeparator/>
      </w:r>
    </w:p>
  </w:footnote>
  <w:footnote w:type="continuationNotice" w:id="1">
    <w:p w14:paraId="775E070C" w14:textId="77777777" w:rsidR="00A206DB" w:rsidRDefault="00A206D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BB8E23" w14:textId="1331515D" w:rsidR="004C7098" w:rsidRPr="00476B84" w:rsidRDefault="004C7098" w:rsidP="00AB6740">
    <w:pPr>
      <w:pStyle w:val="Header"/>
      <w:jc w:val="right"/>
      <w:rPr>
        <w:sz w:val="20"/>
        <w:szCs w:val="20"/>
        <w:lang w:val="es-ES_tradnl"/>
      </w:rPr>
    </w:pPr>
    <w:r w:rsidRPr="00476B84">
      <w:rPr>
        <w:sz w:val="20"/>
        <w:szCs w:val="20"/>
        <w:lang w:val="es-ES_tradnl"/>
      </w:rPr>
      <w:t>BR-L1545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B06720" w14:textId="77777777" w:rsidR="004C7098" w:rsidRPr="00B17B33" w:rsidRDefault="004C7098" w:rsidP="00D469B3">
    <w:pPr>
      <w:pStyle w:val="Header"/>
      <w:jc w:val="right"/>
      <w:rPr>
        <w:lang w:val="es-ES_tradnl"/>
      </w:rPr>
    </w:pPr>
    <w:r w:rsidRPr="00B17B33">
      <w:rPr>
        <w:lang w:val="es-ES_tradnl"/>
      </w:rPr>
      <w:t>BR-L1545</w:t>
    </w:r>
  </w:p>
  <w:p w14:paraId="68B08736" w14:textId="77777777" w:rsidR="004C7098" w:rsidRDefault="004C7098" w:rsidP="00D469B3">
    <w:pPr>
      <w:pStyle w:val="Header"/>
      <w:ind w:left="56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44079"/>
    <w:multiLevelType w:val="hybridMultilevel"/>
    <w:tmpl w:val="2D0A2CAE"/>
    <w:lvl w:ilvl="0" w:tplc="2350363A">
      <w:start w:val="1"/>
      <w:numFmt w:val="lowerRoman"/>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 w15:restartNumberingAfterBreak="0">
    <w:nsid w:val="0DAB7FC9"/>
    <w:multiLevelType w:val="multilevel"/>
    <w:tmpl w:val="94863FA6"/>
    <w:lvl w:ilvl="0">
      <w:start w:val="7"/>
      <w:numFmt w:val="upperRoman"/>
      <w:pStyle w:val="SubSubPar"/>
      <w:lvlText w:val="%1."/>
      <w:lvlJc w:val="center"/>
      <w:pPr>
        <w:tabs>
          <w:tab w:val="num" w:pos="648"/>
        </w:tabs>
        <w:ind w:left="0" w:firstLine="288"/>
      </w:pPr>
      <w:rPr>
        <w:rFonts w:hint="default"/>
        <w:b/>
        <w:i w:val="0"/>
      </w:rPr>
    </w:lvl>
    <w:lvl w:ilvl="1">
      <w:start w:val="1"/>
      <w:numFmt w:val="decimal"/>
      <w:isLgl/>
      <w:lvlText w:val="%1.%2"/>
      <w:lvlJc w:val="left"/>
      <w:pPr>
        <w:tabs>
          <w:tab w:val="num" w:pos="820"/>
        </w:tabs>
        <w:ind w:left="820" w:hanging="720"/>
      </w:pPr>
      <w:rPr>
        <w:rFonts w:ascii="Times New Roman" w:hAnsi="Times New Roman" w:cs="Times New Roman" w:hint="default"/>
        <w:b w:val="0"/>
        <w:color w:val="auto"/>
        <w:sz w:val="24"/>
        <w:szCs w:val="24"/>
      </w:rPr>
    </w:lvl>
    <w:lvl w:ilvl="2">
      <w:start w:val="1"/>
      <w:numFmt w:val="lowerLette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 w15:restartNumberingAfterBreak="0">
    <w:nsid w:val="1D79533A"/>
    <w:multiLevelType w:val="multilevel"/>
    <w:tmpl w:val="509E3852"/>
    <w:lvl w:ilvl="0">
      <w:start w:val="1"/>
      <w:numFmt w:val="none"/>
      <w:suff w:val="nothing"/>
      <w:lvlText w:val=""/>
      <w:lvlJc w:val="left"/>
      <w:pPr>
        <w:ind w:left="720" w:hanging="720"/>
      </w:pPr>
      <w:rPr>
        <w:rFonts w:hint="default"/>
      </w:rPr>
    </w:lvl>
    <w:lvl w:ilvl="1">
      <w:start w:val="1"/>
      <w:numFmt w:val="decimal"/>
      <w:pStyle w:val="SecHeading"/>
      <w:lvlText w:val="%2."/>
      <w:lvlJc w:val="left"/>
      <w:pPr>
        <w:tabs>
          <w:tab w:val="num" w:pos="1296"/>
        </w:tabs>
        <w:ind w:left="1296" w:hanging="576"/>
      </w:pPr>
      <w:rPr>
        <w:rFonts w:ascii="Verdana" w:hAnsi="Verdana" w:hint="default"/>
        <w:b/>
        <w:i w:val="0"/>
        <w:sz w:val="20"/>
      </w:rPr>
    </w:lvl>
    <w:lvl w:ilvl="2">
      <w:start w:val="1"/>
      <w:numFmt w:val="lowerLetter"/>
      <w:pStyle w:val="SubHeading1"/>
      <w:lvlText w:val="%3)"/>
      <w:lvlJc w:val="left"/>
      <w:pPr>
        <w:tabs>
          <w:tab w:val="num" w:pos="1872"/>
        </w:tabs>
        <w:ind w:left="1872" w:hanging="576"/>
      </w:pPr>
      <w:rPr>
        <w:rFonts w:ascii="Verdana" w:hAnsi="Verdana" w:hint="default"/>
        <w:b/>
        <w:i w:val="0"/>
        <w:sz w:val="20"/>
      </w:rPr>
    </w:lvl>
    <w:lvl w:ilvl="3">
      <w:start w:val="1"/>
      <w:numFmt w:val="lowerRoman"/>
      <w:pStyle w:val="Subheading2"/>
      <w:lvlText w:val="(%4)"/>
      <w:lvlJc w:val="right"/>
      <w:pPr>
        <w:tabs>
          <w:tab w:val="num" w:pos="2376"/>
        </w:tabs>
        <w:ind w:left="2376" w:hanging="288"/>
      </w:pPr>
      <w:rPr>
        <w:rFonts w:ascii="Verdana" w:hAnsi="Verdana" w:hint="default"/>
        <w:b w:val="0"/>
        <w:i w:val="0"/>
        <w:sz w:val="2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 w15:restartNumberingAfterBreak="0">
    <w:nsid w:val="1DE345C5"/>
    <w:multiLevelType w:val="hybridMultilevel"/>
    <w:tmpl w:val="B1B4E57C"/>
    <w:lvl w:ilvl="0" w:tplc="380A0017">
      <w:start w:val="1"/>
      <w:numFmt w:val="lowerLetter"/>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4" w15:restartNumberingAfterBreak="0">
    <w:nsid w:val="21347464"/>
    <w:multiLevelType w:val="hybridMultilevel"/>
    <w:tmpl w:val="E8BC2930"/>
    <w:lvl w:ilvl="0" w:tplc="2350363A">
      <w:start w:val="1"/>
      <w:numFmt w:val="lowerRoman"/>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5" w15:restartNumberingAfterBreak="0">
    <w:nsid w:val="221F34C0"/>
    <w:multiLevelType w:val="hybridMultilevel"/>
    <w:tmpl w:val="D3D2D47E"/>
    <w:lvl w:ilvl="0" w:tplc="380A0017">
      <w:start w:val="1"/>
      <w:numFmt w:val="lowerLetter"/>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6" w15:restartNumberingAfterBreak="0">
    <w:nsid w:val="2D7F21D2"/>
    <w:multiLevelType w:val="hybridMultilevel"/>
    <w:tmpl w:val="7988E2D2"/>
    <w:lvl w:ilvl="0" w:tplc="380A0017">
      <w:start w:val="1"/>
      <w:numFmt w:val="lowerLetter"/>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7" w15:restartNumberingAfterBreak="0">
    <w:nsid w:val="2F0936A2"/>
    <w:multiLevelType w:val="hybridMultilevel"/>
    <w:tmpl w:val="482ACB78"/>
    <w:lvl w:ilvl="0" w:tplc="2350363A">
      <w:start w:val="1"/>
      <w:numFmt w:val="lowerRoman"/>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8" w15:restartNumberingAfterBreak="0">
    <w:nsid w:val="36424AA7"/>
    <w:multiLevelType w:val="multilevel"/>
    <w:tmpl w:val="04090027"/>
    <w:lvl w:ilvl="0">
      <w:start w:val="1"/>
      <w:numFmt w:val="upperRoman"/>
      <w:pStyle w:val="Heading1"/>
      <w:lvlText w:val="%1."/>
      <w:lvlJc w:val="left"/>
      <w:pPr>
        <w:ind w:left="0" w:firstLine="0"/>
      </w:pPr>
      <w:rPr>
        <w:rFonts w:hint="default"/>
      </w:rPr>
    </w:lvl>
    <w:lvl w:ilvl="1">
      <w:start w:val="1"/>
      <w:numFmt w:val="upperLetter"/>
      <w:pStyle w:val="Heading2"/>
      <w:lvlText w:val="%2."/>
      <w:lvlJc w:val="left"/>
      <w:pPr>
        <w:ind w:left="720" w:firstLine="0"/>
      </w:pPr>
      <w:rPr>
        <w:rFonts w:hint="default"/>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i w:val="0"/>
        <w:iCs w:val="0"/>
        <w:color w:val="auto"/>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9" w15:restartNumberingAfterBreak="0">
    <w:nsid w:val="36A76A97"/>
    <w:multiLevelType w:val="hybridMultilevel"/>
    <w:tmpl w:val="C2DACBC4"/>
    <w:lvl w:ilvl="0" w:tplc="2350363A">
      <w:start w:val="1"/>
      <w:numFmt w:val="lowerRoman"/>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0" w15:restartNumberingAfterBreak="0">
    <w:nsid w:val="37A97DED"/>
    <w:multiLevelType w:val="hybridMultilevel"/>
    <w:tmpl w:val="633A0C7E"/>
    <w:lvl w:ilvl="0" w:tplc="2350363A">
      <w:start w:val="1"/>
      <w:numFmt w:val="lowerRoman"/>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1" w15:restartNumberingAfterBreak="0">
    <w:nsid w:val="3A1E5391"/>
    <w:multiLevelType w:val="multilevel"/>
    <w:tmpl w:val="FBC8BD80"/>
    <w:lvl w:ilvl="0">
      <w:start w:val="1"/>
      <w:numFmt w:val="decimal"/>
      <w:lvlText w:val="%1"/>
      <w:lvlJc w:val="left"/>
      <w:pPr>
        <w:ind w:left="360" w:hanging="360"/>
      </w:pPr>
      <w:rPr>
        <w:rFonts w:hint="default"/>
        <w:color w:val="FFFFFF" w:themeColor="background1"/>
      </w:rPr>
    </w:lvl>
    <w:lvl w:ilvl="1">
      <w:start w:val="1"/>
      <w:numFmt w:val="decimal"/>
      <w:pStyle w:val="ListParagraph"/>
      <w:lvlText w:val="%1.%2"/>
      <w:lvlJc w:val="left"/>
      <w:pPr>
        <w:ind w:left="927" w:hanging="360"/>
      </w:pPr>
      <w:rPr>
        <w:rFonts w:hint="default"/>
        <w:b w:val="0"/>
        <w:bCs w:val="0"/>
        <w:i w:val="0"/>
        <w:iCs w:val="0"/>
        <w:color w:val="000000" w:themeColor="text1"/>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48040485"/>
    <w:multiLevelType w:val="hybridMultilevel"/>
    <w:tmpl w:val="2C82F224"/>
    <w:lvl w:ilvl="0" w:tplc="2350363A">
      <w:start w:val="1"/>
      <w:numFmt w:val="lowerRoman"/>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3" w15:restartNumberingAfterBreak="0">
    <w:nsid w:val="4AFA1BC1"/>
    <w:multiLevelType w:val="multilevel"/>
    <w:tmpl w:val="93B0340E"/>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4" w15:restartNumberingAfterBreak="0">
    <w:nsid w:val="4B8D1499"/>
    <w:multiLevelType w:val="hybridMultilevel"/>
    <w:tmpl w:val="C1B49B90"/>
    <w:lvl w:ilvl="0" w:tplc="1E68E880">
      <w:start w:val="1"/>
      <w:numFmt w:val="decimal"/>
      <w:pStyle w:val="Estilo1"/>
      <w:lvlText w:val="%1."/>
      <w:lvlJc w:val="left"/>
      <w:pPr>
        <w:ind w:left="1080" w:hanging="360"/>
      </w:pPr>
      <w:rPr>
        <w:b/>
      </w:rPr>
    </w:lvl>
    <w:lvl w:ilvl="1" w:tplc="04160019">
      <w:start w:val="1"/>
      <w:numFmt w:val="lowerLetter"/>
      <w:pStyle w:val="Estilo1"/>
      <w:lvlText w:val="%2."/>
      <w:lvlJc w:val="left"/>
      <w:pPr>
        <w:ind w:left="1440" w:hanging="360"/>
      </w:pPr>
    </w:lvl>
    <w:lvl w:ilvl="2" w:tplc="0416001B">
      <w:start w:val="1"/>
      <w:numFmt w:val="lowerRoman"/>
      <w:lvlText w:val="%3."/>
      <w:lvlJc w:val="right"/>
      <w:pPr>
        <w:ind w:left="2160" w:hanging="180"/>
      </w:pPr>
    </w:lvl>
    <w:lvl w:ilvl="3" w:tplc="0416000F">
      <w:start w:val="1"/>
      <w:numFmt w:val="decimal"/>
      <w:pStyle w:val="Estilo1"/>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5" w15:restartNumberingAfterBreak="0">
    <w:nsid w:val="6032241D"/>
    <w:multiLevelType w:val="hybridMultilevel"/>
    <w:tmpl w:val="542A697C"/>
    <w:lvl w:ilvl="0" w:tplc="2350363A">
      <w:start w:val="1"/>
      <w:numFmt w:val="lowerRoman"/>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6" w15:restartNumberingAfterBreak="0">
    <w:nsid w:val="62B74CAF"/>
    <w:multiLevelType w:val="hybridMultilevel"/>
    <w:tmpl w:val="44F83E56"/>
    <w:lvl w:ilvl="0" w:tplc="2350363A">
      <w:start w:val="1"/>
      <w:numFmt w:val="lowerRoman"/>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7" w15:restartNumberingAfterBreak="0">
    <w:nsid w:val="63A0369C"/>
    <w:multiLevelType w:val="hybridMultilevel"/>
    <w:tmpl w:val="50D44372"/>
    <w:lvl w:ilvl="0" w:tplc="D5FA80B0">
      <w:start w:val="2"/>
      <w:numFmt w:val="upperLetter"/>
      <w:pStyle w:val="FirstHeading"/>
      <w:lvlText w:val="%1."/>
      <w:lvlJc w:val="left"/>
      <w:pPr>
        <w:ind w:left="720" w:hanging="360"/>
      </w:pPr>
      <w:rPr>
        <w:rFonts w:hint="default"/>
        <w:u w:val="none"/>
      </w:rPr>
    </w:lvl>
    <w:lvl w:ilvl="1" w:tplc="50A8C392" w:tentative="1">
      <w:start w:val="1"/>
      <w:numFmt w:val="lowerLetter"/>
      <w:lvlText w:val="%2."/>
      <w:lvlJc w:val="left"/>
      <w:pPr>
        <w:ind w:left="1440" w:hanging="360"/>
      </w:pPr>
    </w:lvl>
    <w:lvl w:ilvl="2" w:tplc="472A9070" w:tentative="1">
      <w:start w:val="1"/>
      <w:numFmt w:val="lowerRoman"/>
      <w:lvlText w:val="%3."/>
      <w:lvlJc w:val="right"/>
      <w:pPr>
        <w:ind w:left="2160" w:hanging="180"/>
      </w:pPr>
    </w:lvl>
    <w:lvl w:ilvl="3" w:tplc="7DF237B2" w:tentative="1">
      <w:start w:val="1"/>
      <w:numFmt w:val="decimal"/>
      <w:pStyle w:val="FirstHeading"/>
      <w:lvlText w:val="%4."/>
      <w:lvlJc w:val="left"/>
      <w:pPr>
        <w:ind w:left="2880" w:hanging="360"/>
      </w:pPr>
    </w:lvl>
    <w:lvl w:ilvl="4" w:tplc="0BD06B4E" w:tentative="1">
      <w:start w:val="1"/>
      <w:numFmt w:val="lowerLetter"/>
      <w:lvlText w:val="%5."/>
      <w:lvlJc w:val="left"/>
      <w:pPr>
        <w:ind w:left="3600" w:hanging="360"/>
      </w:pPr>
    </w:lvl>
    <w:lvl w:ilvl="5" w:tplc="1A5ED316" w:tentative="1">
      <w:start w:val="1"/>
      <w:numFmt w:val="lowerRoman"/>
      <w:lvlText w:val="%6."/>
      <w:lvlJc w:val="right"/>
      <w:pPr>
        <w:ind w:left="4320" w:hanging="180"/>
      </w:pPr>
    </w:lvl>
    <w:lvl w:ilvl="6" w:tplc="90940E6C" w:tentative="1">
      <w:start w:val="1"/>
      <w:numFmt w:val="decimal"/>
      <w:lvlText w:val="%7."/>
      <w:lvlJc w:val="left"/>
      <w:pPr>
        <w:ind w:left="5040" w:hanging="360"/>
      </w:pPr>
    </w:lvl>
    <w:lvl w:ilvl="7" w:tplc="91B8C08E" w:tentative="1">
      <w:start w:val="1"/>
      <w:numFmt w:val="lowerLetter"/>
      <w:lvlText w:val="%8."/>
      <w:lvlJc w:val="left"/>
      <w:pPr>
        <w:ind w:left="5760" w:hanging="360"/>
      </w:pPr>
    </w:lvl>
    <w:lvl w:ilvl="8" w:tplc="872AF25C" w:tentative="1">
      <w:start w:val="1"/>
      <w:numFmt w:val="lowerRoman"/>
      <w:lvlText w:val="%9."/>
      <w:lvlJc w:val="right"/>
      <w:pPr>
        <w:ind w:left="6480" w:hanging="180"/>
      </w:pPr>
    </w:lvl>
  </w:abstractNum>
  <w:abstractNum w:abstractNumId="18" w15:restartNumberingAfterBreak="0">
    <w:nsid w:val="6A5F7B3B"/>
    <w:multiLevelType w:val="multilevel"/>
    <w:tmpl w:val="B268F5A4"/>
    <w:lvl w:ilvl="0">
      <w:start w:val="1"/>
      <w:numFmt w:val="upperRoman"/>
      <w:lvlText w:val="%1."/>
      <w:lvlJc w:val="left"/>
      <w:pPr>
        <w:ind w:left="1080" w:hanging="720"/>
      </w:pPr>
      <w:rPr>
        <w:rFonts w:hint="default"/>
      </w:rPr>
    </w:lvl>
    <w:lvl w:ilvl="1">
      <w:start w:val="1"/>
      <w:numFmt w:val="decimal"/>
      <w:lvlText w:val="%1.%2."/>
      <w:lvlJc w:val="left"/>
      <w:pPr>
        <w:ind w:left="2487" w:hanging="360"/>
      </w:pPr>
      <w:rPr>
        <w:b w:val="0"/>
        <w:bCs w:val="0"/>
        <w:i w:val="0"/>
        <w:iCs w:val="0"/>
        <w:caps w:val="0"/>
        <w:smallCaps w:val="0"/>
        <w:strike w:val="0"/>
        <w:dstrike w:val="0"/>
        <w:color w:val="auto"/>
        <w:spacing w:val="-2"/>
        <w:w w:val="100"/>
        <w:kern w:val="0"/>
        <w:position w:val="0"/>
        <w:sz w:val="22"/>
        <w:szCs w:val="20"/>
        <w:u w:val="none"/>
        <w:effect w:val="none"/>
        <w:bdr w:val="none" w:sz="0" w:space="0" w:color="auto"/>
        <w:shd w:val="clear" w:color="auto" w:fill="auto"/>
        <w:em w:val="none"/>
      </w:rPr>
    </w:lvl>
    <w:lvl w:ilvl="2">
      <w:start w:val="1"/>
      <w:numFmt w:val="lowerRoman"/>
      <w:lvlText w:val="%3."/>
      <w:lvlJc w:val="right"/>
      <w:pPr>
        <w:tabs>
          <w:tab w:val="num" w:pos="12"/>
        </w:tabs>
        <w:ind w:left="1440" w:hanging="360"/>
      </w:pPr>
      <w:rPr>
        <w:rFonts w:hint="default"/>
        <w:b w:val="0"/>
      </w:rPr>
    </w:lvl>
    <w:lvl w:ilvl="3">
      <w:start w:val="1"/>
      <w:numFmt w:val="bullet"/>
      <w:lvlText w:val=""/>
      <w:lvlJc w:val="left"/>
      <w:pPr>
        <w:ind w:left="2160" w:hanging="720"/>
      </w:pPr>
      <w:rPr>
        <w:rFonts w:ascii="Symbol" w:hAnsi="Symbol"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6C2C232F"/>
    <w:multiLevelType w:val="multilevel"/>
    <w:tmpl w:val="F342CDE4"/>
    <w:lvl w:ilvl="0">
      <w:start w:val="1"/>
      <w:numFmt w:val="decimal"/>
      <w:lvlText w:val="%1"/>
      <w:lvlJc w:val="left"/>
      <w:pPr>
        <w:ind w:left="360" w:hanging="360"/>
      </w:pPr>
      <w:rPr>
        <w:rFonts w:hint="default"/>
      </w:rPr>
    </w:lvl>
    <w:lvl w:ilvl="1">
      <w:start w:val="1"/>
      <w:numFmt w:val="bullet"/>
      <w:lvlText w:val=""/>
      <w:lvlJc w:val="left"/>
      <w:pPr>
        <w:ind w:left="898" w:hanging="360"/>
      </w:pPr>
      <w:rPr>
        <w:rFonts w:ascii="Wingdings" w:hAnsi="Wingdings" w:hint="default"/>
        <w:b w:val="0"/>
        <w:bCs/>
        <w:i w:val="0"/>
        <w:iCs w:val="0"/>
        <w:color w:val="auto"/>
      </w:rPr>
    </w:lvl>
    <w:lvl w:ilvl="2">
      <w:start w:val="1"/>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3232" w:hanging="108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668" w:hanging="144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6104" w:hanging="1800"/>
      </w:pPr>
      <w:rPr>
        <w:rFonts w:hint="default"/>
      </w:rPr>
    </w:lvl>
  </w:abstractNum>
  <w:abstractNum w:abstractNumId="20" w15:restartNumberingAfterBreak="0">
    <w:nsid w:val="6E7975A6"/>
    <w:multiLevelType w:val="hybridMultilevel"/>
    <w:tmpl w:val="5728ED04"/>
    <w:lvl w:ilvl="0" w:tplc="380A0017">
      <w:start w:val="1"/>
      <w:numFmt w:val="lowerLetter"/>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1" w15:restartNumberingAfterBreak="0">
    <w:nsid w:val="760855A6"/>
    <w:multiLevelType w:val="multilevel"/>
    <w:tmpl w:val="603C5B86"/>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2" w15:restartNumberingAfterBreak="0">
    <w:nsid w:val="7E990ECF"/>
    <w:multiLevelType w:val="multilevel"/>
    <w:tmpl w:val="AB403536"/>
    <w:lvl w:ilvl="0">
      <w:start w:val="1"/>
      <w:numFmt w:val="decimal"/>
      <w:lvlText w:val="%1"/>
      <w:lvlJc w:val="left"/>
      <w:pPr>
        <w:ind w:left="360" w:hanging="360"/>
      </w:pPr>
      <w:rPr>
        <w:rFonts w:hint="default"/>
      </w:rPr>
    </w:lvl>
    <w:lvl w:ilvl="1">
      <w:start w:val="1"/>
      <w:numFmt w:val="lowerRoman"/>
      <w:lvlText w:val="(%2)"/>
      <w:lvlJc w:val="left"/>
      <w:pPr>
        <w:ind w:left="898" w:hanging="360"/>
      </w:pPr>
      <w:rPr>
        <w:rFonts w:hint="default"/>
        <w:b w:val="0"/>
        <w:bCs/>
        <w:i w:val="0"/>
        <w:iCs w:val="0"/>
        <w:color w:val="auto"/>
      </w:rPr>
    </w:lvl>
    <w:lvl w:ilvl="2">
      <w:start w:val="1"/>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3232" w:hanging="108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668" w:hanging="144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6104" w:hanging="1800"/>
      </w:pPr>
      <w:rPr>
        <w:rFonts w:hint="default"/>
      </w:rPr>
    </w:lvl>
  </w:abstractNum>
  <w:num w:numId="1">
    <w:abstractNumId w:val="18"/>
  </w:num>
  <w:num w:numId="2">
    <w:abstractNumId w:val="2"/>
  </w:num>
  <w:num w:numId="3">
    <w:abstractNumId w:val="1"/>
  </w:num>
  <w:num w:numId="4">
    <w:abstractNumId w:val="17"/>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19"/>
  </w:num>
  <w:num w:numId="8">
    <w:abstractNumId w:val="3"/>
  </w:num>
  <w:num w:numId="9">
    <w:abstractNumId w:val="5"/>
  </w:num>
  <w:num w:numId="10">
    <w:abstractNumId w:val="6"/>
  </w:num>
  <w:num w:numId="11">
    <w:abstractNumId w:val="7"/>
  </w:num>
  <w:num w:numId="12">
    <w:abstractNumId w:val="15"/>
  </w:num>
  <w:num w:numId="13">
    <w:abstractNumId w:val="10"/>
  </w:num>
  <w:num w:numId="14">
    <w:abstractNumId w:val="4"/>
  </w:num>
  <w:num w:numId="15">
    <w:abstractNumId w:val="0"/>
  </w:num>
  <w:num w:numId="16">
    <w:abstractNumId w:val="12"/>
  </w:num>
  <w:num w:numId="17">
    <w:abstractNumId w:val="9"/>
  </w:num>
  <w:num w:numId="18">
    <w:abstractNumId w:val="16"/>
  </w:num>
  <w:num w:numId="19">
    <w:abstractNumId w:val="20"/>
  </w:num>
  <w:num w:numId="20">
    <w:abstractNumId w:val="13"/>
  </w:num>
  <w:num w:numId="21">
    <w:abstractNumId w:val="8"/>
  </w:num>
  <w:num w:numId="22">
    <w:abstractNumId w:val="8"/>
  </w:num>
  <w:num w:numId="23">
    <w:abstractNumId w:val="11"/>
  </w:num>
  <w:num w:numId="24">
    <w:abstractNumId w:val="11"/>
    <w:lvlOverride w:ilvl="0">
      <w:startOverride w:val="2"/>
    </w:lvlOverride>
    <w:lvlOverride w:ilvl="1">
      <w:startOverride w:val="1"/>
    </w:lvlOverride>
  </w:num>
  <w:num w:numId="25">
    <w:abstractNumId w:val="11"/>
    <w:lvlOverride w:ilvl="0">
      <w:startOverride w:val="3"/>
    </w:lvlOverride>
    <w:lvlOverride w:ilvl="1">
      <w:startOverride w:val="1"/>
    </w:lvlOverride>
  </w:num>
  <w:num w:numId="26">
    <w:abstractNumId w:val="11"/>
    <w:lvlOverride w:ilvl="0">
      <w:startOverride w:val="4"/>
    </w:lvlOverride>
    <w:lvlOverride w:ilvl="1">
      <w:startOverride w:val="1"/>
    </w:lvlOverride>
  </w:num>
  <w:num w:numId="27">
    <w:abstractNumId w:val="11"/>
    <w:lvlOverride w:ilvl="0">
      <w:startOverride w:val="5"/>
    </w:lvlOverride>
    <w:lvlOverride w:ilvl="1">
      <w:startOverride w:val="1"/>
    </w:lvlOverride>
  </w:num>
  <w:num w:numId="28">
    <w:abstractNumId w:val="11"/>
    <w:lvlOverride w:ilvl="0">
      <w:startOverride w:val="5"/>
    </w:lvlOverride>
    <w:lvlOverride w:ilvl="1">
      <w:startOverride w:val="1"/>
    </w:lvlOverride>
  </w:num>
  <w:num w:numId="29">
    <w:abstractNumId w:val="11"/>
    <w:lvlOverride w:ilvl="0">
      <w:startOverride w:val="7"/>
    </w:lvlOverride>
    <w:lvlOverride w:ilvl="1">
      <w:startOverride w:val="1"/>
    </w:lvlOverride>
  </w:num>
  <w:num w:numId="30">
    <w:abstractNumId w:val="11"/>
  </w:num>
  <w:num w:numId="31">
    <w:abstractNumId w:val="2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num>
  <w:num w:numId="41">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6"/>
  <w:removePersonalInformation/>
  <w:removeDateAndTime/>
  <w:embedSystemFonts/>
  <w:hideGrammaticalErrors/>
  <w:activeWritingStyle w:appName="MSWord" w:lang="pt-BR" w:vendorID="1" w:dllVersion="513"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6145" fillcolor="#ffc000">
      <v:fill color="#ffc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334B"/>
    <w:rsid w:val="00000CC2"/>
    <w:rsid w:val="0000334A"/>
    <w:rsid w:val="00003E64"/>
    <w:rsid w:val="00004AF8"/>
    <w:rsid w:val="0000568F"/>
    <w:rsid w:val="000056EB"/>
    <w:rsid w:val="000061AB"/>
    <w:rsid w:val="00007E8A"/>
    <w:rsid w:val="0001263B"/>
    <w:rsid w:val="000150CA"/>
    <w:rsid w:val="0001785A"/>
    <w:rsid w:val="000178FC"/>
    <w:rsid w:val="00020267"/>
    <w:rsid w:val="00021CAE"/>
    <w:rsid w:val="00023CFF"/>
    <w:rsid w:val="00024B64"/>
    <w:rsid w:val="00025959"/>
    <w:rsid w:val="00026EAE"/>
    <w:rsid w:val="00026FD3"/>
    <w:rsid w:val="00037D24"/>
    <w:rsid w:val="00043816"/>
    <w:rsid w:val="0004484F"/>
    <w:rsid w:val="00044B55"/>
    <w:rsid w:val="00045543"/>
    <w:rsid w:val="000471EC"/>
    <w:rsid w:val="000520AC"/>
    <w:rsid w:val="00052A97"/>
    <w:rsid w:val="00053983"/>
    <w:rsid w:val="00061B9A"/>
    <w:rsid w:val="0006280D"/>
    <w:rsid w:val="00064507"/>
    <w:rsid w:val="00065C71"/>
    <w:rsid w:val="00067780"/>
    <w:rsid w:val="00067D50"/>
    <w:rsid w:val="00071662"/>
    <w:rsid w:val="00071A2F"/>
    <w:rsid w:val="00075064"/>
    <w:rsid w:val="00075BF1"/>
    <w:rsid w:val="000857FC"/>
    <w:rsid w:val="000861BD"/>
    <w:rsid w:val="00087A2B"/>
    <w:rsid w:val="00090C7F"/>
    <w:rsid w:val="00091933"/>
    <w:rsid w:val="00092037"/>
    <w:rsid w:val="00094E61"/>
    <w:rsid w:val="00096310"/>
    <w:rsid w:val="00096D0D"/>
    <w:rsid w:val="00097732"/>
    <w:rsid w:val="000A2473"/>
    <w:rsid w:val="000A32FF"/>
    <w:rsid w:val="000A3342"/>
    <w:rsid w:val="000A4B6A"/>
    <w:rsid w:val="000A4C6C"/>
    <w:rsid w:val="000A6BCF"/>
    <w:rsid w:val="000B1DCE"/>
    <w:rsid w:val="000B41A8"/>
    <w:rsid w:val="000B424E"/>
    <w:rsid w:val="000B5A41"/>
    <w:rsid w:val="000B6C37"/>
    <w:rsid w:val="000B70A7"/>
    <w:rsid w:val="000B727E"/>
    <w:rsid w:val="000C106F"/>
    <w:rsid w:val="000C1EF0"/>
    <w:rsid w:val="000C3FE7"/>
    <w:rsid w:val="000C4EBB"/>
    <w:rsid w:val="000C5BB5"/>
    <w:rsid w:val="000C68FC"/>
    <w:rsid w:val="000D0E9D"/>
    <w:rsid w:val="000D25F3"/>
    <w:rsid w:val="000D3772"/>
    <w:rsid w:val="000D3EA9"/>
    <w:rsid w:val="000D4A65"/>
    <w:rsid w:val="000D543F"/>
    <w:rsid w:val="000D5B1B"/>
    <w:rsid w:val="000D7630"/>
    <w:rsid w:val="000D7F67"/>
    <w:rsid w:val="000E0374"/>
    <w:rsid w:val="000E2159"/>
    <w:rsid w:val="000E4A7C"/>
    <w:rsid w:val="000E5CB8"/>
    <w:rsid w:val="000F2416"/>
    <w:rsid w:val="000F4A53"/>
    <w:rsid w:val="000F5DB7"/>
    <w:rsid w:val="000F660A"/>
    <w:rsid w:val="0010010B"/>
    <w:rsid w:val="001005F3"/>
    <w:rsid w:val="00100802"/>
    <w:rsid w:val="00104D25"/>
    <w:rsid w:val="00107A8F"/>
    <w:rsid w:val="00110C57"/>
    <w:rsid w:val="00112932"/>
    <w:rsid w:val="00114525"/>
    <w:rsid w:val="00116FC2"/>
    <w:rsid w:val="0012004E"/>
    <w:rsid w:val="0012298B"/>
    <w:rsid w:val="0012513F"/>
    <w:rsid w:val="00125EFA"/>
    <w:rsid w:val="00127A3E"/>
    <w:rsid w:val="00127B27"/>
    <w:rsid w:val="001301B8"/>
    <w:rsid w:val="00132ECA"/>
    <w:rsid w:val="00133A53"/>
    <w:rsid w:val="00137A6E"/>
    <w:rsid w:val="00142272"/>
    <w:rsid w:val="0014392D"/>
    <w:rsid w:val="001451AA"/>
    <w:rsid w:val="00145E71"/>
    <w:rsid w:val="001505E4"/>
    <w:rsid w:val="00153944"/>
    <w:rsid w:val="00155DB5"/>
    <w:rsid w:val="00156A8E"/>
    <w:rsid w:val="0015799F"/>
    <w:rsid w:val="0016056F"/>
    <w:rsid w:val="001640EA"/>
    <w:rsid w:val="0016451B"/>
    <w:rsid w:val="001649AB"/>
    <w:rsid w:val="00164DE1"/>
    <w:rsid w:val="00166DE5"/>
    <w:rsid w:val="00170919"/>
    <w:rsid w:val="001752AE"/>
    <w:rsid w:val="00177441"/>
    <w:rsid w:val="00177AEE"/>
    <w:rsid w:val="001835B7"/>
    <w:rsid w:val="001839EA"/>
    <w:rsid w:val="001845A7"/>
    <w:rsid w:val="00186B84"/>
    <w:rsid w:val="00191D3D"/>
    <w:rsid w:val="001A09BE"/>
    <w:rsid w:val="001A13FC"/>
    <w:rsid w:val="001A18A2"/>
    <w:rsid w:val="001A5C95"/>
    <w:rsid w:val="001A5D43"/>
    <w:rsid w:val="001A7D00"/>
    <w:rsid w:val="001A7F61"/>
    <w:rsid w:val="001B299A"/>
    <w:rsid w:val="001B3B04"/>
    <w:rsid w:val="001B54DB"/>
    <w:rsid w:val="001C162A"/>
    <w:rsid w:val="001C4161"/>
    <w:rsid w:val="001D13AA"/>
    <w:rsid w:val="001D32D1"/>
    <w:rsid w:val="001D3BB4"/>
    <w:rsid w:val="001D53EB"/>
    <w:rsid w:val="001D6FA8"/>
    <w:rsid w:val="001D7102"/>
    <w:rsid w:val="001E04C7"/>
    <w:rsid w:val="001E107E"/>
    <w:rsid w:val="001E3A69"/>
    <w:rsid w:val="001E482D"/>
    <w:rsid w:val="001F04D6"/>
    <w:rsid w:val="001F09FF"/>
    <w:rsid w:val="001F1654"/>
    <w:rsid w:val="001F3FF6"/>
    <w:rsid w:val="001F42B5"/>
    <w:rsid w:val="001F43FF"/>
    <w:rsid w:val="001F5246"/>
    <w:rsid w:val="001F5E97"/>
    <w:rsid w:val="001F66B1"/>
    <w:rsid w:val="001F6EF3"/>
    <w:rsid w:val="0020320B"/>
    <w:rsid w:val="00210DD8"/>
    <w:rsid w:val="00210E58"/>
    <w:rsid w:val="002110A4"/>
    <w:rsid w:val="00211A0C"/>
    <w:rsid w:val="00212A1D"/>
    <w:rsid w:val="0021399C"/>
    <w:rsid w:val="002156DA"/>
    <w:rsid w:val="002159E0"/>
    <w:rsid w:val="002167D4"/>
    <w:rsid w:val="002169F1"/>
    <w:rsid w:val="00220E6A"/>
    <w:rsid w:val="002227FB"/>
    <w:rsid w:val="00223BA9"/>
    <w:rsid w:val="00226605"/>
    <w:rsid w:val="00227D35"/>
    <w:rsid w:val="00232560"/>
    <w:rsid w:val="00232566"/>
    <w:rsid w:val="00232AD3"/>
    <w:rsid w:val="00233E0B"/>
    <w:rsid w:val="00235CA7"/>
    <w:rsid w:val="00240D34"/>
    <w:rsid w:val="00240E7C"/>
    <w:rsid w:val="0024312C"/>
    <w:rsid w:val="0024601E"/>
    <w:rsid w:val="0024655F"/>
    <w:rsid w:val="002475A9"/>
    <w:rsid w:val="00247849"/>
    <w:rsid w:val="00254BD3"/>
    <w:rsid w:val="00255138"/>
    <w:rsid w:val="0025533D"/>
    <w:rsid w:val="00255604"/>
    <w:rsid w:val="0025716F"/>
    <w:rsid w:val="00257AD9"/>
    <w:rsid w:val="0026309C"/>
    <w:rsid w:val="00264D83"/>
    <w:rsid w:val="002660F4"/>
    <w:rsid w:val="00266DC8"/>
    <w:rsid w:val="00270D32"/>
    <w:rsid w:val="002743E9"/>
    <w:rsid w:val="002749A1"/>
    <w:rsid w:val="002751A6"/>
    <w:rsid w:val="00276FBF"/>
    <w:rsid w:val="00281A6D"/>
    <w:rsid w:val="00283556"/>
    <w:rsid w:val="002862CD"/>
    <w:rsid w:val="00291AD6"/>
    <w:rsid w:val="00291BCB"/>
    <w:rsid w:val="00292767"/>
    <w:rsid w:val="0029334B"/>
    <w:rsid w:val="002949DE"/>
    <w:rsid w:val="00296940"/>
    <w:rsid w:val="002A0064"/>
    <w:rsid w:val="002A063F"/>
    <w:rsid w:val="002A1477"/>
    <w:rsid w:val="002A4341"/>
    <w:rsid w:val="002A4C27"/>
    <w:rsid w:val="002A4EDD"/>
    <w:rsid w:val="002A5528"/>
    <w:rsid w:val="002A6D56"/>
    <w:rsid w:val="002B15C7"/>
    <w:rsid w:val="002B256C"/>
    <w:rsid w:val="002B63F7"/>
    <w:rsid w:val="002B6EE4"/>
    <w:rsid w:val="002B7A8C"/>
    <w:rsid w:val="002C176D"/>
    <w:rsid w:val="002C378F"/>
    <w:rsid w:val="002C68CC"/>
    <w:rsid w:val="002C6D39"/>
    <w:rsid w:val="002D13A2"/>
    <w:rsid w:val="002D313B"/>
    <w:rsid w:val="002D3FAF"/>
    <w:rsid w:val="002D442B"/>
    <w:rsid w:val="002D4E7D"/>
    <w:rsid w:val="002D591F"/>
    <w:rsid w:val="002D6FE4"/>
    <w:rsid w:val="002D790B"/>
    <w:rsid w:val="002D7BBF"/>
    <w:rsid w:val="002E1A8F"/>
    <w:rsid w:val="002E7E5D"/>
    <w:rsid w:val="002F3597"/>
    <w:rsid w:val="002F4167"/>
    <w:rsid w:val="003001D4"/>
    <w:rsid w:val="00300B3A"/>
    <w:rsid w:val="00301195"/>
    <w:rsid w:val="00302BF5"/>
    <w:rsid w:val="00305C79"/>
    <w:rsid w:val="003066F6"/>
    <w:rsid w:val="00312058"/>
    <w:rsid w:val="003124CE"/>
    <w:rsid w:val="003173CF"/>
    <w:rsid w:val="00320C49"/>
    <w:rsid w:val="00321980"/>
    <w:rsid w:val="00322552"/>
    <w:rsid w:val="00322713"/>
    <w:rsid w:val="00322BF3"/>
    <w:rsid w:val="00322E05"/>
    <w:rsid w:val="003252EE"/>
    <w:rsid w:val="003260FF"/>
    <w:rsid w:val="00332F84"/>
    <w:rsid w:val="003336B3"/>
    <w:rsid w:val="003345A3"/>
    <w:rsid w:val="00337AFB"/>
    <w:rsid w:val="003428F1"/>
    <w:rsid w:val="00351CF2"/>
    <w:rsid w:val="0035318F"/>
    <w:rsid w:val="00353EDF"/>
    <w:rsid w:val="00357BE1"/>
    <w:rsid w:val="00362130"/>
    <w:rsid w:val="00372676"/>
    <w:rsid w:val="00372709"/>
    <w:rsid w:val="0037454B"/>
    <w:rsid w:val="0038108E"/>
    <w:rsid w:val="00381A7A"/>
    <w:rsid w:val="003827D2"/>
    <w:rsid w:val="00383F68"/>
    <w:rsid w:val="00385AB8"/>
    <w:rsid w:val="00392F64"/>
    <w:rsid w:val="003930FD"/>
    <w:rsid w:val="003931CB"/>
    <w:rsid w:val="003963B1"/>
    <w:rsid w:val="003A1BBF"/>
    <w:rsid w:val="003A25D3"/>
    <w:rsid w:val="003A549D"/>
    <w:rsid w:val="003A5A50"/>
    <w:rsid w:val="003A7376"/>
    <w:rsid w:val="003B030A"/>
    <w:rsid w:val="003B4C66"/>
    <w:rsid w:val="003B638B"/>
    <w:rsid w:val="003B674B"/>
    <w:rsid w:val="003B7269"/>
    <w:rsid w:val="003C135A"/>
    <w:rsid w:val="003C2DA6"/>
    <w:rsid w:val="003C2E2F"/>
    <w:rsid w:val="003C3792"/>
    <w:rsid w:val="003C4480"/>
    <w:rsid w:val="003C58C8"/>
    <w:rsid w:val="003C6E01"/>
    <w:rsid w:val="003C75AF"/>
    <w:rsid w:val="003C7B71"/>
    <w:rsid w:val="003D020A"/>
    <w:rsid w:val="003D43BD"/>
    <w:rsid w:val="003D6CEC"/>
    <w:rsid w:val="003E0267"/>
    <w:rsid w:val="003E04F8"/>
    <w:rsid w:val="003E16CB"/>
    <w:rsid w:val="003E18D9"/>
    <w:rsid w:val="003E459C"/>
    <w:rsid w:val="003E57B5"/>
    <w:rsid w:val="003E5B71"/>
    <w:rsid w:val="003E6A66"/>
    <w:rsid w:val="003E73B4"/>
    <w:rsid w:val="003F1386"/>
    <w:rsid w:val="003F1C3B"/>
    <w:rsid w:val="003F20C0"/>
    <w:rsid w:val="003F4531"/>
    <w:rsid w:val="003F4833"/>
    <w:rsid w:val="003F59A6"/>
    <w:rsid w:val="003F6C74"/>
    <w:rsid w:val="003F789F"/>
    <w:rsid w:val="00400DE8"/>
    <w:rsid w:val="004012CA"/>
    <w:rsid w:val="0040454A"/>
    <w:rsid w:val="00404F27"/>
    <w:rsid w:val="0040570E"/>
    <w:rsid w:val="00405BFA"/>
    <w:rsid w:val="004060F3"/>
    <w:rsid w:val="004107B5"/>
    <w:rsid w:val="00412286"/>
    <w:rsid w:val="004124A3"/>
    <w:rsid w:val="00412824"/>
    <w:rsid w:val="00416041"/>
    <w:rsid w:val="00416D5E"/>
    <w:rsid w:val="00417BFA"/>
    <w:rsid w:val="0042213B"/>
    <w:rsid w:val="004248E9"/>
    <w:rsid w:val="00425980"/>
    <w:rsid w:val="00427FC1"/>
    <w:rsid w:val="0043291C"/>
    <w:rsid w:val="00434BF4"/>
    <w:rsid w:val="00435477"/>
    <w:rsid w:val="004369E3"/>
    <w:rsid w:val="00437DFE"/>
    <w:rsid w:val="00440D54"/>
    <w:rsid w:val="00441BEE"/>
    <w:rsid w:val="00443D7E"/>
    <w:rsid w:val="00446267"/>
    <w:rsid w:val="004467D4"/>
    <w:rsid w:val="0044692E"/>
    <w:rsid w:val="00447076"/>
    <w:rsid w:val="00447813"/>
    <w:rsid w:val="00452119"/>
    <w:rsid w:val="0045284C"/>
    <w:rsid w:val="004561F4"/>
    <w:rsid w:val="004577DE"/>
    <w:rsid w:val="00460928"/>
    <w:rsid w:val="00461757"/>
    <w:rsid w:val="00465544"/>
    <w:rsid w:val="0046668C"/>
    <w:rsid w:val="00467DCC"/>
    <w:rsid w:val="00471A7B"/>
    <w:rsid w:val="00475EFC"/>
    <w:rsid w:val="004763AC"/>
    <w:rsid w:val="004766BF"/>
    <w:rsid w:val="00476B84"/>
    <w:rsid w:val="00485CA6"/>
    <w:rsid w:val="004865C7"/>
    <w:rsid w:val="00486D15"/>
    <w:rsid w:val="004A1A19"/>
    <w:rsid w:val="004A2F35"/>
    <w:rsid w:val="004A6AA9"/>
    <w:rsid w:val="004A6BDD"/>
    <w:rsid w:val="004A6FF3"/>
    <w:rsid w:val="004B0046"/>
    <w:rsid w:val="004B1753"/>
    <w:rsid w:val="004B1BFE"/>
    <w:rsid w:val="004B2C23"/>
    <w:rsid w:val="004B42E5"/>
    <w:rsid w:val="004B510D"/>
    <w:rsid w:val="004B597C"/>
    <w:rsid w:val="004B7457"/>
    <w:rsid w:val="004B74B0"/>
    <w:rsid w:val="004B7809"/>
    <w:rsid w:val="004C06CC"/>
    <w:rsid w:val="004C3759"/>
    <w:rsid w:val="004C51E7"/>
    <w:rsid w:val="004C7098"/>
    <w:rsid w:val="004C7E22"/>
    <w:rsid w:val="004D060A"/>
    <w:rsid w:val="004D212F"/>
    <w:rsid w:val="004D3111"/>
    <w:rsid w:val="004D3409"/>
    <w:rsid w:val="004D7B04"/>
    <w:rsid w:val="004E6090"/>
    <w:rsid w:val="004E6FBF"/>
    <w:rsid w:val="004E71C3"/>
    <w:rsid w:val="004F02E5"/>
    <w:rsid w:val="004F1703"/>
    <w:rsid w:val="004F5477"/>
    <w:rsid w:val="0050241D"/>
    <w:rsid w:val="0050271B"/>
    <w:rsid w:val="00502CCA"/>
    <w:rsid w:val="00502DC8"/>
    <w:rsid w:val="00506249"/>
    <w:rsid w:val="0050731B"/>
    <w:rsid w:val="00507EB6"/>
    <w:rsid w:val="00510603"/>
    <w:rsid w:val="00514D6E"/>
    <w:rsid w:val="00517B3B"/>
    <w:rsid w:val="00517D3F"/>
    <w:rsid w:val="00521C77"/>
    <w:rsid w:val="00524921"/>
    <w:rsid w:val="005269C1"/>
    <w:rsid w:val="005271AC"/>
    <w:rsid w:val="00527275"/>
    <w:rsid w:val="0053245D"/>
    <w:rsid w:val="00532C43"/>
    <w:rsid w:val="0053554F"/>
    <w:rsid w:val="00540A29"/>
    <w:rsid w:val="00542D0D"/>
    <w:rsid w:val="00542D76"/>
    <w:rsid w:val="00543738"/>
    <w:rsid w:val="005441EE"/>
    <w:rsid w:val="00544457"/>
    <w:rsid w:val="0054711B"/>
    <w:rsid w:val="00553B61"/>
    <w:rsid w:val="005553B5"/>
    <w:rsid w:val="005572C7"/>
    <w:rsid w:val="00557C24"/>
    <w:rsid w:val="00560AE4"/>
    <w:rsid w:val="00561099"/>
    <w:rsid w:val="0056305B"/>
    <w:rsid w:val="00565132"/>
    <w:rsid w:val="005652CF"/>
    <w:rsid w:val="005655D4"/>
    <w:rsid w:val="00565A8A"/>
    <w:rsid w:val="00567464"/>
    <w:rsid w:val="005676DD"/>
    <w:rsid w:val="00574689"/>
    <w:rsid w:val="0057503A"/>
    <w:rsid w:val="005770F9"/>
    <w:rsid w:val="005818A6"/>
    <w:rsid w:val="00584331"/>
    <w:rsid w:val="00585B52"/>
    <w:rsid w:val="00587175"/>
    <w:rsid w:val="00587D73"/>
    <w:rsid w:val="00590EF9"/>
    <w:rsid w:val="00592D2A"/>
    <w:rsid w:val="00595517"/>
    <w:rsid w:val="0059591A"/>
    <w:rsid w:val="00597245"/>
    <w:rsid w:val="005A1276"/>
    <w:rsid w:val="005A2885"/>
    <w:rsid w:val="005A2DAE"/>
    <w:rsid w:val="005B1E24"/>
    <w:rsid w:val="005B2B9C"/>
    <w:rsid w:val="005B3854"/>
    <w:rsid w:val="005B68BB"/>
    <w:rsid w:val="005B7369"/>
    <w:rsid w:val="005B7B19"/>
    <w:rsid w:val="005D17EE"/>
    <w:rsid w:val="005D1818"/>
    <w:rsid w:val="005D33D7"/>
    <w:rsid w:val="005D35E3"/>
    <w:rsid w:val="005D49C3"/>
    <w:rsid w:val="005D5A36"/>
    <w:rsid w:val="005E045A"/>
    <w:rsid w:val="005E2423"/>
    <w:rsid w:val="005E2BC3"/>
    <w:rsid w:val="005E2FF6"/>
    <w:rsid w:val="005E38E2"/>
    <w:rsid w:val="005E3B87"/>
    <w:rsid w:val="005E58B7"/>
    <w:rsid w:val="005E6E61"/>
    <w:rsid w:val="005E7A60"/>
    <w:rsid w:val="005F1B8A"/>
    <w:rsid w:val="005F20F9"/>
    <w:rsid w:val="005F2A6C"/>
    <w:rsid w:val="005F5F71"/>
    <w:rsid w:val="005F7D2C"/>
    <w:rsid w:val="00601BA3"/>
    <w:rsid w:val="0060277B"/>
    <w:rsid w:val="00605FC5"/>
    <w:rsid w:val="0060695A"/>
    <w:rsid w:val="0060745A"/>
    <w:rsid w:val="00610D47"/>
    <w:rsid w:val="00611DB2"/>
    <w:rsid w:val="00612913"/>
    <w:rsid w:val="00614A09"/>
    <w:rsid w:val="00616430"/>
    <w:rsid w:val="00621B98"/>
    <w:rsid w:val="00623FF0"/>
    <w:rsid w:val="0062501C"/>
    <w:rsid w:val="00625752"/>
    <w:rsid w:val="00630918"/>
    <w:rsid w:val="00631EC9"/>
    <w:rsid w:val="006363FE"/>
    <w:rsid w:val="006401A2"/>
    <w:rsid w:val="0064051F"/>
    <w:rsid w:val="00641B17"/>
    <w:rsid w:val="00644F83"/>
    <w:rsid w:val="00646D5C"/>
    <w:rsid w:val="00651389"/>
    <w:rsid w:val="00653FD9"/>
    <w:rsid w:val="00654DE2"/>
    <w:rsid w:val="00655586"/>
    <w:rsid w:val="006559AF"/>
    <w:rsid w:val="006664B3"/>
    <w:rsid w:val="00667F75"/>
    <w:rsid w:val="00667F92"/>
    <w:rsid w:val="0067092E"/>
    <w:rsid w:val="00672133"/>
    <w:rsid w:val="006734D9"/>
    <w:rsid w:val="00673ABF"/>
    <w:rsid w:val="00674942"/>
    <w:rsid w:val="006750CB"/>
    <w:rsid w:val="006801C6"/>
    <w:rsid w:val="00680ED8"/>
    <w:rsid w:val="00681829"/>
    <w:rsid w:val="00681EF9"/>
    <w:rsid w:val="0068620A"/>
    <w:rsid w:val="00687B57"/>
    <w:rsid w:val="00690FD8"/>
    <w:rsid w:val="00692099"/>
    <w:rsid w:val="00692CFC"/>
    <w:rsid w:val="00693461"/>
    <w:rsid w:val="00694247"/>
    <w:rsid w:val="0069470D"/>
    <w:rsid w:val="00696A25"/>
    <w:rsid w:val="006A13A5"/>
    <w:rsid w:val="006A1740"/>
    <w:rsid w:val="006A2177"/>
    <w:rsid w:val="006A2354"/>
    <w:rsid w:val="006A297D"/>
    <w:rsid w:val="006A330E"/>
    <w:rsid w:val="006B3655"/>
    <w:rsid w:val="006B532E"/>
    <w:rsid w:val="006B5654"/>
    <w:rsid w:val="006B69D1"/>
    <w:rsid w:val="006C25A5"/>
    <w:rsid w:val="006C287F"/>
    <w:rsid w:val="006C2D70"/>
    <w:rsid w:val="006C3AEE"/>
    <w:rsid w:val="006C6FB8"/>
    <w:rsid w:val="006D0AC5"/>
    <w:rsid w:val="006D1C19"/>
    <w:rsid w:val="006D699E"/>
    <w:rsid w:val="006D6C2A"/>
    <w:rsid w:val="006E0073"/>
    <w:rsid w:val="006E0582"/>
    <w:rsid w:val="006E2B24"/>
    <w:rsid w:val="006E3762"/>
    <w:rsid w:val="006E76D2"/>
    <w:rsid w:val="006E7C2A"/>
    <w:rsid w:val="006F17A7"/>
    <w:rsid w:val="006F508D"/>
    <w:rsid w:val="007020F8"/>
    <w:rsid w:val="00704DC7"/>
    <w:rsid w:val="007051B4"/>
    <w:rsid w:val="00705473"/>
    <w:rsid w:val="00707ED6"/>
    <w:rsid w:val="0071011D"/>
    <w:rsid w:val="00710360"/>
    <w:rsid w:val="00716995"/>
    <w:rsid w:val="00717BFD"/>
    <w:rsid w:val="00721CA6"/>
    <w:rsid w:val="00723075"/>
    <w:rsid w:val="00724ACA"/>
    <w:rsid w:val="0072611A"/>
    <w:rsid w:val="00727514"/>
    <w:rsid w:val="007279E8"/>
    <w:rsid w:val="00742855"/>
    <w:rsid w:val="00743C60"/>
    <w:rsid w:val="0074580E"/>
    <w:rsid w:val="00745F4B"/>
    <w:rsid w:val="00746C3C"/>
    <w:rsid w:val="007478BA"/>
    <w:rsid w:val="007544BD"/>
    <w:rsid w:val="00756A0E"/>
    <w:rsid w:val="00760780"/>
    <w:rsid w:val="007620DD"/>
    <w:rsid w:val="0076502D"/>
    <w:rsid w:val="00765FE1"/>
    <w:rsid w:val="00766845"/>
    <w:rsid w:val="00767FBD"/>
    <w:rsid w:val="007710D9"/>
    <w:rsid w:val="00771D62"/>
    <w:rsid w:val="00771F34"/>
    <w:rsid w:val="00774CC6"/>
    <w:rsid w:val="00774DEC"/>
    <w:rsid w:val="0077560C"/>
    <w:rsid w:val="0077799C"/>
    <w:rsid w:val="00781387"/>
    <w:rsid w:val="00781760"/>
    <w:rsid w:val="00782CE4"/>
    <w:rsid w:val="00784AB7"/>
    <w:rsid w:val="00786A4C"/>
    <w:rsid w:val="0079082D"/>
    <w:rsid w:val="00790A1D"/>
    <w:rsid w:val="0079343E"/>
    <w:rsid w:val="00793A7F"/>
    <w:rsid w:val="00796529"/>
    <w:rsid w:val="007A0838"/>
    <w:rsid w:val="007A1421"/>
    <w:rsid w:val="007A2E1E"/>
    <w:rsid w:val="007A2F93"/>
    <w:rsid w:val="007A3DC1"/>
    <w:rsid w:val="007A5255"/>
    <w:rsid w:val="007A619A"/>
    <w:rsid w:val="007A7332"/>
    <w:rsid w:val="007B04B5"/>
    <w:rsid w:val="007B493A"/>
    <w:rsid w:val="007B58B8"/>
    <w:rsid w:val="007B6BB1"/>
    <w:rsid w:val="007B7B4B"/>
    <w:rsid w:val="007C0EC3"/>
    <w:rsid w:val="007C276E"/>
    <w:rsid w:val="007C6F4F"/>
    <w:rsid w:val="007D4948"/>
    <w:rsid w:val="007D4988"/>
    <w:rsid w:val="007D5255"/>
    <w:rsid w:val="007D56EF"/>
    <w:rsid w:val="007D67D0"/>
    <w:rsid w:val="007D6B4D"/>
    <w:rsid w:val="007D7661"/>
    <w:rsid w:val="007E167F"/>
    <w:rsid w:val="007E23F8"/>
    <w:rsid w:val="007E26B5"/>
    <w:rsid w:val="007E7666"/>
    <w:rsid w:val="007F268C"/>
    <w:rsid w:val="007F41BB"/>
    <w:rsid w:val="007F4BDC"/>
    <w:rsid w:val="007F5A2C"/>
    <w:rsid w:val="007F5EAF"/>
    <w:rsid w:val="00800E88"/>
    <w:rsid w:val="00806377"/>
    <w:rsid w:val="00806578"/>
    <w:rsid w:val="00807BBA"/>
    <w:rsid w:val="008112D2"/>
    <w:rsid w:val="008123BF"/>
    <w:rsid w:val="008134C8"/>
    <w:rsid w:val="00813725"/>
    <w:rsid w:val="00814595"/>
    <w:rsid w:val="00817F1F"/>
    <w:rsid w:val="00820577"/>
    <w:rsid w:val="008205C3"/>
    <w:rsid w:val="00820DAB"/>
    <w:rsid w:val="0082559D"/>
    <w:rsid w:val="0082656F"/>
    <w:rsid w:val="0082794B"/>
    <w:rsid w:val="00830A2D"/>
    <w:rsid w:val="008319A4"/>
    <w:rsid w:val="00832855"/>
    <w:rsid w:val="00834CDB"/>
    <w:rsid w:val="008364BC"/>
    <w:rsid w:val="00836B51"/>
    <w:rsid w:val="008461D3"/>
    <w:rsid w:val="00846B29"/>
    <w:rsid w:val="00846E1D"/>
    <w:rsid w:val="00847300"/>
    <w:rsid w:val="00847C93"/>
    <w:rsid w:val="008521A9"/>
    <w:rsid w:val="0085389B"/>
    <w:rsid w:val="00853B48"/>
    <w:rsid w:val="00854E96"/>
    <w:rsid w:val="0085529B"/>
    <w:rsid w:val="008558F5"/>
    <w:rsid w:val="00856499"/>
    <w:rsid w:val="008608E2"/>
    <w:rsid w:val="00865D37"/>
    <w:rsid w:val="008677AA"/>
    <w:rsid w:val="00870E0B"/>
    <w:rsid w:val="008725A0"/>
    <w:rsid w:val="008735FF"/>
    <w:rsid w:val="0087379D"/>
    <w:rsid w:val="008748DA"/>
    <w:rsid w:val="00874D55"/>
    <w:rsid w:val="008754E5"/>
    <w:rsid w:val="00875E7F"/>
    <w:rsid w:val="00876252"/>
    <w:rsid w:val="00877860"/>
    <w:rsid w:val="008815E1"/>
    <w:rsid w:val="00882C37"/>
    <w:rsid w:val="008831B1"/>
    <w:rsid w:val="008878A1"/>
    <w:rsid w:val="008879BA"/>
    <w:rsid w:val="00890CC6"/>
    <w:rsid w:val="00891581"/>
    <w:rsid w:val="008916DA"/>
    <w:rsid w:val="00891E61"/>
    <w:rsid w:val="00891F4F"/>
    <w:rsid w:val="00895451"/>
    <w:rsid w:val="0089725C"/>
    <w:rsid w:val="008A0F5F"/>
    <w:rsid w:val="008A2A55"/>
    <w:rsid w:val="008A2B9F"/>
    <w:rsid w:val="008A3B74"/>
    <w:rsid w:val="008A3B9B"/>
    <w:rsid w:val="008A50C1"/>
    <w:rsid w:val="008A7024"/>
    <w:rsid w:val="008B01AC"/>
    <w:rsid w:val="008B02FF"/>
    <w:rsid w:val="008B17F1"/>
    <w:rsid w:val="008B3C63"/>
    <w:rsid w:val="008C1B47"/>
    <w:rsid w:val="008C3026"/>
    <w:rsid w:val="008C3CE5"/>
    <w:rsid w:val="008C5A84"/>
    <w:rsid w:val="008C5C73"/>
    <w:rsid w:val="008E1460"/>
    <w:rsid w:val="008E642E"/>
    <w:rsid w:val="008E7419"/>
    <w:rsid w:val="008E7864"/>
    <w:rsid w:val="008F5A96"/>
    <w:rsid w:val="008F5B82"/>
    <w:rsid w:val="008F5F0B"/>
    <w:rsid w:val="008F6E10"/>
    <w:rsid w:val="00901F57"/>
    <w:rsid w:val="00906E3A"/>
    <w:rsid w:val="00907F8D"/>
    <w:rsid w:val="00910342"/>
    <w:rsid w:val="00912E43"/>
    <w:rsid w:val="009156CE"/>
    <w:rsid w:val="009159DE"/>
    <w:rsid w:val="00916ABE"/>
    <w:rsid w:val="00917BE7"/>
    <w:rsid w:val="0092023B"/>
    <w:rsid w:val="0092098F"/>
    <w:rsid w:val="00920F7F"/>
    <w:rsid w:val="00923ABC"/>
    <w:rsid w:val="0092701F"/>
    <w:rsid w:val="0093049E"/>
    <w:rsid w:val="00931B8F"/>
    <w:rsid w:val="00931FC3"/>
    <w:rsid w:val="00935ECB"/>
    <w:rsid w:val="00937B82"/>
    <w:rsid w:val="00940859"/>
    <w:rsid w:val="0094313F"/>
    <w:rsid w:val="00944381"/>
    <w:rsid w:val="00945FED"/>
    <w:rsid w:val="00950195"/>
    <w:rsid w:val="009501C2"/>
    <w:rsid w:val="00952974"/>
    <w:rsid w:val="00955A06"/>
    <w:rsid w:val="0095633E"/>
    <w:rsid w:val="009574C8"/>
    <w:rsid w:val="0095751E"/>
    <w:rsid w:val="0095774B"/>
    <w:rsid w:val="00957CD5"/>
    <w:rsid w:val="00961E39"/>
    <w:rsid w:val="00967CEA"/>
    <w:rsid w:val="00972916"/>
    <w:rsid w:val="00973D8A"/>
    <w:rsid w:val="009753D2"/>
    <w:rsid w:val="009758BB"/>
    <w:rsid w:val="00976F61"/>
    <w:rsid w:val="009820D8"/>
    <w:rsid w:val="0098324B"/>
    <w:rsid w:val="009834BA"/>
    <w:rsid w:val="00993931"/>
    <w:rsid w:val="009947C4"/>
    <w:rsid w:val="00995D9B"/>
    <w:rsid w:val="00997D14"/>
    <w:rsid w:val="009A21C4"/>
    <w:rsid w:val="009A2E7A"/>
    <w:rsid w:val="009A5B9D"/>
    <w:rsid w:val="009A6573"/>
    <w:rsid w:val="009A6F45"/>
    <w:rsid w:val="009A70D8"/>
    <w:rsid w:val="009A731A"/>
    <w:rsid w:val="009B133E"/>
    <w:rsid w:val="009B1BBF"/>
    <w:rsid w:val="009B1C9A"/>
    <w:rsid w:val="009B20AE"/>
    <w:rsid w:val="009B410F"/>
    <w:rsid w:val="009B4181"/>
    <w:rsid w:val="009B4312"/>
    <w:rsid w:val="009B6068"/>
    <w:rsid w:val="009C5C2A"/>
    <w:rsid w:val="009C6813"/>
    <w:rsid w:val="009C6DCB"/>
    <w:rsid w:val="009C7009"/>
    <w:rsid w:val="009D0BF1"/>
    <w:rsid w:val="009D0C33"/>
    <w:rsid w:val="009D3150"/>
    <w:rsid w:val="009D3A63"/>
    <w:rsid w:val="009D7C53"/>
    <w:rsid w:val="009E126F"/>
    <w:rsid w:val="009E42C4"/>
    <w:rsid w:val="009E6D9A"/>
    <w:rsid w:val="009F4317"/>
    <w:rsid w:val="00A01B83"/>
    <w:rsid w:val="00A0283C"/>
    <w:rsid w:val="00A0447D"/>
    <w:rsid w:val="00A05EF0"/>
    <w:rsid w:val="00A11874"/>
    <w:rsid w:val="00A12AFA"/>
    <w:rsid w:val="00A14356"/>
    <w:rsid w:val="00A157D5"/>
    <w:rsid w:val="00A15900"/>
    <w:rsid w:val="00A206DB"/>
    <w:rsid w:val="00A22E5F"/>
    <w:rsid w:val="00A25B59"/>
    <w:rsid w:val="00A274A8"/>
    <w:rsid w:val="00A31917"/>
    <w:rsid w:val="00A43B40"/>
    <w:rsid w:val="00A44B78"/>
    <w:rsid w:val="00A45153"/>
    <w:rsid w:val="00A467E0"/>
    <w:rsid w:val="00A46942"/>
    <w:rsid w:val="00A51ECA"/>
    <w:rsid w:val="00A52A11"/>
    <w:rsid w:val="00A53068"/>
    <w:rsid w:val="00A53331"/>
    <w:rsid w:val="00A538DA"/>
    <w:rsid w:val="00A53CC1"/>
    <w:rsid w:val="00A5515E"/>
    <w:rsid w:val="00A5665E"/>
    <w:rsid w:val="00A604FB"/>
    <w:rsid w:val="00A60CEF"/>
    <w:rsid w:val="00A66EE7"/>
    <w:rsid w:val="00A67998"/>
    <w:rsid w:val="00A72826"/>
    <w:rsid w:val="00A73238"/>
    <w:rsid w:val="00A73D10"/>
    <w:rsid w:val="00A73DA2"/>
    <w:rsid w:val="00A74268"/>
    <w:rsid w:val="00A772C2"/>
    <w:rsid w:val="00A80D54"/>
    <w:rsid w:val="00A81E91"/>
    <w:rsid w:val="00A834A6"/>
    <w:rsid w:val="00A86570"/>
    <w:rsid w:val="00A901D7"/>
    <w:rsid w:val="00A911DF"/>
    <w:rsid w:val="00A93954"/>
    <w:rsid w:val="00A95D5B"/>
    <w:rsid w:val="00A95F14"/>
    <w:rsid w:val="00A96D57"/>
    <w:rsid w:val="00AA0AEE"/>
    <w:rsid w:val="00AA29D5"/>
    <w:rsid w:val="00AA37FA"/>
    <w:rsid w:val="00AA5051"/>
    <w:rsid w:val="00AB26F6"/>
    <w:rsid w:val="00AB3153"/>
    <w:rsid w:val="00AB4D83"/>
    <w:rsid w:val="00AB4E09"/>
    <w:rsid w:val="00AB6740"/>
    <w:rsid w:val="00AB6D08"/>
    <w:rsid w:val="00AC1218"/>
    <w:rsid w:val="00AC1862"/>
    <w:rsid w:val="00AC2003"/>
    <w:rsid w:val="00AC246D"/>
    <w:rsid w:val="00AC4809"/>
    <w:rsid w:val="00AC50F1"/>
    <w:rsid w:val="00AC53D6"/>
    <w:rsid w:val="00AC5440"/>
    <w:rsid w:val="00AD03B5"/>
    <w:rsid w:val="00AD2BC1"/>
    <w:rsid w:val="00AD3208"/>
    <w:rsid w:val="00AD4B7C"/>
    <w:rsid w:val="00AD564A"/>
    <w:rsid w:val="00AE1EE0"/>
    <w:rsid w:val="00AE53FE"/>
    <w:rsid w:val="00AE5A45"/>
    <w:rsid w:val="00AF02C2"/>
    <w:rsid w:val="00AF122F"/>
    <w:rsid w:val="00AF2300"/>
    <w:rsid w:val="00AF27BC"/>
    <w:rsid w:val="00AF38D0"/>
    <w:rsid w:val="00AF452A"/>
    <w:rsid w:val="00AF4C10"/>
    <w:rsid w:val="00AF4E09"/>
    <w:rsid w:val="00AF5392"/>
    <w:rsid w:val="00AF78D9"/>
    <w:rsid w:val="00B02839"/>
    <w:rsid w:val="00B0420E"/>
    <w:rsid w:val="00B06590"/>
    <w:rsid w:val="00B10B5D"/>
    <w:rsid w:val="00B13538"/>
    <w:rsid w:val="00B13B7C"/>
    <w:rsid w:val="00B17B33"/>
    <w:rsid w:val="00B17FBC"/>
    <w:rsid w:val="00B20F7F"/>
    <w:rsid w:val="00B273E5"/>
    <w:rsid w:val="00B2783B"/>
    <w:rsid w:val="00B310F2"/>
    <w:rsid w:val="00B31528"/>
    <w:rsid w:val="00B33E2C"/>
    <w:rsid w:val="00B40DE5"/>
    <w:rsid w:val="00B41A17"/>
    <w:rsid w:val="00B43875"/>
    <w:rsid w:val="00B466A3"/>
    <w:rsid w:val="00B50683"/>
    <w:rsid w:val="00B50B1E"/>
    <w:rsid w:val="00B51996"/>
    <w:rsid w:val="00B51E3E"/>
    <w:rsid w:val="00B5294E"/>
    <w:rsid w:val="00B54C68"/>
    <w:rsid w:val="00B5646E"/>
    <w:rsid w:val="00B57295"/>
    <w:rsid w:val="00B600FE"/>
    <w:rsid w:val="00B60764"/>
    <w:rsid w:val="00B60B16"/>
    <w:rsid w:val="00B6284A"/>
    <w:rsid w:val="00B6373C"/>
    <w:rsid w:val="00B63984"/>
    <w:rsid w:val="00B6480D"/>
    <w:rsid w:val="00B64850"/>
    <w:rsid w:val="00B6738A"/>
    <w:rsid w:val="00B67D46"/>
    <w:rsid w:val="00B70E8F"/>
    <w:rsid w:val="00B711F3"/>
    <w:rsid w:val="00B730B4"/>
    <w:rsid w:val="00B74394"/>
    <w:rsid w:val="00B75401"/>
    <w:rsid w:val="00B8057A"/>
    <w:rsid w:val="00B81A0E"/>
    <w:rsid w:val="00B835E2"/>
    <w:rsid w:val="00B840DF"/>
    <w:rsid w:val="00B849B0"/>
    <w:rsid w:val="00B8653F"/>
    <w:rsid w:val="00B87DCE"/>
    <w:rsid w:val="00B9197C"/>
    <w:rsid w:val="00BA1EAF"/>
    <w:rsid w:val="00BA3F52"/>
    <w:rsid w:val="00BA59AB"/>
    <w:rsid w:val="00BA7964"/>
    <w:rsid w:val="00BB2D67"/>
    <w:rsid w:val="00BB3300"/>
    <w:rsid w:val="00BB5405"/>
    <w:rsid w:val="00BB62C2"/>
    <w:rsid w:val="00BB6889"/>
    <w:rsid w:val="00BC2748"/>
    <w:rsid w:val="00BC7D47"/>
    <w:rsid w:val="00BD2B5B"/>
    <w:rsid w:val="00BD3003"/>
    <w:rsid w:val="00BE214D"/>
    <w:rsid w:val="00BE282A"/>
    <w:rsid w:val="00BE3BAE"/>
    <w:rsid w:val="00BE6A69"/>
    <w:rsid w:val="00BF1D5A"/>
    <w:rsid w:val="00BF50DF"/>
    <w:rsid w:val="00BF71FF"/>
    <w:rsid w:val="00BF73B4"/>
    <w:rsid w:val="00C00FC7"/>
    <w:rsid w:val="00C04686"/>
    <w:rsid w:val="00C06349"/>
    <w:rsid w:val="00C0695D"/>
    <w:rsid w:val="00C0769D"/>
    <w:rsid w:val="00C101B2"/>
    <w:rsid w:val="00C16727"/>
    <w:rsid w:val="00C27CF0"/>
    <w:rsid w:val="00C316AE"/>
    <w:rsid w:val="00C32E3E"/>
    <w:rsid w:val="00C344C5"/>
    <w:rsid w:val="00C34843"/>
    <w:rsid w:val="00C37CFD"/>
    <w:rsid w:val="00C421CD"/>
    <w:rsid w:val="00C5201F"/>
    <w:rsid w:val="00C52CE8"/>
    <w:rsid w:val="00C52ECD"/>
    <w:rsid w:val="00C5660B"/>
    <w:rsid w:val="00C60ADD"/>
    <w:rsid w:val="00C62406"/>
    <w:rsid w:val="00C63529"/>
    <w:rsid w:val="00C64D21"/>
    <w:rsid w:val="00C65110"/>
    <w:rsid w:val="00C660A4"/>
    <w:rsid w:val="00C66F7A"/>
    <w:rsid w:val="00C70A90"/>
    <w:rsid w:val="00C70D4C"/>
    <w:rsid w:val="00C734DA"/>
    <w:rsid w:val="00C746FB"/>
    <w:rsid w:val="00C76CC5"/>
    <w:rsid w:val="00C77590"/>
    <w:rsid w:val="00C7795F"/>
    <w:rsid w:val="00C77A2C"/>
    <w:rsid w:val="00C813A6"/>
    <w:rsid w:val="00C85DCE"/>
    <w:rsid w:val="00C904E5"/>
    <w:rsid w:val="00C916A5"/>
    <w:rsid w:val="00C92040"/>
    <w:rsid w:val="00C951CE"/>
    <w:rsid w:val="00C95A93"/>
    <w:rsid w:val="00CA34CD"/>
    <w:rsid w:val="00CA4485"/>
    <w:rsid w:val="00CA4D5C"/>
    <w:rsid w:val="00CA6344"/>
    <w:rsid w:val="00CA69CA"/>
    <w:rsid w:val="00CB33A2"/>
    <w:rsid w:val="00CB4655"/>
    <w:rsid w:val="00CB7EEE"/>
    <w:rsid w:val="00CC3E8E"/>
    <w:rsid w:val="00CC43E6"/>
    <w:rsid w:val="00CC65AC"/>
    <w:rsid w:val="00CC7C1C"/>
    <w:rsid w:val="00CC7F19"/>
    <w:rsid w:val="00CD3FA2"/>
    <w:rsid w:val="00CE061F"/>
    <w:rsid w:val="00CE0F42"/>
    <w:rsid w:val="00CE2BF2"/>
    <w:rsid w:val="00CE32C8"/>
    <w:rsid w:val="00CE6B51"/>
    <w:rsid w:val="00CF1336"/>
    <w:rsid w:val="00CF1958"/>
    <w:rsid w:val="00CF2D0E"/>
    <w:rsid w:val="00CF30FB"/>
    <w:rsid w:val="00CF4628"/>
    <w:rsid w:val="00CF6433"/>
    <w:rsid w:val="00CF7426"/>
    <w:rsid w:val="00D0003C"/>
    <w:rsid w:val="00D0034E"/>
    <w:rsid w:val="00D01CE8"/>
    <w:rsid w:val="00D02141"/>
    <w:rsid w:val="00D12A83"/>
    <w:rsid w:val="00D13136"/>
    <w:rsid w:val="00D13502"/>
    <w:rsid w:val="00D1362F"/>
    <w:rsid w:val="00D137AB"/>
    <w:rsid w:val="00D21B25"/>
    <w:rsid w:val="00D2339D"/>
    <w:rsid w:val="00D23D6E"/>
    <w:rsid w:val="00D24D89"/>
    <w:rsid w:val="00D24D97"/>
    <w:rsid w:val="00D25230"/>
    <w:rsid w:val="00D2587F"/>
    <w:rsid w:val="00D2628C"/>
    <w:rsid w:val="00D274DA"/>
    <w:rsid w:val="00D27E04"/>
    <w:rsid w:val="00D31214"/>
    <w:rsid w:val="00D32055"/>
    <w:rsid w:val="00D32E18"/>
    <w:rsid w:val="00D35BB9"/>
    <w:rsid w:val="00D36460"/>
    <w:rsid w:val="00D37D79"/>
    <w:rsid w:val="00D40DEB"/>
    <w:rsid w:val="00D413B5"/>
    <w:rsid w:val="00D41A19"/>
    <w:rsid w:val="00D42CDF"/>
    <w:rsid w:val="00D4504A"/>
    <w:rsid w:val="00D45F84"/>
    <w:rsid w:val="00D469B3"/>
    <w:rsid w:val="00D50FCE"/>
    <w:rsid w:val="00D53875"/>
    <w:rsid w:val="00D53BE6"/>
    <w:rsid w:val="00D53D07"/>
    <w:rsid w:val="00D564EA"/>
    <w:rsid w:val="00D70F4A"/>
    <w:rsid w:val="00D7255E"/>
    <w:rsid w:val="00D72EF2"/>
    <w:rsid w:val="00D73AD6"/>
    <w:rsid w:val="00D75851"/>
    <w:rsid w:val="00D75B70"/>
    <w:rsid w:val="00D75CC0"/>
    <w:rsid w:val="00D7736B"/>
    <w:rsid w:val="00D819C1"/>
    <w:rsid w:val="00D837E6"/>
    <w:rsid w:val="00D850F0"/>
    <w:rsid w:val="00D856EF"/>
    <w:rsid w:val="00D86D31"/>
    <w:rsid w:val="00D87C1E"/>
    <w:rsid w:val="00D94B5F"/>
    <w:rsid w:val="00D97843"/>
    <w:rsid w:val="00D97A90"/>
    <w:rsid w:val="00D97CD5"/>
    <w:rsid w:val="00DA0591"/>
    <w:rsid w:val="00DA13BF"/>
    <w:rsid w:val="00DA39F0"/>
    <w:rsid w:val="00DA4461"/>
    <w:rsid w:val="00DA6AED"/>
    <w:rsid w:val="00DB0764"/>
    <w:rsid w:val="00DB09D6"/>
    <w:rsid w:val="00DB20FB"/>
    <w:rsid w:val="00DB62EF"/>
    <w:rsid w:val="00DB6B87"/>
    <w:rsid w:val="00DC6EEF"/>
    <w:rsid w:val="00DC6FAF"/>
    <w:rsid w:val="00DC79E1"/>
    <w:rsid w:val="00DD0AFD"/>
    <w:rsid w:val="00DD2CD5"/>
    <w:rsid w:val="00DD34B8"/>
    <w:rsid w:val="00DD401A"/>
    <w:rsid w:val="00DD5A2A"/>
    <w:rsid w:val="00DD65BA"/>
    <w:rsid w:val="00DD78DD"/>
    <w:rsid w:val="00DE2E31"/>
    <w:rsid w:val="00DE39F1"/>
    <w:rsid w:val="00DE42E7"/>
    <w:rsid w:val="00DE5731"/>
    <w:rsid w:val="00DF09A5"/>
    <w:rsid w:val="00DF7F0E"/>
    <w:rsid w:val="00E01F69"/>
    <w:rsid w:val="00E036B5"/>
    <w:rsid w:val="00E05C7B"/>
    <w:rsid w:val="00E07989"/>
    <w:rsid w:val="00E07A2B"/>
    <w:rsid w:val="00E11BBF"/>
    <w:rsid w:val="00E15631"/>
    <w:rsid w:val="00E16940"/>
    <w:rsid w:val="00E1729B"/>
    <w:rsid w:val="00E21FD6"/>
    <w:rsid w:val="00E2373A"/>
    <w:rsid w:val="00E25933"/>
    <w:rsid w:val="00E26B60"/>
    <w:rsid w:val="00E30DED"/>
    <w:rsid w:val="00E325CF"/>
    <w:rsid w:val="00E354A2"/>
    <w:rsid w:val="00E36D24"/>
    <w:rsid w:val="00E3735A"/>
    <w:rsid w:val="00E415CE"/>
    <w:rsid w:val="00E4306C"/>
    <w:rsid w:val="00E44080"/>
    <w:rsid w:val="00E444E9"/>
    <w:rsid w:val="00E44FAD"/>
    <w:rsid w:val="00E46D53"/>
    <w:rsid w:val="00E47BB5"/>
    <w:rsid w:val="00E5136A"/>
    <w:rsid w:val="00E52638"/>
    <w:rsid w:val="00E54470"/>
    <w:rsid w:val="00E56CD7"/>
    <w:rsid w:val="00E57F0B"/>
    <w:rsid w:val="00E61BDB"/>
    <w:rsid w:val="00E6390F"/>
    <w:rsid w:val="00E66963"/>
    <w:rsid w:val="00E702F6"/>
    <w:rsid w:val="00E73D74"/>
    <w:rsid w:val="00E76520"/>
    <w:rsid w:val="00E76E82"/>
    <w:rsid w:val="00E8054B"/>
    <w:rsid w:val="00E90371"/>
    <w:rsid w:val="00E90B42"/>
    <w:rsid w:val="00E9165A"/>
    <w:rsid w:val="00E92608"/>
    <w:rsid w:val="00E92668"/>
    <w:rsid w:val="00E9523F"/>
    <w:rsid w:val="00E954AC"/>
    <w:rsid w:val="00E959B3"/>
    <w:rsid w:val="00E9641D"/>
    <w:rsid w:val="00E9710F"/>
    <w:rsid w:val="00EA54D6"/>
    <w:rsid w:val="00EA5A64"/>
    <w:rsid w:val="00EB201B"/>
    <w:rsid w:val="00EB25CD"/>
    <w:rsid w:val="00EB40B9"/>
    <w:rsid w:val="00EB414E"/>
    <w:rsid w:val="00EB5027"/>
    <w:rsid w:val="00EC3A90"/>
    <w:rsid w:val="00EC60F6"/>
    <w:rsid w:val="00ED1BDC"/>
    <w:rsid w:val="00ED34AE"/>
    <w:rsid w:val="00ED3899"/>
    <w:rsid w:val="00ED3995"/>
    <w:rsid w:val="00EE1304"/>
    <w:rsid w:val="00EE37E8"/>
    <w:rsid w:val="00EE7183"/>
    <w:rsid w:val="00EF593B"/>
    <w:rsid w:val="00EF6279"/>
    <w:rsid w:val="00EF7281"/>
    <w:rsid w:val="00F01BB1"/>
    <w:rsid w:val="00F03152"/>
    <w:rsid w:val="00F063A6"/>
    <w:rsid w:val="00F10370"/>
    <w:rsid w:val="00F1037A"/>
    <w:rsid w:val="00F10C09"/>
    <w:rsid w:val="00F110B5"/>
    <w:rsid w:val="00F12BEE"/>
    <w:rsid w:val="00F1303E"/>
    <w:rsid w:val="00F17C3F"/>
    <w:rsid w:val="00F22235"/>
    <w:rsid w:val="00F25A62"/>
    <w:rsid w:val="00F265FF"/>
    <w:rsid w:val="00F271BF"/>
    <w:rsid w:val="00F275D3"/>
    <w:rsid w:val="00F30035"/>
    <w:rsid w:val="00F315D6"/>
    <w:rsid w:val="00F37F62"/>
    <w:rsid w:val="00F44C61"/>
    <w:rsid w:val="00F45F90"/>
    <w:rsid w:val="00F463CB"/>
    <w:rsid w:val="00F4676D"/>
    <w:rsid w:val="00F472F9"/>
    <w:rsid w:val="00F5099A"/>
    <w:rsid w:val="00F5294A"/>
    <w:rsid w:val="00F538B1"/>
    <w:rsid w:val="00F54408"/>
    <w:rsid w:val="00F5497C"/>
    <w:rsid w:val="00F6005E"/>
    <w:rsid w:val="00F60ACA"/>
    <w:rsid w:val="00F60C72"/>
    <w:rsid w:val="00F613F5"/>
    <w:rsid w:val="00F61DD1"/>
    <w:rsid w:val="00F63AB6"/>
    <w:rsid w:val="00F64DB9"/>
    <w:rsid w:val="00F654C4"/>
    <w:rsid w:val="00F67832"/>
    <w:rsid w:val="00F7087B"/>
    <w:rsid w:val="00F712E1"/>
    <w:rsid w:val="00F71A8C"/>
    <w:rsid w:val="00F74BDA"/>
    <w:rsid w:val="00F74F44"/>
    <w:rsid w:val="00F77402"/>
    <w:rsid w:val="00F801D7"/>
    <w:rsid w:val="00F81136"/>
    <w:rsid w:val="00F8141E"/>
    <w:rsid w:val="00F821D2"/>
    <w:rsid w:val="00F8276E"/>
    <w:rsid w:val="00F82770"/>
    <w:rsid w:val="00F878A3"/>
    <w:rsid w:val="00F91287"/>
    <w:rsid w:val="00F9199C"/>
    <w:rsid w:val="00F969D1"/>
    <w:rsid w:val="00FA086A"/>
    <w:rsid w:val="00FA397F"/>
    <w:rsid w:val="00FA5846"/>
    <w:rsid w:val="00FB19DC"/>
    <w:rsid w:val="00FB2408"/>
    <w:rsid w:val="00FB32E2"/>
    <w:rsid w:val="00FB5372"/>
    <w:rsid w:val="00FC0F42"/>
    <w:rsid w:val="00FC18F3"/>
    <w:rsid w:val="00FC1C50"/>
    <w:rsid w:val="00FC5B03"/>
    <w:rsid w:val="00FC6877"/>
    <w:rsid w:val="00FD0572"/>
    <w:rsid w:val="00FD37FE"/>
    <w:rsid w:val="00FD4889"/>
    <w:rsid w:val="00FD61B4"/>
    <w:rsid w:val="00FE17D2"/>
    <w:rsid w:val="00FE1BC7"/>
    <w:rsid w:val="00FE4464"/>
    <w:rsid w:val="00FE45ED"/>
    <w:rsid w:val="00FE48E9"/>
    <w:rsid w:val="00FF106C"/>
    <w:rsid w:val="00FF301D"/>
    <w:rsid w:val="00FF4EED"/>
    <w:rsid w:val="00FF7725"/>
    <w:rsid w:val="44A63C8F"/>
    <w:rsid w:val="59C3F23B"/>
    <w:rsid w:val="7B59AD1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fillcolor="#ffc000">
      <v:fill color="#ffc000"/>
    </o:shapedefaults>
    <o:shapelayout v:ext="edit">
      <o:idmap v:ext="edit" data="1"/>
    </o:shapelayout>
  </w:shapeDefaults>
  <w:decimalSymbol w:val="."/>
  <w:listSeparator w:val=","/>
  <w14:docId w14:val="33ECB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B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F7F"/>
    <w:pPr>
      <w:spacing w:after="120"/>
      <w:jc w:val="both"/>
    </w:pPr>
    <w:rPr>
      <w:rFonts w:ascii="Arial" w:hAnsi="Arial" w:cs="Arial"/>
      <w:sz w:val="22"/>
      <w:szCs w:val="22"/>
      <w:lang w:eastAsia="pt-BR"/>
    </w:rPr>
  </w:style>
  <w:style w:type="paragraph" w:styleId="Heading1">
    <w:name w:val="heading 1"/>
    <w:basedOn w:val="ListParagraph"/>
    <w:next w:val="Normal"/>
    <w:autoRedefine/>
    <w:qFormat/>
    <w:rsid w:val="00C0769D"/>
    <w:pPr>
      <w:numPr>
        <w:ilvl w:val="0"/>
        <w:numId w:val="21"/>
      </w:numPr>
      <w:spacing w:before="240" w:after="240"/>
      <w:jc w:val="left"/>
      <w:outlineLvl w:val="0"/>
    </w:pPr>
    <w:rPr>
      <w:b/>
      <w:caps/>
    </w:rPr>
  </w:style>
  <w:style w:type="paragraph" w:styleId="Heading2">
    <w:name w:val="heading 2"/>
    <w:basedOn w:val="Normal"/>
    <w:next w:val="Normal"/>
    <w:link w:val="Heading2Char"/>
    <w:autoRedefine/>
    <w:qFormat/>
    <w:rsid w:val="00C0769D"/>
    <w:pPr>
      <w:numPr>
        <w:ilvl w:val="1"/>
        <w:numId w:val="21"/>
      </w:numPr>
      <w:spacing w:before="240" w:after="240"/>
      <w:outlineLvl w:val="1"/>
    </w:pPr>
    <w:rPr>
      <w:b/>
    </w:rPr>
  </w:style>
  <w:style w:type="paragraph" w:styleId="Heading3">
    <w:name w:val="heading 3"/>
    <w:basedOn w:val="ListParagraph"/>
    <w:next w:val="Normal"/>
    <w:qFormat/>
    <w:rsid w:val="00C0769D"/>
    <w:pPr>
      <w:numPr>
        <w:ilvl w:val="2"/>
        <w:numId w:val="21"/>
      </w:numPr>
      <w:spacing w:before="240" w:after="240"/>
      <w:outlineLvl w:val="2"/>
    </w:pPr>
    <w:rPr>
      <w:b/>
      <w:bCs/>
      <w:i/>
      <w:iCs/>
      <w:u w:val="single"/>
    </w:rPr>
  </w:style>
  <w:style w:type="paragraph" w:styleId="Heading4">
    <w:name w:val="heading 4"/>
    <w:basedOn w:val="Normal"/>
    <w:next w:val="Normal"/>
    <w:uiPriority w:val="9"/>
    <w:qFormat/>
    <w:rsid w:val="00C0769D"/>
    <w:pPr>
      <w:keepNext/>
      <w:numPr>
        <w:ilvl w:val="3"/>
        <w:numId w:val="21"/>
      </w:numPr>
      <w:spacing w:before="240" w:after="60"/>
      <w:outlineLvl w:val="3"/>
    </w:pPr>
    <w:rPr>
      <w:b/>
      <w:i/>
    </w:rPr>
  </w:style>
  <w:style w:type="paragraph" w:styleId="Heading5">
    <w:name w:val="heading 5"/>
    <w:basedOn w:val="Normal"/>
    <w:next w:val="Normal"/>
    <w:uiPriority w:val="9"/>
    <w:qFormat/>
    <w:rsid w:val="00C0769D"/>
    <w:pPr>
      <w:numPr>
        <w:ilvl w:val="4"/>
        <w:numId w:val="21"/>
      </w:numPr>
      <w:spacing w:before="240" w:after="60"/>
      <w:outlineLvl w:val="4"/>
    </w:pPr>
  </w:style>
  <w:style w:type="paragraph" w:styleId="Heading6">
    <w:name w:val="heading 6"/>
    <w:basedOn w:val="Normal"/>
    <w:next w:val="Normal"/>
    <w:uiPriority w:val="9"/>
    <w:qFormat/>
    <w:rsid w:val="00C0769D"/>
    <w:pPr>
      <w:numPr>
        <w:ilvl w:val="5"/>
        <w:numId w:val="21"/>
      </w:numPr>
      <w:spacing w:before="240" w:after="60"/>
      <w:outlineLvl w:val="5"/>
    </w:pPr>
    <w:rPr>
      <w:i/>
    </w:rPr>
  </w:style>
  <w:style w:type="paragraph" w:styleId="Heading7">
    <w:name w:val="heading 7"/>
    <w:basedOn w:val="Normal"/>
    <w:next w:val="Normal"/>
    <w:rsid w:val="00C0769D"/>
    <w:pPr>
      <w:numPr>
        <w:ilvl w:val="6"/>
        <w:numId w:val="21"/>
      </w:numPr>
      <w:spacing w:before="240" w:after="60"/>
      <w:outlineLvl w:val="6"/>
    </w:pPr>
  </w:style>
  <w:style w:type="paragraph" w:styleId="Heading8">
    <w:name w:val="heading 8"/>
    <w:basedOn w:val="Normal"/>
    <w:next w:val="Normal"/>
    <w:rsid w:val="00C0769D"/>
    <w:pPr>
      <w:numPr>
        <w:ilvl w:val="7"/>
        <w:numId w:val="21"/>
      </w:numPr>
      <w:spacing w:before="240" w:after="60"/>
      <w:outlineLvl w:val="7"/>
    </w:pPr>
    <w:rPr>
      <w:i/>
    </w:rPr>
  </w:style>
  <w:style w:type="paragraph" w:styleId="Heading9">
    <w:name w:val="heading 9"/>
    <w:basedOn w:val="Normal"/>
    <w:next w:val="Normal"/>
    <w:rsid w:val="00C0769D"/>
    <w:pPr>
      <w:numPr>
        <w:ilvl w:val="8"/>
        <w:numId w:val="21"/>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419"/>
        <w:tab w:val="right" w:pos="8838"/>
      </w:tabs>
    </w:pPr>
  </w:style>
  <w:style w:type="paragraph" w:styleId="Title">
    <w:name w:val="Title"/>
    <w:basedOn w:val="Normal"/>
    <w:qFormat/>
    <w:rsid w:val="009C7009"/>
    <w:pPr>
      <w:jc w:val="center"/>
      <w:outlineLvl w:val="0"/>
    </w:pPr>
    <w:rPr>
      <w:b/>
      <w:bCs/>
      <w:smallCaps/>
    </w:rPr>
  </w:style>
  <w:style w:type="paragraph" w:styleId="BodyTextIndent2">
    <w:name w:val="Body Text Indent 2"/>
    <w:basedOn w:val="Normal"/>
    <w:pPr>
      <w:ind w:left="709" w:hanging="709"/>
    </w:pPr>
    <w:rPr>
      <w:sz w:val="24"/>
    </w:rPr>
  </w:style>
  <w:style w:type="paragraph" w:styleId="BodyTextIndent3">
    <w:name w:val="Body Text Indent 3"/>
    <w:basedOn w:val="Normal"/>
    <w:pPr>
      <w:ind w:left="709" w:hanging="709"/>
    </w:pPr>
    <w:rPr>
      <w:sz w:val="24"/>
    </w:rPr>
  </w:style>
  <w:style w:type="paragraph" w:styleId="BodyTextIndent">
    <w:name w:val="Body Text Indent"/>
    <w:basedOn w:val="Normal"/>
    <w:pPr>
      <w:ind w:left="709" w:hanging="1"/>
    </w:pPr>
    <w:rPr>
      <w:sz w:val="24"/>
    </w:rPr>
  </w:style>
  <w:style w:type="paragraph" w:styleId="BodyText">
    <w:name w:val="Body Text"/>
    <w:autoRedefine/>
    <w:qFormat/>
    <w:rsid w:val="00AB6740"/>
    <w:rPr>
      <w:rFonts w:ascii="Arial" w:hAnsi="Arial" w:cs="Arial"/>
      <w:sz w:val="22"/>
      <w:szCs w:val="22"/>
      <w:lang w:eastAsia="pt-BR"/>
    </w:rPr>
  </w:style>
  <w:style w:type="paragraph" w:styleId="BodyText2">
    <w:name w:val="Body Text 2"/>
    <w:basedOn w:val="Normal"/>
    <w:rPr>
      <w:sz w:val="24"/>
    </w:rPr>
  </w:style>
  <w:style w:type="character" w:styleId="PageNumber">
    <w:name w:val="page number"/>
    <w:basedOn w:val="DefaultParagraphFont"/>
  </w:style>
  <w:style w:type="paragraph" w:customStyle="1" w:styleId="NormalMC">
    <w:name w:val="Normal MC"/>
    <w:basedOn w:val="Normal"/>
    <w:pPr>
      <w:spacing w:before="120"/>
      <w:ind w:firstLine="709"/>
    </w:pPr>
    <w:rPr>
      <w:sz w:val="24"/>
    </w:rPr>
  </w:style>
  <w:style w:type="character" w:styleId="CommentReference">
    <w:name w:val="annotation reference"/>
    <w:semiHidden/>
    <w:rPr>
      <w:sz w:val="16"/>
      <w:szCs w:val="16"/>
    </w:rPr>
  </w:style>
  <w:style w:type="paragraph" w:styleId="BodyText3">
    <w:name w:val="Body Text 3"/>
    <w:basedOn w:val="Normal"/>
    <w:rPr>
      <w:sz w:val="16"/>
      <w:szCs w:val="16"/>
    </w:rPr>
  </w:style>
  <w:style w:type="character" w:styleId="Strong">
    <w:name w:val="Strong"/>
    <w:uiPriority w:val="22"/>
    <w:rPr>
      <w:b/>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styleId="Header">
    <w:name w:val="header"/>
    <w:basedOn w:val="Normal"/>
    <w:unhideWhenUsed/>
    <w:pPr>
      <w:tabs>
        <w:tab w:val="center" w:pos="4252"/>
        <w:tab w:val="right" w:pos="8504"/>
      </w:tabs>
    </w:pPr>
  </w:style>
  <w:style w:type="character" w:customStyle="1" w:styleId="CabealhoChar">
    <w:name w:val="Cabeçalho Char"/>
    <w:basedOn w:val="DefaultParagraphFont"/>
    <w:semiHidden/>
  </w:style>
  <w:style w:type="paragraph" w:styleId="ListParagraph">
    <w:name w:val="List Paragraph"/>
    <w:basedOn w:val="Normal"/>
    <w:link w:val="ListParagraphChar"/>
    <w:uiPriority w:val="34"/>
    <w:qFormat/>
    <w:rsid w:val="00C0769D"/>
    <w:pPr>
      <w:numPr>
        <w:ilvl w:val="1"/>
        <w:numId w:val="23"/>
      </w:numPr>
    </w:pPr>
    <w:rPr>
      <w:rFonts w:eastAsia="Arial"/>
    </w:rPr>
  </w:style>
  <w:style w:type="paragraph" w:customStyle="1" w:styleId="Chapter">
    <w:name w:val="Chapter"/>
    <w:basedOn w:val="Normal"/>
    <w:next w:val="Normal"/>
    <w:pPr>
      <w:tabs>
        <w:tab w:val="left" w:pos="1440"/>
        <w:tab w:val="num" w:pos="1584"/>
      </w:tabs>
      <w:spacing w:before="240" w:after="240"/>
      <w:ind w:left="1584" w:hanging="288"/>
      <w:jc w:val="center"/>
    </w:pPr>
    <w:rPr>
      <w:b/>
      <w:smallCaps/>
      <w:sz w:val="24"/>
      <w:lang w:val="es-ES_tradnl" w:eastAsia="en-US"/>
    </w:rPr>
  </w:style>
  <w:style w:type="paragraph" w:customStyle="1" w:styleId="Paragraph">
    <w:name w:val="Paragraph"/>
    <w:aliases w:val="paragraph,p,PARAGRAPH,PG,pa,at,paragraph+1"/>
    <w:basedOn w:val="ListParagraph"/>
    <w:link w:val="ParagraphChar"/>
    <w:autoRedefine/>
    <w:rsid w:val="00C0769D"/>
    <w:pPr>
      <w:ind w:hanging="709"/>
    </w:pPr>
  </w:style>
  <w:style w:type="paragraph" w:customStyle="1" w:styleId="SubSubPar">
    <w:name w:val="SubSubPar"/>
    <w:basedOn w:val="Normal"/>
    <w:pPr>
      <w:numPr>
        <w:numId w:val="3"/>
      </w:numPr>
      <w:tabs>
        <w:tab w:val="left" w:pos="0"/>
      </w:tabs>
      <w:spacing w:before="120"/>
      <w:outlineLvl w:val="2"/>
    </w:pPr>
    <w:rPr>
      <w:rFonts w:ascii="Verdana" w:hAnsi="Verdana"/>
      <w:lang w:eastAsia="en-US"/>
    </w:rPr>
  </w:style>
  <w:style w:type="paragraph" w:customStyle="1" w:styleId="FirstHeading">
    <w:name w:val="FirstHeading"/>
    <w:basedOn w:val="Normal"/>
    <w:autoRedefine/>
    <w:pPr>
      <w:keepNext/>
      <w:keepLines/>
      <w:numPr>
        <w:numId w:val="4"/>
      </w:numPr>
      <w:tabs>
        <w:tab w:val="left" w:pos="0"/>
        <w:tab w:val="left" w:pos="90"/>
      </w:tabs>
      <w:spacing w:before="120"/>
    </w:pPr>
    <w:rPr>
      <w:b/>
      <w:sz w:val="24"/>
      <w:szCs w:val="24"/>
      <w:lang w:eastAsia="en-US"/>
    </w:rPr>
  </w:style>
  <w:style w:type="paragraph" w:customStyle="1" w:styleId="SecHeading">
    <w:name w:val="SecHeading"/>
    <w:basedOn w:val="Normal"/>
    <w:next w:val="Paragraph"/>
    <w:pPr>
      <w:keepNext/>
      <w:numPr>
        <w:ilvl w:val="1"/>
        <w:numId w:val="2"/>
      </w:numPr>
      <w:spacing w:before="120"/>
    </w:pPr>
    <w:rPr>
      <w:b/>
      <w:sz w:val="24"/>
      <w:lang w:val="es-ES_tradnl" w:eastAsia="en-US"/>
    </w:rPr>
  </w:style>
  <w:style w:type="paragraph" w:customStyle="1" w:styleId="SubHeading1">
    <w:name w:val="SubHeading1"/>
    <w:basedOn w:val="SecHeading"/>
    <w:pPr>
      <w:numPr>
        <w:ilvl w:val="2"/>
      </w:numPr>
    </w:pPr>
  </w:style>
  <w:style w:type="paragraph" w:customStyle="1" w:styleId="Subheading2">
    <w:name w:val="Subheading2"/>
    <w:basedOn w:val="SecHeading"/>
    <w:pPr>
      <w:numPr>
        <w:ilvl w:val="3"/>
      </w:numPr>
    </w:pPr>
  </w:style>
  <w:style w:type="paragraph" w:customStyle="1" w:styleId="subpar">
    <w:name w:val="subpar"/>
    <w:basedOn w:val="BodyTextIndent3"/>
    <w:pPr>
      <w:spacing w:before="120"/>
      <w:ind w:left="0" w:firstLine="0"/>
      <w:outlineLvl w:val="2"/>
    </w:pPr>
    <w:rPr>
      <w:lang w:val="es-ES_tradnl" w:eastAsia="en-US"/>
    </w:rPr>
  </w:style>
  <w:style w:type="paragraph" w:styleId="List">
    <w:name w:val="List"/>
    <w:basedOn w:val="Normal"/>
    <w:pPr>
      <w:ind w:left="360" w:hanging="360"/>
    </w:pPr>
    <w:rPr>
      <w:sz w:val="24"/>
      <w:szCs w:val="24"/>
      <w:lang w:eastAsia="es-ES"/>
    </w:rPr>
  </w:style>
  <w:style w:type="paragraph" w:styleId="BlockText">
    <w:name w:val="Block Text"/>
    <w:basedOn w:val="Normal"/>
    <w:pPr>
      <w:tabs>
        <w:tab w:val="left" w:pos="450"/>
        <w:tab w:val="left" w:pos="1440"/>
        <w:tab w:val="left" w:pos="1800"/>
      </w:tabs>
      <w:ind w:left="1440" w:right="280"/>
    </w:pPr>
    <w:rPr>
      <w:sz w:val="24"/>
      <w:szCs w:val="24"/>
      <w:lang w:val="es-ES"/>
    </w:rPr>
  </w:style>
  <w:style w:type="paragraph" w:customStyle="1" w:styleId="Default">
    <w:name w:val="Default"/>
    <w:pPr>
      <w:autoSpaceDE w:val="0"/>
      <w:autoSpaceDN w:val="0"/>
      <w:adjustRightInd w:val="0"/>
    </w:pPr>
    <w:rPr>
      <w:rFonts w:ascii="Georgia" w:hAnsi="Georgia" w:cs="Georgia"/>
      <w:color w:val="000000"/>
      <w:sz w:val="24"/>
      <w:szCs w:val="24"/>
      <w:lang w:eastAsia="pt-BR"/>
    </w:rPr>
  </w:style>
  <w:style w:type="character" w:styleId="Hyperlink">
    <w:name w:val="Hyperlink"/>
    <w:uiPriority w:val="99"/>
    <w:rPr>
      <w:color w:val="0000FF"/>
      <w:u w:val="single"/>
    </w:rPr>
  </w:style>
  <w:style w:type="character" w:styleId="FootnoteReference">
    <w:name w:val="footnote reference"/>
    <w:aliases w:val="titulo 2,Style 24,pie pddes,referencia nota al pie,Texto de nota al pie,Ref,de nota al pie,Nota de pie,Texto nota al pie,de nota al pi,Ref. de nota al pie2,Massilia Footnote Reference,Massilia Footnote Referen,Footnote symbol"/>
    <w:uiPriority w:val="99"/>
    <w:rPr>
      <w:vertAlign w:val="superscript"/>
    </w:rPr>
  </w:style>
  <w:style w:type="paragraph" w:styleId="FootnoteText">
    <w:name w:val="footnote text"/>
    <w:aliases w:val="fn,Texto de rodapé,nota_rodapé,nota de rodapé,ADB,foottextfra,footnote,F,Texto nota pie IIRSA,FOOTNOTES,single space,footnote text,Style 25,Texto nota piepddes Car Car,Texto nota piepddes Car,ft,ft Car Car,Texto nota pie2,ft1,f"/>
    <w:basedOn w:val="BodyText"/>
    <w:link w:val="FootnoteTextChar"/>
    <w:autoRedefine/>
    <w:rsid w:val="00E73D74"/>
    <w:rPr>
      <w:b/>
      <w:noProof/>
      <w:sz w:val="16"/>
      <w:lang w:val="es-ES_tradnl" w:eastAsia="en-US"/>
    </w:rPr>
  </w:style>
  <w:style w:type="character" w:customStyle="1" w:styleId="TextodenotaderodapChar">
    <w:name w:val="Texto de nota de rodapé Char"/>
    <w:rPr>
      <w:noProof/>
      <w:lang w:val="es-ES_tradnl" w:eastAsia="en-US"/>
    </w:rPr>
  </w:style>
  <w:style w:type="table" w:styleId="TableGrid">
    <w:name w:val="Table Grid"/>
    <w:basedOn w:val="TableNormal"/>
    <w:uiPriority w:val="99"/>
    <w:rsid w:val="00175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fn Char,Texto de rodapé Char,nota_rodapé Char,nota de rodapé Char,ADB Char,foottextfra Char,footnote Char,F Char,Texto nota pie IIRSA Char,FOOTNOTES Char,single space Char,footnote text Char,Style 25 Char,Texto nota piepddes Car Char"/>
    <w:link w:val="FootnoteText"/>
    <w:rsid w:val="00E73D74"/>
    <w:rPr>
      <w:rFonts w:ascii="Arial" w:hAnsi="Arial" w:cs="Arial"/>
      <w:noProof/>
      <w:sz w:val="16"/>
      <w:szCs w:val="22"/>
      <w:lang w:val="es-ES_tradnl"/>
    </w:rPr>
  </w:style>
  <w:style w:type="character" w:customStyle="1" w:styleId="ParagraphChar">
    <w:name w:val="Paragraph Char"/>
    <w:aliases w:val="paragraph Char,p Char,PARAGRAPH Char,PG Char,pa Char,at Char"/>
    <w:link w:val="Paragraph"/>
    <w:rsid w:val="00BF73B4"/>
    <w:rPr>
      <w:rFonts w:ascii="Arial" w:eastAsia="Arial" w:hAnsi="Arial" w:cs="Arial"/>
      <w:sz w:val="22"/>
      <w:szCs w:val="22"/>
      <w:lang w:eastAsia="pt-BR"/>
    </w:rPr>
  </w:style>
  <w:style w:type="paragraph" w:styleId="NormalWeb">
    <w:name w:val="Normal (Web)"/>
    <w:basedOn w:val="Normal"/>
    <w:uiPriority w:val="99"/>
    <w:semiHidden/>
    <w:unhideWhenUsed/>
    <w:rsid w:val="000B727E"/>
    <w:pPr>
      <w:spacing w:before="100" w:beforeAutospacing="1" w:after="100" w:afterAutospacing="1"/>
    </w:pPr>
    <w:rPr>
      <w:rFonts w:eastAsiaTheme="minorEastAsia"/>
      <w:sz w:val="24"/>
      <w:szCs w:val="24"/>
    </w:rPr>
  </w:style>
  <w:style w:type="character" w:customStyle="1" w:styleId="ParagraphCar">
    <w:name w:val="Paragraph Car"/>
    <w:rsid w:val="00E3735A"/>
    <w:rPr>
      <w:sz w:val="24"/>
      <w:lang w:val="es-ES_tradnl"/>
    </w:rPr>
  </w:style>
  <w:style w:type="character" w:customStyle="1" w:styleId="ListParagraphChar">
    <w:name w:val="List Paragraph Char"/>
    <w:link w:val="ListParagraph"/>
    <w:uiPriority w:val="34"/>
    <w:locked/>
    <w:rsid w:val="00B51E3E"/>
    <w:rPr>
      <w:rFonts w:ascii="Arial" w:eastAsia="Arial" w:hAnsi="Arial" w:cs="Arial"/>
      <w:sz w:val="22"/>
      <w:szCs w:val="22"/>
      <w:lang w:eastAsia="pt-BR"/>
    </w:rPr>
  </w:style>
  <w:style w:type="character" w:customStyle="1" w:styleId="FooterChar">
    <w:name w:val="Footer Char"/>
    <w:basedOn w:val="DefaultParagraphFont"/>
    <w:link w:val="Footer"/>
    <w:uiPriority w:val="99"/>
    <w:rsid w:val="000F4A53"/>
    <w:rPr>
      <w:rFonts w:ascii="Arial" w:hAnsi="Arial" w:cs="Arial"/>
      <w:sz w:val="22"/>
      <w:szCs w:val="22"/>
      <w:lang w:eastAsia="pt-BR"/>
    </w:rPr>
  </w:style>
  <w:style w:type="paragraph" w:styleId="TOCHeading">
    <w:name w:val="TOC Heading"/>
    <w:basedOn w:val="Heading1"/>
    <w:next w:val="Normal"/>
    <w:uiPriority w:val="39"/>
    <w:unhideWhenUsed/>
    <w:qFormat/>
    <w:rsid w:val="005818A6"/>
    <w:pPr>
      <w:keepNext/>
      <w:keepLines/>
      <w:numPr>
        <w:numId w:val="0"/>
      </w:numPr>
      <w:spacing w:after="0" w:line="259" w:lineRule="auto"/>
      <w:outlineLvl w:val="9"/>
    </w:pPr>
    <w:rPr>
      <w:rFonts w:asciiTheme="majorHAnsi" w:eastAsiaTheme="majorEastAsia" w:hAnsiTheme="majorHAnsi" w:cstheme="majorBidi"/>
      <w:b w:val="0"/>
      <w:caps w:val="0"/>
      <w:color w:val="365F91" w:themeColor="accent1" w:themeShade="BF"/>
      <w:sz w:val="32"/>
      <w:szCs w:val="32"/>
      <w:lang w:val="en-US" w:eastAsia="en-US"/>
    </w:rPr>
  </w:style>
  <w:style w:type="paragraph" w:styleId="TOC1">
    <w:name w:val="toc 1"/>
    <w:next w:val="Normal"/>
    <w:autoRedefine/>
    <w:uiPriority w:val="39"/>
    <w:unhideWhenUsed/>
    <w:rsid w:val="00AB6740"/>
    <w:pPr>
      <w:tabs>
        <w:tab w:val="right" w:leader="dot" w:pos="9061"/>
      </w:tabs>
      <w:spacing w:after="100"/>
    </w:pPr>
    <w:rPr>
      <w:rFonts w:ascii="Arial" w:hAnsi="Arial" w:cs="Arial"/>
      <w:szCs w:val="22"/>
      <w:lang w:eastAsia="pt-BR"/>
    </w:rPr>
  </w:style>
  <w:style w:type="paragraph" w:styleId="TOC2">
    <w:name w:val="toc 2"/>
    <w:next w:val="Paragraph"/>
    <w:autoRedefine/>
    <w:uiPriority w:val="39"/>
    <w:unhideWhenUsed/>
    <w:rsid w:val="00AB6740"/>
    <w:pPr>
      <w:tabs>
        <w:tab w:val="left" w:pos="660"/>
        <w:tab w:val="right" w:leader="dot" w:pos="9061"/>
      </w:tabs>
      <w:ind w:left="227"/>
    </w:pPr>
    <w:rPr>
      <w:rFonts w:ascii="Arial" w:hAnsi="Arial" w:cs="Arial"/>
      <w:szCs w:val="22"/>
      <w:lang w:eastAsia="pt-BR"/>
    </w:rPr>
  </w:style>
  <w:style w:type="paragraph" w:styleId="TOC3">
    <w:name w:val="toc 3"/>
    <w:next w:val="Normal"/>
    <w:autoRedefine/>
    <w:uiPriority w:val="39"/>
    <w:unhideWhenUsed/>
    <w:rsid w:val="00AB6740"/>
    <w:pPr>
      <w:spacing w:after="100"/>
      <w:ind w:left="567"/>
    </w:pPr>
    <w:rPr>
      <w:rFonts w:ascii="Arial" w:hAnsi="Arial" w:cs="Arial"/>
      <w:szCs w:val="22"/>
      <w:lang w:eastAsia="pt-BR"/>
    </w:rPr>
  </w:style>
  <w:style w:type="paragraph" w:styleId="Caption">
    <w:name w:val="caption"/>
    <w:basedOn w:val="Normal"/>
    <w:next w:val="Normal"/>
    <w:autoRedefine/>
    <w:uiPriority w:val="35"/>
    <w:unhideWhenUsed/>
    <w:qFormat/>
    <w:rsid w:val="008878A1"/>
    <w:pPr>
      <w:keepNext/>
      <w:spacing w:after="200"/>
      <w:ind w:left="720"/>
      <w:jc w:val="center"/>
    </w:pPr>
    <w:rPr>
      <w:b/>
      <w:bCs/>
      <w:sz w:val="18"/>
      <w:szCs w:val="18"/>
    </w:rPr>
  </w:style>
  <w:style w:type="character" w:customStyle="1" w:styleId="Estilo1Char">
    <w:name w:val="Estilo1 Char"/>
    <w:link w:val="Estilo1"/>
    <w:locked/>
    <w:rsid w:val="00AD3208"/>
    <w:rPr>
      <w:rFonts w:ascii="Arial" w:hAnsi="Arial" w:cs="Arial"/>
      <w:b/>
      <w:sz w:val="24"/>
      <w:szCs w:val="24"/>
      <w:lang w:val="x-none"/>
    </w:rPr>
  </w:style>
  <w:style w:type="paragraph" w:customStyle="1" w:styleId="Estilo1">
    <w:name w:val="Estilo1"/>
    <w:basedOn w:val="ListParagraph"/>
    <w:link w:val="Estilo1Char"/>
    <w:rsid w:val="00AD3208"/>
    <w:pPr>
      <w:numPr>
        <w:numId w:val="5"/>
      </w:numPr>
      <w:spacing w:after="200" w:line="360" w:lineRule="auto"/>
      <w:contextualSpacing/>
      <w:jc w:val="left"/>
    </w:pPr>
    <w:rPr>
      <w:b/>
      <w:sz w:val="24"/>
      <w:szCs w:val="24"/>
      <w:lang w:val="x-none" w:eastAsia="en-US"/>
    </w:rPr>
  </w:style>
  <w:style w:type="character" w:customStyle="1" w:styleId="Fontepargpadro1">
    <w:name w:val="Fonte parág. padrão1"/>
    <w:rsid w:val="00AD3208"/>
  </w:style>
  <w:style w:type="character" w:customStyle="1" w:styleId="Heading2Char">
    <w:name w:val="Heading 2 Char"/>
    <w:basedOn w:val="DefaultParagraphFont"/>
    <w:link w:val="Heading2"/>
    <w:rsid w:val="00CF1958"/>
    <w:rPr>
      <w:rFonts w:ascii="Arial" w:hAnsi="Arial" w:cs="Arial"/>
      <w:b/>
      <w:sz w:val="22"/>
      <w:szCs w:val="22"/>
      <w:lang w:eastAsia="pt-BR"/>
    </w:rPr>
  </w:style>
  <w:style w:type="paragraph" w:styleId="Revision">
    <w:name w:val="Revision"/>
    <w:hidden/>
    <w:uiPriority w:val="71"/>
    <w:rsid w:val="00FB2408"/>
    <w:rPr>
      <w:rFonts w:ascii="Arial" w:hAnsi="Arial" w:cs="Arial"/>
      <w:sz w:val="22"/>
      <w:szCs w:val="22"/>
      <w:lang w:eastAsia="pt-BR"/>
    </w:rPr>
  </w:style>
  <w:style w:type="paragraph" w:styleId="NoSpacing">
    <w:name w:val="No Spacing"/>
    <w:uiPriority w:val="1"/>
    <w:qFormat/>
    <w:rsid w:val="00F472F9"/>
    <w:rPr>
      <w:rFonts w:asciiTheme="minorHAnsi" w:eastAsiaTheme="minorHAnsi" w:hAnsiTheme="minorHAnsi" w:cstheme="minorBidi"/>
      <w:sz w:val="22"/>
      <w:szCs w:val="22"/>
      <w:lang w:val="es-U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278331">
      <w:bodyDiv w:val="1"/>
      <w:marLeft w:val="0"/>
      <w:marRight w:val="0"/>
      <w:marTop w:val="0"/>
      <w:marBottom w:val="0"/>
      <w:divBdr>
        <w:top w:val="none" w:sz="0" w:space="0" w:color="auto"/>
        <w:left w:val="none" w:sz="0" w:space="0" w:color="auto"/>
        <w:bottom w:val="none" w:sz="0" w:space="0" w:color="auto"/>
        <w:right w:val="none" w:sz="0" w:space="0" w:color="auto"/>
      </w:divBdr>
    </w:div>
    <w:div w:id="150869618">
      <w:bodyDiv w:val="1"/>
      <w:marLeft w:val="0"/>
      <w:marRight w:val="0"/>
      <w:marTop w:val="0"/>
      <w:marBottom w:val="0"/>
      <w:divBdr>
        <w:top w:val="none" w:sz="0" w:space="0" w:color="auto"/>
        <w:left w:val="none" w:sz="0" w:space="0" w:color="auto"/>
        <w:bottom w:val="none" w:sz="0" w:space="0" w:color="auto"/>
        <w:right w:val="none" w:sz="0" w:space="0" w:color="auto"/>
      </w:divBdr>
    </w:div>
    <w:div w:id="192156648">
      <w:bodyDiv w:val="1"/>
      <w:marLeft w:val="0"/>
      <w:marRight w:val="0"/>
      <w:marTop w:val="0"/>
      <w:marBottom w:val="0"/>
      <w:divBdr>
        <w:top w:val="none" w:sz="0" w:space="0" w:color="auto"/>
        <w:left w:val="none" w:sz="0" w:space="0" w:color="auto"/>
        <w:bottom w:val="none" w:sz="0" w:space="0" w:color="auto"/>
        <w:right w:val="none" w:sz="0" w:space="0" w:color="auto"/>
      </w:divBdr>
    </w:div>
    <w:div w:id="378745417">
      <w:bodyDiv w:val="1"/>
      <w:marLeft w:val="0"/>
      <w:marRight w:val="0"/>
      <w:marTop w:val="0"/>
      <w:marBottom w:val="0"/>
      <w:divBdr>
        <w:top w:val="none" w:sz="0" w:space="0" w:color="auto"/>
        <w:left w:val="none" w:sz="0" w:space="0" w:color="auto"/>
        <w:bottom w:val="none" w:sz="0" w:space="0" w:color="auto"/>
        <w:right w:val="none" w:sz="0" w:space="0" w:color="auto"/>
      </w:divBdr>
    </w:div>
    <w:div w:id="455830207">
      <w:bodyDiv w:val="1"/>
      <w:marLeft w:val="0"/>
      <w:marRight w:val="0"/>
      <w:marTop w:val="0"/>
      <w:marBottom w:val="0"/>
      <w:divBdr>
        <w:top w:val="none" w:sz="0" w:space="0" w:color="auto"/>
        <w:left w:val="none" w:sz="0" w:space="0" w:color="auto"/>
        <w:bottom w:val="none" w:sz="0" w:space="0" w:color="auto"/>
        <w:right w:val="none" w:sz="0" w:space="0" w:color="auto"/>
      </w:divBdr>
    </w:div>
    <w:div w:id="514610140">
      <w:bodyDiv w:val="1"/>
      <w:marLeft w:val="0"/>
      <w:marRight w:val="0"/>
      <w:marTop w:val="0"/>
      <w:marBottom w:val="0"/>
      <w:divBdr>
        <w:top w:val="none" w:sz="0" w:space="0" w:color="auto"/>
        <w:left w:val="none" w:sz="0" w:space="0" w:color="auto"/>
        <w:bottom w:val="none" w:sz="0" w:space="0" w:color="auto"/>
        <w:right w:val="none" w:sz="0" w:space="0" w:color="auto"/>
      </w:divBdr>
    </w:div>
    <w:div w:id="522863575">
      <w:bodyDiv w:val="1"/>
      <w:marLeft w:val="0"/>
      <w:marRight w:val="0"/>
      <w:marTop w:val="0"/>
      <w:marBottom w:val="0"/>
      <w:divBdr>
        <w:top w:val="none" w:sz="0" w:space="0" w:color="auto"/>
        <w:left w:val="none" w:sz="0" w:space="0" w:color="auto"/>
        <w:bottom w:val="none" w:sz="0" w:space="0" w:color="auto"/>
        <w:right w:val="none" w:sz="0" w:space="0" w:color="auto"/>
      </w:divBdr>
    </w:div>
    <w:div w:id="719134484">
      <w:bodyDiv w:val="1"/>
      <w:marLeft w:val="0"/>
      <w:marRight w:val="0"/>
      <w:marTop w:val="0"/>
      <w:marBottom w:val="0"/>
      <w:divBdr>
        <w:top w:val="none" w:sz="0" w:space="0" w:color="auto"/>
        <w:left w:val="none" w:sz="0" w:space="0" w:color="auto"/>
        <w:bottom w:val="none" w:sz="0" w:space="0" w:color="auto"/>
        <w:right w:val="none" w:sz="0" w:space="0" w:color="auto"/>
      </w:divBdr>
    </w:div>
    <w:div w:id="741953146">
      <w:bodyDiv w:val="1"/>
      <w:marLeft w:val="0"/>
      <w:marRight w:val="0"/>
      <w:marTop w:val="0"/>
      <w:marBottom w:val="0"/>
      <w:divBdr>
        <w:top w:val="none" w:sz="0" w:space="0" w:color="auto"/>
        <w:left w:val="none" w:sz="0" w:space="0" w:color="auto"/>
        <w:bottom w:val="none" w:sz="0" w:space="0" w:color="auto"/>
        <w:right w:val="none" w:sz="0" w:space="0" w:color="auto"/>
      </w:divBdr>
    </w:div>
    <w:div w:id="785779586">
      <w:bodyDiv w:val="1"/>
      <w:marLeft w:val="0"/>
      <w:marRight w:val="0"/>
      <w:marTop w:val="0"/>
      <w:marBottom w:val="0"/>
      <w:divBdr>
        <w:top w:val="none" w:sz="0" w:space="0" w:color="auto"/>
        <w:left w:val="none" w:sz="0" w:space="0" w:color="auto"/>
        <w:bottom w:val="none" w:sz="0" w:space="0" w:color="auto"/>
        <w:right w:val="none" w:sz="0" w:space="0" w:color="auto"/>
      </w:divBdr>
    </w:div>
    <w:div w:id="874928525">
      <w:bodyDiv w:val="1"/>
      <w:marLeft w:val="0"/>
      <w:marRight w:val="0"/>
      <w:marTop w:val="0"/>
      <w:marBottom w:val="0"/>
      <w:divBdr>
        <w:top w:val="none" w:sz="0" w:space="0" w:color="auto"/>
        <w:left w:val="none" w:sz="0" w:space="0" w:color="auto"/>
        <w:bottom w:val="none" w:sz="0" w:space="0" w:color="auto"/>
        <w:right w:val="none" w:sz="0" w:space="0" w:color="auto"/>
      </w:divBdr>
    </w:div>
    <w:div w:id="1082263172">
      <w:bodyDiv w:val="1"/>
      <w:marLeft w:val="0"/>
      <w:marRight w:val="0"/>
      <w:marTop w:val="0"/>
      <w:marBottom w:val="0"/>
      <w:divBdr>
        <w:top w:val="none" w:sz="0" w:space="0" w:color="auto"/>
        <w:left w:val="none" w:sz="0" w:space="0" w:color="auto"/>
        <w:bottom w:val="none" w:sz="0" w:space="0" w:color="auto"/>
        <w:right w:val="none" w:sz="0" w:space="0" w:color="auto"/>
      </w:divBdr>
    </w:div>
    <w:div w:id="1567960308">
      <w:bodyDiv w:val="1"/>
      <w:marLeft w:val="0"/>
      <w:marRight w:val="0"/>
      <w:marTop w:val="0"/>
      <w:marBottom w:val="0"/>
      <w:divBdr>
        <w:top w:val="none" w:sz="0" w:space="0" w:color="auto"/>
        <w:left w:val="none" w:sz="0" w:space="0" w:color="auto"/>
        <w:bottom w:val="none" w:sz="0" w:space="0" w:color="auto"/>
        <w:right w:val="none" w:sz="0" w:space="0" w:color="auto"/>
      </w:divBdr>
    </w:div>
    <w:div w:id="1595361268">
      <w:bodyDiv w:val="1"/>
      <w:marLeft w:val="0"/>
      <w:marRight w:val="0"/>
      <w:marTop w:val="0"/>
      <w:marBottom w:val="0"/>
      <w:divBdr>
        <w:top w:val="none" w:sz="0" w:space="0" w:color="auto"/>
        <w:left w:val="none" w:sz="0" w:space="0" w:color="auto"/>
        <w:bottom w:val="none" w:sz="0" w:space="0" w:color="auto"/>
        <w:right w:val="none" w:sz="0" w:space="0" w:color="auto"/>
      </w:divBdr>
    </w:div>
    <w:div w:id="16537505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hyperlink" Target="http://idbdocs.iadb.org/wsdocs/getDocument.aspx?DOCNUM=39785806" TargetMode="External"/><Relationship Id="rId26" Type="http://schemas.openxmlformats.org/officeDocument/2006/relationships/customXml" Target="../customXml/item7.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idbdocs.iadb.org/wsdocs/getDocument.aspx?DOCNUM=39785838" TargetMode="External"/><Relationship Id="rId25"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hyperlink" Target="http://idbdocs.iadb.org/wsdocs/getDocument.aspx?DOCNUM=EZSHARE-1518968042-1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ustomXml" Target="../customXml/item5.xml"/><Relationship Id="rId5" Type="http://schemas.openxmlformats.org/officeDocument/2006/relationships/webSettings" Target="webSettings.xml"/><Relationship Id="rId15" Type="http://schemas.openxmlformats.org/officeDocument/2006/relationships/image" Target="media/image3.jpg"/><Relationship Id="rId23" Type="http://schemas.openxmlformats.org/officeDocument/2006/relationships/customXml" Target="../customXml/item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8F7B5B973A77C459360DA580E470BD3" ma:contentTypeVersion="5681" ma:contentTypeDescription="A content type to manage public (operations) IDB documents" ma:contentTypeScope="" ma:versionID="02461f9006706e09192cae56fe7b361e">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ACF722E9F6B0B149B0CD8BE2560A6672"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IFD/ICS</Division_x0020_or_x0020_Unit>
    <_dlc_DocId xmlns="cdc7663a-08f0-4737-9e8c-148ce897a09c">EZSHARE-1952643763-34</_dlc_DocId>
    <Document_x0020_Author xmlns="cdc7663a-08f0-4737-9e8c-148ce897a09c">Rojas Gonzalez Sonia Amalia</Document_x0020_Author>
    <TaxCatchAll xmlns="cdc7663a-08f0-4737-9e8c-148ce897a09c">
      <Value>33</Value>
      <Value>13</Value>
      <Value>52</Value>
      <Value>30</Value>
      <Value>1</Value>
      <Value>51</Value>
    </TaxCatchAll>
    <Fiscal_x0020_Year_x0020_IDB xmlns="cdc7663a-08f0-4737-9e8c-148ce897a09c">2020</Fiscal_x0020_Year_x0020_IDB>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TermName>
          <TermId xmlns="http://schemas.microsoft.com/office/infopath/2007/PartnerControls">7deb27ec-6837-4974-9aa8-6cfbac841ef8</TermId>
        </TermInfo>
      </Terms>
    </ic46d7e087fd4a108fb86518ca413cc6>
    <Operation_x0020_Type xmlns="cdc7663a-08f0-4737-9e8c-148ce897a09c">LON</Operation_x0020_Typ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Project_x0020_Number xmlns="cdc7663a-08f0-4737-9e8c-148ce897a09c">BR-L1545</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Access_x0020_to_x0020_Information_x00a0_Policy>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IS-SEC</TermName>
          <TermId xmlns="http://schemas.microsoft.com/office/infopath/2007/PartnerControls">954fe912-dcd8-47cc-a622-637d228b7304</TermId>
        </TermInfo>
      </Terms>
    </b2ec7cfb18674cb8803df6b262e8b107>
    <Document_x0020_Language_x0020_IDB xmlns="cdc7663a-08f0-4737-9e8c-148ce897a09c">Portuguese</Document_x0020_Language_x0020_IDB>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IS</TermName>
          <TermId xmlns="http://schemas.microsoft.com/office/infopath/2007/PartnerControls">3f908695-d5b5-49f6-941f-76876b39564f</TermId>
        </TermInfo>
      </Terms>
    </nddeef1749674d76abdbe4b239a70bc6>
    <_dlc_DocIdUrl xmlns="cdc7663a-08f0-4737-9e8c-148ce897a09c">
      <Url>https://idbg.sharepoint.com/teams/EZ-BR-LON/BR-L1545/_layouts/15/DocIdRedir.aspx?ID=EZSHARE-1952643763-34</Url>
      <Description>EZSHARE-1952643763-34</Description>
    </_dlc_DocIdUrl>
    <Phase xmlns="cdc7663a-08f0-4737-9e8c-148ce897a09c" xsi:nil="true"/>
    <Other_x0020_Author xmlns="cdc7663a-08f0-4737-9e8c-148ce897a09c" xsi:nil="true"/>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99731AB1-07D6-4261-B259-870A6E006D3A}">
  <ds:schemaRefs>
    <ds:schemaRef ds:uri="http://schemas.openxmlformats.org/officeDocument/2006/bibliography"/>
  </ds:schemaRefs>
</ds:datastoreItem>
</file>

<file path=customXml/itemProps2.xml><?xml version="1.0" encoding="utf-8"?>
<ds:datastoreItem xmlns:ds="http://schemas.openxmlformats.org/officeDocument/2006/customXml" ds:itemID="{43196F37-4E2E-49DC-BE09-55E379B6F311}"/>
</file>

<file path=customXml/itemProps3.xml><?xml version="1.0" encoding="utf-8"?>
<ds:datastoreItem xmlns:ds="http://schemas.openxmlformats.org/officeDocument/2006/customXml" ds:itemID="{E4F94F8D-299F-475A-9E22-F7928D2B5FDE}"/>
</file>

<file path=customXml/itemProps4.xml><?xml version="1.0" encoding="utf-8"?>
<ds:datastoreItem xmlns:ds="http://schemas.openxmlformats.org/officeDocument/2006/customXml" ds:itemID="{98E51C5B-C1E3-4252-A0E0-3ECFFA03C373}"/>
</file>

<file path=customXml/itemProps5.xml><?xml version="1.0" encoding="utf-8"?>
<ds:datastoreItem xmlns:ds="http://schemas.openxmlformats.org/officeDocument/2006/customXml" ds:itemID="{6F3044C3-B2CA-4622-B93A-FC1BB38EE723}"/>
</file>

<file path=customXml/itemProps6.xml><?xml version="1.0" encoding="utf-8"?>
<ds:datastoreItem xmlns:ds="http://schemas.openxmlformats.org/officeDocument/2006/customXml" ds:itemID="{F8F172C8-D49A-43A2-AF47-4AE644EF7ABF}"/>
</file>

<file path=customXml/itemProps7.xml><?xml version="1.0" encoding="utf-8"?>
<ds:datastoreItem xmlns:ds="http://schemas.openxmlformats.org/officeDocument/2006/customXml" ds:itemID="{3C3EDA50-74B4-4F77-ADBC-F67EF926DF39}"/>
</file>

<file path=docProps/app.xml><?xml version="1.0" encoding="utf-8"?>
<Properties xmlns="http://schemas.openxmlformats.org/officeDocument/2006/extended-properties" xmlns:vt="http://schemas.openxmlformats.org/officeDocument/2006/docPropsVTypes">
  <Template>Normal.dotm</Template>
  <TotalTime>0</TotalTime>
  <Pages>29</Pages>
  <Words>11723</Words>
  <Characters>68454</Characters>
  <Application>Microsoft Office Word</Application>
  <DocSecurity>0</DocSecurity>
  <Lines>570</Lines>
  <Paragraphs>160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80017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2020-10-27T19:55:00Z</dcterms:created>
  <dcterms:modified xsi:type="dcterms:W3CDTF">2020-10-27T22:39:00Z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13;#Loan Proposal|6ee86b6f-6e46-485b-8bfb-87a1f44622ac</vt:lpwstr>
  </property>
  <property fmtid="{D5CDD505-2E9C-101B-9397-08002B2CF9AE}" pid="6" name="Sub-Sector">
    <vt:lpwstr>52;#IS-SEC|954fe912-dcd8-47cc-a622-637d228b7304</vt:lpwstr>
  </property>
  <property fmtid="{D5CDD505-2E9C-101B-9397-08002B2CF9AE}" pid="7" name="Country">
    <vt:lpwstr>30;#BR|7deb27ec-6837-4974-9aa8-6cfbac841ef8</vt:lpwstr>
  </property>
  <property fmtid="{D5CDD505-2E9C-101B-9397-08002B2CF9AE}" pid="8" name="_dlc_DocIdItemGuid">
    <vt:lpwstr>5b121e3c-cd07-428c-bba3-3389eb280f62</vt:lpwstr>
  </property>
  <property fmtid="{D5CDD505-2E9C-101B-9397-08002B2CF9AE}" pid="9" name="Fund IDB">
    <vt:lpwstr>33;#ORC|c028a4b2-ad8b-4cf4-9cac-a2ae6a778e23</vt:lpwstr>
  </property>
  <property fmtid="{D5CDD505-2E9C-101B-9397-08002B2CF9AE}" pid="10" name="Disclosed">
    <vt:bool>false</vt:bool>
  </property>
  <property fmtid="{D5CDD505-2E9C-101B-9397-08002B2CF9AE}" pid="11" name="Sector IDB">
    <vt:lpwstr>51;#IS|3f908695-d5b5-49f6-941f-76876b39564f</vt:lpwstr>
  </property>
  <property fmtid="{D5CDD505-2E9C-101B-9397-08002B2CF9AE}" pid="12" name="Function Operations IDB">
    <vt:lpwstr>1;#Project Preparation Planning and Design|29ca0c72-1fc4-435f-a09c-28585cb5eac9</vt:lpwstr>
  </property>
  <property fmtid="{D5CDD505-2E9C-101B-9397-08002B2CF9AE}" pid="13" name="ContentTypeId">
    <vt:lpwstr>0x0101001A458A224826124E8B45B1D613300CFC0048F7B5B973A77C459360DA580E470BD3</vt:lpwstr>
  </property>
</Properties>
</file>