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5.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18318" w14:textId="77777777" w:rsidR="00F10FC6" w:rsidRPr="00083041" w:rsidRDefault="00F10FC6" w:rsidP="00997F7A">
      <w:pPr>
        <w:pStyle w:val="SubSubPar"/>
        <w:numPr>
          <w:ilvl w:val="0"/>
          <w:numId w:val="0"/>
        </w:numPr>
        <w:spacing w:after="0"/>
        <w:jc w:val="center"/>
        <w:rPr>
          <w:rFonts w:ascii="Arial" w:hAnsi="Arial" w:cs="Arial"/>
          <w:smallCaps/>
          <w:sz w:val="22"/>
          <w:szCs w:val="22"/>
          <w:lang w:val="es-ES_tradnl"/>
        </w:rPr>
      </w:pPr>
      <w:bookmarkStart w:id="0" w:name="_Toc388249744"/>
      <w:bookmarkStart w:id="1" w:name="_GoBack"/>
      <w:bookmarkEnd w:id="1"/>
      <w:r w:rsidRPr="00083041">
        <w:rPr>
          <w:rFonts w:ascii="Arial" w:hAnsi="Arial" w:cs="Arial"/>
          <w:smallCaps/>
          <w:sz w:val="22"/>
          <w:szCs w:val="22"/>
          <w:lang w:val="es-ES_tradnl"/>
        </w:rPr>
        <w:t>Documento del Banco Interamericano De Desarrollo</w:t>
      </w:r>
      <w:bookmarkEnd w:id="0"/>
    </w:p>
    <w:p w14:paraId="778EDB19" w14:textId="77777777" w:rsidR="00F10FC6" w:rsidRPr="00083041" w:rsidRDefault="00F10FC6" w:rsidP="00F10FC6">
      <w:pPr>
        <w:spacing w:before="120" w:after="120" w:line="240" w:lineRule="auto"/>
        <w:jc w:val="center"/>
        <w:rPr>
          <w:rFonts w:ascii="Arial" w:hAnsi="Arial" w:cs="Arial"/>
          <w:lang w:val="es-ES_tradnl"/>
        </w:rPr>
      </w:pPr>
    </w:p>
    <w:p w14:paraId="3E7854CE" w14:textId="77777777" w:rsidR="00F10FC6" w:rsidRPr="00083041" w:rsidRDefault="00F10FC6" w:rsidP="00F10FC6">
      <w:pPr>
        <w:spacing w:before="120" w:after="120" w:line="240" w:lineRule="auto"/>
        <w:jc w:val="center"/>
        <w:rPr>
          <w:rFonts w:ascii="Arial" w:hAnsi="Arial" w:cs="Arial"/>
          <w:lang w:val="es-ES_tradnl"/>
        </w:rPr>
      </w:pPr>
    </w:p>
    <w:p w14:paraId="295A2D17" w14:textId="77777777" w:rsidR="00F10FC6" w:rsidRPr="00083041" w:rsidRDefault="005F4207" w:rsidP="00F10FC6">
      <w:pPr>
        <w:tabs>
          <w:tab w:val="left" w:pos="1440"/>
          <w:tab w:val="left" w:pos="3060"/>
        </w:tabs>
        <w:jc w:val="center"/>
        <w:outlineLvl w:val="0"/>
        <w:rPr>
          <w:rFonts w:ascii="Arial" w:hAnsi="Arial" w:cs="Arial"/>
          <w:b/>
          <w:smallCaps/>
          <w:lang w:val="es-ES_tradnl"/>
        </w:rPr>
      </w:pPr>
      <w:r w:rsidRPr="00083041">
        <w:rPr>
          <w:rFonts w:ascii="Arial" w:hAnsi="Arial" w:cs="Arial"/>
          <w:b/>
          <w:smallCaps/>
          <w:lang w:val="es-ES_tradnl"/>
        </w:rPr>
        <w:t>México</w:t>
      </w:r>
    </w:p>
    <w:p w14:paraId="0380A56C" w14:textId="77777777" w:rsidR="00F10FC6" w:rsidRPr="00083041" w:rsidRDefault="00F10FC6" w:rsidP="00F10FC6">
      <w:pPr>
        <w:spacing w:before="120" w:after="120" w:line="240" w:lineRule="auto"/>
        <w:jc w:val="both"/>
        <w:rPr>
          <w:rFonts w:ascii="Arial" w:hAnsi="Arial" w:cs="Arial"/>
          <w:lang w:val="es-ES_tradnl"/>
        </w:rPr>
      </w:pPr>
    </w:p>
    <w:p w14:paraId="7956E072" w14:textId="7BAD38A9" w:rsidR="00361F93" w:rsidRPr="00361F93" w:rsidRDefault="00361F93" w:rsidP="00361F93">
      <w:pPr>
        <w:spacing w:after="120"/>
        <w:jc w:val="center"/>
        <w:rPr>
          <w:rFonts w:ascii="Arial" w:hAnsi="Arial" w:cs="Arial"/>
          <w:b/>
          <w:smallCaps/>
          <w:lang w:val="es-ES_tradnl"/>
        </w:rPr>
      </w:pPr>
      <w:r w:rsidRPr="00361F93">
        <w:rPr>
          <w:rFonts w:ascii="Arial" w:hAnsi="Arial" w:cs="Arial"/>
          <w:b/>
          <w:smallCaps/>
          <w:lang w:val="es-ES_tradnl"/>
        </w:rPr>
        <w:t xml:space="preserve">Línea de Crédito Condicional para Proyectos de Inversión (CCLIP) del Programa para el Financiamiento de la Infraestructura Productiva y la </w:t>
      </w:r>
      <w:r w:rsidR="006A5A81">
        <w:rPr>
          <w:rFonts w:ascii="Arial" w:hAnsi="Arial" w:cs="Arial"/>
          <w:b/>
          <w:smallCaps/>
          <w:lang w:val="es-ES_tradnl"/>
        </w:rPr>
        <w:t>Sostenibilidad</w:t>
      </w:r>
      <w:r w:rsidRPr="00361F93">
        <w:rPr>
          <w:rFonts w:ascii="Arial" w:hAnsi="Arial" w:cs="Arial"/>
          <w:b/>
          <w:smallCaps/>
          <w:lang w:val="es-ES_tradnl"/>
        </w:rPr>
        <w:t xml:space="preserve"> en México</w:t>
      </w:r>
    </w:p>
    <w:p w14:paraId="14ED68CE" w14:textId="77777777" w:rsidR="00BA11FB" w:rsidRPr="00CF484C" w:rsidRDefault="00BA11FB" w:rsidP="00BA11FB">
      <w:pPr>
        <w:spacing w:after="120"/>
        <w:jc w:val="center"/>
        <w:rPr>
          <w:rFonts w:ascii="Arial" w:hAnsi="Arial" w:cs="Arial"/>
          <w:b/>
          <w:smallCaps/>
          <w:lang w:val="es-ES_tradnl"/>
        </w:rPr>
      </w:pPr>
      <w:r w:rsidRPr="00CF484C">
        <w:rPr>
          <w:rFonts w:ascii="Arial" w:hAnsi="Arial" w:cs="Arial"/>
          <w:b/>
          <w:smallCaps/>
          <w:lang w:val="es-ES_tradnl"/>
        </w:rPr>
        <w:t>(ME-</w:t>
      </w:r>
      <w:r w:rsidR="005F4207" w:rsidRPr="00CF484C">
        <w:rPr>
          <w:rFonts w:ascii="Arial" w:hAnsi="Arial" w:cs="Arial"/>
          <w:b/>
          <w:smallCaps/>
          <w:lang w:val="es-ES_tradnl"/>
        </w:rPr>
        <w:t>O0004</w:t>
      </w:r>
      <w:r w:rsidRPr="00CF484C">
        <w:rPr>
          <w:rFonts w:ascii="Arial" w:hAnsi="Arial" w:cs="Arial"/>
          <w:b/>
          <w:smallCaps/>
          <w:lang w:val="es-ES_tradnl"/>
        </w:rPr>
        <w:t>)</w:t>
      </w:r>
    </w:p>
    <w:p w14:paraId="72DA762F" w14:textId="3F63A800" w:rsidR="00BA11FB" w:rsidRPr="00CF484C" w:rsidRDefault="00BA11FB" w:rsidP="00BA11FB">
      <w:pPr>
        <w:jc w:val="center"/>
        <w:rPr>
          <w:rStyle w:val="BookTitle"/>
          <w:rFonts w:ascii="Arial" w:hAnsi="Arial" w:cs="Arial"/>
          <w:lang w:val="es-ES_tradnl"/>
        </w:rPr>
      </w:pPr>
    </w:p>
    <w:p w14:paraId="67F46529" w14:textId="77777777" w:rsidR="00BA11FB" w:rsidRPr="00CF484C" w:rsidRDefault="00BA11FB" w:rsidP="00460AD4">
      <w:pPr>
        <w:jc w:val="center"/>
        <w:rPr>
          <w:rFonts w:ascii="Arial" w:hAnsi="Arial" w:cs="Arial"/>
          <w:lang w:val="es-ES_tradnl"/>
        </w:rPr>
      </w:pPr>
    </w:p>
    <w:p w14:paraId="25D9CA56" w14:textId="77777777" w:rsidR="00BA11FB" w:rsidRPr="00CF484C" w:rsidRDefault="005F4207" w:rsidP="00BA11FB">
      <w:pPr>
        <w:jc w:val="center"/>
        <w:rPr>
          <w:rFonts w:ascii="Arial" w:hAnsi="Arial" w:cs="Arial"/>
          <w:b/>
          <w:smallCaps/>
          <w:lang w:val="es-ES_tradnl"/>
        </w:rPr>
      </w:pPr>
      <w:r w:rsidRPr="00CF484C">
        <w:rPr>
          <w:rFonts w:ascii="Arial" w:hAnsi="Arial" w:cs="Arial"/>
          <w:b/>
          <w:smallCaps/>
          <w:lang w:val="es-ES_tradnl"/>
        </w:rPr>
        <w:t>Primera Operación bajo la CCLIP de Financiamiento de la Red Compartida de Telecomunicaciones</w:t>
      </w:r>
      <w:r w:rsidR="00BA11FB" w:rsidRPr="00CF484C">
        <w:rPr>
          <w:rFonts w:ascii="Arial" w:hAnsi="Arial" w:cs="Arial"/>
          <w:b/>
          <w:smallCaps/>
          <w:lang w:val="es-ES_tradnl"/>
        </w:rPr>
        <w:t xml:space="preserve"> </w:t>
      </w:r>
    </w:p>
    <w:p w14:paraId="2F34030F" w14:textId="77777777" w:rsidR="00BA11FB" w:rsidRPr="00CF484C" w:rsidRDefault="00BA11FB" w:rsidP="00BA11FB">
      <w:pPr>
        <w:spacing w:after="120"/>
        <w:jc w:val="center"/>
        <w:rPr>
          <w:rFonts w:ascii="Arial" w:hAnsi="Arial" w:cs="Arial"/>
          <w:b/>
          <w:smallCaps/>
          <w:lang w:val="es-ES_tradnl"/>
        </w:rPr>
      </w:pPr>
      <w:r w:rsidRPr="00CF484C">
        <w:rPr>
          <w:rFonts w:ascii="Arial" w:hAnsi="Arial" w:cs="Arial"/>
          <w:b/>
          <w:smallCaps/>
          <w:lang w:val="es-ES_tradnl"/>
        </w:rPr>
        <w:t>(</w:t>
      </w:r>
      <w:r w:rsidRPr="00CF484C">
        <w:rPr>
          <w:rFonts w:ascii="Arial" w:hAnsi="Arial" w:cs="Arial"/>
          <w:b/>
          <w:lang w:val="es-ES_tradnl"/>
        </w:rPr>
        <w:t>ME-L12</w:t>
      </w:r>
      <w:r w:rsidR="00D530F8" w:rsidRPr="00CF484C">
        <w:rPr>
          <w:rFonts w:ascii="Arial" w:hAnsi="Arial" w:cs="Arial"/>
          <w:b/>
          <w:lang w:val="es-ES_tradnl"/>
        </w:rPr>
        <w:t>84</w:t>
      </w:r>
      <w:r w:rsidRPr="00CF484C">
        <w:rPr>
          <w:rFonts w:ascii="Arial" w:hAnsi="Arial" w:cs="Arial"/>
          <w:b/>
          <w:smallCaps/>
          <w:lang w:val="es-ES_tradnl"/>
        </w:rPr>
        <w:t>)</w:t>
      </w:r>
    </w:p>
    <w:p w14:paraId="79662AAA" w14:textId="77777777" w:rsidR="00F10FC6" w:rsidRPr="00083041" w:rsidRDefault="00F10FC6" w:rsidP="00F10FC6">
      <w:pPr>
        <w:tabs>
          <w:tab w:val="left" w:pos="1440"/>
          <w:tab w:val="left" w:pos="3060"/>
        </w:tabs>
        <w:jc w:val="center"/>
        <w:outlineLvl w:val="0"/>
        <w:rPr>
          <w:rFonts w:ascii="Arial" w:hAnsi="Arial" w:cs="Arial"/>
          <w:b/>
          <w:smallCaps/>
          <w:lang w:val="es-ES_tradnl"/>
        </w:rPr>
      </w:pPr>
    </w:p>
    <w:p w14:paraId="5F7FC241" w14:textId="77777777" w:rsidR="00F10FC6" w:rsidRPr="00083041" w:rsidRDefault="00F10FC6" w:rsidP="00F10FC6">
      <w:pPr>
        <w:tabs>
          <w:tab w:val="left" w:pos="1440"/>
          <w:tab w:val="left" w:pos="3060"/>
        </w:tabs>
        <w:jc w:val="center"/>
        <w:outlineLvl w:val="0"/>
        <w:rPr>
          <w:rFonts w:ascii="Arial" w:hAnsi="Arial" w:cs="Arial"/>
          <w:b/>
          <w:smallCaps/>
          <w:lang w:val="es-ES_tradnl"/>
        </w:rPr>
      </w:pPr>
    </w:p>
    <w:p w14:paraId="434C1340" w14:textId="77777777" w:rsidR="00F10FC6" w:rsidRPr="00083041" w:rsidRDefault="00F10FC6" w:rsidP="00F10FC6">
      <w:pPr>
        <w:tabs>
          <w:tab w:val="left" w:pos="1440"/>
          <w:tab w:val="left" w:pos="3060"/>
        </w:tabs>
        <w:jc w:val="center"/>
        <w:outlineLvl w:val="0"/>
        <w:rPr>
          <w:rFonts w:ascii="Arial" w:hAnsi="Arial" w:cs="Arial"/>
          <w:b/>
          <w:smallCaps/>
          <w:lang w:val="es-ES_tradnl"/>
        </w:rPr>
      </w:pPr>
      <w:bookmarkStart w:id="2" w:name="_Toc388249748"/>
      <w:r w:rsidRPr="00083041">
        <w:rPr>
          <w:rFonts w:ascii="Arial" w:hAnsi="Arial" w:cs="Arial"/>
          <w:b/>
          <w:smallCaps/>
          <w:lang w:val="es-ES_tradnl"/>
        </w:rPr>
        <w:t>Análisis Económico</w:t>
      </w:r>
      <w:bookmarkEnd w:id="2"/>
    </w:p>
    <w:p w14:paraId="588B5DB5" w14:textId="77777777" w:rsidR="00F10FC6" w:rsidRPr="00083041" w:rsidRDefault="00F10FC6" w:rsidP="00093EF6">
      <w:pPr>
        <w:spacing w:after="100" w:afterAutospacing="1" w:line="240" w:lineRule="auto"/>
        <w:jc w:val="center"/>
        <w:rPr>
          <w:rFonts w:ascii="Arial" w:hAnsi="Arial" w:cs="Arial"/>
          <w:b/>
          <w:lang w:val="es-ES_tradnl"/>
        </w:rPr>
      </w:pPr>
    </w:p>
    <w:p w14:paraId="7596D253" w14:textId="77777777" w:rsidR="00F902AC" w:rsidRPr="00CF484C" w:rsidRDefault="00F902AC" w:rsidP="00F950A5">
      <w:pPr>
        <w:pStyle w:val="TOC3"/>
        <w:rPr>
          <w:lang w:val="es-ES_tradnl"/>
        </w:rPr>
      </w:pPr>
    </w:p>
    <w:p w14:paraId="360FB7BC" w14:textId="77777777" w:rsidR="00F902AC" w:rsidRPr="00083041" w:rsidRDefault="00F902AC" w:rsidP="00F902AC">
      <w:pPr>
        <w:rPr>
          <w:rFonts w:ascii="Arial" w:hAnsi="Arial" w:cs="Arial"/>
          <w:lang w:val="es-ES_tradnl"/>
        </w:rPr>
      </w:pPr>
    </w:p>
    <w:p w14:paraId="14086B43" w14:textId="77777777" w:rsidR="004B5EA7" w:rsidRPr="00083041" w:rsidRDefault="004B5EA7" w:rsidP="00586FC8">
      <w:pPr>
        <w:rPr>
          <w:rFonts w:ascii="Arial" w:hAnsi="Arial" w:cs="Arial"/>
          <w:lang w:val="es-ES_tradnl"/>
        </w:rPr>
      </w:pPr>
    </w:p>
    <w:p w14:paraId="22079327" w14:textId="77777777" w:rsidR="0082724D" w:rsidRPr="00083041" w:rsidRDefault="0082724D" w:rsidP="0082724D">
      <w:pPr>
        <w:rPr>
          <w:rFonts w:ascii="Arial" w:hAnsi="Arial" w:cs="Arial"/>
          <w:lang w:val="es-ES_tradnl"/>
        </w:rPr>
      </w:pPr>
      <w:bookmarkStart w:id="3" w:name="_Toc388249751"/>
      <w:bookmarkStart w:id="4" w:name="_Ref388349384"/>
    </w:p>
    <w:p w14:paraId="17A50049" w14:textId="77777777" w:rsidR="00DA3664" w:rsidRPr="00083041" w:rsidRDefault="00DA3664" w:rsidP="00DA3664">
      <w:pPr>
        <w:jc w:val="center"/>
        <w:rPr>
          <w:rFonts w:ascii="Arial" w:hAnsi="Arial" w:cs="Arial"/>
          <w:b/>
          <w:lang w:val="es-ES_tradnl"/>
        </w:rPr>
      </w:pPr>
    </w:p>
    <w:p w14:paraId="30089E14" w14:textId="77777777" w:rsidR="00DA3664" w:rsidRPr="00083041" w:rsidRDefault="00DA3664" w:rsidP="00DA3664">
      <w:pPr>
        <w:rPr>
          <w:rFonts w:ascii="Arial" w:hAnsi="Arial" w:cs="Arial"/>
          <w:b/>
          <w:lang w:val="es-ES_tradnl"/>
        </w:rPr>
      </w:pPr>
    </w:p>
    <w:p w14:paraId="55A52986" w14:textId="77777777" w:rsidR="00DA3664" w:rsidRPr="00083041" w:rsidRDefault="00DA3664" w:rsidP="00DA3664">
      <w:pPr>
        <w:rPr>
          <w:rFonts w:ascii="Arial" w:hAnsi="Arial" w:cs="Arial"/>
          <w:lang w:val="es-ES_tradnl"/>
        </w:rPr>
      </w:pPr>
    </w:p>
    <w:p w14:paraId="3C36E5BA" w14:textId="77777777" w:rsidR="00997F7A" w:rsidRPr="00083041" w:rsidRDefault="00997F7A" w:rsidP="0082724D">
      <w:pPr>
        <w:rPr>
          <w:rFonts w:ascii="Arial" w:hAnsi="Arial" w:cs="Arial"/>
          <w:lang w:val="es-ES_tradnl"/>
        </w:rPr>
        <w:sectPr w:rsidR="00997F7A" w:rsidRPr="00083041" w:rsidSect="0093252C">
          <w:headerReference w:type="default" r:id="rId8"/>
          <w:footerReference w:type="default" r:id="rId9"/>
          <w:footerReference w:type="first" r:id="rId10"/>
          <w:type w:val="continuous"/>
          <w:pgSz w:w="12242" w:h="15842" w:code="1"/>
          <w:pgMar w:top="1440" w:right="1797" w:bottom="1440" w:left="1797" w:header="720" w:footer="720" w:gutter="0"/>
          <w:cols w:space="708"/>
          <w:docGrid w:linePitch="360"/>
        </w:sectPr>
      </w:pPr>
    </w:p>
    <w:p w14:paraId="2117E790" w14:textId="77777777" w:rsidR="00997F7A" w:rsidRPr="00083041" w:rsidRDefault="0086613E" w:rsidP="0086613E">
      <w:pPr>
        <w:jc w:val="center"/>
        <w:rPr>
          <w:rFonts w:ascii="Arial" w:hAnsi="Arial" w:cs="Arial"/>
          <w:b/>
          <w:smallCaps/>
          <w:lang w:val="es-ES_tradnl"/>
        </w:rPr>
      </w:pPr>
      <w:r w:rsidRPr="00083041">
        <w:rPr>
          <w:rFonts w:ascii="Arial" w:hAnsi="Arial" w:cs="Arial"/>
          <w:b/>
          <w:smallCaps/>
          <w:lang w:val="es-ES_tradnl"/>
        </w:rPr>
        <w:lastRenderedPageBreak/>
        <w:t>CONTENIDO</w:t>
      </w:r>
    </w:p>
    <w:p w14:paraId="2D1B54BB" w14:textId="77777777" w:rsidR="004C42F1" w:rsidRPr="00083041" w:rsidRDefault="00997F7A">
      <w:pPr>
        <w:pStyle w:val="TOC1"/>
        <w:rPr>
          <w:rFonts w:ascii="Arial" w:hAnsi="Arial" w:cs="Arial"/>
          <w:b w:val="0"/>
          <w:smallCaps w:val="0"/>
          <w:noProof w:val="0"/>
          <w:sz w:val="22"/>
          <w:lang w:eastAsia="en-US"/>
        </w:rPr>
      </w:pPr>
      <w:r w:rsidRPr="00083041">
        <w:rPr>
          <w:rFonts w:ascii="Arial" w:hAnsi="Arial" w:cs="Arial"/>
          <w:noProof w:val="0"/>
          <w:sz w:val="22"/>
        </w:rPr>
        <w:fldChar w:fldCharType="begin"/>
      </w:r>
      <w:r w:rsidRPr="00083041">
        <w:rPr>
          <w:rFonts w:ascii="Arial" w:hAnsi="Arial" w:cs="Arial"/>
          <w:noProof w:val="0"/>
          <w:sz w:val="22"/>
        </w:rPr>
        <w:instrText xml:space="preserve"> TOC \f \t "Chapter,1,FirstHeading,2,SecHeading,3" </w:instrText>
      </w:r>
      <w:r w:rsidRPr="00083041">
        <w:rPr>
          <w:rFonts w:ascii="Arial" w:hAnsi="Arial" w:cs="Arial"/>
          <w:noProof w:val="0"/>
          <w:sz w:val="22"/>
        </w:rPr>
        <w:fldChar w:fldCharType="separate"/>
      </w:r>
      <w:r w:rsidR="004C42F1" w:rsidRPr="00083041">
        <w:rPr>
          <w:rFonts w:ascii="Arial" w:hAnsi="Arial" w:cs="Arial"/>
          <w:noProof w:val="0"/>
          <w:sz w:val="22"/>
        </w:rPr>
        <w:t>I.</w:t>
      </w:r>
      <w:r w:rsidR="004C42F1" w:rsidRPr="00083041">
        <w:rPr>
          <w:rFonts w:ascii="Arial" w:hAnsi="Arial" w:cs="Arial"/>
          <w:b w:val="0"/>
          <w:smallCaps w:val="0"/>
          <w:noProof w:val="0"/>
          <w:sz w:val="22"/>
          <w:lang w:eastAsia="en-US"/>
        </w:rPr>
        <w:tab/>
      </w:r>
      <w:r w:rsidR="004C42F1" w:rsidRPr="00083041">
        <w:rPr>
          <w:rFonts w:ascii="Arial" w:hAnsi="Arial" w:cs="Arial"/>
          <w:noProof w:val="0"/>
          <w:sz w:val="22"/>
        </w:rPr>
        <w:t>Introducción</w:t>
      </w:r>
      <w:r w:rsidR="004C42F1" w:rsidRPr="00083041">
        <w:rPr>
          <w:rFonts w:ascii="Arial" w:hAnsi="Arial" w:cs="Arial"/>
          <w:noProof w:val="0"/>
          <w:sz w:val="22"/>
        </w:rPr>
        <w:tab/>
      </w:r>
      <w:r w:rsidR="004C42F1" w:rsidRPr="00083041">
        <w:rPr>
          <w:rFonts w:ascii="Arial" w:hAnsi="Arial" w:cs="Arial"/>
          <w:noProof w:val="0"/>
          <w:sz w:val="22"/>
        </w:rPr>
        <w:fldChar w:fldCharType="begin"/>
      </w:r>
      <w:r w:rsidR="004C42F1" w:rsidRPr="00083041">
        <w:rPr>
          <w:rFonts w:ascii="Arial" w:hAnsi="Arial" w:cs="Arial"/>
          <w:noProof w:val="0"/>
          <w:sz w:val="22"/>
        </w:rPr>
        <w:instrText xml:space="preserve"> PAGEREF _Toc482367468 \h </w:instrText>
      </w:r>
      <w:r w:rsidR="004C42F1" w:rsidRPr="00083041">
        <w:rPr>
          <w:rFonts w:ascii="Arial" w:hAnsi="Arial" w:cs="Arial"/>
          <w:noProof w:val="0"/>
          <w:sz w:val="22"/>
        </w:rPr>
      </w:r>
      <w:r w:rsidR="004C42F1" w:rsidRPr="00083041">
        <w:rPr>
          <w:rFonts w:ascii="Arial" w:hAnsi="Arial" w:cs="Arial"/>
          <w:noProof w:val="0"/>
          <w:sz w:val="22"/>
        </w:rPr>
        <w:fldChar w:fldCharType="separate"/>
      </w:r>
      <w:r w:rsidR="004C42F1" w:rsidRPr="00083041">
        <w:rPr>
          <w:rFonts w:ascii="Arial" w:hAnsi="Arial" w:cs="Arial"/>
          <w:noProof w:val="0"/>
          <w:sz w:val="22"/>
        </w:rPr>
        <w:t>1</w:t>
      </w:r>
      <w:r w:rsidR="004C42F1" w:rsidRPr="00083041">
        <w:rPr>
          <w:rFonts w:ascii="Arial" w:hAnsi="Arial" w:cs="Arial"/>
          <w:noProof w:val="0"/>
          <w:sz w:val="22"/>
        </w:rPr>
        <w:fldChar w:fldCharType="end"/>
      </w:r>
    </w:p>
    <w:p w14:paraId="0C8E6679" w14:textId="77777777" w:rsidR="004C42F1" w:rsidRPr="00083041" w:rsidRDefault="004C42F1">
      <w:pPr>
        <w:pStyle w:val="TOC1"/>
        <w:rPr>
          <w:rFonts w:ascii="Arial" w:hAnsi="Arial" w:cs="Arial"/>
          <w:b w:val="0"/>
          <w:smallCaps w:val="0"/>
          <w:noProof w:val="0"/>
          <w:sz w:val="22"/>
          <w:lang w:eastAsia="en-US"/>
        </w:rPr>
      </w:pPr>
      <w:r w:rsidRPr="00083041">
        <w:rPr>
          <w:rFonts w:ascii="Arial" w:hAnsi="Arial" w:cs="Arial"/>
          <w:noProof w:val="0"/>
          <w:color w:val="000000" w:themeColor="text1"/>
          <w:sz w:val="22"/>
        </w:rPr>
        <w:t>II.</w:t>
      </w:r>
      <w:r w:rsidRPr="00083041">
        <w:rPr>
          <w:rFonts w:ascii="Arial" w:hAnsi="Arial" w:cs="Arial"/>
          <w:b w:val="0"/>
          <w:smallCaps w:val="0"/>
          <w:noProof w:val="0"/>
          <w:sz w:val="22"/>
          <w:lang w:eastAsia="en-US"/>
        </w:rPr>
        <w:tab/>
      </w:r>
      <w:r w:rsidRPr="00083041">
        <w:rPr>
          <w:rFonts w:ascii="Arial" w:hAnsi="Arial" w:cs="Arial"/>
          <w:noProof w:val="0"/>
          <w:color w:val="000000" w:themeColor="text1"/>
          <w:sz w:val="22"/>
        </w:rPr>
        <w:t>Metodología y Supuestos</w:t>
      </w:r>
      <w:r w:rsidRPr="00083041">
        <w:rPr>
          <w:rFonts w:ascii="Arial" w:hAnsi="Arial" w:cs="Arial"/>
          <w:noProof w:val="0"/>
          <w:sz w:val="22"/>
        </w:rPr>
        <w:tab/>
      </w:r>
      <w:r w:rsidRPr="00083041">
        <w:rPr>
          <w:rFonts w:ascii="Arial" w:hAnsi="Arial" w:cs="Arial"/>
          <w:noProof w:val="0"/>
          <w:sz w:val="22"/>
        </w:rPr>
        <w:fldChar w:fldCharType="begin"/>
      </w:r>
      <w:r w:rsidRPr="00083041">
        <w:rPr>
          <w:rFonts w:ascii="Arial" w:hAnsi="Arial" w:cs="Arial"/>
          <w:noProof w:val="0"/>
          <w:sz w:val="22"/>
        </w:rPr>
        <w:instrText xml:space="preserve"> PAGEREF _Toc482367469 \h </w:instrText>
      </w:r>
      <w:r w:rsidRPr="00083041">
        <w:rPr>
          <w:rFonts w:ascii="Arial" w:hAnsi="Arial" w:cs="Arial"/>
          <w:noProof w:val="0"/>
          <w:sz w:val="22"/>
        </w:rPr>
      </w:r>
      <w:r w:rsidRPr="00083041">
        <w:rPr>
          <w:rFonts w:ascii="Arial" w:hAnsi="Arial" w:cs="Arial"/>
          <w:noProof w:val="0"/>
          <w:sz w:val="22"/>
        </w:rPr>
        <w:fldChar w:fldCharType="separate"/>
      </w:r>
      <w:r w:rsidRPr="00083041">
        <w:rPr>
          <w:rFonts w:ascii="Arial" w:hAnsi="Arial" w:cs="Arial"/>
          <w:noProof w:val="0"/>
          <w:sz w:val="22"/>
        </w:rPr>
        <w:t>4</w:t>
      </w:r>
      <w:r w:rsidRPr="00083041">
        <w:rPr>
          <w:rFonts w:ascii="Arial" w:hAnsi="Arial" w:cs="Arial"/>
          <w:noProof w:val="0"/>
          <w:sz w:val="22"/>
        </w:rPr>
        <w:fldChar w:fldCharType="end"/>
      </w:r>
    </w:p>
    <w:p w14:paraId="4DFDEFF2" w14:textId="77777777" w:rsidR="004C42F1" w:rsidRPr="00083041" w:rsidRDefault="004C42F1" w:rsidP="00D82DF3">
      <w:pPr>
        <w:pStyle w:val="TOC2"/>
        <w:rPr>
          <w:rFonts w:ascii="Arial" w:hAnsi="Arial" w:cs="Arial"/>
          <w:sz w:val="22"/>
          <w:lang w:val="es-ES_tradnl" w:eastAsia="en-US"/>
        </w:rPr>
      </w:pPr>
      <w:r w:rsidRPr="00083041">
        <w:rPr>
          <w:rFonts w:ascii="Arial" w:hAnsi="Arial" w:cs="Arial"/>
          <w:color w:val="000000" w:themeColor="text1"/>
          <w:sz w:val="22"/>
          <w:lang w:val="es-ES_tradnl"/>
        </w:rPr>
        <w:t>Metodología</w:t>
      </w:r>
      <w:r w:rsidRPr="00083041">
        <w:rPr>
          <w:rFonts w:ascii="Arial" w:hAnsi="Arial" w:cs="Arial"/>
          <w:sz w:val="22"/>
          <w:lang w:val="es-ES_tradnl"/>
        </w:rPr>
        <w:tab/>
      </w:r>
      <w:r w:rsidRPr="00083041">
        <w:rPr>
          <w:rFonts w:ascii="Arial" w:hAnsi="Arial" w:cs="Arial"/>
          <w:sz w:val="22"/>
          <w:lang w:val="es-ES_tradnl"/>
        </w:rPr>
        <w:fldChar w:fldCharType="begin"/>
      </w:r>
      <w:r w:rsidRPr="00083041">
        <w:rPr>
          <w:rFonts w:ascii="Arial" w:hAnsi="Arial" w:cs="Arial"/>
          <w:sz w:val="22"/>
          <w:lang w:val="es-ES_tradnl"/>
        </w:rPr>
        <w:instrText xml:space="preserve"> PAGEREF _Toc482367470 \h </w:instrText>
      </w:r>
      <w:r w:rsidRPr="00083041">
        <w:rPr>
          <w:rFonts w:ascii="Arial" w:hAnsi="Arial" w:cs="Arial"/>
          <w:sz w:val="22"/>
          <w:lang w:val="es-ES_tradnl"/>
        </w:rPr>
      </w:r>
      <w:r w:rsidRPr="00083041">
        <w:rPr>
          <w:rFonts w:ascii="Arial" w:hAnsi="Arial" w:cs="Arial"/>
          <w:sz w:val="22"/>
          <w:lang w:val="es-ES_tradnl"/>
        </w:rPr>
        <w:fldChar w:fldCharType="separate"/>
      </w:r>
      <w:r w:rsidRPr="00083041">
        <w:rPr>
          <w:rFonts w:ascii="Arial" w:hAnsi="Arial" w:cs="Arial"/>
          <w:sz w:val="22"/>
          <w:lang w:val="es-ES_tradnl"/>
        </w:rPr>
        <w:t>4</w:t>
      </w:r>
      <w:r w:rsidRPr="00083041">
        <w:rPr>
          <w:rFonts w:ascii="Arial" w:hAnsi="Arial" w:cs="Arial"/>
          <w:sz w:val="22"/>
          <w:lang w:val="es-ES_tradnl"/>
        </w:rPr>
        <w:fldChar w:fldCharType="end"/>
      </w:r>
    </w:p>
    <w:p w14:paraId="21EAF567" w14:textId="77777777" w:rsidR="004C42F1" w:rsidRPr="00083041" w:rsidRDefault="004C42F1" w:rsidP="00F950A5">
      <w:pPr>
        <w:pStyle w:val="TOC3"/>
        <w:rPr>
          <w:lang w:val="es-ES_tradnl" w:eastAsia="en-US"/>
        </w:rPr>
      </w:pPr>
      <w:r w:rsidRPr="00083041">
        <w:rPr>
          <w:color w:val="000000" w:themeColor="text1"/>
          <w:lang w:val="es-ES_tradnl"/>
        </w:rPr>
        <w:t>1.</w:t>
      </w:r>
      <w:r w:rsidRPr="00083041">
        <w:rPr>
          <w:lang w:val="es-ES_tradnl" w:eastAsia="en-US"/>
        </w:rPr>
        <w:tab/>
      </w:r>
      <w:r w:rsidR="00D82DF3" w:rsidRPr="00083041">
        <w:rPr>
          <w:color w:val="000000" w:themeColor="text1"/>
          <w:lang w:val="es-ES_tradnl"/>
        </w:rPr>
        <w:t>Descripción</w:t>
      </w:r>
      <w:r w:rsidRPr="00083041">
        <w:rPr>
          <w:lang w:val="es-ES_tradnl"/>
        </w:rPr>
        <w:tab/>
      </w:r>
      <w:r w:rsidRPr="00083041">
        <w:rPr>
          <w:lang w:val="es-ES_tradnl"/>
        </w:rPr>
        <w:fldChar w:fldCharType="begin"/>
      </w:r>
      <w:r w:rsidRPr="00083041">
        <w:rPr>
          <w:lang w:val="es-ES_tradnl"/>
        </w:rPr>
        <w:instrText xml:space="preserve"> PAGEREF _Toc482367471 \h </w:instrText>
      </w:r>
      <w:r w:rsidRPr="00083041">
        <w:rPr>
          <w:lang w:val="es-ES_tradnl"/>
        </w:rPr>
      </w:r>
      <w:r w:rsidRPr="00083041">
        <w:rPr>
          <w:lang w:val="es-ES_tradnl"/>
        </w:rPr>
        <w:fldChar w:fldCharType="separate"/>
      </w:r>
      <w:r w:rsidRPr="00083041">
        <w:rPr>
          <w:lang w:val="es-ES_tradnl"/>
        </w:rPr>
        <w:t>4</w:t>
      </w:r>
      <w:r w:rsidRPr="00083041">
        <w:rPr>
          <w:lang w:val="es-ES_tradnl"/>
        </w:rPr>
        <w:fldChar w:fldCharType="end"/>
      </w:r>
    </w:p>
    <w:p w14:paraId="4DD525C4" w14:textId="77777777" w:rsidR="004C42F1" w:rsidRPr="00083041" w:rsidRDefault="004C42F1" w:rsidP="00F950A5">
      <w:pPr>
        <w:pStyle w:val="TOC3"/>
        <w:rPr>
          <w:lang w:val="es-ES_tradnl" w:eastAsia="en-US"/>
        </w:rPr>
      </w:pPr>
      <w:r w:rsidRPr="00083041">
        <w:rPr>
          <w:lang w:val="es-ES_tradnl"/>
        </w:rPr>
        <w:t>2.</w:t>
      </w:r>
      <w:r w:rsidRPr="00083041">
        <w:rPr>
          <w:lang w:val="es-ES_tradnl" w:eastAsia="en-US"/>
        </w:rPr>
        <w:tab/>
      </w:r>
      <w:r w:rsidRPr="00083041">
        <w:rPr>
          <w:lang w:val="es-ES_tradnl"/>
        </w:rPr>
        <w:t>Descripción de la estrategia en términos generales</w:t>
      </w:r>
      <w:r w:rsidRPr="00083041">
        <w:rPr>
          <w:lang w:val="es-ES_tradnl"/>
        </w:rPr>
        <w:tab/>
      </w:r>
      <w:r w:rsidRPr="00083041">
        <w:rPr>
          <w:lang w:val="es-ES_tradnl"/>
        </w:rPr>
        <w:fldChar w:fldCharType="begin"/>
      </w:r>
      <w:r w:rsidRPr="00083041">
        <w:rPr>
          <w:lang w:val="es-ES_tradnl"/>
        </w:rPr>
        <w:instrText xml:space="preserve"> PAGEREF _Toc482367472 \h </w:instrText>
      </w:r>
      <w:r w:rsidRPr="00083041">
        <w:rPr>
          <w:lang w:val="es-ES_tradnl"/>
        </w:rPr>
      </w:r>
      <w:r w:rsidRPr="00083041">
        <w:rPr>
          <w:lang w:val="es-ES_tradnl"/>
        </w:rPr>
        <w:fldChar w:fldCharType="separate"/>
      </w:r>
      <w:r w:rsidRPr="00083041">
        <w:rPr>
          <w:lang w:val="es-ES_tradnl"/>
        </w:rPr>
        <w:t>5</w:t>
      </w:r>
      <w:r w:rsidRPr="00083041">
        <w:rPr>
          <w:lang w:val="es-ES_tradnl"/>
        </w:rPr>
        <w:fldChar w:fldCharType="end"/>
      </w:r>
    </w:p>
    <w:p w14:paraId="0516B6A2" w14:textId="77777777" w:rsidR="004C42F1" w:rsidRPr="00083041" w:rsidRDefault="004C42F1" w:rsidP="00D82DF3">
      <w:pPr>
        <w:pStyle w:val="TOC2"/>
        <w:rPr>
          <w:rFonts w:ascii="Arial" w:hAnsi="Arial" w:cs="Arial"/>
          <w:sz w:val="22"/>
          <w:lang w:val="es-ES_tradnl" w:eastAsia="en-US"/>
        </w:rPr>
      </w:pPr>
      <w:r w:rsidRPr="00083041">
        <w:rPr>
          <w:rFonts w:ascii="Arial" w:hAnsi="Arial" w:cs="Arial"/>
          <w:sz w:val="22"/>
          <w:lang w:val="es-ES_tradnl"/>
        </w:rPr>
        <w:t>Supuestos, parámetros, fuentes</w:t>
      </w:r>
      <w:r w:rsidRPr="00083041">
        <w:rPr>
          <w:rFonts w:ascii="Arial" w:hAnsi="Arial" w:cs="Arial"/>
          <w:sz w:val="22"/>
          <w:lang w:val="es-ES_tradnl"/>
        </w:rPr>
        <w:tab/>
      </w:r>
      <w:r w:rsidRPr="00083041">
        <w:rPr>
          <w:rFonts w:ascii="Arial" w:hAnsi="Arial" w:cs="Arial"/>
          <w:sz w:val="22"/>
          <w:lang w:val="es-ES_tradnl"/>
        </w:rPr>
        <w:fldChar w:fldCharType="begin"/>
      </w:r>
      <w:r w:rsidRPr="00083041">
        <w:rPr>
          <w:rFonts w:ascii="Arial" w:hAnsi="Arial" w:cs="Arial"/>
          <w:sz w:val="22"/>
          <w:lang w:val="es-ES_tradnl"/>
        </w:rPr>
        <w:instrText xml:space="preserve"> PAGEREF _Toc482367473 \h </w:instrText>
      </w:r>
      <w:r w:rsidRPr="00083041">
        <w:rPr>
          <w:rFonts w:ascii="Arial" w:hAnsi="Arial" w:cs="Arial"/>
          <w:sz w:val="22"/>
          <w:lang w:val="es-ES_tradnl"/>
        </w:rPr>
      </w:r>
      <w:r w:rsidRPr="00083041">
        <w:rPr>
          <w:rFonts w:ascii="Arial" w:hAnsi="Arial" w:cs="Arial"/>
          <w:sz w:val="22"/>
          <w:lang w:val="es-ES_tradnl"/>
        </w:rPr>
        <w:fldChar w:fldCharType="separate"/>
      </w:r>
      <w:r w:rsidRPr="00083041">
        <w:rPr>
          <w:rFonts w:ascii="Arial" w:hAnsi="Arial" w:cs="Arial"/>
          <w:sz w:val="22"/>
          <w:lang w:val="es-ES_tradnl"/>
        </w:rPr>
        <w:t>8</w:t>
      </w:r>
      <w:r w:rsidRPr="00083041">
        <w:rPr>
          <w:rFonts w:ascii="Arial" w:hAnsi="Arial" w:cs="Arial"/>
          <w:sz w:val="22"/>
          <w:lang w:val="es-ES_tradnl"/>
        </w:rPr>
        <w:fldChar w:fldCharType="end"/>
      </w:r>
    </w:p>
    <w:p w14:paraId="536923F1" w14:textId="77777777" w:rsidR="004C42F1" w:rsidRPr="00083041" w:rsidRDefault="004C42F1">
      <w:pPr>
        <w:pStyle w:val="TOC1"/>
        <w:rPr>
          <w:rFonts w:ascii="Arial" w:hAnsi="Arial" w:cs="Arial"/>
          <w:b w:val="0"/>
          <w:smallCaps w:val="0"/>
          <w:noProof w:val="0"/>
          <w:sz w:val="22"/>
          <w:lang w:eastAsia="en-US"/>
        </w:rPr>
      </w:pPr>
      <w:r w:rsidRPr="00083041">
        <w:rPr>
          <w:rFonts w:ascii="Arial" w:hAnsi="Arial" w:cs="Arial"/>
          <w:noProof w:val="0"/>
          <w:color w:val="000000" w:themeColor="text1"/>
          <w:sz w:val="22"/>
        </w:rPr>
        <w:t>III.</w:t>
      </w:r>
      <w:r w:rsidRPr="00083041">
        <w:rPr>
          <w:rFonts w:ascii="Arial" w:hAnsi="Arial" w:cs="Arial"/>
          <w:b w:val="0"/>
          <w:smallCaps w:val="0"/>
          <w:noProof w:val="0"/>
          <w:sz w:val="22"/>
          <w:lang w:eastAsia="en-US"/>
        </w:rPr>
        <w:tab/>
      </w:r>
      <w:r w:rsidRPr="00083041">
        <w:rPr>
          <w:rFonts w:ascii="Arial" w:hAnsi="Arial" w:cs="Arial"/>
          <w:noProof w:val="0"/>
          <w:color w:val="000000" w:themeColor="text1"/>
          <w:sz w:val="22"/>
        </w:rPr>
        <w:t>Valoración del Beneficio Económico</w:t>
      </w:r>
      <w:r w:rsidRPr="00083041">
        <w:rPr>
          <w:rFonts w:ascii="Arial" w:hAnsi="Arial" w:cs="Arial"/>
          <w:noProof w:val="0"/>
          <w:sz w:val="22"/>
        </w:rPr>
        <w:tab/>
      </w:r>
      <w:r w:rsidRPr="00083041">
        <w:rPr>
          <w:rFonts w:ascii="Arial" w:hAnsi="Arial" w:cs="Arial"/>
          <w:noProof w:val="0"/>
          <w:sz w:val="22"/>
        </w:rPr>
        <w:fldChar w:fldCharType="begin"/>
      </w:r>
      <w:r w:rsidRPr="00083041">
        <w:rPr>
          <w:rFonts w:ascii="Arial" w:hAnsi="Arial" w:cs="Arial"/>
          <w:noProof w:val="0"/>
          <w:sz w:val="22"/>
        </w:rPr>
        <w:instrText xml:space="preserve"> PAGEREF _Toc482367474 \h </w:instrText>
      </w:r>
      <w:r w:rsidRPr="00083041">
        <w:rPr>
          <w:rFonts w:ascii="Arial" w:hAnsi="Arial" w:cs="Arial"/>
          <w:noProof w:val="0"/>
          <w:sz w:val="22"/>
        </w:rPr>
      </w:r>
      <w:r w:rsidRPr="00083041">
        <w:rPr>
          <w:rFonts w:ascii="Arial" w:hAnsi="Arial" w:cs="Arial"/>
          <w:noProof w:val="0"/>
          <w:sz w:val="22"/>
        </w:rPr>
        <w:fldChar w:fldCharType="separate"/>
      </w:r>
      <w:r w:rsidRPr="00083041">
        <w:rPr>
          <w:rFonts w:ascii="Arial" w:hAnsi="Arial" w:cs="Arial"/>
          <w:noProof w:val="0"/>
          <w:sz w:val="22"/>
        </w:rPr>
        <w:t>14</w:t>
      </w:r>
      <w:r w:rsidRPr="00083041">
        <w:rPr>
          <w:rFonts w:ascii="Arial" w:hAnsi="Arial" w:cs="Arial"/>
          <w:noProof w:val="0"/>
          <w:sz w:val="22"/>
        </w:rPr>
        <w:fldChar w:fldCharType="end"/>
      </w:r>
    </w:p>
    <w:p w14:paraId="0394AC25" w14:textId="77777777" w:rsidR="004C42F1" w:rsidRPr="00083041" w:rsidRDefault="004C42F1">
      <w:pPr>
        <w:pStyle w:val="TOC1"/>
        <w:rPr>
          <w:rFonts w:ascii="Arial" w:hAnsi="Arial" w:cs="Arial"/>
          <w:b w:val="0"/>
          <w:smallCaps w:val="0"/>
          <w:noProof w:val="0"/>
          <w:sz w:val="22"/>
          <w:lang w:eastAsia="en-US"/>
        </w:rPr>
      </w:pPr>
      <w:r w:rsidRPr="00083041">
        <w:rPr>
          <w:rFonts w:ascii="Arial" w:hAnsi="Arial" w:cs="Arial"/>
          <w:noProof w:val="0"/>
          <w:color w:val="000000" w:themeColor="text1"/>
          <w:sz w:val="22"/>
        </w:rPr>
        <w:t>IV.</w:t>
      </w:r>
      <w:r w:rsidRPr="00083041">
        <w:rPr>
          <w:rFonts w:ascii="Arial" w:hAnsi="Arial" w:cs="Arial"/>
          <w:b w:val="0"/>
          <w:smallCaps w:val="0"/>
          <w:noProof w:val="0"/>
          <w:sz w:val="22"/>
          <w:lang w:eastAsia="en-US"/>
        </w:rPr>
        <w:tab/>
      </w:r>
      <w:r w:rsidRPr="00083041">
        <w:rPr>
          <w:rFonts w:ascii="Arial" w:hAnsi="Arial" w:cs="Arial"/>
          <w:noProof w:val="0"/>
          <w:color w:val="000000" w:themeColor="text1"/>
          <w:sz w:val="22"/>
        </w:rPr>
        <w:t>Análisis de Sensibilidad</w:t>
      </w:r>
      <w:r w:rsidRPr="00083041">
        <w:rPr>
          <w:rFonts w:ascii="Arial" w:hAnsi="Arial" w:cs="Arial"/>
          <w:noProof w:val="0"/>
          <w:sz w:val="22"/>
        </w:rPr>
        <w:tab/>
      </w:r>
      <w:r w:rsidRPr="00083041">
        <w:rPr>
          <w:rFonts w:ascii="Arial" w:hAnsi="Arial" w:cs="Arial"/>
          <w:noProof w:val="0"/>
          <w:sz w:val="22"/>
        </w:rPr>
        <w:fldChar w:fldCharType="begin"/>
      </w:r>
      <w:r w:rsidRPr="00083041">
        <w:rPr>
          <w:rFonts w:ascii="Arial" w:hAnsi="Arial" w:cs="Arial"/>
          <w:noProof w:val="0"/>
          <w:sz w:val="22"/>
        </w:rPr>
        <w:instrText xml:space="preserve"> PAGEREF _Toc482367475 \h </w:instrText>
      </w:r>
      <w:r w:rsidRPr="00083041">
        <w:rPr>
          <w:rFonts w:ascii="Arial" w:hAnsi="Arial" w:cs="Arial"/>
          <w:noProof w:val="0"/>
          <w:sz w:val="22"/>
        </w:rPr>
      </w:r>
      <w:r w:rsidRPr="00083041">
        <w:rPr>
          <w:rFonts w:ascii="Arial" w:hAnsi="Arial" w:cs="Arial"/>
          <w:noProof w:val="0"/>
          <w:sz w:val="22"/>
        </w:rPr>
        <w:fldChar w:fldCharType="separate"/>
      </w:r>
      <w:r w:rsidRPr="00083041">
        <w:rPr>
          <w:rFonts w:ascii="Arial" w:hAnsi="Arial" w:cs="Arial"/>
          <w:noProof w:val="0"/>
          <w:sz w:val="22"/>
        </w:rPr>
        <w:t>17</w:t>
      </w:r>
      <w:r w:rsidRPr="00083041">
        <w:rPr>
          <w:rFonts w:ascii="Arial" w:hAnsi="Arial" w:cs="Arial"/>
          <w:noProof w:val="0"/>
          <w:sz w:val="22"/>
        </w:rPr>
        <w:fldChar w:fldCharType="end"/>
      </w:r>
    </w:p>
    <w:p w14:paraId="799CC7E0" w14:textId="77777777" w:rsidR="004C42F1" w:rsidRPr="00083041" w:rsidRDefault="004C42F1">
      <w:pPr>
        <w:pStyle w:val="TOC1"/>
        <w:rPr>
          <w:rFonts w:ascii="Arial" w:hAnsi="Arial" w:cs="Arial"/>
          <w:b w:val="0"/>
          <w:smallCaps w:val="0"/>
          <w:noProof w:val="0"/>
          <w:sz w:val="22"/>
          <w:lang w:eastAsia="en-US"/>
        </w:rPr>
      </w:pPr>
      <w:r w:rsidRPr="00083041">
        <w:rPr>
          <w:rFonts w:ascii="Arial" w:hAnsi="Arial" w:cs="Arial"/>
          <w:noProof w:val="0"/>
          <w:sz w:val="22"/>
        </w:rPr>
        <w:t>V.</w:t>
      </w:r>
      <w:r w:rsidRPr="00083041">
        <w:rPr>
          <w:rFonts w:ascii="Arial" w:hAnsi="Arial" w:cs="Arial"/>
          <w:b w:val="0"/>
          <w:smallCaps w:val="0"/>
          <w:noProof w:val="0"/>
          <w:sz w:val="22"/>
          <w:lang w:eastAsia="en-US"/>
        </w:rPr>
        <w:tab/>
      </w:r>
      <w:r w:rsidRPr="00083041">
        <w:rPr>
          <w:rFonts w:ascii="Arial" w:hAnsi="Arial" w:cs="Arial"/>
          <w:noProof w:val="0"/>
          <w:sz w:val="22"/>
        </w:rPr>
        <w:t>Conclusiones</w:t>
      </w:r>
      <w:r w:rsidRPr="00083041">
        <w:rPr>
          <w:rFonts w:ascii="Arial" w:hAnsi="Arial" w:cs="Arial"/>
          <w:noProof w:val="0"/>
          <w:sz w:val="22"/>
        </w:rPr>
        <w:tab/>
      </w:r>
      <w:r w:rsidRPr="00083041">
        <w:rPr>
          <w:rFonts w:ascii="Arial" w:hAnsi="Arial" w:cs="Arial"/>
          <w:noProof w:val="0"/>
          <w:sz w:val="22"/>
        </w:rPr>
        <w:fldChar w:fldCharType="begin"/>
      </w:r>
      <w:r w:rsidRPr="00083041">
        <w:rPr>
          <w:rFonts w:ascii="Arial" w:hAnsi="Arial" w:cs="Arial"/>
          <w:noProof w:val="0"/>
          <w:sz w:val="22"/>
        </w:rPr>
        <w:instrText xml:space="preserve"> PAGEREF _Toc482367476 \h </w:instrText>
      </w:r>
      <w:r w:rsidRPr="00083041">
        <w:rPr>
          <w:rFonts w:ascii="Arial" w:hAnsi="Arial" w:cs="Arial"/>
          <w:noProof w:val="0"/>
          <w:sz w:val="22"/>
        </w:rPr>
      </w:r>
      <w:r w:rsidRPr="00083041">
        <w:rPr>
          <w:rFonts w:ascii="Arial" w:hAnsi="Arial" w:cs="Arial"/>
          <w:noProof w:val="0"/>
          <w:sz w:val="22"/>
        </w:rPr>
        <w:fldChar w:fldCharType="separate"/>
      </w:r>
      <w:r w:rsidRPr="00083041">
        <w:rPr>
          <w:rFonts w:ascii="Arial" w:hAnsi="Arial" w:cs="Arial"/>
          <w:noProof w:val="0"/>
          <w:sz w:val="22"/>
        </w:rPr>
        <w:t>18</w:t>
      </w:r>
      <w:r w:rsidRPr="00083041">
        <w:rPr>
          <w:rFonts w:ascii="Arial" w:hAnsi="Arial" w:cs="Arial"/>
          <w:noProof w:val="0"/>
          <w:sz w:val="22"/>
        </w:rPr>
        <w:fldChar w:fldCharType="end"/>
      </w:r>
    </w:p>
    <w:p w14:paraId="0EACE4AC" w14:textId="77777777" w:rsidR="0086613E" w:rsidRPr="00CF484C" w:rsidRDefault="00997F7A" w:rsidP="00F950A5">
      <w:pPr>
        <w:pStyle w:val="TOC3"/>
        <w:rPr>
          <w:lang w:val="es-ES_tradnl"/>
        </w:rPr>
      </w:pPr>
      <w:r w:rsidRPr="00083041">
        <w:rPr>
          <w:lang w:val="es-ES_tradnl"/>
        </w:rPr>
        <w:fldChar w:fldCharType="end"/>
      </w:r>
    </w:p>
    <w:p w14:paraId="19CD5D8C" w14:textId="77777777" w:rsidR="0086613E" w:rsidRPr="00083041" w:rsidRDefault="0086613E" w:rsidP="00F950A5">
      <w:pPr>
        <w:pStyle w:val="TOC3"/>
        <w:rPr>
          <w:lang w:val="es-ES_tradnl"/>
        </w:rPr>
      </w:pPr>
      <w:r w:rsidRPr="00CF484C">
        <w:rPr>
          <w:lang w:val="es-ES_tradnl"/>
        </w:rPr>
        <w:tab/>
      </w:r>
      <w:r w:rsidRPr="00083041">
        <w:rPr>
          <w:lang w:val="es-ES_tradnl"/>
        </w:rPr>
        <w:t>ANEXO- CUADROS</w:t>
      </w:r>
    </w:p>
    <w:p w14:paraId="768A8D23" w14:textId="77777777" w:rsidR="00361F93" w:rsidRDefault="00361F93" w:rsidP="001D1187">
      <w:pPr>
        <w:rPr>
          <w:rFonts w:ascii="Arial" w:hAnsi="Arial" w:cs="Arial"/>
          <w:lang w:val="es-ES_tradnl" w:eastAsia="ja-JP"/>
        </w:rPr>
        <w:sectPr w:rsidR="00361F93" w:rsidSect="001D1187">
          <w:footerReference w:type="default" r:id="rId11"/>
          <w:footerReference w:type="first" r:id="rId12"/>
          <w:pgSz w:w="12242" w:h="15842" w:code="1"/>
          <w:pgMar w:top="1440" w:right="1797" w:bottom="1440" w:left="1797" w:header="720" w:footer="720" w:gutter="0"/>
          <w:pgNumType w:start="0"/>
          <w:cols w:space="708"/>
          <w:titlePg/>
          <w:docGrid w:linePitch="360"/>
        </w:sectPr>
      </w:pPr>
    </w:p>
    <w:p w14:paraId="3C556A48" w14:textId="77777777" w:rsidR="00F10FC6" w:rsidRPr="00083041" w:rsidRDefault="00F10FC6" w:rsidP="00C208B2">
      <w:pPr>
        <w:pStyle w:val="Chapter"/>
        <w:spacing w:before="0"/>
        <w:ind w:left="720"/>
        <w:rPr>
          <w:rFonts w:ascii="Arial" w:hAnsi="Arial" w:cs="Arial"/>
          <w:color w:val="000000" w:themeColor="text1"/>
          <w:sz w:val="22"/>
          <w:szCs w:val="22"/>
          <w:lang w:val="es-ES_tradnl"/>
        </w:rPr>
      </w:pPr>
      <w:bookmarkStart w:id="5" w:name="_Toc482367468"/>
      <w:r w:rsidRPr="00083041">
        <w:rPr>
          <w:rFonts w:ascii="Arial" w:hAnsi="Arial" w:cs="Arial"/>
          <w:color w:val="000000" w:themeColor="text1"/>
          <w:sz w:val="22"/>
          <w:szCs w:val="22"/>
          <w:lang w:val="es-ES_tradnl"/>
        </w:rPr>
        <w:lastRenderedPageBreak/>
        <w:t>Introducción</w:t>
      </w:r>
      <w:bookmarkEnd w:id="3"/>
      <w:bookmarkEnd w:id="4"/>
      <w:bookmarkEnd w:id="5"/>
    </w:p>
    <w:p w14:paraId="33DB1BA8" w14:textId="77777777" w:rsidR="005A27EC" w:rsidRPr="00083041" w:rsidRDefault="005A27EC" w:rsidP="006854CE">
      <w:pPr>
        <w:pStyle w:val="Paragraph"/>
        <w:numPr>
          <w:ilvl w:val="1"/>
          <w:numId w:val="4"/>
        </w:numPr>
        <w:tabs>
          <w:tab w:val="clear" w:pos="2448"/>
          <w:tab w:val="num" w:pos="720"/>
        </w:tabs>
        <w:ind w:left="720" w:hanging="720"/>
        <w:rPr>
          <w:rFonts w:ascii="Arial" w:hAnsi="Arial" w:cs="Arial"/>
          <w:sz w:val="22"/>
          <w:szCs w:val="22"/>
          <w:lang w:val="es-ES_tradnl"/>
        </w:rPr>
      </w:pPr>
      <w:r w:rsidRPr="00083041">
        <w:rPr>
          <w:rFonts w:ascii="Arial" w:hAnsi="Arial" w:cs="Arial"/>
          <w:b/>
          <w:sz w:val="22"/>
          <w:szCs w:val="22"/>
          <w:lang w:val="es-ES_tradnl"/>
        </w:rPr>
        <w:t>Contexto macroeconómico</w:t>
      </w:r>
      <w:r w:rsidRPr="00083041">
        <w:rPr>
          <w:rFonts w:ascii="Arial" w:hAnsi="Arial" w:cs="Arial"/>
          <w:sz w:val="22"/>
          <w:szCs w:val="22"/>
          <w:lang w:val="es-ES_tradnl"/>
        </w:rPr>
        <w:t>. Luego de contraerse en un 4,7% en 2009 a consecuencia de la crisis financiera internacional, la economía mexicana ha mostrado un desempeño favorable, creciendo a una tasa promedio anual de 3,5% entre 2010 y 2013</w:t>
      </w:r>
      <w:r w:rsidRPr="00083041">
        <w:rPr>
          <w:rStyle w:val="FootnoteReference"/>
          <w:rFonts w:ascii="Arial" w:eastAsiaTheme="minorEastAsia" w:hAnsi="Arial" w:cs="Arial"/>
          <w:sz w:val="22"/>
          <w:szCs w:val="22"/>
          <w:lang w:val="es-ES_tradnl"/>
        </w:rPr>
        <w:footnoteReference w:id="2"/>
      </w:r>
      <w:r w:rsidRPr="00083041">
        <w:rPr>
          <w:rFonts w:ascii="Arial" w:hAnsi="Arial" w:cs="Arial"/>
          <w:sz w:val="22"/>
          <w:szCs w:val="22"/>
          <w:lang w:val="es-ES_tradnl"/>
        </w:rPr>
        <w:t>, manteniendo estables la inflación y el saldo de cuenta corriente, aunque mostrando una leve erosión de sus finanzas públicas. En los últimos cinco años la economía mexicana ha mostrado resiliencia a un entorno externo complejo: los bajos precios del petróleo, el proceso electoral de EE. UU., el proceso de normalización de la política monetaria de la Reserva Federal, y la renegociación del Tratado de Libre Comercio de América del Norte han constituido los mayores retos a los que ha tenido que hacer frente la economía. Así, a partir de 2014, la economía mexicana ha venido experimentando un crecimiento superior al 2% anual (2,2% en 2014; 2,5% en 2015; 2,3% en 2016 y, finalmente, 2% en 2017) impulsado por el consumo privado y la recuperación de las exportaciones, y de la mano de una inflación que marcó en 2015 un récord histórico a la baja de 2,1%</w:t>
      </w:r>
      <w:r w:rsidRPr="00083041">
        <w:rPr>
          <w:rStyle w:val="FootnoteReference"/>
          <w:rFonts w:ascii="Arial" w:hAnsi="Arial" w:cs="Arial"/>
          <w:sz w:val="22"/>
          <w:szCs w:val="22"/>
          <w:lang w:val="es-ES_tradnl"/>
        </w:rPr>
        <w:footnoteReference w:id="3"/>
      </w:r>
      <w:r w:rsidRPr="00083041">
        <w:rPr>
          <w:rFonts w:ascii="Arial" w:hAnsi="Arial" w:cs="Arial"/>
          <w:sz w:val="22"/>
          <w:szCs w:val="22"/>
          <w:lang w:val="es-ES_tradnl"/>
        </w:rPr>
        <w:t xml:space="preserve"> y manteniéndose dentro del objetivo del 3% durante 2016 y 2017 (Fondo Monetario Internacional, </w:t>
      </w:r>
      <w:r w:rsidRPr="00083041">
        <w:rPr>
          <w:rFonts w:ascii="Arial" w:hAnsi="Arial" w:cs="Arial"/>
          <w:i/>
          <w:sz w:val="22"/>
          <w:szCs w:val="22"/>
          <w:lang w:val="es-ES_tradnl"/>
        </w:rPr>
        <w:t>Article IV Consultation</w:t>
      </w:r>
      <w:r w:rsidRPr="00083041">
        <w:rPr>
          <w:rFonts w:ascii="Arial" w:hAnsi="Arial" w:cs="Arial"/>
          <w:sz w:val="22"/>
          <w:szCs w:val="22"/>
          <w:lang w:val="es-ES_tradnl"/>
        </w:rPr>
        <w:t xml:space="preserve">). </w:t>
      </w:r>
      <w:r w:rsidRPr="00CF484C">
        <w:rPr>
          <w:rFonts w:ascii="Arial" w:hAnsi="Arial" w:cs="Arial"/>
          <w:sz w:val="22"/>
          <w:szCs w:val="22"/>
          <w:lang w:val="es-ES_tradnl"/>
        </w:rPr>
        <w:t xml:space="preserve">Las expectativas de crecimiento son de 2,2% para 2017 si bien la cuenta corriente se mantendría en los niveles al alza de los últimos años con un déficit en torno al 2.8%. </w:t>
      </w:r>
      <w:r w:rsidRPr="00083041">
        <w:rPr>
          <w:rFonts w:ascii="Arial" w:hAnsi="Arial" w:cs="Arial"/>
          <w:sz w:val="22"/>
          <w:szCs w:val="22"/>
          <w:lang w:val="es-ES_tradnl"/>
        </w:rPr>
        <w:t xml:space="preserve">Asimismo, la tasa de empleo ha alcanzados niveles previos a la crisis financiera con cifras del 3,3% en 2017. En política económica, el tipo de cambio flexible ha permitido ajustes de la economía a choques externos: se ha depreciado en 30% desde 2012, contribuyendo a acelerar la inflación (6,8%). Con todo, el reto principal continúa siendo la productividad, que en promedio fue negativa (˗0,2) entre 2012 y 2016. </w:t>
      </w:r>
    </w:p>
    <w:p w14:paraId="77C0CB27" w14:textId="77777777" w:rsidR="00215EC5" w:rsidRPr="00083041" w:rsidRDefault="00215EC5" w:rsidP="006854CE">
      <w:pPr>
        <w:pStyle w:val="Paragraph"/>
        <w:numPr>
          <w:ilvl w:val="1"/>
          <w:numId w:val="4"/>
        </w:numPr>
        <w:tabs>
          <w:tab w:val="clear" w:pos="2448"/>
          <w:tab w:val="num" w:pos="720"/>
        </w:tabs>
        <w:ind w:left="720" w:hanging="720"/>
        <w:rPr>
          <w:rFonts w:ascii="Arial" w:hAnsi="Arial" w:cs="Arial"/>
          <w:sz w:val="22"/>
          <w:szCs w:val="22"/>
          <w:lang w:val="es-ES_tradnl"/>
        </w:rPr>
      </w:pPr>
      <w:r w:rsidRPr="00083041">
        <w:rPr>
          <w:rFonts w:ascii="Arial" w:hAnsi="Arial" w:cs="Arial"/>
          <w:b/>
          <w:sz w:val="22"/>
          <w:szCs w:val="22"/>
          <w:lang w:val="es-ES_tradnl"/>
        </w:rPr>
        <w:t>Productividad, infraestructuras y financiamiento</w:t>
      </w:r>
      <w:r w:rsidRPr="00083041">
        <w:rPr>
          <w:rFonts w:ascii="Arial" w:hAnsi="Arial" w:cs="Arial"/>
          <w:sz w:val="22"/>
          <w:szCs w:val="22"/>
          <w:lang w:val="es-ES_tradnl"/>
        </w:rPr>
        <w:t xml:space="preserve">. La productividad es la causa fundamental del rezago en el crecimiento económico de América Latina. </w:t>
      </w:r>
      <w:r w:rsidR="007D2D7F" w:rsidRPr="00083041">
        <w:rPr>
          <w:rFonts w:ascii="Arial" w:hAnsi="Arial" w:cs="Arial"/>
          <w:sz w:val="22"/>
          <w:szCs w:val="22"/>
          <w:lang w:val="es-ES_tradnl"/>
        </w:rPr>
        <w:t xml:space="preserve">La introducción de nuevas tecnologías e infraestructuras productivas es clave para </w:t>
      </w:r>
      <w:r w:rsidR="005376DD" w:rsidRPr="00083041">
        <w:rPr>
          <w:rFonts w:ascii="Arial" w:hAnsi="Arial" w:cs="Arial"/>
          <w:sz w:val="22"/>
          <w:szCs w:val="22"/>
          <w:lang w:val="es-ES_tradnl"/>
        </w:rPr>
        <w:t>s</w:t>
      </w:r>
      <w:r w:rsidRPr="00083041">
        <w:rPr>
          <w:rFonts w:ascii="Arial" w:hAnsi="Arial" w:cs="Arial"/>
          <w:sz w:val="22"/>
          <w:szCs w:val="22"/>
          <w:lang w:val="es-ES_tradnl"/>
        </w:rPr>
        <w:t xml:space="preserve">uperar este </w:t>
      </w:r>
      <w:r w:rsidR="005376DD" w:rsidRPr="00083041">
        <w:rPr>
          <w:rFonts w:ascii="Arial" w:hAnsi="Arial" w:cs="Arial"/>
          <w:sz w:val="22"/>
          <w:szCs w:val="22"/>
          <w:lang w:val="es-ES_tradnl"/>
        </w:rPr>
        <w:t>rezago</w:t>
      </w:r>
      <w:r w:rsidRPr="00083041">
        <w:rPr>
          <w:rFonts w:ascii="Arial" w:hAnsi="Arial" w:cs="Arial"/>
          <w:sz w:val="22"/>
          <w:szCs w:val="22"/>
          <w:vertAlign w:val="superscript"/>
          <w:lang w:val="es-ES_tradnl"/>
        </w:rPr>
        <w:footnoteReference w:id="4"/>
      </w:r>
      <w:r w:rsidRPr="00083041">
        <w:rPr>
          <w:rFonts w:ascii="Arial" w:hAnsi="Arial" w:cs="Arial"/>
          <w:sz w:val="22"/>
          <w:szCs w:val="22"/>
          <w:lang w:val="es-ES_tradnl"/>
        </w:rPr>
        <w:t>. Se estima que, a nivel global</w:t>
      </w:r>
      <w:r w:rsidR="005376DD" w:rsidRPr="00083041">
        <w:rPr>
          <w:rFonts w:ascii="Arial" w:hAnsi="Arial" w:cs="Arial"/>
          <w:sz w:val="22"/>
          <w:szCs w:val="22"/>
          <w:lang w:val="es-ES_tradnl"/>
        </w:rPr>
        <w:t xml:space="preserve"> en América Latina y el Caribe</w:t>
      </w:r>
      <w:r w:rsidRPr="00083041">
        <w:rPr>
          <w:rFonts w:ascii="Arial" w:hAnsi="Arial" w:cs="Arial"/>
          <w:sz w:val="22"/>
          <w:szCs w:val="22"/>
          <w:lang w:val="es-ES_tradnl"/>
        </w:rPr>
        <w:t>, se requiere invertir US$57 millones de millones en infraestructuras hasta 2030 para mantener los niveles de crecimiento del PIB proyectados</w:t>
      </w:r>
      <w:r w:rsidRPr="00083041">
        <w:rPr>
          <w:rFonts w:ascii="Arial" w:hAnsi="Arial" w:cs="Arial"/>
          <w:sz w:val="22"/>
          <w:szCs w:val="22"/>
          <w:vertAlign w:val="superscript"/>
          <w:lang w:val="es-ES_tradnl"/>
        </w:rPr>
        <w:footnoteReference w:id="5"/>
      </w:r>
      <w:r w:rsidRPr="00083041">
        <w:rPr>
          <w:rFonts w:ascii="Arial" w:hAnsi="Arial" w:cs="Arial"/>
          <w:sz w:val="22"/>
          <w:szCs w:val="22"/>
          <w:lang w:val="es-ES_tradnl"/>
        </w:rPr>
        <w:t>, y que a nivel global un incremento del 1% en el stock de infraestructuras produce un incremento del 0,08% del PIB</w:t>
      </w:r>
      <w:r w:rsidRPr="00083041">
        <w:rPr>
          <w:rFonts w:ascii="Arial" w:hAnsi="Arial" w:cs="Arial"/>
          <w:sz w:val="22"/>
          <w:szCs w:val="22"/>
          <w:vertAlign w:val="superscript"/>
          <w:lang w:val="es-ES_tradnl"/>
        </w:rPr>
        <w:footnoteReference w:id="6"/>
      </w:r>
      <w:r w:rsidRPr="00083041">
        <w:rPr>
          <w:rFonts w:ascii="Arial" w:hAnsi="Arial" w:cs="Arial"/>
          <w:sz w:val="22"/>
          <w:szCs w:val="22"/>
          <w:lang w:val="es-ES_tradnl"/>
        </w:rPr>
        <w:t xml:space="preserve">. Pese a la relevancia de la inversión en infraestructuras, las necesidades de financiamiento de algunos grandes proyectos de infraestructura no han podido ser atendidas totalmente debido a, entre otros, los siguientes factores: (i) las mayores limitaciones de los sistemas bancarios de prestar a largo plazo tras la crisis financiera debido a una mayor aversión al riesgo y a la entrada en vigor de los requerimientos de capital y liquidez de Basilea III; (ii) las crecientes </w:t>
      </w:r>
      <w:r w:rsidRPr="00083041">
        <w:rPr>
          <w:rFonts w:ascii="Arial" w:hAnsi="Arial" w:cs="Arial"/>
          <w:sz w:val="22"/>
          <w:szCs w:val="22"/>
          <w:lang w:val="es-ES_tradnl"/>
        </w:rPr>
        <w:lastRenderedPageBreak/>
        <w:t>limitaciones en los espacios fiscales de los países en la Región; (iii) la preferencia por activos de menor riesgo derivada del creciente envejecimiento de la población de las economías desarrolladas; y (iv) el escaso nivel de desarrollo de los mercados de capitales y de conocimiento de los inversores institucionales para financiar infraestructura.</w:t>
      </w:r>
    </w:p>
    <w:p w14:paraId="3A3E902E" w14:textId="77777777" w:rsidR="00215EC5" w:rsidRPr="00083041" w:rsidRDefault="00215EC5" w:rsidP="006854CE">
      <w:pPr>
        <w:pStyle w:val="Paragraph"/>
        <w:numPr>
          <w:ilvl w:val="1"/>
          <w:numId w:val="4"/>
        </w:numPr>
        <w:tabs>
          <w:tab w:val="clear" w:pos="2448"/>
          <w:tab w:val="num" w:pos="720"/>
        </w:tabs>
        <w:ind w:left="720" w:hanging="720"/>
        <w:rPr>
          <w:rFonts w:ascii="Arial" w:hAnsi="Arial" w:cs="Arial"/>
          <w:sz w:val="22"/>
          <w:szCs w:val="22"/>
          <w:lang w:val="es-ES_tradnl"/>
        </w:rPr>
      </w:pPr>
      <w:r w:rsidRPr="00083041">
        <w:rPr>
          <w:rFonts w:ascii="Arial" w:hAnsi="Arial" w:cs="Arial"/>
          <w:b/>
          <w:sz w:val="22"/>
          <w:szCs w:val="22"/>
          <w:lang w:val="es-ES_tradnl"/>
        </w:rPr>
        <w:t>Brechas de infraestructura en México</w:t>
      </w:r>
      <w:r w:rsidRPr="00083041">
        <w:rPr>
          <w:rFonts w:ascii="Arial" w:hAnsi="Arial" w:cs="Arial"/>
          <w:sz w:val="22"/>
          <w:szCs w:val="22"/>
          <w:lang w:val="es-ES_tradnl"/>
        </w:rPr>
        <w:t xml:space="preserve">. </w:t>
      </w:r>
      <w:r w:rsidR="004D67F3" w:rsidRPr="00083041">
        <w:rPr>
          <w:rFonts w:ascii="Arial" w:hAnsi="Arial" w:cs="Arial"/>
          <w:sz w:val="22"/>
          <w:szCs w:val="22"/>
          <w:lang w:val="es-ES_tradnl"/>
        </w:rPr>
        <w:t>L</w:t>
      </w:r>
      <w:r w:rsidRPr="00083041">
        <w:rPr>
          <w:rFonts w:ascii="Arial" w:hAnsi="Arial" w:cs="Arial"/>
          <w:sz w:val="22"/>
          <w:szCs w:val="22"/>
          <w:lang w:val="es-ES_tradnl"/>
        </w:rPr>
        <w:t>a economía mexicana presenta un nivel bajo de desarrollo de infraestructuras para su nivel de desarrollo económico</w:t>
      </w:r>
      <w:r w:rsidR="004D67F3" w:rsidRPr="00083041">
        <w:rPr>
          <w:rFonts w:ascii="Arial" w:hAnsi="Arial" w:cs="Arial"/>
          <w:sz w:val="22"/>
          <w:szCs w:val="22"/>
          <w:lang w:val="es-ES_tradnl"/>
        </w:rPr>
        <w:t xml:space="preserve"> -se sitúa en el puesto 69 de 139 países en el </w:t>
      </w:r>
      <w:r w:rsidRPr="00083041">
        <w:rPr>
          <w:rFonts w:ascii="Arial" w:hAnsi="Arial" w:cs="Arial"/>
          <w:sz w:val="22"/>
          <w:szCs w:val="22"/>
          <w:lang w:val="es-ES_tradnl"/>
        </w:rPr>
        <w:t>Índice Global de Competitividad del Foro Económico y el puesto 84 de 139 en Infraestructuras de telecomunicaciones</w:t>
      </w:r>
      <w:r w:rsidR="004D67F3" w:rsidRPr="00083041">
        <w:rPr>
          <w:rFonts w:ascii="Arial" w:hAnsi="Arial" w:cs="Arial"/>
          <w:sz w:val="22"/>
          <w:szCs w:val="22"/>
          <w:lang w:val="es-ES_tradnl"/>
        </w:rPr>
        <w:t>-; y la</w:t>
      </w:r>
      <w:r w:rsidRPr="00083041">
        <w:rPr>
          <w:rFonts w:ascii="Arial" w:hAnsi="Arial" w:cs="Arial"/>
          <w:sz w:val="22"/>
          <w:szCs w:val="22"/>
          <w:lang w:val="es-ES_tradnl"/>
        </w:rPr>
        <w:t xml:space="preserve"> brecha anual de inversión en infraestructuras </w:t>
      </w:r>
      <w:r w:rsidR="004D67F3" w:rsidRPr="00083041">
        <w:rPr>
          <w:rFonts w:ascii="Arial" w:hAnsi="Arial" w:cs="Arial"/>
          <w:sz w:val="22"/>
          <w:szCs w:val="22"/>
          <w:lang w:val="es-ES_tradnl"/>
        </w:rPr>
        <w:t xml:space="preserve">se cuantifica </w:t>
      </w:r>
      <w:r w:rsidRPr="00083041">
        <w:rPr>
          <w:rFonts w:ascii="Arial" w:hAnsi="Arial" w:cs="Arial"/>
          <w:sz w:val="22"/>
          <w:szCs w:val="22"/>
          <w:lang w:val="es-ES_tradnl"/>
        </w:rPr>
        <w:t>en 1,1 puntos porcentuales del PIB</w:t>
      </w:r>
      <w:r w:rsidR="004D67F3" w:rsidRPr="00083041">
        <w:rPr>
          <w:rFonts w:ascii="Arial" w:hAnsi="Arial" w:cs="Arial"/>
          <w:sz w:val="22"/>
          <w:szCs w:val="22"/>
          <w:vertAlign w:val="superscript"/>
          <w:lang w:val="es-ES_tradnl"/>
        </w:rPr>
        <w:footnoteReference w:id="7"/>
      </w:r>
      <w:r w:rsidR="004D67F3" w:rsidRPr="00083041">
        <w:rPr>
          <w:rFonts w:ascii="Arial" w:hAnsi="Arial" w:cs="Arial"/>
          <w:sz w:val="22"/>
          <w:szCs w:val="22"/>
          <w:lang w:val="es-ES_tradnl"/>
        </w:rPr>
        <w:t xml:space="preserve">, con US$50 mil millones de </w:t>
      </w:r>
      <w:r w:rsidRPr="00083041">
        <w:rPr>
          <w:rFonts w:ascii="Arial" w:hAnsi="Arial" w:cs="Arial"/>
          <w:sz w:val="22"/>
          <w:szCs w:val="22"/>
          <w:lang w:val="es-ES_tradnl"/>
        </w:rPr>
        <w:t>brecha de inversión en infraestructuras de telecomunicaciones acumulada en los últimos cinco años</w:t>
      </w:r>
      <w:r w:rsidRPr="00083041">
        <w:rPr>
          <w:rFonts w:ascii="Arial" w:hAnsi="Arial" w:cs="Arial"/>
          <w:sz w:val="22"/>
          <w:szCs w:val="22"/>
          <w:vertAlign w:val="superscript"/>
          <w:lang w:val="es-ES_tradnl"/>
        </w:rPr>
        <w:footnoteReference w:id="8"/>
      </w:r>
      <w:r w:rsidRPr="00083041">
        <w:rPr>
          <w:rFonts w:ascii="Arial" w:hAnsi="Arial" w:cs="Arial"/>
          <w:sz w:val="22"/>
          <w:szCs w:val="22"/>
          <w:lang w:val="es-ES_tradnl"/>
        </w:rPr>
        <w:t xml:space="preserve">.  </w:t>
      </w:r>
    </w:p>
    <w:p w14:paraId="0D2DF5AD" w14:textId="77777777" w:rsidR="00215EC5" w:rsidRPr="00083041" w:rsidRDefault="00215EC5" w:rsidP="006854CE">
      <w:pPr>
        <w:pStyle w:val="Paragraph"/>
        <w:numPr>
          <w:ilvl w:val="1"/>
          <w:numId w:val="4"/>
        </w:numPr>
        <w:tabs>
          <w:tab w:val="clear" w:pos="2448"/>
          <w:tab w:val="num" w:pos="720"/>
        </w:tabs>
        <w:ind w:left="720" w:hanging="720"/>
        <w:rPr>
          <w:rFonts w:ascii="Arial" w:hAnsi="Arial" w:cs="Arial"/>
          <w:sz w:val="22"/>
          <w:szCs w:val="22"/>
          <w:lang w:val="es-ES_tradnl"/>
        </w:rPr>
      </w:pPr>
      <w:r w:rsidRPr="00083041">
        <w:rPr>
          <w:rFonts w:ascii="Arial" w:hAnsi="Arial" w:cs="Arial"/>
          <w:b/>
          <w:sz w:val="22"/>
          <w:szCs w:val="22"/>
          <w:lang w:val="es-ES_tradnl"/>
        </w:rPr>
        <w:t>Restricciones al financiamiento de infraestructura en México</w:t>
      </w:r>
      <w:r w:rsidRPr="00083041">
        <w:rPr>
          <w:rFonts w:ascii="Arial" w:hAnsi="Arial" w:cs="Arial"/>
          <w:sz w:val="22"/>
          <w:szCs w:val="22"/>
          <w:lang w:val="es-ES_tradnl"/>
        </w:rPr>
        <w:t xml:space="preserve">. </w:t>
      </w:r>
      <w:r w:rsidR="004D67F3" w:rsidRPr="00083041">
        <w:rPr>
          <w:rFonts w:ascii="Arial" w:hAnsi="Arial" w:cs="Arial"/>
          <w:sz w:val="22"/>
          <w:szCs w:val="22"/>
          <w:lang w:val="es-ES_tradnl"/>
        </w:rPr>
        <w:t xml:space="preserve">Como ocurre a nivel regional, México enfrenta barreras al financiamiento de las inversiones en infraestructura que limitan su crecimiento. </w:t>
      </w:r>
      <w:r w:rsidR="00CF047E" w:rsidRPr="00083041">
        <w:rPr>
          <w:rFonts w:ascii="Arial" w:hAnsi="Arial" w:cs="Arial"/>
          <w:sz w:val="22"/>
          <w:szCs w:val="22"/>
          <w:lang w:val="es-ES_tradnl"/>
        </w:rPr>
        <w:t xml:space="preserve">Además, a la problemática regional hay que añadir las particularidades del sistema financiero mexicano. </w:t>
      </w:r>
      <w:r w:rsidRPr="00083041">
        <w:rPr>
          <w:rFonts w:ascii="Arial" w:hAnsi="Arial" w:cs="Arial"/>
          <w:sz w:val="22"/>
          <w:szCs w:val="22"/>
          <w:lang w:val="es-ES_tradnl"/>
        </w:rPr>
        <w:t>El sistema financiero en México es comparativamente poco profundo, ya que el crédito doméstico al sector privado como porcentaje del PIB apenas alcanza el 30%, nivel muy por debajo del esperado por su nivel de ingresos (100%)</w:t>
      </w:r>
      <w:r w:rsidRPr="00083041">
        <w:rPr>
          <w:rFonts w:ascii="Arial" w:hAnsi="Arial" w:cs="Arial"/>
          <w:sz w:val="22"/>
          <w:szCs w:val="22"/>
          <w:vertAlign w:val="superscript"/>
          <w:lang w:val="es-ES_tradnl"/>
        </w:rPr>
        <w:footnoteReference w:id="9"/>
      </w:r>
      <w:r w:rsidRPr="00083041">
        <w:rPr>
          <w:rFonts w:ascii="Arial" w:hAnsi="Arial" w:cs="Arial"/>
          <w:sz w:val="22"/>
          <w:szCs w:val="22"/>
          <w:lang w:val="es-ES_tradnl"/>
        </w:rPr>
        <w:t>, lo que se debe a casusas estructurales como: (i) el bajo nivel de los depósitos bancarios; (ii) los altos costos de transacción derivados de una estructura productiva con predominio de micro y pequeñas empresas altamente informales; y (iii) un rezago relativo en materia de desarrollo institucional. El financiamiento de la infraestructura en México es predominantemente público</w:t>
      </w:r>
      <w:r w:rsidRPr="00083041">
        <w:rPr>
          <w:rFonts w:ascii="Arial" w:hAnsi="Arial" w:cs="Arial"/>
          <w:sz w:val="22"/>
          <w:szCs w:val="22"/>
          <w:vertAlign w:val="superscript"/>
          <w:lang w:val="es-ES_tradnl"/>
        </w:rPr>
        <w:footnoteReference w:id="10"/>
      </w:r>
      <w:r w:rsidRPr="00083041">
        <w:rPr>
          <w:rFonts w:ascii="Arial" w:hAnsi="Arial" w:cs="Arial"/>
          <w:sz w:val="22"/>
          <w:szCs w:val="22"/>
          <w:lang w:val="es-ES_tradnl"/>
        </w:rPr>
        <w:t>, pero ante los desafíos comentados, el país ha impulsado reformas recientes destinadas a mejorar la capacidad de atraer al sector privado a invertir y financiar infraestructura</w:t>
      </w:r>
      <w:r w:rsidRPr="00083041">
        <w:rPr>
          <w:rFonts w:ascii="Arial" w:hAnsi="Arial" w:cs="Arial"/>
          <w:sz w:val="22"/>
          <w:szCs w:val="22"/>
          <w:vertAlign w:val="superscript"/>
          <w:lang w:val="es-ES_tradnl"/>
        </w:rPr>
        <w:footnoteReference w:id="11"/>
      </w:r>
      <w:r w:rsidRPr="00083041">
        <w:rPr>
          <w:rFonts w:ascii="Arial" w:hAnsi="Arial" w:cs="Arial"/>
          <w:sz w:val="22"/>
          <w:szCs w:val="22"/>
          <w:lang w:val="es-ES_tradnl"/>
        </w:rPr>
        <w:t>. Aunque las grandes empresas mexicanas tienen acceso al crédito a largo plazo, la capacidad del sistema bancario para proveer mayor crédito de largo plazo es reducida debido a las limitaciones inherentes a sus fuentes de financiamiento (principalmente depósitos y créditos a corto plazo en moneda local)</w:t>
      </w:r>
      <w:r w:rsidRPr="00083041">
        <w:rPr>
          <w:rFonts w:ascii="Arial" w:hAnsi="Arial" w:cs="Arial"/>
          <w:sz w:val="22"/>
          <w:szCs w:val="22"/>
          <w:vertAlign w:val="superscript"/>
          <w:lang w:val="es-ES_tradnl"/>
        </w:rPr>
        <w:footnoteReference w:id="12"/>
      </w:r>
      <w:r w:rsidRPr="00083041">
        <w:rPr>
          <w:rFonts w:ascii="Arial" w:hAnsi="Arial" w:cs="Arial"/>
          <w:sz w:val="22"/>
          <w:szCs w:val="22"/>
          <w:lang w:val="es-ES_tradnl"/>
        </w:rPr>
        <w:t xml:space="preserve">. Esta situación afecta muy especialmente al financiamiento estructurado, propio de los proyectos de infraestructuras mediante de Alianzas Público-Privadas (APP), en </w:t>
      </w:r>
      <w:r w:rsidRPr="00083041">
        <w:rPr>
          <w:rFonts w:ascii="Arial" w:hAnsi="Arial" w:cs="Arial"/>
          <w:sz w:val="22"/>
          <w:szCs w:val="22"/>
          <w:lang w:val="es-ES_tradnl"/>
        </w:rPr>
        <w:lastRenderedPageBreak/>
        <w:t>los que el proyecto se financia de manera privada (principalmente mediante el sistema bancario), y se repaga mediante los ingresos que genera dicho proyecto (por ejemplo, peajes, tarifas, u otros), sin caber recurso al balance de las grandes empresas o fondos que forman la empresa–proyecto (también denominada vehículo de propósito especial). Además, la actual coyuntura económico-financiera, caracterizada por una mayor aversión al riesgo por parte de los inversionistas (principalmente internacionales), así como por la depreciación del peso y las acciones de política monetaria del Banco de México, han generado un incremento de tasas de interés de mediano y largo plazo, afectando la rentabilidad de los proyectos y del sistema bancario</w:t>
      </w:r>
      <w:r w:rsidRPr="00083041">
        <w:rPr>
          <w:rFonts w:ascii="Arial" w:hAnsi="Arial" w:cs="Arial"/>
          <w:sz w:val="22"/>
          <w:szCs w:val="22"/>
          <w:vertAlign w:val="superscript"/>
          <w:lang w:val="es-ES_tradnl"/>
        </w:rPr>
        <w:footnoteReference w:id="13"/>
      </w:r>
      <w:r w:rsidRPr="00083041">
        <w:rPr>
          <w:rFonts w:ascii="Arial" w:hAnsi="Arial" w:cs="Arial"/>
          <w:sz w:val="22"/>
          <w:szCs w:val="22"/>
          <w:lang w:val="es-ES_tradnl"/>
        </w:rPr>
        <w:t xml:space="preserve">. </w:t>
      </w:r>
    </w:p>
    <w:p w14:paraId="3736B3D5" w14:textId="77777777" w:rsidR="00C77E28" w:rsidRPr="00083041" w:rsidRDefault="00C77E28" w:rsidP="00EE603D">
      <w:pPr>
        <w:pStyle w:val="Paragraph"/>
        <w:numPr>
          <w:ilvl w:val="1"/>
          <w:numId w:val="4"/>
        </w:numPr>
        <w:tabs>
          <w:tab w:val="clear" w:pos="2448"/>
        </w:tabs>
        <w:ind w:left="709" w:hanging="709"/>
        <w:rPr>
          <w:rFonts w:ascii="Arial" w:hAnsi="Arial" w:cs="Arial"/>
          <w:sz w:val="22"/>
          <w:szCs w:val="22"/>
          <w:lang w:val="es-ES_tradnl"/>
        </w:rPr>
      </w:pPr>
      <w:r w:rsidRPr="00083041">
        <w:rPr>
          <w:rFonts w:ascii="Arial" w:hAnsi="Arial" w:cs="Arial"/>
          <w:b/>
          <w:sz w:val="22"/>
          <w:szCs w:val="22"/>
          <w:lang w:val="es-ES_tradnl"/>
        </w:rPr>
        <w:t>El sector de las telecomunicaciones y de banda ancha móvil en México.</w:t>
      </w:r>
      <w:r w:rsidRPr="00083041">
        <w:rPr>
          <w:rFonts w:ascii="Arial" w:hAnsi="Arial" w:cs="Arial"/>
          <w:sz w:val="22"/>
          <w:szCs w:val="22"/>
          <w:lang w:val="es-ES_tradnl"/>
        </w:rPr>
        <w:t xml:space="preserve"> Como se apunta en el POD de esta operación, las telecomunicaciones pueden jugar un papel importante sobre la productividad. Bajo esta premisa el Gobierno mexicano llevó a cabo la reciente Reforma constitucional en materia de Telecomunicaciones y Radiodifusión</w:t>
      </w:r>
      <w:r w:rsidRPr="00083041">
        <w:rPr>
          <w:rStyle w:val="FootnoteReference"/>
          <w:rFonts w:ascii="Arial" w:hAnsi="Arial" w:cs="Arial"/>
          <w:sz w:val="22"/>
          <w:szCs w:val="22"/>
          <w:lang w:val="es-ES_tradnl"/>
        </w:rPr>
        <w:footnoteReference w:id="14"/>
      </w:r>
      <w:r w:rsidRPr="00083041">
        <w:rPr>
          <w:rFonts w:ascii="Arial" w:hAnsi="Arial" w:cs="Arial"/>
          <w:sz w:val="22"/>
          <w:szCs w:val="22"/>
          <w:lang w:val="es-ES_tradnl"/>
        </w:rPr>
        <w:t xml:space="preserve">. </w:t>
      </w:r>
      <w:r w:rsidR="00EE603D" w:rsidRPr="00083041">
        <w:rPr>
          <w:rFonts w:ascii="Arial" w:hAnsi="Arial" w:cs="Arial"/>
          <w:sz w:val="22"/>
          <w:szCs w:val="22"/>
          <w:lang w:val="es-ES_tradnl"/>
        </w:rPr>
        <w:t>En 2017 el sector de las telecomunicaciones y la radiodifusión aportó un 2,5% al PIB, más de 265.000 empleos (un 42% de los cuales ocupados por mujeres)</w:t>
      </w:r>
      <w:r w:rsidR="00EE603D" w:rsidRPr="00083041">
        <w:rPr>
          <w:rStyle w:val="FootnoteReference"/>
          <w:rFonts w:ascii="Arial" w:hAnsi="Arial" w:cs="Arial"/>
          <w:sz w:val="22"/>
          <w:szCs w:val="22"/>
          <w:lang w:val="es-ES_tradnl"/>
        </w:rPr>
        <w:footnoteReference w:id="15"/>
      </w:r>
      <w:r w:rsidR="00EE603D" w:rsidRPr="00083041">
        <w:rPr>
          <w:rFonts w:ascii="Arial" w:hAnsi="Arial" w:cs="Arial"/>
          <w:sz w:val="22"/>
          <w:szCs w:val="22"/>
          <w:lang w:val="es-ES_tradnl"/>
        </w:rPr>
        <w:t>. Los principales actores del subsector de la banda ancha móvil ‒en el que más directamente se enmarca el proyecto de la RC‒ son: América Móvil o Telcel (65,2% de cuota de mercado); Telefónica (21,4%); AT&amp;T (12,2%); y 14 operadores móviles virtuales (1,2% en total)</w:t>
      </w:r>
      <w:r w:rsidR="00EE603D" w:rsidRPr="00083041">
        <w:rPr>
          <w:rStyle w:val="FootnoteReference"/>
          <w:rFonts w:ascii="Arial" w:hAnsi="Arial" w:cs="Arial"/>
          <w:sz w:val="22"/>
          <w:szCs w:val="22"/>
          <w:lang w:val="es-ES_tradnl"/>
        </w:rPr>
        <w:footnoteReference w:id="16"/>
      </w:r>
      <w:r w:rsidR="00EE603D" w:rsidRPr="00083041">
        <w:rPr>
          <w:rFonts w:ascii="Arial" w:hAnsi="Arial" w:cs="Arial"/>
          <w:sz w:val="22"/>
          <w:szCs w:val="22"/>
          <w:lang w:val="es-ES_tradnl"/>
        </w:rPr>
        <w:t>. Pese a los avances promovidos por la reforma de telecomunicaciones de 2012, algunos indicadores de mercado de las telecomunicaciones para México aún presentan desfases con las tendencias observadas en países pares. En esta línea, la concentración del mercado de banda ancha móvil para México arroja un valor del 3,33 en el Índice de Herfindahl</w:t>
      </w:r>
      <w:r w:rsidR="00B858C1" w:rsidRPr="00083041">
        <w:rPr>
          <w:rFonts w:ascii="Arial" w:hAnsi="Arial" w:cs="Arial"/>
          <w:sz w:val="22"/>
          <w:szCs w:val="22"/>
          <w:lang w:val="es-ES_tradnl"/>
        </w:rPr>
        <w:t>-</w:t>
      </w:r>
      <w:r w:rsidR="00EE603D" w:rsidRPr="00083041">
        <w:rPr>
          <w:rFonts w:ascii="Arial" w:hAnsi="Arial" w:cs="Arial"/>
          <w:sz w:val="22"/>
          <w:szCs w:val="22"/>
          <w:lang w:val="es-ES_tradnl"/>
        </w:rPr>
        <w:t xml:space="preserve">Hirschman (normalizado en la escala del 1 al 8), inferior al promedio para promedio de América Latina y el Caribe o para los países de la  de Organización para la Cooperación y el Desarrollo Económicos ‒ </w:t>
      </w:r>
      <w:r w:rsidR="00B858C1" w:rsidRPr="00083041">
        <w:rPr>
          <w:rFonts w:ascii="Arial" w:hAnsi="Arial" w:cs="Arial"/>
          <w:sz w:val="22"/>
          <w:szCs w:val="22"/>
          <w:lang w:val="es-ES_tradnl"/>
        </w:rPr>
        <w:t>OCDE</w:t>
      </w:r>
      <w:r w:rsidR="00EE603D" w:rsidRPr="00083041">
        <w:rPr>
          <w:rFonts w:ascii="Arial" w:hAnsi="Arial" w:cs="Arial"/>
          <w:sz w:val="22"/>
          <w:szCs w:val="22"/>
          <w:lang w:val="es-ES_tradnl"/>
        </w:rPr>
        <w:t xml:space="preserve"> (5,03 y 6,49, respectivamente); al tiempo que el país se sitúa a la cola de la OCDE en cuanto a penetración de banda ancha móvil (65% en México frente al promedio del 87% para los países de la OCDE).</w:t>
      </w:r>
      <w:r w:rsidR="00EE603D" w:rsidRPr="00083041">
        <w:rPr>
          <w:rStyle w:val="FootnoteReference"/>
          <w:rFonts w:ascii="Arial" w:hAnsi="Arial" w:cs="Arial"/>
          <w:sz w:val="22"/>
          <w:szCs w:val="22"/>
          <w:lang w:val="es-ES_tradnl"/>
        </w:rPr>
        <w:footnoteReference w:id="17"/>
      </w:r>
      <w:r w:rsidRPr="00083041">
        <w:rPr>
          <w:rFonts w:ascii="Arial" w:hAnsi="Arial" w:cs="Arial"/>
          <w:sz w:val="22"/>
          <w:szCs w:val="22"/>
          <w:lang w:val="es-ES_tradnl"/>
        </w:rPr>
        <w:t xml:space="preserve">La Reforma constitucional en materia de Telecomunicaciones y Radiodifusión ha contribuido a dinamizar el mercado, como muestra la evolución de algunos parámetros relevantes del sector, tales como: (i) número de personas con una suscripción de banda ancha móvil (de 24 millones en 2012 a 73 millones en 2016); (ii)  el número de conexiones de </w:t>
      </w:r>
      <w:r w:rsidR="00025E2E" w:rsidRPr="00083041">
        <w:rPr>
          <w:rFonts w:ascii="Arial" w:hAnsi="Arial" w:cs="Arial"/>
          <w:sz w:val="22"/>
          <w:szCs w:val="22"/>
          <w:lang w:val="es-ES_tradnl"/>
        </w:rPr>
        <w:t>F</w:t>
      </w:r>
      <w:r w:rsidRPr="00083041">
        <w:rPr>
          <w:rFonts w:ascii="Arial" w:hAnsi="Arial" w:cs="Arial"/>
          <w:sz w:val="22"/>
          <w:szCs w:val="22"/>
          <w:lang w:val="es-ES_tradnl"/>
        </w:rPr>
        <w:t xml:space="preserve">ibra </w:t>
      </w:r>
      <w:r w:rsidR="00025E2E" w:rsidRPr="00083041">
        <w:rPr>
          <w:rFonts w:ascii="Arial" w:hAnsi="Arial" w:cs="Arial"/>
          <w:sz w:val="22"/>
          <w:szCs w:val="22"/>
          <w:lang w:val="es-ES_tradnl"/>
        </w:rPr>
        <w:t>Ó</w:t>
      </w:r>
      <w:r w:rsidRPr="00083041">
        <w:rPr>
          <w:rFonts w:ascii="Arial" w:hAnsi="Arial" w:cs="Arial"/>
          <w:sz w:val="22"/>
          <w:szCs w:val="22"/>
          <w:lang w:val="es-ES_tradnl"/>
        </w:rPr>
        <w:t xml:space="preserve">ptica </w:t>
      </w:r>
      <w:r w:rsidR="00025E2E" w:rsidRPr="00083041">
        <w:rPr>
          <w:rFonts w:ascii="Arial" w:hAnsi="Arial" w:cs="Arial"/>
          <w:sz w:val="22"/>
          <w:szCs w:val="22"/>
          <w:lang w:val="es-ES_tradnl"/>
        </w:rPr>
        <w:t>H</w:t>
      </w:r>
      <w:r w:rsidRPr="00083041">
        <w:rPr>
          <w:rFonts w:ascii="Arial" w:hAnsi="Arial" w:cs="Arial"/>
          <w:sz w:val="22"/>
          <w:szCs w:val="22"/>
          <w:lang w:val="es-ES_tradnl"/>
        </w:rPr>
        <w:t xml:space="preserve">asta el </w:t>
      </w:r>
      <w:r w:rsidR="00025E2E" w:rsidRPr="00083041">
        <w:rPr>
          <w:rFonts w:ascii="Arial" w:hAnsi="Arial" w:cs="Arial"/>
          <w:sz w:val="22"/>
          <w:szCs w:val="22"/>
          <w:lang w:val="es-ES_tradnl"/>
        </w:rPr>
        <w:t>H</w:t>
      </w:r>
      <w:r w:rsidRPr="00083041">
        <w:rPr>
          <w:rFonts w:ascii="Arial" w:hAnsi="Arial" w:cs="Arial"/>
          <w:sz w:val="22"/>
          <w:szCs w:val="22"/>
          <w:lang w:val="es-ES_tradnl"/>
        </w:rPr>
        <w:t xml:space="preserve">ogar </w:t>
      </w:r>
      <w:r w:rsidR="00025E2E" w:rsidRPr="00083041">
        <w:rPr>
          <w:rFonts w:ascii="Arial" w:hAnsi="Arial" w:cs="Arial"/>
          <w:sz w:val="22"/>
          <w:szCs w:val="22"/>
          <w:lang w:val="es-ES_tradnl"/>
        </w:rPr>
        <w:t>˗</w:t>
      </w:r>
      <w:r w:rsidRPr="00083041">
        <w:rPr>
          <w:rFonts w:ascii="Arial" w:hAnsi="Arial" w:cs="Arial"/>
          <w:sz w:val="22"/>
          <w:szCs w:val="22"/>
          <w:lang w:val="es-ES_tradnl"/>
        </w:rPr>
        <w:t xml:space="preserve"> FTTH (de 3,8% en 2012 a 16,1% en 2016); (iii) el aporte del sector de telecomunicaciones y radiodifusión al PIB (de 2,7% en 2011 a 3,5% en 2016); (iv) el índice de precios para llamadas internacionales (bajó un 40% de 2013 a 2015); (v) el precio de servicios de banda ancha móvil (el precio de la canasta de uso bajo bajó un 65%, el de uso medio un 61% y el de uso alto un 75% entre 2013 y 2016); (vi) el precio de servicios de banda ancha fija (el precio de la canasta de uso bajo bajó un 6%, la de uso alto un 22% entre 2013 y 2016); (vi) el precio del </w:t>
      </w:r>
      <w:r w:rsidRPr="00083041">
        <w:rPr>
          <w:rFonts w:ascii="Arial" w:hAnsi="Arial" w:cs="Arial"/>
          <w:i/>
          <w:sz w:val="22"/>
          <w:szCs w:val="22"/>
          <w:lang w:val="es-ES_tradnl"/>
        </w:rPr>
        <w:t>roaming</w:t>
      </w:r>
      <w:r w:rsidRPr="00083041">
        <w:rPr>
          <w:rFonts w:ascii="Arial" w:hAnsi="Arial" w:cs="Arial"/>
          <w:sz w:val="22"/>
          <w:szCs w:val="22"/>
          <w:lang w:val="es-ES_tradnl"/>
        </w:rPr>
        <w:t xml:space="preserve"> internacional (de US$19/MB en 2011 a no tener sobrecoste para usuarios de operadoras mexicanas que viajen en los países de América del Norte en 2015); (vii) la inversión extranjera directa en el sector de telecomunicaciones y radiodifusión (de US$1.200 millones en 2012 a 2.813 </w:t>
      </w:r>
      <w:r w:rsidRPr="00083041">
        <w:rPr>
          <w:rFonts w:ascii="Arial" w:hAnsi="Arial" w:cs="Arial"/>
          <w:sz w:val="22"/>
          <w:szCs w:val="22"/>
          <w:lang w:val="es-ES_tradnl"/>
        </w:rPr>
        <w:lastRenderedPageBreak/>
        <w:t>millones en 2015); (viii) la inversión per cápita en el sector (de US$12 en 2013 a US$16 en 2015); (ix) la velocidad pico promedio de servicio de banda ancha (de 11,5Mbps en 2011 a 35,2Mbps en 2016); (x) la velocidad promedio de servicio de banda ancha (de 2,4Mbps en 2011 a 7,4Mbps en 2016); (xi) el número de hogares con acceso a internet (de 7 millones en 2011 a 15,7 millones en 2016); (xii) la participación del operador principal de telefonía fija (del 69,1% en 2012 al 63,2% en 2016); (xiii) la participación del operador principal de banda ancha fija (del 67,1% en 2012 al 57,5% en 2016); (xiv) la participación del operador principal de telefonía móvil (del 69,9% en 2012 al 64,9% en 2016); (xv) la participación del operador principal de banda ancha móvil (del 83,8% en 2012 al 71,8% en 2016); y (xvi) la cantidad de espectro radioeléctrico disponible para telecomunicaciones inalámbricas (de 222MHz antes de la reforma a 374MHz en 2017).</w:t>
      </w:r>
      <w:r w:rsidRPr="00083041">
        <w:rPr>
          <w:rStyle w:val="FootnoteReference"/>
          <w:rFonts w:ascii="Arial" w:hAnsi="Arial" w:cs="Arial"/>
          <w:sz w:val="22"/>
          <w:szCs w:val="22"/>
          <w:lang w:val="es-ES_tradnl"/>
        </w:rPr>
        <w:footnoteReference w:id="18"/>
      </w:r>
    </w:p>
    <w:p w14:paraId="489DBEE1" w14:textId="77777777" w:rsidR="00D16EFE" w:rsidRPr="00083041" w:rsidRDefault="005A27EC" w:rsidP="006854CE">
      <w:pPr>
        <w:pStyle w:val="Paragraph"/>
        <w:numPr>
          <w:ilvl w:val="1"/>
          <w:numId w:val="4"/>
        </w:numPr>
        <w:tabs>
          <w:tab w:val="clear" w:pos="2448"/>
          <w:tab w:val="num" w:pos="720"/>
        </w:tabs>
        <w:ind w:left="720" w:hanging="720"/>
        <w:rPr>
          <w:rFonts w:ascii="Arial" w:hAnsi="Arial" w:cs="Arial"/>
          <w:sz w:val="22"/>
          <w:szCs w:val="22"/>
          <w:lang w:val="es-ES_tradnl"/>
        </w:rPr>
      </w:pPr>
      <w:r w:rsidRPr="00083041">
        <w:rPr>
          <w:rFonts w:ascii="Arial" w:hAnsi="Arial" w:cs="Arial"/>
          <w:b/>
          <w:sz w:val="22"/>
          <w:szCs w:val="22"/>
          <w:lang w:val="es-ES_tradnl"/>
        </w:rPr>
        <w:t>Red Compartida</w:t>
      </w:r>
      <w:r w:rsidR="00DA3664" w:rsidRPr="00083041">
        <w:rPr>
          <w:rFonts w:ascii="Arial" w:hAnsi="Arial" w:cs="Arial"/>
          <w:sz w:val="22"/>
          <w:szCs w:val="22"/>
          <w:lang w:val="es-ES_tradnl"/>
        </w:rPr>
        <w:t>.</w:t>
      </w:r>
      <w:r w:rsidR="00CB42C3" w:rsidRPr="00083041">
        <w:rPr>
          <w:rFonts w:ascii="Arial" w:hAnsi="Arial" w:cs="Arial"/>
          <w:sz w:val="22"/>
          <w:szCs w:val="22"/>
          <w:lang w:val="es-ES_tradnl"/>
        </w:rPr>
        <w:t xml:space="preserve"> El proyecto de la </w:t>
      </w:r>
      <w:r w:rsidR="00B4568E" w:rsidRPr="00083041">
        <w:rPr>
          <w:rFonts w:ascii="Arial" w:hAnsi="Arial" w:cs="Arial"/>
          <w:sz w:val="22"/>
          <w:szCs w:val="22"/>
          <w:lang w:val="es-ES_tradnl"/>
        </w:rPr>
        <w:t xml:space="preserve">Red Compartida es el proyecto más representativo de las reformas de las telecomunicaciones de 2013 del Gobierno de México. </w:t>
      </w:r>
      <w:r w:rsidR="00CB42C3" w:rsidRPr="00083041">
        <w:rPr>
          <w:rFonts w:ascii="Arial" w:hAnsi="Arial" w:cs="Arial"/>
          <w:sz w:val="22"/>
          <w:szCs w:val="22"/>
          <w:lang w:val="es-ES_tradnl"/>
        </w:rPr>
        <w:t xml:space="preserve">La </w:t>
      </w:r>
      <w:r w:rsidR="00B4568E" w:rsidRPr="00083041">
        <w:rPr>
          <w:rFonts w:ascii="Arial" w:hAnsi="Arial" w:cs="Arial"/>
          <w:sz w:val="22"/>
          <w:szCs w:val="22"/>
          <w:lang w:val="es-ES_tradnl"/>
        </w:rPr>
        <w:t xml:space="preserve">Red Compartida será la primera y única red neutral mexicana de comunicaciones móviles al por mayor basadas en tecnología 4G </w:t>
      </w:r>
      <w:r w:rsidR="00CB42C3" w:rsidRPr="00083041">
        <w:rPr>
          <w:rFonts w:ascii="Arial" w:hAnsi="Arial" w:cs="Arial"/>
          <w:sz w:val="22"/>
          <w:szCs w:val="22"/>
          <w:lang w:val="es-ES_tradnl"/>
        </w:rPr>
        <w:t>o superiores ofreciendo</w:t>
      </w:r>
      <w:r w:rsidR="00B4568E" w:rsidRPr="00083041">
        <w:rPr>
          <w:rFonts w:ascii="Arial" w:hAnsi="Arial" w:cs="Arial"/>
          <w:sz w:val="22"/>
          <w:szCs w:val="22"/>
          <w:lang w:val="es-ES_tradnl"/>
        </w:rPr>
        <w:t xml:space="preserve"> conectividad de banda ancha móvil para no menos del 92,2% de la población mexicana. En México existen otras tres redes móviles, cada una de las cuales es operada por un operador de red móvil, pero ninguna posee las características de Red Compartida. Dado que se trata de una red neutral al por mayor, Red Compartida dotará de capacidad en materia de telecomunicaciones móviles a cualquier proveedor de servicios móviles a un precio competitivo y sin discriminación. Ello permitirá la rápida creación </w:t>
      </w:r>
      <w:r w:rsidR="00C20E37" w:rsidRPr="00083041">
        <w:rPr>
          <w:rFonts w:ascii="Arial" w:hAnsi="Arial" w:cs="Arial"/>
          <w:sz w:val="22"/>
          <w:szCs w:val="22"/>
          <w:lang w:val="es-ES_tradnl"/>
        </w:rPr>
        <w:t xml:space="preserve">y expansión </w:t>
      </w:r>
      <w:r w:rsidR="00B4568E" w:rsidRPr="00083041">
        <w:rPr>
          <w:rFonts w:ascii="Arial" w:hAnsi="Arial" w:cs="Arial"/>
          <w:sz w:val="22"/>
          <w:szCs w:val="22"/>
          <w:lang w:val="es-ES_tradnl"/>
        </w:rPr>
        <w:t xml:space="preserve">de nuevos modelos comerciales de servicios </w:t>
      </w:r>
      <w:r w:rsidR="00C20E37" w:rsidRPr="00083041">
        <w:rPr>
          <w:rFonts w:ascii="Arial" w:hAnsi="Arial" w:cs="Arial"/>
          <w:sz w:val="22"/>
          <w:szCs w:val="22"/>
          <w:lang w:val="es-ES_tradnl"/>
        </w:rPr>
        <w:t xml:space="preserve">de banda ancha </w:t>
      </w:r>
      <w:r w:rsidR="00B4568E" w:rsidRPr="00083041">
        <w:rPr>
          <w:rFonts w:ascii="Arial" w:hAnsi="Arial" w:cs="Arial"/>
          <w:sz w:val="22"/>
          <w:szCs w:val="22"/>
          <w:lang w:val="es-ES_tradnl"/>
        </w:rPr>
        <w:t>móvil</w:t>
      </w:r>
      <w:r w:rsidR="00C20E37" w:rsidRPr="00083041">
        <w:rPr>
          <w:rFonts w:ascii="Arial" w:hAnsi="Arial" w:cs="Arial"/>
          <w:sz w:val="22"/>
          <w:szCs w:val="22"/>
          <w:lang w:val="es-ES_tradnl"/>
        </w:rPr>
        <w:t xml:space="preserve"> 4G (o superior)</w:t>
      </w:r>
      <w:r w:rsidR="00B4568E" w:rsidRPr="00083041">
        <w:rPr>
          <w:rFonts w:ascii="Arial" w:hAnsi="Arial" w:cs="Arial"/>
          <w:sz w:val="22"/>
          <w:szCs w:val="22"/>
          <w:lang w:val="es-ES_tradnl"/>
        </w:rPr>
        <w:t xml:space="preserve"> </w:t>
      </w:r>
      <w:r w:rsidR="00C20E37" w:rsidRPr="00083041">
        <w:rPr>
          <w:rFonts w:ascii="Arial" w:hAnsi="Arial" w:cs="Arial"/>
          <w:sz w:val="22"/>
          <w:szCs w:val="22"/>
          <w:lang w:val="es-ES_tradnl"/>
        </w:rPr>
        <w:t xml:space="preserve">de nuevos participantes y </w:t>
      </w:r>
      <w:r w:rsidR="00B4568E" w:rsidRPr="00083041">
        <w:rPr>
          <w:rFonts w:ascii="Arial" w:hAnsi="Arial" w:cs="Arial"/>
          <w:sz w:val="22"/>
          <w:szCs w:val="22"/>
          <w:lang w:val="es-ES_tradnl"/>
        </w:rPr>
        <w:t xml:space="preserve">de compañías de telecomunicaciones existentes que no </w:t>
      </w:r>
      <w:r w:rsidR="00C20E37" w:rsidRPr="00083041">
        <w:rPr>
          <w:rFonts w:ascii="Arial" w:hAnsi="Arial" w:cs="Arial"/>
          <w:sz w:val="22"/>
          <w:szCs w:val="22"/>
          <w:lang w:val="es-ES_tradnl"/>
        </w:rPr>
        <w:t xml:space="preserve">los </w:t>
      </w:r>
      <w:r w:rsidR="00B4568E" w:rsidRPr="00083041">
        <w:rPr>
          <w:rFonts w:ascii="Arial" w:hAnsi="Arial" w:cs="Arial"/>
          <w:sz w:val="22"/>
          <w:szCs w:val="22"/>
          <w:lang w:val="es-ES_tradnl"/>
        </w:rPr>
        <w:t xml:space="preserve">ofrecen </w:t>
      </w:r>
      <w:r w:rsidR="00C20E37" w:rsidRPr="00083041">
        <w:rPr>
          <w:rFonts w:ascii="Arial" w:hAnsi="Arial" w:cs="Arial"/>
          <w:sz w:val="22"/>
          <w:szCs w:val="22"/>
          <w:lang w:val="es-ES_tradnl"/>
        </w:rPr>
        <w:t xml:space="preserve"> en todo el territorio que cubrirá la Red Compartida</w:t>
      </w:r>
      <w:r w:rsidR="00B4568E" w:rsidRPr="00083041">
        <w:rPr>
          <w:rFonts w:ascii="Arial" w:hAnsi="Arial" w:cs="Arial"/>
          <w:sz w:val="22"/>
          <w:szCs w:val="22"/>
          <w:lang w:val="es-ES_tradnl"/>
        </w:rPr>
        <w:t xml:space="preserve">. Los modelos comerciales facilitados por </w:t>
      </w:r>
      <w:r w:rsidR="009F5451" w:rsidRPr="00083041">
        <w:rPr>
          <w:rFonts w:ascii="Arial" w:hAnsi="Arial" w:cs="Arial"/>
          <w:sz w:val="22"/>
          <w:szCs w:val="22"/>
          <w:lang w:val="es-ES_tradnl"/>
        </w:rPr>
        <w:t xml:space="preserve">la </w:t>
      </w:r>
      <w:r w:rsidR="00B4568E" w:rsidRPr="00083041">
        <w:rPr>
          <w:rFonts w:ascii="Arial" w:hAnsi="Arial" w:cs="Arial"/>
          <w:sz w:val="22"/>
          <w:szCs w:val="22"/>
          <w:lang w:val="es-ES_tradnl"/>
        </w:rPr>
        <w:t xml:space="preserve">Red Compartida incluyen, entre otros, </w:t>
      </w:r>
      <w:r w:rsidR="009F5451" w:rsidRPr="00083041">
        <w:rPr>
          <w:rFonts w:ascii="Arial" w:hAnsi="Arial" w:cs="Arial"/>
          <w:sz w:val="22"/>
          <w:szCs w:val="22"/>
          <w:lang w:val="es-ES_tradnl"/>
        </w:rPr>
        <w:t xml:space="preserve">operadores minoristas de </w:t>
      </w:r>
      <w:r w:rsidR="00C20E37" w:rsidRPr="00083041">
        <w:rPr>
          <w:rFonts w:ascii="Arial" w:hAnsi="Arial" w:cs="Arial"/>
          <w:sz w:val="22"/>
          <w:szCs w:val="22"/>
          <w:lang w:val="es-ES_tradnl"/>
        </w:rPr>
        <w:t>banda ancha móvil sin infraestructura propia</w:t>
      </w:r>
      <w:r w:rsidR="00B4568E" w:rsidRPr="00083041">
        <w:rPr>
          <w:rFonts w:ascii="Arial" w:hAnsi="Arial" w:cs="Arial"/>
          <w:sz w:val="22"/>
          <w:szCs w:val="22"/>
          <w:lang w:val="es-ES_tradnl"/>
        </w:rPr>
        <w:t xml:space="preserve"> denominados operadores de redes móviles virtuales (ORMV) sobre redes inalámbricas</w:t>
      </w:r>
      <w:r w:rsidR="00C20E37" w:rsidRPr="00083041">
        <w:rPr>
          <w:rFonts w:ascii="Arial" w:hAnsi="Arial" w:cs="Arial"/>
          <w:sz w:val="22"/>
          <w:szCs w:val="22"/>
          <w:lang w:val="es-ES_tradnl"/>
        </w:rPr>
        <w:t xml:space="preserve">; así como operadores </w:t>
      </w:r>
      <w:r w:rsidR="00CF484C" w:rsidRPr="00CF484C">
        <w:rPr>
          <w:rFonts w:ascii="Arial" w:hAnsi="Arial" w:cs="Arial"/>
          <w:sz w:val="22"/>
          <w:szCs w:val="22"/>
          <w:lang w:val="es-ES_tradnl"/>
        </w:rPr>
        <w:t>de redes</w:t>
      </w:r>
      <w:r w:rsidR="00B4568E" w:rsidRPr="00083041">
        <w:rPr>
          <w:rFonts w:ascii="Arial" w:hAnsi="Arial" w:cs="Arial"/>
          <w:sz w:val="22"/>
          <w:szCs w:val="22"/>
          <w:lang w:val="es-ES_tradnl"/>
        </w:rPr>
        <w:t xml:space="preserve"> de seguridad móviles, </w:t>
      </w:r>
      <w:r w:rsidR="00C20E37" w:rsidRPr="00083041">
        <w:rPr>
          <w:rFonts w:ascii="Arial" w:hAnsi="Arial" w:cs="Arial"/>
          <w:sz w:val="22"/>
          <w:szCs w:val="22"/>
          <w:lang w:val="es-ES_tradnl"/>
        </w:rPr>
        <w:t xml:space="preserve">y de </w:t>
      </w:r>
      <w:r w:rsidR="00B4568E" w:rsidRPr="00083041">
        <w:rPr>
          <w:rFonts w:ascii="Arial" w:hAnsi="Arial" w:cs="Arial"/>
          <w:sz w:val="22"/>
          <w:szCs w:val="22"/>
          <w:lang w:val="es-ES_tradnl"/>
        </w:rPr>
        <w:t>redes de Internet de las cosas (IoT</w:t>
      </w:r>
      <w:r w:rsidR="009F5451" w:rsidRPr="00083041">
        <w:rPr>
          <w:rFonts w:ascii="Arial" w:hAnsi="Arial" w:cs="Arial"/>
          <w:sz w:val="22"/>
          <w:szCs w:val="22"/>
          <w:lang w:val="es-ES_tradnl"/>
        </w:rPr>
        <w:t>, por las siglas en inglés</w:t>
      </w:r>
      <w:r w:rsidR="00B4568E" w:rsidRPr="00083041">
        <w:rPr>
          <w:rFonts w:ascii="Arial" w:hAnsi="Arial" w:cs="Arial"/>
          <w:sz w:val="22"/>
          <w:szCs w:val="22"/>
          <w:lang w:val="es-ES_tradnl"/>
        </w:rPr>
        <w:t xml:space="preserve">) </w:t>
      </w:r>
      <w:r w:rsidR="00C20E37" w:rsidRPr="00083041">
        <w:rPr>
          <w:rFonts w:ascii="Arial" w:hAnsi="Arial" w:cs="Arial"/>
          <w:sz w:val="22"/>
          <w:szCs w:val="22"/>
          <w:lang w:val="es-ES_tradnl"/>
        </w:rPr>
        <w:t xml:space="preserve">La </w:t>
      </w:r>
      <w:r w:rsidR="00B4568E" w:rsidRPr="00083041">
        <w:rPr>
          <w:rFonts w:ascii="Arial" w:hAnsi="Arial" w:cs="Arial"/>
          <w:sz w:val="22"/>
          <w:szCs w:val="22"/>
          <w:lang w:val="es-ES_tradnl"/>
        </w:rPr>
        <w:t>Red Compartida fomentará una mayor competencia</w:t>
      </w:r>
      <w:r w:rsidR="00C20E37" w:rsidRPr="00083041">
        <w:rPr>
          <w:rFonts w:ascii="Arial" w:hAnsi="Arial" w:cs="Arial"/>
          <w:sz w:val="22"/>
          <w:szCs w:val="22"/>
          <w:lang w:val="es-ES_tradnl"/>
        </w:rPr>
        <w:t xml:space="preserve"> en servicios minoristas de banda ancha móvil</w:t>
      </w:r>
      <w:r w:rsidR="00B4568E" w:rsidRPr="00083041">
        <w:rPr>
          <w:rFonts w:ascii="Arial" w:hAnsi="Arial" w:cs="Arial"/>
          <w:sz w:val="22"/>
          <w:szCs w:val="22"/>
          <w:lang w:val="es-ES_tradnl"/>
        </w:rPr>
        <w:t xml:space="preserve"> y ofrecerá cobertura de banda ancha</w:t>
      </w:r>
      <w:r w:rsidR="00C20E37" w:rsidRPr="00083041">
        <w:rPr>
          <w:rFonts w:ascii="Arial" w:hAnsi="Arial" w:cs="Arial"/>
          <w:sz w:val="22"/>
          <w:szCs w:val="22"/>
          <w:lang w:val="es-ES_tradnl"/>
        </w:rPr>
        <w:t xml:space="preserve"> móvil</w:t>
      </w:r>
      <w:r w:rsidR="00B4568E" w:rsidRPr="00083041">
        <w:rPr>
          <w:rFonts w:ascii="Arial" w:hAnsi="Arial" w:cs="Arial"/>
          <w:sz w:val="22"/>
          <w:szCs w:val="22"/>
          <w:lang w:val="es-ES_tradnl"/>
        </w:rPr>
        <w:t xml:space="preserve"> de alta calidad a una mayor cantidad de población</w:t>
      </w:r>
      <w:r w:rsidR="00C20E37" w:rsidRPr="00083041">
        <w:rPr>
          <w:rFonts w:ascii="Arial" w:hAnsi="Arial" w:cs="Arial"/>
          <w:sz w:val="22"/>
          <w:szCs w:val="22"/>
          <w:lang w:val="es-ES_tradnl"/>
        </w:rPr>
        <w:t>, lo cual fomentará la competencia en calidad y precio de los servicios minoristas de banda ancha móvil, lo que</w:t>
      </w:r>
      <w:r w:rsidR="00B4568E" w:rsidRPr="00083041">
        <w:rPr>
          <w:rFonts w:ascii="Arial" w:hAnsi="Arial" w:cs="Arial"/>
          <w:sz w:val="22"/>
          <w:szCs w:val="22"/>
          <w:lang w:val="es-ES_tradnl"/>
        </w:rPr>
        <w:t xml:space="preserve"> promoverá </w:t>
      </w:r>
      <w:r w:rsidR="00C20E37" w:rsidRPr="00083041">
        <w:rPr>
          <w:rFonts w:ascii="Arial" w:hAnsi="Arial" w:cs="Arial"/>
          <w:sz w:val="22"/>
          <w:szCs w:val="22"/>
          <w:lang w:val="es-ES_tradnl"/>
        </w:rPr>
        <w:t xml:space="preserve">una mayor adopción de </w:t>
      </w:r>
      <w:r w:rsidR="00B4568E" w:rsidRPr="00083041">
        <w:rPr>
          <w:rFonts w:ascii="Arial" w:hAnsi="Arial" w:cs="Arial"/>
          <w:sz w:val="22"/>
          <w:szCs w:val="22"/>
          <w:lang w:val="es-ES_tradnl"/>
        </w:rPr>
        <w:t xml:space="preserve">un conjunto más amplio de servicios en línea (comercio, banca, gobierno y salud electrónicos, entre otros). </w:t>
      </w:r>
    </w:p>
    <w:p w14:paraId="66B0A909" w14:textId="77777777" w:rsidR="00465828" w:rsidRPr="00083041" w:rsidRDefault="00C77E28" w:rsidP="006854CE">
      <w:pPr>
        <w:pStyle w:val="Paragraph"/>
        <w:numPr>
          <w:ilvl w:val="1"/>
          <w:numId w:val="4"/>
        </w:numPr>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sz w:val="22"/>
          <w:szCs w:val="22"/>
          <w:lang w:val="es-ES_tradnl"/>
        </w:rPr>
        <w:t xml:space="preserve">Teniendo en cuenta la potencialidad de las telecomunicaciones sobre la productividad, </w:t>
      </w:r>
      <w:r w:rsidR="00516492" w:rsidRPr="00083041">
        <w:rPr>
          <w:rFonts w:ascii="Arial" w:hAnsi="Arial" w:cs="Arial"/>
          <w:sz w:val="22"/>
          <w:szCs w:val="22"/>
          <w:lang w:val="es-ES_tradnl"/>
        </w:rPr>
        <w:t xml:space="preserve">las necesidades de inversión en infraestructura para profundizar  en el mercado y las barreras para la financiación de largo plazo de </w:t>
      </w:r>
      <w:r w:rsidR="00CF484C" w:rsidRPr="00CF484C">
        <w:rPr>
          <w:rFonts w:ascii="Arial" w:hAnsi="Arial" w:cs="Arial"/>
          <w:sz w:val="22"/>
          <w:szCs w:val="22"/>
          <w:lang w:val="es-ES_tradnl"/>
        </w:rPr>
        <w:t>estas</w:t>
      </w:r>
      <w:r w:rsidR="00516492" w:rsidRPr="00083041">
        <w:rPr>
          <w:rFonts w:ascii="Arial" w:hAnsi="Arial" w:cs="Arial"/>
          <w:sz w:val="22"/>
          <w:szCs w:val="22"/>
          <w:lang w:val="es-ES_tradnl"/>
        </w:rPr>
        <w:t xml:space="preserve"> inversiones</w:t>
      </w:r>
      <w:r w:rsidR="00C8175E" w:rsidRPr="00083041">
        <w:rPr>
          <w:rFonts w:ascii="Arial" w:hAnsi="Arial" w:cs="Arial"/>
          <w:sz w:val="22"/>
          <w:szCs w:val="22"/>
          <w:lang w:val="es-ES_tradnl"/>
        </w:rPr>
        <w:t xml:space="preserve">, se </w:t>
      </w:r>
      <w:r w:rsidR="009928DB" w:rsidRPr="00083041">
        <w:rPr>
          <w:rFonts w:ascii="Arial" w:hAnsi="Arial" w:cs="Arial"/>
          <w:sz w:val="22"/>
          <w:szCs w:val="22"/>
          <w:lang w:val="es-ES_tradnl"/>
        </w:rPr>
        <w:t xml:space="preserve">identificó </w:t>
      </w:r>
      <w:r w:rsidR="00465828" w:rsidRPr="00083041">
        <w:rPr>
          <w:rFonts w:ascii="Arial" w:hAnsi="Arial" w:cs="Arial"/>
          <w:sz w:val="22"/>
          <w:szCs w:val="22"/>
          <w:lang w:val="es-ES_tradnl"/>
        </w:rPr>
        <w:t xml:space="preserve">como campo de intervención </w:t>
      </w:r>
      <w:r w:rsidR="009928DB" w:rsidRPr="00083041">
        <w:rPr>
          <w:rFonts w:ascii="Arial" w:hAnsi="Arial" w:cs="Arial"/>
          <w:sz w:val="22"/>
          <w:szCs w:val="22"/>
          <w:lang w:val="es-ES_tradnl"/>
        </w:rPr>
        <w:t xml:space="preserve">la </w:t>
      </w:r>
      <w:r w:rsidR="00465828" w:rsidRPr="00083041">
        <w:rPr>
          <w:rFonts w:ascii="Arial" w:hAnsi="Arial" w:cs="Arial"/>
          <w:sz w:val="22"/>
          <w:szCs w:val="22"/>
          <w:lang w:val="es-ES_tradnl"/>
        </w:rPr>
        <w:t xml:space="preserve">facilitación del acceso a financiamiento a largo plazo para invertir en infraestructuras que promuevan la productividad y la sostenibilidad, objetivo de la </w:t>
      </w:r>
      <w:r w:rsidR="003F1FA1" w:rsidRPr="00083041">
        <w:rPr>
          <w:rFonts w:ascii="Arial" w:hAnsi="Arial" w:cs="Arial"/>
          <w:sz w:val="22"/>
          <w:szCs w:val="22"/>
          <w:lang w:val="es-ES_tradnl"/>
        </w:rPr>
        <w:t>C</w:t>
      </w:r>
      <w:r w:rsidR="00CC3C10" w:rsidRPr="00083041">
        <w:rPr>
          <w:rFonts w:ascii="Arial" w:hAnsi="Arial" w:cs="Arial"/>
          <w:sz w:val="22"/>
          <w:szCs w:val="22"/>
          <w:lang w:val="es-ES_tradnl"/>
        </w:rPr>
        <w:t>C</w:t>
      </w:r>
      <w:r w:rsidR="003F1FA1" w:rsidRPr="00083041">
        <w:rPr>
          <w:rFonts w:ascii="Arial" w:hAnsi="Arial" w:cs="Arial"/>
          <w:sz w:val="22"/>
          <w:szCs w:val="22"/>
          <w:lang w:val="es-ES_tradnl"/>
        </w:rPr>
        <w:t>LIP multisectorial</w:t>
      </w:r>
      <w:r w:rsidR="00465828" w:rsidRPr="00083041">
        <w:rPr>
          <w:rFonts w:ascii="Arial" w:hAnsi="Arial" w:cs="Arial"/>
          <w:sz w:val="22"/>
          <w:szCs w:val="22"/>
          <w:lang w:val="es-ES_tradnl"/>
        </w:rPr>
        <w:t xml:space="preserve"> con un monto de US$1.000 millones bajo la que se enmarca esta primera operación. A través de la BPD, se financiarán infraestructuras de telecomunicaciones y de energías limpias priorizadas por el Gobierno con instrumentos de financiamiento a largo </w:t>
      </w:r>
      <w:r w:rsidR="00465828" w:rsidRPr="00083041">
        <w:rPr>
          <w:rFonts w:ascii="Arial" w:hAnsi="Arial" w:cs="Arial"/>
          <w:sz w:val="22"/>
          <w:szCs w:val="22"/>
          <w:lang w:val="es-ES_tradnl"/>
        </w:rPr>
        <w:lastRenderedPageBreak/>
        <w:t xml:space="preserve">plazo. Este apoyo se justifica por sus necesidades de financiamiento a largo plazo, como las externalidades (tecnológicas, medioambientales y sociales) e impactos positivos para el desarrollo del país de los sectores priorizados. Los sectores de telecomunicaciones y de energías limpias son de fuerte base tecnológica y su avance contribuye al cambio estructural y a la mejora de la productividad de la economía mexicana. Asimismo, la CCLIP está alineada con otras iniciativas de Bancomext, tales como programas de financiamiento de infraestructura para productividad industrial, comercial, de servicios, logística, energética y de telecomunicaciones, y con otras iniciativas del Gobierno para fomentar exportación, inversión extranjera y generación de divisas.  </w:t>
      </w:r>
    </w:p>
    <w:p w14:paraId="22519C4F" w14:textId="77777777" w:rsidR="00465828" w:rsidRPr="00083041" w:rsidRDefault="00465828" w:rsidP="006854CE">
      <w:pPr>
        <w:pStyle w:val="Paragraph"/>
        <w:numPr>
          <w:ilvl w:val="1"/>
          <w:numId w:val="4"/>
        </w:numPr>
        <w:tabs>
          <w:tab w:val="clear" w:pos="2448"/>
          <w:tab w:val="num" w:pos="720"/>
        </w:tabs>
        <w:ind w:left="720" w:hanging="720"/>
        <w:rPr>
          <w:rFonts w:ascii="Arial" w:hAnsi="Arial" w:cs="Arial"/>
          <w:sz w:val="22"/>
          <w:szCs w:val="22"/>
          <w:lang w:val="es-ES_tradnl"/>
        </w:rPr>
      </w:pPr>
      <w:r w:rsidRPr="00083041">
        <w:rPr>
          <w:rFonts w:ascii="Arial" w:hAnsi="Arial" w:cs="Arial"/>
          <w:sz w:val="22"/>
          <w:szCs w:val="22"/>
          <w:lang w:val="es-ES_tradnl"/>
        </w:rPr>
        <w:t>Esta primera operación bajo la C</w:t>
      </w:r>
      <w:r w:rsidR="00CC3C10" w:rsidRPr="00083041">
        <w:rPr>
          <w:rFonts w:ascii="Arial" w:hAnsi="Arial" w:cs="Arial"/>
          <w:sz w:val="22"/>
          <w:szCs w:val="22"/>
          <w:lang w:val="es-ES_tradnl"/>
        </w:rPr>
        <w:t>C</w:t>
      </w:r>
      <w:r w:rsidRPr="00083041">
        <w:rPr>
          <w:rFonts w:ascii="Arial" w:hAnsi="Arial" w:cs="Arial"/>
          <w:sz w:val="22"/>
          <w:szCs w:val="22"/>
          <w:lang w:val="es-ES_tradnl"/>
        </w:rPr>
        <w:t>LIP tiene como objetivo apoyar a la BPD en la facilitación de financiamiento de largo plazo para atraer inversión privada a la construcción de la Red Compartida en México con el propósito final de aumentar la penetración de los servicios de banda ancha móvil. El componente único de la operación consistirá en un crédito de US$100 millones para apoyar el Financiamiento de la Red Compartida a través de Bancomext.</w:t>
      </w:r>
    </w:p>
    <w:p w14:paraId="2FE6349A" w14:textId="77777777" w:rsidR="003D3B99" w:rsidRPr="00083041" w:rsidRDefault="003D3B99" w:rsidP="00083041">
      <w:pPr>
        <w:pStyle w:val="Paragraph"/>
        <w:numPr>
          <w:ilvl w:val="0"/>
          <w:numId w:val="0"/>
        </w:numPr>
        <w:ind w:left="720"/>
        <w:rPr>
          <w:rFonts w:ascii="Arial" w:hAnsi="Arial" w:cs="Arial"/>
          <w:sz w:val="22"/>
          <w:szCs w:val="22"/>
          <w:lang w:val="es-ES_tradnl"/>
        </w:rPr>
      </w:pPr>
    </w:p>
    <w:p w14:paraId="2D7CD0BD" w14:textId="77777777" w:rsidR="00F92059" w:rsidRPr="00083041" w:rsidRDefault="00F10FC6" w:rsidP="00EE02D9">
      <w:pPr>
        <w:pStyle w:val="Chapter"/>
        <w:spacing w:before="0"/>
        <w:rPr>
          <w:rFonts w:ascii="Arial" w:hAnsi="Arial" w:cs="Arial"/>
          <w:color w:val="000000" w:themeColor="text1"/>
          <w:sz w:val="22"/>
          <w:szCs w:val="22"/>
          <w:lang w:val="es-ES_tradnl"/>
        </w:rPr>
      </w:pPr>
      <w:bookmarkStart w:id="6" w:name="_Toc388249752"/>
      <w:bookmarkStart w:id="7" w:name="_Ref388349396"/>
      <w:bookmarkStart w:id="8" w:name="_Toc482367469"/>
      <w:r w:rsidRPr="00083041">
        <w:rPr>
          <w:rFonts w:ascii="Arial" w:hAnsi="Arial" w:cs="Arial"/>
          <w:color w:val="000000" w:themeColor="text1"/>
          <w:sz w:val="22"/>
          <w:szCs w:val="22"/>
          <w:lang w:val="es-ES_tradnl"/>
        </w:rPr>
        <w:t>Metodología y Supuestos</w:t>
      </w:r>
      <w:bookmarkEnd w:id="6"/>
      <w:bookmarkEnd w:id="7"/>
      <w:bookmarkEnd w:id="8"/>
    </w:p>
    <w:p w14:paraId="28609F81" w14:textId="77777777" w:rsidR="00F10FC6" w:rsidRPr="00083041" w:rsidRDefault="00B36037">
      <w:pPr>
        <w:pStyle w:val="FirstHeading"/>
        <w:rPr>
          <w:rFonts w:ascii="Arial" w:hAnsi="Arial" w:cs="Arial"/>
          <w:color w:val="000000" w:themeColor="text1"/>
          <w:sz w:val="22"/>
          <w:szCs w:val="22"/>
          <w:lang w:val="es-ES_tradnl"/>
        </w:rPr>
      </w:pPr>
      <w:r w:rsidRPr="00083041">
        <w:rPr>
          <w:rFonts w:ascii="Arial" w:hAnsi="Arial" w:cs="Arial"/>
          <w:color w:val="000000" w:themeColor="text1"/>
          <w:sz w:val="22"/>
          <w:szCs w:val="22"/>
          <w:lang w:val="es-ES_tradnl"/>
        </w:rPr>
        <w:fldChar w:fldCharType="begin"/>
      </w:r>
      <w:r w:rsidRPr="00083041">
        <w:rPr>
          <w:rFonts w:ascii="Arial" w:hAnsi="Arial" w:cs="Arial"/>
          <w:color w:val="000000" w:themeColor="text1"/>
          <w:sz w:val="22"/>
          <w:szCs w:val="22"/>
          <w:lang w:val="es-ES_tradnl"/>
        </w:rPr>
        <w:instrText xml:space="preserve"> SEQ "</w:instrText>
      </w:r>
      <w:r w:rsidR="00456CE2" w:rsidRPr="00083041">
        <w:rPr>
          <w:rFonts w:ascii="Arial" w:hAnsi="Arial" w:cs="Arial"/>
          <w:color w:val="000000" w:themeColor="text1"/>
          <w:sz w:val="22"/>
          <w:szCs w:val="22"/>
          <w:lang w:val="es-ES_tradnl"/>
        </w:rPr>
        <w:fldChar w:fldCharType="begin"/>
      </w:r>
      <w:r w:rsidR="00456CE2" w:rsidRPr="00083041">
        <w:rPr>
          <w:rFonts w:ascii="Arial" w:hAnsi="Arial" w:cs="Arial"/>
          <w:color w:val="000000" w:themeColor="text1"/>
          <w:sz w:val="22"/>
          <w:szCs w:val="22"/>
          <w:lang w:val="es-ES_tradnl"/>
        </w:rPr>
        <w:instrText xml:space="preserve"> SECTION  \* MERGEFORMAT </w:instrText>
      </w:r>
      <w:r w:rsidR="00456CE2" w:rsidRPr="00083041">
        <w:rPr>
          <w:rFonts w:ascii="Arial" w:hAnsi="Arial" w:cs="Arial"/>
          <w:color w:val="000000" w:themeColor="text1"/>
          <w:sz w:val="22"/>
          <w:szCs w:val="22"/>
          <w:lang w:val="es-ES_tradnl"/>
        </w:rPr>
        <w:fldChar w:fldCharType="separate"/>
      </w:r>
      <w:r w:rsidR="002A0A84" w:rsidRPr="00083041">
        <w:rPr>
          <w:rFonts w:ascii="Arial" w:hAnsi="Arial" w:cs="Arial"/>
          <w:color w:val="000000" w:themeColor="text1"/>
          <w:sz w:val="22"/>
          <w:szCs w:val="22"/>
          <w:lang w:val="es-ES_tradnl"/>
        </w:rPr>
        <w:instrText>5</w:instrText>
      </w:r>
      <w:r w:rsidR="00456CE2" w:rsidRPr="00083041">
        <w:rPr>
          <w:rFonts w:ascii="Arial" w:hAnsi="Arial" w:cs="Arial"/>
          <w:color w:val="000000" w:themeColor="text1"/>
          <w:sz w:val="22"/>
          <w:szCs w:val="22"/>
          <w:lang w:val="es-ES_tradnl"/>
        </w:rPr>
        <w:fldChar w:fldCharType="end"/>
      </w:r>
      <w:r w:rsidRPr="00083041">
        <w:rPr>
          <w:rFonts w:ascii="Arial" w:hAnsi="Arial" w:cs="Arial"/>
          <w:color w:val="000000" w:themeColor="text1"/>
          <w:sz w:val="22"/>
          <w:szCs w:val="22"/>
          <w:lang w:val="es-ES_tradnl"/>
        </w:rPr>
        <w:instrText xml:space="preserve">#"\* ALPHABETIC \* MERGEFORMAT </w:instrText>
      </w:r>
      <w:r w:rsidRPr="00083041">
        <w:rPr>
          <w:rFonts w:ascii="Arial" w:hAnsi="Arial" w:cs="Arial"/>
          <w:color w:val="000000" w:themeColor="text1"/>
          <w:sz w:val="22"/>
          <w:szCs w:val="22"/>
          <w:lang w:val="es-ES_tradnl"/>
        </w:rPr>
        <w:fldChar w:fldCharType="separate"/>
      </w:r>
      <w:bookmarkStart w:id="9" w:name="_Toc482367470"/>
      <w:r w:rsidR="002A0A84" w:rsidRPr="00083041">
        <w:rPr>
          <w:rFonts w:ascii="Arial" w:hAnsi="Arial" w:cs="Arial"/>
          <w:color w:val="000000" w:themeColor="text1"/>
          <w:sz w:val="22"/>
          <w:szCs w:val="22"/>
          <w:lang w:val="es-ES_tradnl"/>
        </w:rPr>
        <w:t>A</w:t>
      </w:r>
      <w:r w:rsidRPr="00083041">
        <w:rPr>
          <w:rFonts w:ascii="Arial" w:hAnsi="Arial" w:cs="Arial"/>
          <w:color w:val="000000" w:themeColor="text1"/>
          <w:sz w:val="22"/>
          <w:szCs w:val="22"/>
          <w:lang w:val="es-ES_tradnl"/>
        </w:rPr>
        <w:fldChar w:fldCharType="end"/>
      </w:r>
      <w:r w:rsidRPr="00083041">
        <w:rPr>
          <w:rFonts w:ascii="Arial" w:hAnsi="Arial" w:cs="Arial"/>
          <w:color w:val="000000" w:themeColor="text1"/>
          <w:sz w:val="22"/>
          <w:szCs w:val="22"/>
          <w:lang w:val="es-ES_tradnl"/>
        </w:rPr>
        <w:t>.</w:t>
      </w:r>
      <w:r w:rsidRPr="00083041">
        <w:rPr>
          <w:rFonts w:ascii="Arial" w:hAnsi="Arial" w:cs="Arial"/>
          <w:color w:val="000000" w:themeColor="text1"/>
          <w:sz w:val="22"/>
          <w:szCs w:val="22"/>
          <w:lang w:val="es-ES_tradnl"/>
        </w:rPr>
        <w:tab/>
      </w:r>
      <w:r w:rsidR="00F10FC6" w:rsidRPr="00083041">
        <w:rPr>
          <w:rFonts w:ascii="Arial" w:hAnsi="Arial" w:cs="Arial"/>
          <w:color w:val="000000" w:themeColor="text1"/>
          <w:sz w:val="22"/>
          <w:szCs w:val="22"/>
          <w:lang w:val="es-ES_tradnl"/>
        </w:rPr>
        <w:t>Metodología</w:t>
      </w:r>
      <w:bookmarkEnd w:id="9"/>
    </w:p>
    <w:p w14:paraId="1DD3DE39" w14:textId="77777777" w:rsidR="00A44DE7" w:rsidRPr="00083041" w:rsidRDefault="00A44DE7" w:rsidP="00A44DE7">
      <w:pPr>
        <w:pStyle w:val="SecHeading"/>
        <w:tabs>
          <w:tab w:val="clear" w:pos="5400"/>
          <w:tab w:val="num" w:pos="720"/>
        </w:tabs>
        <w:ind w:left="720" w:hanging="720"/>
        <w:rPr>
          <w:rFonts w:ascii="Arial" w:hAnsi="Arial" w:cs="Arial"/>
          <w:color w:val="000000" w:themeColor="text1"/>
          <w:sz w:val="22"/>
          <w:szCs w:val="22"/>
          <w:lang w:val="es-ES_tradnl"/>
        </w:rPr>
      </w:pPr>
      <w:r w:rsidRPr="00083041">
        <w:rPr>
          <w:rFonts w:ascii="Arial" w:hAnsi="Arial" w:cs="Arial"/>
          <w:color w:val="000000" w:themeColor="text1"/>
          <w:sz w:val="22"/>
          <w:szCs w:val="22"/>
          <w:lang w:val="es-ES_tradnl"/>
        </w:rPr>
        <w:t>Alineación</w:t>
      </w:r>
    </w:p>
    <w:p w14:paraId="6400F9AF" w14:textId="4241377A" w:rsidR="00A44DE7" w:rsidRPr="00083041" w:rsidRDefault="00A44DE7" w:rsidP="00A44DE7">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color w:val="000000" w:themeColor="text1"/>
          <w:sz w:val="22"/>
          <w:szCs w:val="22"/>
          <w:lang w:val="es-ES_tradnl"/>
        </w:rPr>
        <w:t>Con el proyecto de Red Compartida se prevé que el aumento pronunciado de la cobertura de tecnología 4G tenga un efecto positivo en la productividad, la competitividad y la creación de empleos. En los estudios realizados en los países desarrollados se demuestra que la obtención de acceso a los servicios de banda ancha está vinculada con (i) un aumento de 1,8 puntos porcentuales en la tasa de empleo, con mayores efectos en las zonas rurales y aisladas</w:t>
      </w:r>
      <w:r w:rsidR="00EE603D" w:rsidRPr="00083041">
        <w:rPr>
          <w:rStyle w:val="FootnoteReference"/>
          <w:rFonts w:ascii="Arial" w:hAnsi="Arial" w:cs="Arial"/>
          <w:color w:val="000000" w:themeColor="text1"/>
          <w:sz w:val="22"/>
          <w:szCs w:val="22"/>
          <w:lang w:val="es-ES_tradnl"/>
        </w:rPr>
        <w:footnoteReference w:id="19"/>
      </w:r>
      <w:r w:rsidRPr="00083041">
        <w:rPr>
          <w:rFonts w:ascii="Arial" w:hAnsi="Arial" w:cs="Arial"/>
          <w:color w:val="000000" w:themeColor="text1"/>
          <w:sz w:val="22"/>
          <w:szCs w:val="22"/>
          <w:lang w:val="es-ES_tradnl"/>
        </w:rPr>
        <w:t>; (ii) un incremento de la tasa de crecimiento del número de empresas comprendido entre 0,5% y 1,2%</w:t>
      </w:r>
      <w:r w:rsidR="00EE603D" w:rsidRPr="00083041">
        <w:rPr>
          <w:rStyle w:val="FootnoteReference"/>
          <w:rFonts w:ascii="Arial" w:hAnsi="Arial" w:cs="Arial"/>
          <w:color w:val="000000" w:themeColor="text1"/>
          <w:sz w:val="22"/>
          <w:szCs w:val="22"/>
          <w:lang w:val="es-ES_tradnl"/>
        </w:rPr>
        <w:footnoteReference w:id="20"/>
      </w:r>
      <w:r w:rsidRPr="00083041">
        <w:rPr>
          <w:rFonts w:ascii="Arial" w:hAnsi="Arial" w:cs="Arial"/>
          <w:color w:val="000000" w:themeColor="text1"/>
          <w:sz w:val="22"/>
          <w:szCs w:val="22"/>
          <w:lang w:val="es-ES_tradnl"/>
        </w:rPr>
        <w:t>; (iii) un acrecentamiento de la productividad laboral de las empresas</w:t>
      </w:r>
      <w:r w:rsidR="00EE603D" w:rsidRPr="00083041">
        <w:rPr>
          <w:rStyle w:val="FootnoteReference"/>
          <w:rFonts w:ascii="Arial" w:hAnsi="Arial" w:cs="Arial"/>
          <w:color w:val="000000" w:themeColor="text1"/>
          <w:sz w:val="22"/>
          <w:szCs w:val="22"/>
          <w:lang w:val="es-ES_tradnl"/>
        </w:rPr>
        <w:footnoteReference w:id="21"/>
      </w:r>
      <w:r w:rsidRPr="00083041">
        <w:rPr>
          <w:rFonts w:ascii="Arial" w:hAnsi="Arial" w:cs="Arial"/>
          <w:color w:val="000000" w:themeColor="text1"/>
          <w:sz w:val="22"/>
          <w:szCs w:val="22"/>
          <w:lang w:val="es-ES_tradnl"/>
        </w:rPr>
        <w:t xml:space="preserve"> que va desde el 7,0% hasta el 10,0%</w:t>
      </w:r>
      <w:r w:rsidR="00EE603D" w:rsidRPr="00083041">
        <w:rPr>
          <w:rStyle w:val="FootnoteReference"/>
          <w:rFonts w:ascii="Arial" w:hAnsi="Arial" w:cs="Arial"/>
          <w:color w:val="000000" w:themeColor="text1"/>
          <w:sz w:val="22"/>
          <w:szCs w:val="22"/>
          <w:lang w:val="es-ES_tradnl"/>
        </w:rPr>
        <w:footnoteReference w:id="22"/>
      </w:r>
      <w:r w:rsidRPr="00083041">
        <w:rPr>
          <w:rFonts w:ascii="Arial" w:hAnsi="Arial" w:cs="Arial"/>
          <w:color w:val="000000" w:themeColor="text1"/>
          <w:sz w:val="22"/>
          <w:szCs w:val="22"/>
          <w:lang w:val="es-ES_tradnl"/>
        </w:rPr>
        <w:t xml:space="preserve">, y (iv) un aumento del crecimiento anual per </w:t>
      </w:r>
      <w:r w:rsidRPr="00083041">
        <w:rPr>
          <w:rFonts w:ascii="Arial" w:hAnsi="Arial" w:cs="Arial"/>
          <w:color w:val="000000" w:themeColor="text1"/>
          <w:sz w:val="22"/>
          <w:szCs w:val="22"/>
          <w:lang w:val="es-ES_tradnl"/>
        </w:rPr>
        <w:lastRenderedPageBreak/>
        <w:t>cápita</w:t>
      </w:r>
      <w:r w:rsidR="00EE603D" w:rsidRPr="00083041">
        <w:rPr>
          <w:rStyle w:val="FootnoteReference"/>
          <w:rFonts w:ascii="Arial" w:hAnsi="Arial" w:cs="Arial"/>
          <w:color w:val="000000" w:themeColor="text1"/>
          <w:sz w:val="22"/>
          <w:szCs w:val="22"/>
          <w:lang w:val="es-ES_tradnl"/>
        </w:rPr>
        <w:footnoteReference w:id="23"/>
      </w:r>
      <w:r w:rsidRPr="00083041">
        <w:rPr>
          <w:rFonts w:ascii="Arial" w:hAnsi="Arial" w:cs="Arial"/>
          <w:color w:val="000000" w:themeColor="text1"/>
          <w:sz w:val="22"/>
          <w:szCs w:val="22"/>
          <w:lang w:val="es-ES_tradnl"/>
        </w:rPr>
        <w:t xml:space="preserve"> que varía entre 0,9 puntos porcentuales y 1,5 puntos porcentuales</w:t>
      </w:r>
      <w:r w:rsidR="00EE603D" w:rsidRPr="00083041">
        <w:rPr>
          <w:rStyle w:val="FootnoteReference"/>
          <w:rFonts w:ascii="Arial" w:hAnsi="Arial" w:cs="Arial"/>
          <w:color w:val="000000" w:themeColor="text1"/>
          <w:sz w:val="22"/>
          <w:szCs w:val="22"/>
          <w:lang w:val="es-ES_tradnl"/>
        </w:rPr>
        <w:footnoteReference w:id="24"/>
      </w:r>
      <w:r w:rsidRPr="00083041">
        <w:rPr>
          <w:rFonts w:ascii="Arial" w:hAnsi="Arial" w:cs="Arial"/>
          <w:color w:val="000000" w:themeColor="text1"/>
          <w:sz w:val="22"/>
          <w:szCs w:val="22"/>
          <w:lang w:val="es-ES_tradnl"/>
        </w:rPr>
        <w:t>. Los datos probatorios en el caso de los países en desarrollo son más escasos, aunque corroboran los resultados positivos de los países desarrollados</w:t>
      </w:r>
      <w:r w:rsidR="00EE603D" w:rsidRPr="00083041">
        <w:rPr>
          <w:rStyle w:val="FootnoteReference"/>
          <w:rFonts w:ascii="Arial" w:hAnsi="Arial" w:cs="Arial"/>
          <w:color w:val="000000" w:themeColor="text1"/>
          <w:sz w:val="22"/>
          <w:szCs w:val="22"/>
          <w:lang w:val="es-ES_tradnl"/>
        </w:rPr>
        <w:footnoteReference w:id="25"/>
      </w:r>
      <w:r w:rsidRPr="00083041">
        <w:rPr>
          <w:rFonts w:ascii="Arial" w:hAnsi="Arial" w:cs="Arial"/>
          <w:color w:val="000000" w:themeColor="text1"/>
          <w:sz w:val="22"/>
          <w:szCs w:val="22"/>
          <w:lang w:val="es-ES_tradnl"/>
        </w:rPr>
        <w:t>. En un nivel más macroeconómico, los estudios demuestran que hay una correlación entre la adopción de la banda ancha y el crecimiento, sobre todo cuando existe una masa crítica de infraestructura. En un estudio mundial se comprobó que un incremento del 10,0% en la penetración de la banda ancha hacía que el crecimiento anual per cápita se elevara entre el 0,9% y el 1,5%</w:t>
      </w:r>
      <w:r w:rsidR="00E10205" w:rsidRPr="00083041">
        <w:rPr>
          <w:rStyle w:val="FootnoteReference"/>
          <w:rFonts w:ascii="Arial" w:hAnsi="Arial" w:cs="Arial"/>
          <w:color w:val="000000" w:themeColor="text1"/>
          <w:sz w:val="22"/>
          <w:szCs w:val="22"/>
          <w:lang w:val="es-ES_tradnl"/>
        </w:rPr>
        <w:footnoteReference w:id="26"/>
      </w:r>
      <w:r w:rsidRPr="00083041">
        <w:rPr>
          <w:rFonts w:ascii="Arial" w:hAnsi="Arial" w:cs="Arial"/>
          <w:color w:val="000000" w:themeColor="text1"/>
          <w:sz w:val="22"/>
          <w:szCs w:val="22"/>
          <w:lang w:val="es-ES_tradnl"/>
        </w:rPr>
        <w:t>. En el caso de la región, el BID llegó a la conclusión de que, en América Latina y el Caribe, un aumento de la penetración de la banda ancha de 10,0% está correlacionado con un incremento del producto interno bruto (PIB) de 3,2% y un acrecentamiento de la productividad de 2,6%</w:t>
      </w:r>
      <w:r w:rsidR="00E10205" w:rsidRPr="00083041">
        <w:rPr>
          <w:rStyle w:val="FootnoteReference"/>
          <w:rFonts w:ascii="Arial" w:hAnsi="Arial" w:cs="Arial"/>
          <w:color w:val="000000" w:themeColor="text1"/>
          <w:sz w:val="22"/>
          <w:szCs w:val="22"/>
          <w:lang w:val="es-ES_tradnl"/>
        </w:rPr>
        <w:footnoteReference w:id="27"/>
      </w:r>
      <w:r w:rsidRPr="00083041">
        <w:rPr>
          <w:rFonts w:ascii="Arial" w:hAnsi="Arial" w:cs="Arial"/>
          <w:color w:val="000000" w:themeColor="text1"/>
          <w:sz w:val="22"/>
          <w:szCs w:val="22"/>
          <w:lang w:val="es-ES_tradnl"/>
        </w:rPr>
        <w:t>.</w:t>
      </w:r>
      <w:r w:rsidR="00996F6C">
        <w:rPr>
          <w:rFonts w:ascii="Arial" w:hAnsi="Arial" w:cs="Arial"/>
          <w:color w:val="000000" w:themeColor="text1"/>
          <w:sz w:val="22"/>
          <w:szCs w:val="22"/>
          <w:lang w:val="es-ES_tradnl"/>
        </w:rPr>
        <w:t xml:space="preserve"> Recientemente, el estudio realizado por Jensen y Miller en la India, basado en un experimento natural, </w:t>
      </w:r>
      <w:r w:rsidR="0003343D">
        <w:rPr>
          <w:rFonts w:ascii="Arial" w:hAnsi="Arial" w:cs="Arial"/>
          <w:color w:val="000000" w:themeColor="text1"/>
          <w:sz w:val="22"/>
          <w:szCs w:val="22"/>
          <w:lang w:val="es-ES_tradnl"/>
        </w:rPr>
        <w:t xml:space="preserve">señala </w:t>
      </w:r>
      <w:r w:rsidR="001434BC">
        <w:rPr>
          <w:rFonts w:ascii="Arial" w:hAnsi="Arial" w:cs="Arial"/>
          <w:color w:val="000000" w:themeColor="text1"/>
          <w:sz w:val="22"/>
          <w:szCs w:val="22"/>
          <w:lang w:val="es-ES_tradnl"/>
        </w:rPr>
        <w:t>que</w:t>
      </w:r>
      <w:r w:rsidR="00996F6C">
        <w:rPr>
          <w:rFonts w:ascii="Arial" w:hAnsi="Arial" w:cs="Arial"/>
          <w:color w:val="000000" w:themeColor="text1"/>
          <w:sz w:val="22"/>
          <w:szCs w:val="22"/>
          <w:lang w:val="es-ES_tradnl"/>
        </w:rPr>
        <w:t xml:space="preserve"> una de las limitantes al crecimiento de las firmas es la falta de mercados efectivos y conocimiento de precios; barrera que los teléfonos celulares y, por tanto, el acceso a tecnología de banda ancha móvil de calidad, ayudan a superar o reducir permitiendo que las firmas eficientes amplíen su cuota de mercado y crezcan en productividad y reduciendo el coto de acción de las firmas menos eficientes.</w:t>
      </w:r>
      <w:r w:rsidR="00996F6C">
        <w:rPr>
          <w:rStyle w:val="FootnoteReference"/>
          <w:rFonts w:ascii="Arial" w:hAnsi="Arial" w:cs="Arial"/>
          <w:color w:val="000000" w:themeColor="text1"/>
          <w:sz w:val="22"/>
          <w:szCs w:val="22"/>
          <w:lang w:val="es-ES_tradnl"/>
        </w:rPr>
        <w:footnoteReference w:id="28"/>
      </w:r>
    </w:p>
    <w:p w14:paraId="1477ABA2" w14:textId="77777777" w:rsidR="00202BF7" w:rsidRPr="00083041" w:rsidRDefault="00202BF7" w:rsidP="00A44DE7">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sz w:val="22"/>
          <w:szCs w:val="22"/>
          <w:lang w:val="es-ES_tradnl"/>
        </w:rPr>
        <w:t xml:space="preserve">En este sentido, la operación es consistentes con la </w:t>
      </w:r>
      <w:hyperlink r:id="rId13" w:history="1">
        <w:r w:rsidRPr="00083041">
          <w:rPr>
            <w:rStyle w:val="Hyperlink"/>
            <w:rFonts w:ascii="Arial" w:hAnsi="Arial" w:cs="Arial"/>
            <w:sz w:val="22"/>
            <w:szCs w:val="22"/>
            <w:lang w:val="es-ES_tradnl"/>
          </w:rPr>
          <w:t>Actualización de la Estrategia Institucional (UIS) 2010-2020 (AB-3008)</w:t>
        </w:r>
      </w:hyperlink>
      <w:r w:rsidRPr="00083041">
        <w:rPr>
          <w:rFonts w:ascii="Arial" w:hAnsi="Arial" w:cs="Arial"/>
          <w:sz w:val="22"/>
          <w:szCs w:val="22"/>
          <w:lang w:val="es-ES_tradnl"/>
        </w:rPr>
        <w:t xml:space="preserve"> y los desafíos de: (i) “productividad e innovación”, al apoyar la modernización tecnológica de infraestructura productiva y de conectividad; y (ii) de “integración económica”, al fomentar la expansión de infraestructura a zonas no/poco servidas para facilitar la vinculación entre sectores productivos locales y con sectores productivos globales. El propósito de esta inversión en la RC es la penetración a largo plazo en servicios de banda ancha móvil 4G o superior mediante un significativo aumento de la cobertura de estos servicios ‒al menos 92,2% de la población mexicana para 2024. Adicionalmente, el proyecto también está alineado con la Estrategia Sectorial sobre las Instituciones para el Crecimiento y el Bienestar Social (GN˗2587-2), que identifica la necesidad de mejorar las políticas y acciones gubernamentales en el sector de Tecnologías de la Información y la Comunicación (TIC). También existe una alineación con la Documento de Marco Sectorial de Innovación, Ciencia y Tecnología (GN-2791-8), que identifica la falta de adopción TIC como uno de los principales factores que afectan a la productividad. </w:t>
      </w:r>
      <w:r w:rsidRPr="00083041">
        <w:rPr>
          <w:rFonts w:ascii="Arial" w:hAnsi="Arial" w:cs="Arial"/>
          <w:color w:val="000000" w:themeColor="text1"/>
          <w:sz w:val="22"/>
          <w:szCs w:val="22"/>
          <w:lang w:val="es-ES_tradnl"/>
        </w:rPr>
        <w:t>Descripción de la estrategia.</w:t>
      </w:r>
    </w:p>
    <w:p w14:paraId="4E001F65" w14:textId="77777777" w:rsidR="00F10FC6" w:rsidRPr="00083041" w:rsidRDefault="00F10FC6" w:rsidP="00B45A47">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color w:val="000000" w:themeColor="text1"/>
          <w:sz w:val="22"/>
          <w:szCs w:val="22"/>
          <w:lang w:val="es-ES_tradnl"/>
        </w:rPr>
        <w:t>La metodología utilizada para el presente análisis de los flujos de costos y beneficios asociados a la realización de</w:t>
      </w:r>
      <w:r w:rsidR="007B79B4" w:rsidRPr="00083041">
        <w:rPr>
          <w:rFonts w:ascii="Arial" w:hAnsi="Arial" w:cs="Arial"/>
          <w:color w:val="000000" w:themeColor="text1"/>
          <w:sz w:val="22"/>
          <w:szCs w:val="22"/>
          <w:lang w:val="es-ES_tradnl"/>
        </w:rPr>
        <w:t xml:space="preserve"> la presente operación es la del </w:t>
      </w:r>
      <w:r w:rsidR="00F53BC7" w:rsidRPr="00083041">
        <w:rPr>
          <w:rFonts w:ascii="Arial" w:hAnsi="Arial" w:cs="Arial"/>
          <w:color w:val="000000" w:themeColor="text1"/>
          <w:sz w:val="22"/>
          <w:szCs w:val="22"/>
          <w:lang w:val="es-ES_tradnl"/>
        </w:rPr>
        <w:t>Análisis</w:t>
      </w:r>
      <w:r w:rsidR="007B79B4" w:rsidRPr="00083041">
        <w:rPr>
          <w:rFonts w:ascii="Arial" w:hAnsi="Arial" w:cs="Arial"/>
          <w:color w:val="000000" w:themeColor="text1"/>
          <w:sz w:val="22"/>
          <w:szCs w:val="22"/>
          <w:lang w:val="es-ES_tradnl"/>
        </w:rPr>
        <w:t xml:space="preserve"> Costo Beneficio por el método de la variación de excedentes.</w:t>
      </w:r>
      <w:r w:rsidR="00F53BC7" w:rsidRPr="00083041">
        <w:rPr>
          <w:rFonts w:ascii="Arial" w:hAnsi="Arial" w:cs="Arial"/>
          <w:color w:val="000000" w:themeColor="text1"/>
          <w:sz w:val="22"/>
          <w:szCs w:val="22"/>
          <w:lang w:val="es-ES_tradnl"/>
        </w:rPr>
        <w:t xml:space="preserve"> </w:t>
      </w:r>
      <w:r w:rsidR="0004257E" w:rsidRPr="00083041">
        <w:rPr>
          <w:rFonts w:ascii="Arial" w:hAnsi="Arial" w:cs="Arial"/>
          <w:color w:val="000000" w:themeColor="text1"/>
          <w:sz w:val="22"/>
          <w:szCs w:val="22"/>
          <w:lang w:val="es-ES_tradnl"/>
        </w:rPr>
        <w:t xml:space="preserve">En este sentido, se </w:t>
      </w:r>
      <w:r w:rsidR="0004257E" w:rsidRPr="00083041">
        <w:rPr>
          <w:rFonts w:ascii="Arial" w:hAnsi="Arial" w:cs="Arial"/>
          <w:color w:val="000000" w:themeColor="text1"/>
          <w:sz w:val="22"/>
          <w:szCs w:val="22"/>
          <w:lang w:val="es-ES_tradnl"/>
        </w:rPr>
        <w:lastRenderedPageBreak/>
        <w:t xml:space="preserve">analizan de un lado las variaciones ocurridas en los excedentes del consumidor y el productor, descontando cualquier tipo de transferencia </w:t>
      </w:r>
      <w:r w:rsidR="00ED45EB" w:rsidRPr="00083041">
        <w:rPr>
          <w:rFonts w:ascii="Arial" w:hAnsi="Arial" w:cs="Arial"/>
          <w:color w:val="000000" w:themeColor="text1"/>
          <w:sz w:val="22"/>
          <w:szCs w:val="22"/>
          <w:lang w:val="es-ES_tradnl"/>
        </w:rPr>
        <w:t xml:space="preserve">entre los mismos </w:t>
      </w:r>
      <w:r w:rsidR="0004257E" w:rsidRPr="00083041">
        <w:rPr>
          <w:rFonts w:ascii="Arial" w:hAnsi="Arial" w:cs="Arial"/>
          <w:color w:val="000000" w:themeColor="text1"/>
          <w:sz w:val="22"/>
          <w:szCs w:val="22"/>
          <w:lang w:val="es-ES_tradnl"/>
        </w:rPr>
        <w:t xml:space="preserve">para evitar su doble contabilización. </w:t>
      </w:r>
      <w:r w:rsidR="00F53BC7" w:rsidRPr="00083041">
        <w:rPr>
          <w:rFonts w:ascii="Arial" w:hAnsi="Arial" w:cs="Arial"/>
          <w:color w:val="000000" w:themeColor="text1"/>
          <w:sz w:val="22"/>
          <w:szCs w:val="22"/>
          <w:lang w:val="es-ES_tradnl"/>
        </w:rPr>
        <w:t xml:space="preserve">Con esta metodología se busca identificar el beneficio social derivado del proyecto frente al resultado en un escenario alternativo donde el </w:t>
      </w:r>
      <w:r w:rsidR="00ED45EB" w:rsidRPr="00083041">
        <w:rPr>
          <w:rFonts w:ascii="Arial" w:hAnsi="Arial" w:cs="Arial"/>
          <w:color w:val="000000" w:themeColor="text1"/>
          <w:sz w:val="22"/>
          <w:szCs w:val="22"/>
          <w:lang w:val="es-ES_tradnl"/>
        </w:rPr>
        <w:t>proyecto no se realiza.</w:t>
      </w:r>
    </w:p>
    <w:p w14:paraId="75C152B6" w14:textId="77777777" w:rsidR="00ED45EB" w:rsidRDefault="00ED45EB" w:rsidP="00BB70AC">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b/>
          <w:color w:val="000000" w:themeColor="text1"/>
          <w:sz w:val="22"/>
          <w:szCs w:val="22"/>
          <w:lang w:val="es-ES_tradnl"/>
        </w:rPr>
        <w:t>Caracterización del mercado</w:t>
      </w:r>
      <w:r w:rsidR="005E1965" w:rsidRPr="00083041">
        <w:rPr>
          <w:rFonts w:ascii="Arial" w:hAnsi="Arial" w:cs="Arial"/>
          <w:b/>
          <w:color w:val="000000" w:themeColor="text1"/>
          <w:sz w:val="22"/>
          <w:szCs w:val="22"/>
          <w:lang w:val="es-ES_tradnl"/>
        </w:rPr>
        <w:t xml:space="preserve">. </w:t>
      </w:r>
      <w:r w:rsidRPr="00083041">
        <w:rPr>
          <w:rFonts w:ascii="Arial" w:hAnsi="Arial" w:cs="Arial"/>
          <w:color w:val="000000" w:themeColor="text1"/>
          <w:sz w:val="22"/>
          <w:szCs w:val="22"/>
          <w:lang w:val="es-ES_tradnl"/>
        </w:rPr>
        <w:t xml:space="preserve">Definiendo el mercado de interés como el mercado de banda ancha </w:t>
      </w:r>
      <w:r w:rsidR="00460AA9" w:rsidRPr="00083041">
        <w:rPr>
          <w:rFonts w:ascii="Arial" w:hAnsi="Arial" w:cs="Arial"/>
          <w:color w:val="000000" w:themeColor="text1"/>
          <w:sz w:val="22"/>
          <w:szCs w:val="22"/>
          <w:lang w:val="es-ES_tradnl"/>
        </w:rPr>
        <w:t>móvil</w:t>
      </w:r>
      <w:r w:rsidRPr="00083041">
        <w:rPr>
          <w:rFonts w:ascii="Arial" w:hAnsi="Arial" w:cs="Arial"/>
          <w:color w:val="000000" w:themeColor="text1"/>
          <w:sz w:val="22"/>
          <w:szCs w:val="22"/>
          <w:lang w:val="es-ES_tradnl"/>
        </w:rPr>
        <w:t xml:space="preserve"> con </w:t>
      </w:r>
      <w:r w:rsidR="00460AA9" w:rsidRPr="00083041">
        <w:rPr>
          <w:rFonts w:ascii="Arial" w:hAnsi="Arial" w:cs="Arial"/>
          <w:color w:val="000000" w:themeColor="text1"/>
          <w:sz w:val="22"/>
          <w:szCs w:val="22"/>
          <w:lang w:val="es-ES_tradnl"/>
        </w:rPr>
        <w:t>tecnología</w:t>
      </w:r>
      <w:r w:rsidRPr="00083041">
        <w:rPr>
          <w:rFonts w:ascii="Arial" w:hAnsi="Arial" w:cs="Arial"/>
          <w:color w:val="000000" w:themeColor="text1"/>
          <w:sz w:val="22"/>
          <w:szCs w:val="22"/>
          <w:lang w:val="es-ES_tradnl"/>
        </w:rPr>
        <w:t xml:space="preserve"> 4G o superior, cuya oferta y demanda se miden en MB y el precio se determina como precio de suscripción por MB, la representación simplificada del mercado sería la siguiente:</w:t>
      </w:r>
      <w:r w:rsidR="00010A52" w:rsidRPr="00083041">
        <w:rPr>
          <w:rFonts w:ascii="Arial" w:hAnsi="Arial" w:cs="Arial"/>
          <w:color w:val="000000" w:themeColor="text1"/>
          <w:sz w:val="22"/>
          <w:szCs w:val="22"/>
          <w:lang w:val="es-ES_tradnl"/>
        </w:rPr>
        <w:t xml:space="preserve"> </w:t>
      </w:r>
    </w:p>
    <w:p w14:paraId="2603ACE8" w14:textId="77777777" w:rsidR="0037316C" w:rsidRPr="00083041" w:rsidRDefault="0037316C" w:rsidP="0037316C">
      <w:pPr>
        <w:pStyle w:val="Paragraph"/>
        <w:numPr>
          <w:ilvl w:val="0"/>
          <w:numId w:val="0"/>
        </w:numPr>
        <w:jc w:val="center"/>
        <w:rPr>
          <w:rFonts w:ascii="Arial" w:hAnsi="Arial" w:cs="Arial"/>
          <w:color w:val="000000" w:themeColor="text1"/>
          <w:sz w:val="22"/>
          <w:szCs w:val="22"/>
          <w:lang w:val="es-ES_tradnl"/>
        </w:rPr>
      </w:pPr>
      <w:r w:rsidRPr="00083041">
        <w:rPr>
          <w:rFonts w:ascii="Arial" w:hAnsi="Arial" w:cs="Arial"/>
          <w:b/>
          <w:color w:val="000000" w:themeColor="text1"/>
          <w:sz w:val="22"/>
          <w:szCs w:val="22"/>
          <w:lang w:val="es-ES_tradnl"/>
        </w:rPr>
        <w:t>Gráfica 1. Mercado de banda ancha móvil con tecnología 4G o superior</w:t>
      </w:r>
    </w:p>
    <w:p w14:paraId="760D16F8" w14:textId="77777777" w:rsidR="0043744C" w:rsidRPr="00083041" w:rsidRDefault="0043744C" w:rsidP="0043744C">
      <w:pPr>
        <w:pStyle w:val="Paragraph"/>
        <w:numPr>
          <w:ilvl w:val="0"/>
          <w:numId w:val="0"/>
        </w:numPr>
        <w:ind w:left="720"/>
        <w:jc w:val="center"/>
        <w:rPr>
          <w:rFonts w:ascii="Arial" w:hAnsi="Arial" w:cs="Arial"/>
          <w:color w:val="000000" w:themeColor="text1"/>
          <w:sz w:val="22"/>
          <w:szCs w:val="22"/>
          <w:lang w:val="es-ES_tradnl"/>
        </w:rPr>
      </w:pPr>
      <w:r w:rsidRPr="00083041">
        <w:rPr>
          <w:rFonts w:ascii="Arial" w:hAnsi="Arial" w:cs="Arial"/>
          <w:noProof/>
          <w:color w:val="000000" w:themeColor="text1"/>
          <w:sz w:val="22"/>
          <w:szCs w:val="22"/>
          <w:lang w:eastAsia="en-US"/>
        </w:rPr>
        <w:drawing>
          <wp:inline distT="0" distB="0" distL="0" distR="0" wp14:anchorId="204E67EC" wp14:editId="7AF57FBA">
            <wp:extent cx="5311693" cy="3607857"/>
            <wp:effectExtent l="0" t="0" r="0"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7634" cy="3611892"/>
                    </a:xfrm>
                    <a:prstGeom prst="rect">
                      <a:avLst/>
                    </a:prstGeom>
                    <a:noFill/>
                  </pic:spPr>
                </pic:pic>
              </a:graphicData>
            </a:graphic>
          </wp:inline>
        </w:drawing>
      </w:r>
    </w:p>
    <w:p w14:paraId="6F372E5D" w14:textId="77777777" w:rsidR="0043744C" w:rsidRPr="00083041" w:rsidRDefault="0043744C" w:rsidP="00B45A47">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color w:val="000000" w:themeColor="text1"/>
          <w:sz w:val="22"/>
          <w:szCs w:val="22"/>
          <w:lang w:val="es-ES_tradnl"/>
        </w:rPr>
        <w:t>Cabe señalar que la demanda en este mercado</w:t>
      </w:r>
      <w:r w:rsidR="004E0620" w:rsidRPr="00083041">
        <w:rPr>
          <w:rFonts w:ascii="Arial" w:hAnsi="Arial" w:cs="Arial"/>
          <w:color w:val="000000" w:themeColor="text1"/>
          <w:sz w:val="22"/>
          <w:szCs w:val="22"/>
          <w:lang w:val="es-ES_tradnl"/>
        </w:rPr>
        <w:t xml:space="preserve"> tiende a ser</w:t>
      </w:r>
      <w:r w:rsidRPr="00083041">
        <w:rPr>
          <w:rFonts w:ascii="Arial" w:hAnsi="Arial" w:cs="Arial"/>
          <w:color w:val="000000" w:themeColor="text1"/>
          <w:sz w:val="22"/>
          <w:szCs w:val="22"/>
          <w:lang w:val="es-ES_tradnl"/>
        </w:rPr>
        <w:t xml:space="preserve"> inelástica, apreciando una baja sensibilidad de la misma ante variaciones de precios en tanto en cuanto los consumidores lo consideran un servicio cada vez más esencial.</w:t>
      </w:r>
    </w:p>
    <w:p w14:paraId="32FA92CF" w14:textId="77777777" w:rsidR="00FB3179" w:rsidRPr="00083041" w:rsidRDefault="00005070" w:rsidP="00B45A47">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b/>
          <w:color w:val="000000" w:themeColor="text1"/>
          <w:sz w:val="22"/>
          <w:szCs w:val="22"/>
          <w:lang w:val="es-ES_tradnl"/>
        </w:rPr>
        <w:t>Beneficiarios y composición de los excedentes.</w:t>
      </w:r>
      <w:r w:rsidRPr="00083041">
        <w:rPr>
          <w:rFonts w:ascii="Arial" w:hAnsi="Arial" w:cs="Arial"/>
          <w:color w:val="000000" w:themeColor="text1"/>
          <w:sz w:val="22"/>
          <w:szCs w:val="22"/>
          <w:lang w:val="es-ES_tradnl"/>
        </w:rPr>
        <w:t xml:space="preserve"> </w:t>
      </w:r>
      <w:r w:rsidR="00BE78B4" w:rsidRPr="00083041">
        <w:rPr>
          <w:rFonts w:ascii="Arial" w:hAnsi="Arial" w:cs="Arial"/>
          <w:color w:val="000000" w:themeColor="text1"/>
          <w:sz w:val="22"/>
          <w:szCs w:val="22"/>
          <w:lang w:val="es-ES_tradnl"/>
        </w:rPr>
        <w:t xml:space="preserve">Bajo la metodología de los excedentes, clasificamos al universo de afectados o impactados por el proyecto en dos grupos diferentes: consumidores y productores. </w:t>
      </w:r>
    </w:p>
    <w:p w14:paraId="51DECDC3" w14:textId="77777777" w:rsidR="00CD1F6E" w:rsidRPr="00083041" w:rsidRDefault="00BE78B4" w:rsidP="00CD1F6E">
      <w:pPr>
        <w:pStyle w:val="subpar"/>
        <w:tabs>
          <w:tab w:val="clear" w:pos="2304"/>
          <w:tab w:val="num" w:pos="1134"/>
        </w:tabs>
        <w:ind w:left="993" w:hanging="284"/>
        <w:rPr>
          <w:rFonts w:ascii="Arial" w:hAnsi="Arial" w:cs="Arial"/>
          <w:color w:val="000000" w:themeColor="text1"/>
          <w:sz w:val="22"/>
          <w:szCs w:val="22"/>
          <w:lang w:val="es-ES_tradnl"/>
        </w:rPr>
      </w:pPr>
      <w:r w:rsidRPr="00083041">
        <w:rPr>
          <w:rFonts w:ascii="Arial" w:hAnsi="Arial" w:cs="Arial"/>
          <w:sz w:val="22"/>
          <w:szCs w:val="22"/>
          <w:lang w:val="es-ES_tradnl"/>
        </w:rPr>
        <w:t xml:space="preserve">Los consumidores serán todos los usuarios finales del servicio de banda ancha móvil, tanto particulares como </w:t>
      </w:r>
      <w:r w:rsidR="00FB3179" w:rsidRPr="00083041">
        <w:rPr>
          <w:rFonts w:ascii="Arial" w:hAnsi="Arial" w:cs="Arial"/>
          <w:sz w:val="22"/>
          <w:szCs w:val="22"/>
          <w:lang w:val="es-ES_tradnl"/>
        </w:rPr>
        <w:t>empresas</w:t>
      </w:r>
      <w:r w:rsidR="00CD1F6E" w:rsidRPr="00083041">
        <w:rPr>
          <w:rFonts w:ascii="Arial" w:hAnsi="Arial" w:cs="Arial"/>
          <w:sz w:val="22"/>
          <w:szCs w:val="22"/>
          <w:lang w:val="es-ES_tradnl"/>
        </w:rPr>
        <w:t>.</w:t>
      </w:r>
    </w:p>
    <w:p w14:paraId="6B88A560" w14:textId="1D65BDB1" w:rsidR="0006108A" w:rsidRPr="00083041" w:rsidRDefault="00CD1F6E" w:rsidP="00CD1F6E">
      <w:pPr>
        <w:pStyle w:val="subpar"/>
        <w:tabs>
          <w:tab w:val="clear" w:pos="2304"/>
          <w:tab w:val="num" w:pos="1134"/>
        </w:tabs>
        <w:ind w:left="993" w:hanging="284"/>
        <w:rPr>
          <w:rFonts w:ascii="Arial" w:hAnsi="Arial" w:cs="Arial"/>
          <w:sz w:val="22"/>
          <w:szCs w:val="22"/>
          <w:lang w:val="es-ES_tradnl"/>
        </w:rPr>
      </w:pPr>
      <w:r w:rsidRPr="00083041">
        <w:rPr>
          <w:rFonts w:ascii="Arial" w:hAnsi="Arial" w:cs="Arial"/>
          <w:sz w:val="22"/>
          <w:szCs w:val="22"/>
          <w:lang w:val="es-ES_tradnl"/>
        </w:rPr>
        <w:t>L</w:t>
      </w:r>
      <w:r w:rsidR="00BE78B4" w:rsidRPr="00083041">
        <w:rPr>
          <w:rFonts w:ascii="Arial" w:hAnsi="Arial" w:cs="Arial"/>
          <w:sz w:val="22"/>
          <w:szCs w:val="22"/>
          <w:lang w:val="es-ES_tradnl"/>
        </w:rPr>
        <w:t>os productores serán por un lado los mayoristas del mercado de banda ancha móvil -en este caso, Altán</w:t>
      </w:r>
      <w:r w:rsidR="00A21549" w:rsidRPr="00083041">
        <w:rPr>
          <w:rFonts w:ascii="Arial" w:hAnsi="Arial" w:cs="Arial"/>
          <w:sz w:val="22"/>
          <w:szCs w:val="22"/>
          <w:lang w:val="es-ES_tradnl"/>
        </w:rPr>
        <w:t xml:space="preserve"> Redes</w:t>
      </w:r>
      <w:r w:rsidR="00BE78B4" w:rsidRPr="00083041">
        <w:rPr>
          <w:rFonts w:ascii="Arial" w:hAnsi="Arial" w:cs="Arial"/>
          <w:sz w:val="22"/>
          <w:szCs w:val="22"/>
          <w:lang w:val="es-ES_tradnl"/>
        </w:rPr>
        <w:t>- y los minoristas, quienes proveen el servicio final a los consumidore</w:t>
      </w:r>
      <w:r w:rsidRPr="00083041">
        <w:rPr>
          <w:rFonts w:ascii="Arial" w:hAnsi="Arial" w:cs="Arial"/>
          <w:sz w:val="22"/>
          <w:szCs w:val="22"/>
          <w:lang w:val="es-ES_tradnl"/>
        </w:rPr>
        <w:t xml:space="preserve">s. Al tratarse de una red al por mayor, la Red Compartida no venderá directamente sus servicios a los usuarios finales. Bajo el modelo </w:t>
      </w:r>
      <w:r w:rsidRPr="00083041">
        <w:rPr>
          <w:rFonts w:ascii="Arial" w:hAnsi="Arial" w:cs="Arial"/>
          <w:sz w:val="22"/>
          <w:szCs w:val="22"/>
          <w:lang w:val="es-ES_tradnl"/>
        </w:rPr>
        <w:lastRenderedPageBreak/>
        <w:t>comercial de Altán</w:t>
      </w:r>
      <w:r w:rsidR="00A21549" w:rsidRPr="00083041">
        <w:rPr>
          <w:rFonts w:ascii="Arial" w:hAnsi="Arial" w:cs="Arial"/>
          <w:sz w:val="22"/>
          <w:szCs w:val="22"/>
          <w:lang w:val="es-ES_tradnl"/>
        </w:rPr>
        <w:t xml:space="preserve"> Redes</w:t>
      </w:r>
      <w:r w:rsidRPr="00083041">
        <w:rPr>
          <w:rFonts w:ascii="Arial" w:hAnsi="Arial" w:cs="Arial"/>
          <w:sz w:val="22"/>
          <w:szCs w:val="22"/>
          <w:lang w:val="es-ES_tradnl"/>
        </w:rPr>
        <w:t xml:space="preserve"> para </w:t>
      </w:r>
      <w:r w:rsidR="00A21549" w:rsidRPr="00083041">
        <w:rPr>
          <w:rFonts w:ascii="Arial" w:hAnsi="Arial" w:cs="Arial"/>
          <w:sz w:val="22"/>
          <w:szCs w:val="22"/>
          <w:lang w:val="es-ES_tradnl"/>
        </w:rPr>
        <w:t xml:space="preserve">la </w:t>
      </w:r>
      <w:r w:rsidRPr="00083041">
        <w:rPr>
          <w:rFonts w:ascii="Arial" w:hAnsi="Arial" w:cs="Arial"/>
          <w:sz w:val="22"/>
          <w:szCs w:val="22"/>
          <w:lang w:val="es-ES_tradnl"/>
        </w:rPr>
        <w:t xml:space="preserve">Red Compartida, se prevé convertir </w:t>
      </w:r>
      <w:r w:rsidR="00A21549" w:rsidRPr="00083041">
        <w:rPr>
          <w:rFonts w:ascii="Arial" w:hAnsi="Arial" w:cs="Arial"/>
          <w:sz w:val="22"/>
          <w:szCs w:val="22"/>
          <w:lang w:val="es-ES_tradnl"/>
        </w:rPr>
        <w:t>el</w:t>
      </w:r>
      <w:r w:rsidRPr="00083041">
        <w:rPr>
          <w:rFonts w:ascii="Arial" w:hAnsi="Arial" w:cs="Arial"/>
          <w:sz w:val="22"/>
          <w:szCs w:val="22"/>
          <w:lang w:val="es-ES_tradnl"/>
        </w:rPr>
        <w:t xml:space="preserve"> espectro </w:t>
      </w:r>
      <w:r w:rsidR="00A21549" w:rsidRPr="00083041">
        <w:rPr>
          <w:rFonts w:ascii="Arial" w:hAnsi="Arial" w:cs="Arial"/>
          <w:sz w:val="22"/>
          <w:szCs w:val="22"/>
          <w:lang w:val="es-ES_tradnl"/>
        </w:rPr>
        <w:t>radioeléctrico que podrá usar la Red</w:t>
      </w:r>
      <w:r w:rsidRPr="00083041">
        <w:rPr>
          <w:rFonts w:ascii="Arial" w:hAnsi="Arial" w:cs="Arial"/>
          <w:sz w:val="22"/>
          <w:szCs w:val="22"/>
          <w:lang w:val="es-ES_tradnl"/>
        </w:rPr>
        <w:t xml:space="preserve"> en una capacidad de transferencia de datos que pueda utilizar cualquier proveedor de servicios de telecomunicaciones móviles. Así, la Red Compartida será utilizada por los proveedores de servicios de telecomunicaciones móviles que adquirirán su capacidad de transferencia móvil de datos para luego venderla a sus clientes individuales. </w:t>
      </w:r>
      <w:r w:rsidR="0006108A" w:rsidRPr="00083041">
        <w:rPr>
          <w:rFonts w:ascii="Arial" w:hAnsi="Arial" w:cs="Arial"/>
          <w:sz w:val="22"/>
          <w:szCs w:val="22"/>
          <w:lang w:val="es-ES_tradnl"/>
        </w:rPr>
        <w:t xml:space="preserve">Los posibles clientes de Red Compartida son los siguientes ORMV: (i) las compañías existentes de telecomunicaciones que desean ofrecer servicios </w:t>
      </w:r>
      <w:r w:rsidR="0006108A" w:rsidRPr="00083041">
        <w:rPr>
          <w:rFonts w:ascii="Arial" w:hAnsi="Arial" w:cs="Arial"/>
          <w:i/>
          <w:sz w:val="22"/>
          <w:szCs w:val="22"/>
          <w:lang w:val="es-ES_tradnl"/>
        </w:rPr>
        <w:t>multiplay</w:t>
      </w:r>
      <w:r w:rsidR="004E0620" w:rsidRPr="00083041">
        <w:rPr>
          <w:rFonts w:ascii="Arial" w:hAnsi="Arial" w:cs="Arial"/>
          <w:i/>
          <w:sz w:val="22"/>
          <w:szCs w:val="22"/>
          <w:lang w:val="es-ES_tradnl"/>
        </w:rPr>
        <w:t xml:space="preserve"> </w:t>
      </w:r>
      <w:r w:rsidR="004E0620" w:rsidRPr="00083041">
        <w:rPr>
          <w:rFonts w:ascii="Arial" w:hAnsi="Arial" w:cs="Arial"/>
          <w:sz w:val="22"/>
          <w:szCs w:val="22"/>
          <w:lang w:val="es-ES_tradnl"/>
        </w:rPr>
        <w:t>-en esta línea, los proveedores de servicios de televisión por cable podrían convertirse en ORMV y utilizar la Red Compartida para ofrecer servicios de Internet de banda ancha móvil y en el hogar a su clientela actual</w:t>
      </w:r>
      <w:r w:rsidR="0006108A" w:rsidRPr="00083041">
        <w:rPr>
          <w:rFonts w:ascii="Arial" w:hAnsi="Arial" w:cs="Arial"/>
          <w:sz w:val="22"/>
          <w:szCs w:val="22"/>
          <w:lang w:val="es-ES_tradnl"/>
        </w:rPr>
        <w:t xml:space="preserve">, (ii) los operadores de redes móviles existentes que desean obtener más cobertura y capacidad, (iii) otros proveedores de servicios de dispositivos no personales, </w:t>
      </w:r>
      <w:r w:rsidR="00C835C8">
        <w:rPr>
          <w:rFonts w:ascii="Arial" w:hAnsi="Arial" w:cs="Arial"/>
          <w:sz w:val="22"/>
          <w:szCs w:val="22"/>
          <w:lang w:val="es-ES_tradnl"/>
        </w:rPr>
        <w:t xml:space="preserve"> </w:t>
      </w:r>
      <w:r w:rsidR="0006108A" w:rsidRPr="00083041">
        <w:rPr>
          <w:rFonts w:ascii="Arial" w:hAnsi="Arial" w:cs="Arial"/>
          <w:sz w:val="22"/>
          <w:szCs w:val="22"/>
          <w:lang w:val="es-ES_tradnl"/>
        </w:rPr>
        <w:t xml:space="preserve">y (iv) nuevos proveedores de servicios para las comunicaciones máquina a máquina, </w:t>
      </w:r>
      <w:r w:rsidR="0006108A" w:rsidRPr="00083041">
        <w:rPr>
          <w:rFonts w:ascii="Arial" w:hAnsi="Arial" w:cs="Arial"/>
          <w:i/>
          <w:sz w:val="22"/>
          <w:szCs w:val="22"/>
          <w:lang w:val="es-ES_tradnl"/>
        </w:rPr>
        <w:t>I</w:t>
      </w:r>
      <w:r w:rsidRPr="00083041">
        <w:rPr>
          <w:rFonts w:ascii="Arial" w:hAnsi="Arial" w:cs="Arial"/>
          <w:i/>
          <w:sz w:val="22"/>
          <w:szCs w:val="22"/>
          <w:lang w:val="es-ES_tradnl"/>
        </w:rPr>
        <w:t xml:space="preserve">nternet </w:t>
      </w:r>
      <w:r w:rsidR="0006108A" w:rsidRPr="00083041">
        <w:rPr>
          <w:rFonts w:ascii="Arial" w:hAnsi="Arial" w:cs="Arial"/>
          <w:i/>
          <w:sz w:val="22"/>
          <w:szCs w:val="22"/>
          <w:lang w:val="es-ES_tradnl"/>
        </w:rPr>
        <w:t>o</w:t>
      </w:r>
      <w:r w:rsidRPr="00083041">
        <w:rPr>
          <w:rFonts w:ascii="Arial" w:hAnsi="Arial" w:cs="Arial"/>
          <w:i/>
          <w:sz w:val="22"/>
          <w:szCs w:val="22"/>
          <w:lang w:val="es-ES_tradnl"/>
        </w:rPr>
        <w:t xml:space="preserve">f </w:t>
      </w:r>
      <w:r w:rsidR="0006108A" w:rsidRPr="00083041">
        <w:rPr>
          <w:rFonts w:ascii="Arial" w:hAnsi="Arial" w:cs="Arial"/>
          <w:i/>
          <w:sz w:val="22"/>
          <w:szCs w:val="22"/>
          <w:lang w:val="es-ES_tradnl"/>
        </w:rPr>
        <w:t>T</w:t>
      </w:r>
      <w:r w:rsidRPr="00083041">
        <w:rPr>
          <w:rFonts w:ascii="Arial" w:hAnsi="Arial" w:cs="Arial"/>
          <w:i/>
          <w:sz w:val="22"/>
          <w:szCs w:val="22"/>
          <w:lang w:val="es-ES_tradnl"/>
        </w:rPr>
        <w:t>hings</w:t>
      </w:r>
      <w:r w:rsidR="0006108A" w:rsidRPr="00083041">
        <w:rPr>
          <w:rFonts w:ascii="Arial" w:hAnsi="Arial" w:cs="Arial"/>
          <w:sz w:val="22"/>
          <w:szCs w:val="22"/>
          <w:lang w:val="es-ES_tradnl"/>
        </w:rPr>
        <w:t xml:space="preserve">, entre otros. </w:t>
      </w:r>
    </w:p>
    <w:p w14:paraId="70538F10" w14:textId="77777777" w:rsidR="007975E0" w:rsidRPr="00083041" w:rsidRDefault="007929EC" w:rsidP="00B177E3">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b/>
          <w:color w:val="000000" w:themeColor="text1"/>
          <w:sz w:val="22"/>
          <w:szCs w:val="22"/>
          <w:lang w:val="es-ES_tradnl"/>
        </w:rPr>
        <w:t>Fuentes de los datos</w:t>
      </w:r>
      <w:r w:rsidRPr="00083041">
        <w:rPr>
          <w:rFonts w:ascii="Arial" w:hAnsi="Arial" w:cs="Arial"/>
          <w:color w:val="000000" w:themeColor="text1"/>
          <w:sz w:val="22"/>
          <w:szCs w:val="22"/>
          <w:lang w:val="es-ES_tradnl"/>
        </w:rPr>
        <w:t xml:space="preserve">. </w:t>
      </w:r>
      <w:r w:rsidR="00F10FC6" w:rsidRPr="00083041">
        <w:rPr>
          <w:rFonts w:ascii="Arial" w:hAnsi="Arial" w:cs="Arial"/>
          <w:color w:val="000000" w:themeColor="text1"/>
          <w:sz w:val="22"/>
          <w:szCs w:val="22"/>
          <w:lang w:val="es-ES_tradnl"/>
        </w:rPr>
        <w:t>El presente análisis</w:t>
      </w:r>
      <w:r w:rsidR="00005070" w:rsidRPr="00083041">
        <w:rPr>
          <w:rFonts w:ascii="Arial" w:hAnsi="Arial" w:cs="Arial"/>
          <w:color w:val="000000" w:themeColor="text1"/>
          <w:sz w:val="22"/>
          <w:szCs w:val="22"/>
          <w:lang w:val="es-ES_tradnl"/>
        </w:rPr>
        <w:t xml:space="preserve"> utiliza información recopilada por las instituciones principales mexicanas relacionadas con el sector de las telecomunicaciones y, en concreto, de la Red Compartida. En este caso se ha utilizado información del Instituto Federal de </w:t>
      </w:r>
      <w:r w:rsidR="00117272" w:rsidRPr="00083041">
        <w:rPr>
          <w:rFonts w:ascii="Arial" w:hAnsi="Arial" w:cs="Arial"/>
          <w:color w:val="000000" w:themeColor="text1"/>
          <w:sz w:val="22"/>
          <w:szCs w:val="22"/>
          <w:lang w:val="es-ES_tradnl"/>
        </w:rPr>
        <w:t>T</w:t>
      </w:r>
      <w:r w:rsidR="00005070" w:rsidRPr="00083041">
        <w:rPr>
          <w:rFonts w:ascii="Arial" w:hAnsi="Arial" w:cs="Arial"/>
          <w:color w:val="000000" w:themeColor="text1"/>
          <w:sz w:val="22"/>
          <w:szCs w:val="22"/>
          <w:lang w:val="es-ES_tradnl"/>
        </w:rPr>
        <w:t xml:space="preserve">elecomunicaciones (IFT) así como datos sobre las metas de cobertura establecidos en la propuesta de Altán </w:t>
      </w:r>
      <w:r w:rsidR="00F23F5A" w:rsidRPr="00083041">
        <w:rPr>
          <w:rFonts w:ascii="Arial" w:hAnsi="Arial" w:cs="Arial"/>
          <w:color w:val="000000" w:themeColor="text1"/>
          <w:sz w:val="22"/>
          <w:szCs w:val="22"/>
          <w:lang w:val="es-ES_tradnl"/>
        </w:rPr>
        <w:t xml:space="preserve">Redes </w:t>
      </w:r>
      <w:r w:rsidR="00005070" w:rsidRPr="00083041">
        <w:rPr>
          <w:rFonts w:ascii="Arial" w:hAnsi="Arial" w:cs="Arial"/>
          <w:color w:val="000000" w:themeColor="text1"/>
          <w:sz w:val="22"/>
          <w:szCs w:val="22"/>
          <w:lang w:val="es-ES_tradnl"/>
        </w:rPr>
        <w:t>para el concurso de participación publico privada para la red mayorista</w:t>
      </w:r>
      <w:r w:rsidR="00F10FC6" w:rsidRPr="00083041">
        <w:rPr>
          <w:rFonts w:ascii="Arial" w:hAnsi="Arial" w:cs="Arial"/>
          <w:color w:val="000000" w:themeColor="text1"/>
          <w:sz w:val="22"/>
          <w:szCs w:val="22"/>
          <w:lang w:val="es-ES_tradnl"/>
        </w:rPr>
        <w:t xml:space="preserve">. </w:t>
      </w:r>
      <w:r w:rsidR="00005070" w:rsidRPr="00083041">
        <w:rPr>
          <w:rFonts w:ascii="Arial" w:hAnsi="Arial" w:cs="Arial"/>
          <w:color w:val="000000" w:themeColor="text1"/>
          <w:sz w:val="22"/>
          <w:szCs w:val="22"/>
          <w:lang w:val="es-ES_tradnl"/>
        </w:rPr>
        <w:t>Además, otras fuentes internacionales han sido revisadas para este análisis, tales como D</w:t>
      </w:r>
      <w:r w:rsidR="006363A2" w:rsidRPr="00083041">
        <w:rPr>
          <w:rFonts w:ascii="Arial" w:hAnsi="Arial" w:cs="Arial"/>
          <w:color w:val="000000" w:themeColor="text1"/>
          <w:sz w:val="22"/>
          <w:szCs w:val="22"/>
          <w:lang w:val="es-ES_tradnl"/>
        </w:rPr>
        <w:t>i</w:t>
      </w:r>
      <w:r w:rsidR="00005070" w:rsidRPr="00083041">
        <w:rPr>
          <w:rFonts w:ascii="Arial" w:hAnsi="Arial" w:cs="Arial"/>
          <w:color w:val="000000" w:themeColor="text1"/>
          <w:sz w:val="22"/>
          <w:szCs w:val="22"/>
          <w:lang w:val="es-ES_tradnl"/>
        </w:rPr>
        <w:t>giLac, base internacional del Banco Inter-Americano de Desarrollo</w:t>
      </w:r>
      <w:r w:rsidR="00F23F5A" w:rsidRPr="00083041">
        <w:rPr>
          <w:rFonts w:ascii="Arial" w:hAnsi="Arial" w:cs="Arial"/>
          <w:color w:val="000000" w:themeColor="text1"/>
          <w:sz w:val="22"/>
          <w:szCs w:val="22"/>
          <w:lang w:val="es-ES_tradnl"/>
        </w:rPr>
        <w:t>,</w:t>
      </w:r>
      <w:r w:rsidR="00005070" w:rsidRPr="00083041">
        <w:rPr>
          <w:rFonts w:ascii="Arial" w:hAnsi="Arial" w:cs="Arial"/>
          <w:color w:val="000000" w:themeColor="text1"/>
          <w:sz w:val="22"/>
          <w:szCs w:val="22"/>
          <w:lang w:val="es-ES_tradnl"/>
        </w:rPr>
        <w:t xml:space="preserve"> o la base estadística de la Union Internacional de Telecomunicaciones (</w:t>
      </w:r>
      <w:r w:rsidR="00F23F5A" w:rsidRPr="00083041">
        <w:rPr>
          <w:rFonts w:ascii="Arial" w:hAnsi="Arial" w:cs="Arial"/>
          <w:color w:val="000000" w:themeColor="text1"/>
          <w:sz w:val="22"/>
          <w:szCs w:val="22"/>
          <w:lang w:val="es-ES_tradnl"/>
        </w:rPr>
        <w:t>U</w:t>
      </w:r>
      <w:r w:rsidR="00005070" w:rsidRPr="00083041">
        <w:rPr>
          <w:rFonts w:ascii="Arial" w:hAnsi="Arial" w:cs="Arial"/>
          <w:color w:val="000000" w:themeColor="text1"/>
          <w:sz w:val="22"/>
          <w:szCs w:val="22"/>
          <w:lang w:val="es-ES_tradnl"/>
        </w:rPr>
        <w:t>IT) o los informes redactados para el caso de las telecomunicaciones en México de la OCDE.</w:t>
      </w:r>
    </w:p>
    <w:p w14:paraId="50A43B7E" w14:textId="77777777" w:rsidR="00F10FC6" w:rsidRPr="00083041" w:rsidRDefault="0074742C" w:rsidP="00C7056E">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b/>
          <w:color w:val="000000" w:themeColor="text1"/>
          <w:sz w:val="22"/>
          <w:szCs w:val="22"/>
          <w:lang w:val="es-ES_tradnl"/>
        </w:rPr>
        <w:t xml:space="preserve">Tasa de descuento y </w:t>
      </w:r>
      <w:r w:rsidR="009C088C" w:rsidRPr="00083041">
        <w:rPr>
          <w:rFonts w:ascii="Arial" w:hAnsi="Arial" w:cs="Arial"/>
          <w:b/>
          <w:color w:val="000000" w:themeColor="text1"/>
          <w:sz w:val="22"/>
          <w:szCs w:val="22"/>
          <w:lang w:val="es-ES_tradnl"/>
        </w:rPr>
        <w:t>VAN</w:t>
      </w:r>
      <w:r w:rsidRPr="00083041">
        <w:rPr>
          <w:rFonts w:ascii="Arial" w:hAnsi="Arial" w:cs="Arial"/>
          <w:b/>
          <w:color w:val="000000" w:themeColor="text1"/>
          <w:sz w:val="22"/>
          <w:szCs w:val="22"/>
          <w:lang w:val="es-ES_tradnl"/>
        </w:rPr>
        <w:t xml:space="preserve"> total</w:t>
      </w:r>
      <w:r w:rsidRPr="00083041">
        <w:rPr>
          <w:rFonts w:ascii="Arial" w:hAnsi="Arial" w:cs="Arial"/>
          <w:color w:val="000000" w:themeColor="text1"/>
          <w:sz w:val="22"/>
          <w:szCs w:val="22"/>
          <w:lang w:val="es-ES_tradnl"/>
        </w:rPr>
        <w:t xml:space="preserve">. </w:t>
      </w:r>
      <w:r w:rsidR="008F0E4F" w:rsidRPr="00083041">
        <w:rPr>
          <w:rFonts w:ascii="Arial" w:hAnsi="Arial" w:cs="Arial"/>
          <w:color w:val="000000" w:themeColor="text1"/>
          <w:sz w:val="22"/>
          <w:szCs w:val="22"/>
          <w:lang w:val="es-ES_tradnl"/>
        </w:rPr>
        <w:t>Los flujos de ingresos y egresos atribuibles</w:t>
      </w:r>
      <w:r w:rsidR="00ED45EB" w:rsidRPr="00083041">
        <w:rPr>
          <w:rFonts w:ascii="Arial" w:hAnsi="Arial" w:cs="Arial"/>
          <w:color w:val="000000" w:themeColor="text1"/>
          <w:sz w:val="22"/>
          <w:szCs w:val="22"/>
          <w:lang w:val="es-ES_tradnl"/>
        </w:rPr>
        <w:t xml:space="preserve"> que afectan a los excedentes del productor y del </w:t>
      </w:r>
      <w:r w:rsidR="009C088C" w:rsidRPr="00083041">
        <w:rPr>
          <w:rFonts w:ascii="Arial" w:hAnsi="Arial" w:cs="Arial"/>
          <w:color w:val="000000" w:themeColor="text1"/>
          <w:sz w:val="22"/>
          <w:szCs w:val="22"/>
          <w:lang w:val="es-ES_tradnl"/>
        </w:rPr>
        <w:t>consumidor</w:t>
      </w:r>
      <w:r w:rsidR="008F0E4F" w:rsidRPr="00083041">
        <w:rPr>
          <w:rFonts w:ascii="Arial" w:hAnsi="Arial" w:cs="Arial"/>
          <w:color w:val="000000" w:themeColor="text1"/>
          <w:sz w:val="22"/>
          <w:szCs w:val="22"/>
          <w:lang w:val="es-ES_tradnl"/>
        </w:rPr>
        <w:t xml:space="preserve"> se descuentan</w:t>
      </w:r>
      <w:r w:rsidR="00F10FC6" w:rsidRPr="00083041">
        <w:rPr>
          <w:rFonts w:ascii="Arial" w:hAnsi="Arial" w:cs="Arial"/>
          <w:color w:val="000000" w:themeColor="text1"/>
          <w:sz w:val="22"/>
          <w:szCs w:val="22"/>
          <w:lang w:val="es-ES_tradnl"/>
        </w:rPr>
        <w:t xml:space="preserve"> a la tasa del 12% (</w:t>
      </w:r>
      <w:r w:rsidR="008F0E4F" w:rsidRPr="00083041">
        <w:rPr>
          <w:rFonts w:ascii="Arial" w:hAnsi="Arial" w:cs="Arial"/>
          <w:color w:val="000000" w:themeColor="text1"/>
          <w:sz w:val="22"/>
          <w:szCs w:val="22"/>
          <w:lang w:val="es-ES_tradnl"/>
        </w:rPr>
        <w:t>tasa prestablecida por el Banco para este tipo de evaluaciones</w:t>
      </w:r>
      <w:r w:rsidR="00F10FC6" w:rsidRPr="00083041">
        <w:rPr>
          <w:rFonts w:ascii="Arial" w:hAnsi="Arial" w:cs="Arial"/>
          <w:color w:val="000000" w:themeColor="text1"/>
          <w:sz w:val="22"/>
          <w:szCs w:val="22"/>
          <w:lang w:val="es-ES_tradnl"/>
        </w:rPr>
        <w:t xml:space="preserve">). </w:t>
      </w:r>
      <w:r w:rsidR="008F0E4F" w:rsidRPr="00083041">
        <w:rPr>
          <w:rFonts w:ascii="Arial" w:hAnsi="Arial" w:cs="Arial"/>
          <w:color w:val="000000" w:themeColor="text1"/>
          <w:sz w:val="22"/>
          <w:szCs w:val="22"/>
          <w:lang w:val="es-ES_tradnl"/>
        </w:rPr>
        <w:t xml:space="preserve">Luego de tener </w:t>
      </w:r>
      <w:r w:rsidR="004B58A9" w:rsidRPr="00083041">
        <w:rPr>
          <w:rFonts w:ascii="Arial" w:hAnsi="Arial" w:cs="Arial"/>
          <w:color w:val="000000" w:themeColor="text1"/>
          <w:sz w:val="22"/>
          <w:szCs w:val="22"/>
          <w:lang w:val="es-ES_tradnl"/>
        </w:rPr>
        <w:t>en</w:t>
      </w:r>
      <w:r w:rsidR="008F0E4F" w:rsidRPr="00083041">
        <w:rPr>
          <w:rFonts w:ascii="Arial" w:hAnsi="Arial" w:cs="Arial"/>
          <w:color w:val="000000" w:themeColor="text1"/>
          <w:sz w:val="22"/>
          <w:szCs w:val="22"/>
          <w:lang w:val="es-ES_tradnl"/>
        </w:rPr>
        <w:t xml:space="preserve"> cuenta</w:t>
      </w:r>
      <w:r w:rsidR="00005070" w:rsidRPr="00083041">
        <w:rPr>
          <w:rFonts w:ascii="Arial" w:hAnsi="Arial" w:cs="Arial"/>
          <w:color w:val="000000" w:themeColor="text1"/>
          <w:sz w:val="22"/>
          <w:szCs w:val="22"/>
          <w:lang w:val="es-ES_tradnl"/>
        </w:rPr>
        <w:t xml:space="preserve"> las variaciones en los excedentes del consumidor y del productor</w:t>
      </w:r>
      <w:r w:rsidR="00F7734A" w:rsidRPr="00083041">
        <w:rPr>
          <w:rFonts w:ascii="Arial" w:hAnsi="Arial" w:cs="Arial"/>
          <w:color w:val="000000" w:themeColor="text1"/>
          <w:sz w:val="22"/>
          <w:szCs w:val="22"/>
          <w:lang w:val="es-ES_tradnl"/>
        </w:rPr>
        <w:t xml:space="preserve">, se calcula el </w:t>
      </w:r>
      <w:r w:rsidR="009C088C" w:rsidRPr="00083041">
        <w:rPr>
          <w:rFonts w:ascii="Arial" w:hAnsi="Arial" w:cs="Arial"/>
          <w:color w:val="000000" w:themeColor="text1"/>
          <w:sz w:val="22"/>
          <w:szCs w:val="22"/>
          <w:lang w:val="es-ES_tradnl"/>
        </w:rPr>
        <w:t>VAN</w:t>
      </w:r>
      <w:r w:rsidR="008F0E4F" w:rsidRPr="00083041">
        <w:rPr>
          <w:rFonts w:ascii="Arial" w:hAnsi="Arial" w:cs="Arial"/>
          <w:color w:val="000000" w:themeColor="text1"/>
          <w:sz w:val="22"/>
          <w:szCs w:val="22"/>
          <w:lang w:val="es-ES_tradnl"/>
        </w:rPr>
        <w:t xml:space="preserve"> (Valor </w:t>
      </w:r>
      <w:r w:rsidR="009C088C" w:rsidRPr="00083041">
        <w:rPr>
          <w:rFonts w:ascii="Arial" w:hAnsi="Arial" w:cs="Arial"/>
          <w:color w:val="000000" w:themeColor="text1"/>
          <w:sz w:val="22"/>
          <w:szCs w:val="22"/>
          <w:lang w:val="es-ES_tradnl"/>
        </w:rPr>
        <w:t>Actual</w:t>
      </w:r>
      <w:r w:rsidR="008F0E4F" w:rsidRPr="00083041">
        <w:rPr>
          <w:rFonts w:ascii="Arial" w:hAnsi="Arial" w:cs="Arial"/>
          <w:color w:val="000000" w:themeColor="text1"/>
          <w:sz w:val="22"/>
          <w:szCs w:val="22"/>
          <w:lang w:val="es-ES_tradnl"/>
        </w:rPr>
        <w:t xml:space="preserve"> Neto)</w:t>
      </w:r>
      <w:r w:rsidR="00F10FC6" w:rsidRPr="00083041">
        <w:rPr>
          <w:rFonts w:ascii="Arial" w:hAnsi="Arial" w:cs="Arial"/>
          <w:color w:val="000000" w:themeColor="text1"/>
          <w:sz w:val="22"/>
          <w:szCs w:val="22"/>
          <w:lang w:val="es-ES_tradnl"/>
        </w:rPr>
        <w:t xml:space="preserve">, indicador </w:t>
      </w:r>
      <w:r w:rsidR="008F0E4F" w:rsidRPr="00083041">
        <w:rPr>
          <w:rFonts w:ascii="Arial" w:hAnsi="Arial" w:cs="Arial"/>
          <w:color w:val="000000" w:themeColor="text1"/>
          <w:sz w:val="22"/>
          <w:szCs w:val="22"/>
          <w:lang w:val="es-ES_tradnl"/>
        </w:rPr>
        <w:t>que determina si se espera que el programa genere beneficios o pérdidas para el país.</w:t>
      </w:r>
    </w:p>
    <w:p w14:paraId="478B3327" w14:textId="77777777" w:rsidR="00F10FC6" w:rsidRPr="00083041" w:rsidRDefault="00DB782F" w:rsidP="00BD2292">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b/>
          <w:color w:val="000000" w:themeColor="text1"/>
          <w:sz w:val="22"/>
          <w:szCs w:val="22"/>
          <w:lang w:val="es-ES_tradnl"/>
        </w:rPr>
        <w:t>Lineamientos sensibilización</w:t>
      </w:r>
      <w:r w:rsidRPr="00083041">
        <w:rPr>
          <w:rFonts w:ascii="Arial" w:hAnsi="Arial" w:cs="Arial"/>
          <w:color w:val="000000" w:themeColor="text1"/>
          <w:sz w:val="22"/>
          <w:szCs w:val="22"/>
          <w:lang w:val="es-ES_tradnl"/>
        </w:rPr>
        <w:t xml:space="preserve">. </w:t>
      </w:r>
      <w:r w:rsidR="008F0E4F" w:rsidRPr="00083041">
        <w:rPr>
          <w:rFonts w:ascii="Arial" w:hAnsi="Arial" w:cs="Arial"/>
          <w:color w:val="000000" w:themeColor="text1"/>
          <w:sz w:val="22"/>
          <w:szCs w:val="22"/>
          <w:lang w:val="es-ES_tradnl"/>
        </w:rPr>
        <w:t xml:space="preserve">Se realizan además ejercicios de sensibilidad para establecer la tolerancia del </w:t>
      </w:r>
      <w:r w:rsidR="009C088C" w:rsidRPr="00083041">
        <w:rPr>
          <w:rFonts w:ascii="Arial" w:hAnsi="Arial" w:cs="Arial"/>
          <w:color w:val="000000" w:themeColor="text1"/>
          <w:sz w:val="22"/>
          <w:szCs w:val="22"/>
          <w:lang w:val="es-ES_tradnl"/>
        </w:rPr>
        <w:t>VAN</w:t>
      </w:r>
      <w:r w:rsidR="008F0E4F" w:rsidRPr="00083041">
        <w:rPr>
          <w:rFonts w:ascii="Arial" w:hAnsi="Arial" w:cs="Arial"/>
          <w:color w:val="000000" w:themeColor="text1"/>
          <w:sz w:val="22"/>
          <w:szCs w:val="22"/>
          <w:lang w:val="es-ES_tradnl"/>
        </w:rPr>
        <w:t xml:space="preserve"> </w:t>
      </w:r>
      <w:r w:rsidR="004B58A9" w:rsidRPr="00083041">
        <w:rPr>
          <w:rFonts w:ascii="Arial" w:hAnsi="Arial" w:cs="Arial"/>
          <w:color w:val="000000" w:themeColor="text1"/>
          <w:sz w:val="22"/>
          <w:szCs w:val="22"/>
          <w:lang w:val="es-ES_tradnl"/>
        </w:rPr>
        <w:t xml:space="preserve">ante </w:t>
      </w:r>
      <w:r w:rsidR="008F0E4F" w:rsidRPr="00083041">
        <w:rPr>
          <w:rFonts w:ascii="Arial" w:hAnsi="Arial" w:cs="Arial"/>
          <w:color w:val="000000" w:themeColor="text1"/>
          <w:sz w:val="22"/>
          <w:szCs w:val="22"/>
          <w:lang w:val="es-ES_tradnl"/>
        </w:rPr>
        <w:t xml:space="preserve">cambios en las condiciones relevantes que desembocan en el </w:t>
      </w:r>
      <w:r w:rsidR="000F4634" w:rsidRPr="00083041">
        <w:rPr>
          <w:rFonts w:ascii="Arial" w:hAnsi="Arial" w:cs="Arial"/>
          <w:color w:val="000000" w:themeColor="text1"/>
          <w:sz w:val="22"/>
          <w:szCs w:val="22"/>
          <w:lang w:val="es-ES_tradnl"/>
        </w:rPr>
        <w:t>escenario</w:t>
      </w:r>
      <w:r w:rsidR="008F0E4F" w:rsidRPr="00083041">
        <w:rPr>
          <w:rFonts w:ascii="Arial" w:hAnsi="Arial" w:cs="Arial"/>
          <w:color w:val="000000" w:themeColor="text1"/>
          <w:sz w:val="22"/>
          <w:szCs w:val="22"/>
          <w:lang w:val="es-ES_tradnl"/>
        </w:rPr>
        <w:t xml:space="preserve"> central</w:t>
      </w:r>
      <w:r w:rsidR="00ED45EB" w:rsidRPr="00083041">
        <w:rPr>
          <w:rFonts w:ascii="Arial" w:hAnsi="Arial" w:cs="Arial"/>
          <w:color w:val="000000" w:themeColor="text1"/>
          <w:sz w:val="22"/>
          <w:szCs w:val="22"/>
          <w:lang w:val="es-ES_tradnl"/>
        </w:rPr>
        <w:t xml:space="preserve"> que se indican en la </w:t>
      </w:r>
      <w:r w:rsidR="00391727" w:rsidRPr="00083041">
        <w:rPr>
          <w:rFonts w:ascii="Arial" w:hAnsi="Arial" w:cs="Arial"/>
          <w:color w:val="000000" w:themeColor="text1"/>
          <w:sz w:val="22"/>
          <w:szCs w:val="22"/>
          <w:lang w:val="es-ES_tradnl"/>
        </w:rPr>
        <w:t>correspondiente</w:t>
      </w:r>
      <w:r w:rsidR="00ED45EB" w:rsidRPr="00083041">
        <w:rPr>
          <w:rFonts w:ascii="Arial" w:hAnsi="Arial" w:cs="Arial"/>
          <w:color w:val="000000" w:themeColor="text1"/>
          <w:sz w:val="22"/>
          <w:szCs w:val="22"/>
          <w:lang w:val="es-ES_tradnl"/>
        </w:rPr>
        <w:t xml:space="preserve"> </w:t>
      </w:r>
      <w:r w:rsidR="00391727" w:rsidRPr="00083041">
        <w:rPr>
          <w:rFonts w:ascii="Arial" w:hAnsi="Arial" w:cs="Arial"/>
          <w:color w:val="000000" w:themeColor="text1"/>
          <w:sz w:val="22"/>
          <w:szCs w:val="22"/>
          <w:lang w:val="es-ES_tradnl"/>
        </w:rPr>
        <w:t>sección</w:t>
      </w:r>
      <w:r w:rsidR="008F0E4F" w:rsidRPr="00083041">
        <w:rPr>
          <w:rFonts w:ascii="Arial" w:hAnsi="Arial" w:cs="Arial"/>
          <w:color w:val="000000" w:themeColor="text1"/>
          <w:sz w:val="22"/>
          <w:szCs w:val="22"/>
          <w:lang w:val="es-ES_tradnl"/>
        </w:rPr>
        <w:t>.</w:t>
      </w:r>
      <w:r w:rsidR="00BD2292" w:rsidRPr="00083041">
        <w:rPr>
          <w:rFonts w:ascii="Arial" w:hAnsi="Arial" w:cs="Arial"/>
          <w:color w:val="000000" w:themeColor="text1"/>
          <w:sz w:val="22"/>
          <w:szCs w:val="22"/>
          <w:lang w:val="es-ES_tradnl"/>
        </w:rPr>
        <w:t xml:space="preserve"> </w:t>
      </w:r>
      <w:r w:rsidR="00061E4C" w:rsidRPr="00083041">
        <w:rPr>
          <w:rFonts w:ascii="Arial" w:hAnsi="Arial" w:cs="Arial"/>
          <w:color w:val="000000" w:themeColor="text1"/>
          <w:sz w:val="22"/>
          <w:szCs w:val="22"/>
          <w:lang w:val="es-ES_tradnl"/>
        </w:rPr>
        <w:t>S</w:t>
      </w:r>
      <w:r w:rsidR="00BD2292" w:rsidRPr="00083041">
        <w:rPr>
          <w:rFonts w:ascii="Arial" w:hAnsi="Arial" w:cs="Arial"/>
          <w:color w:val="000000" w:themeColor="text1"/>
          <w:sz w:val="22"/>
          <w:szCs w:val="22"/>
          <w:lang w:val="es-ES_tradnl"/>
        </w:rPr>
        <w:t>e han considerado</w:t>
      </w:r>
      <w:r w:rsidR="003003CB" w:rsidRPr="00083041">
        <w:rPr>
          <w:rFonts w:ascii="Arial" w:hAnsi="Arial" w:cs="Arial"/>
          <w:color w:val="000000" w:themeColor="text1"/>
          <w:sz w:val="22"/>
          <w:szCs w:val="22"/>
          <w:lang w:val="es-ES_tradnl"/>
        </w:rPr>
        <w:t xml:space="preserve"> los siguientes ejercicios de sensibilización: </w:t>
      </w:r>
      <w:r w:rsidR="00A24E78" w:rsidRPr="00083041">
        <w:rPr>
          <w:rFonts w:ascii="Arial" w:hAnsi="Arial" w:cs="Arial"/>
          <w:color w:val="000000" w:themeColor="text1"/>
          <w:sz w:val="22"/>
          <w:szCs w:val="22"/>
          <w:lang w:val="es-ES_tradnl"/>
        </w:rPr>
        <w:t>(</w:t>
      </w:r>
      <w:r w:rsidR="003003CB" w:rsidRPr="00083041">
        <w:rPr>
          <w:rFonts w:ascii="Arial" w:hAnsi="Arial" w:cs="Arial"/>
          <w:color w:val="000000" w:themeColor="text1"/>
          <w:sz w:val="22"/>
          <w:szCs w:val="22"/>
          <w:lang w:val="es-ES_tradnl"/>
        </w:rPr>
        <w:t>i)</w:t>
      </w:r>
      <w:r w:rsidR="00006DD5" w:rsidRPr="00083041">
        <w:rPr>
          <w:rFonts w:ascii="Arial" w:hAnsi="Arial" w:cs="Arial"/>
          <w:color w:val="000000" w:themeColor="text1"/>
          <w:sz w:val="22"/>
          <w:szCs w:val="22"/>
          <w:lang w:val="es-ES_tradnl"/>
        </w:rPr>
        <w:t> </w:t>
      </w:r>
      <w:r w:rsidR="003003CB" w:rsidRPr="00083041">
        <w:rPr>
          <w:rFonts w:ascii="Arial" w:hAnsi="Arial" w:cs="Arial"/>
          <w:color w:val="000000" w:themeColor="text1"/>
          <w:sz w:val="22"/>
          <w:szCs w:val="22"/>
          <w:lang w:val="es-ES_tradnl"/>
        </w:rPr>
        <w:t xml:space="preserve">incrementos de costos </w:t>
      </w:r>
      <w:r w:rsidR="00A44DE7" w:rsidRPr="00083041">
        <w:rPr>
          <w:rFonts w:ascii="Arial" w:hAnsi="Arial" w:cs="Arial"/>
          <w:color w:val="000000" w:themeColor="text1"/>
          <w:sz w:val="22"/>
          <w:szCs w:val="22"/>
          <w:lang w:val="es-ES_tradnl"/>
        </w:rPr>
        <w:t xml:space="preserve">de inversión de capital y operación, tanto para </w:t>
      </w:r>
      <w:r w:rsidR="00391727" w:rsidRPr="00083041">
        <w:rPr>
          <w:rFonts w:ascii="Arial" w:hAnsi="Arial" w:cs="Arial"/>
          <w:color w:val="000000" w:themeColor="text1"/>
          <w:sz w:val="22"/>
          <w:szCs w:val="22"/>
          <w:lang w:val="es-ES_tradnl"/>
        </w:rPr>
        <w:t>mayoristas</w:t>
      </w:r>
      <w:r w:rsidR="00A44DE7" w:rsidRPr="00083041">
        <w:rPr>
          <w:rFonts w:ascii="Arial" w:hAnsi="Arial" w:cs="Arial"/>
          <w:color w:val="000000" w:themeColor="text1"/>
          <w:sz w:val="22"/>
          <w:szCs w:val="22"/>
          <w:lang w:val="es-ES_tradnl"/>
        </w:rPr>
        <w:t xml:space="preserve"> como para minoristas;</w:t>
      </w:r>
      <w:r w:rsidR="003003CB" w:rsidRPr="00083041">
        <w:rPr>
          <w:rFonts w:ascii="Arial" w:hAnsi="Arial" w:cs="Arial"/>
          <w:color w:val="000000" w:themeColor="text1"/>
          <w:sz w:val="22"/>
          <w:szCs w:val="22"/>
          <w:lang w:val="es-ES_tradnl"/>
        </w:rPr>
        <w:t xml:space="preserve"> </w:t>
      </w:r>
      <w:r w:rsidR="00A24E78" w:rsidRPr="00083041">
        <w:rPr>
          <w:rFonts w:ascii="Arial" w:hAnsi="Arial" w:cs="Arial"/>
          <w:color w:val="000000" w:themeColor="text1"/>
          <w:sz w:val="22"/>
          <w:szCs w:val="22"/>
          <w:lang w:val="es-ES_tradnl"/>
        </w:rPr>
        <w:t>(</w:t>
      </w:r>
      <w:r w:rsidR="003003CB" w:rsidRPr="00083041">
        <w:rPr>
          <w:rFonts w:ascii="Arial" w:hAnsi="Arial" w:cs="Arial"/>
          <w:color w:val="000000" w:themeColor="text1"/>
          <w:sz w:val="22"/>
          <w:szCs w:val="22"/>
          <w:lang w:val="es-ES_tradnl"/>
        </w:rPr>
        <w:t xml:space="preserve">ii) </w:t>
      </w:r>
      <w:r w:rsidR="00391727" w:rsidRPr="00083041">
        <w:rPr>
          <w:rFonts w:ascii="Arial" w:hAnsi="Arial" w:cs="Arial"/>
          <w:color w:val="000000" w:themeColor="text1"/>
          <w:sz w:val="22"/>
          <w:szCs w:val="22"/>
          <w:lang w:val="es-ES_tradnl"/>
        </w:rPr>
        <w:t>aumento de los precios por MB sobre el escenario central; y</w:t>
      </w:r>
      <w:r w:rsidR="003003CB" w:rsidRPr="00083041">
        <w:rPr>
          <w:rFonts w:ascii="Arial" w:hAnsi="Arial" w:cs="Arial"/>
          <w:color w:val="000000" w:themeColor="text1"/>
          <w:sz w:val="22"/>
          <w:szCs w:val="22"/>
          <w:lang w:val="es-ES_tradnl"/>
        </w:rPr>
        <w:t xml:space="preserve"> </w:t>
      </w:r>
      <w:r w:rsidR="00A24E78" w:rsidRPr="00083041">
        <w:rPr>
          <w:rFonts w:ascii="Arial" w:hAnsi="Arial" w:cs="Arial"/>
          <w:color w:val="000000" w:themeColor="text1"/>
          <w:sz w:val="22"/>
          <w:szCs w:val="22"/>
          <w:lang w:val="es-ES_tradnl"/>
        </w:rPr>
        <w:t>(</w:t>
      </w:r>
      <w:r w:rsidR="003003CB" w:rsidRPr="00083041">
        <w:rPr>
          <w:rFonts w:ascii="Arial" w:hAnsi="Arial" w:cs="Arial"/>
          <w:color w:val="000000" w:themeColor="text1"/>
          <w:sz w:val="22"/>
          <w:szCs w:val="22"/>
          <w:lang w:val="es-ES_tradnl"/>
        </w:rPr>
        <w:t xml:space="preserve">iii) </w:t>
      </w:r>
      <w:r w:rsidR="00391727" w:rsidRPr="00083041">
        <w:rPr>
          <w:rFonts w:ascii="Arial" w:hAnsi="Arial" w:cs="Arial"/>
          <w:color w:val="000000" w:themeColor="text1"/>
          <w:sz w:val="22"/>
          <w:szCs w:val="22"/>
          <w:lang w:val="es-ES_tradnl"/>
        </w:rPr>
        <w:t xml:space="preserve">reducción de la demanda o tráfico de MB sobre el escenario central. </w:t>
      </w:r>
      <w:r w:rsidR="00CF43D6" w:rsidRPr="00083041">
        <w:rPr>
          <w:rFonts w:ascii="Arial" w:hAnsi="Arial" w:cs="Arial"/>
          <w:color w:val="000000" w:themeColor="text1"/>
          <w:sz w:val="22"/>
          <w:szCs w:val="22"/>
          <w:lang w:val="es-ES_tradnl"/>
        </w:rPr>
        <w:t>Además,</w:t>
      </w:r>
      <w:r w:rsidR="00391727" w:rsidRPr="00083041">
        <w:rPr>
          <w:rFonts w:ascii="Arial" w:hAnsi="Arial" w:cs="Arial"/>
          <w:color w:val="000000" w:themeColor="text1"/>
          <w:sz w:val="22"/>
          <w:szCs w:val="22"/>
          <w:lang w:val="es-ES_tradnl"/>
        </w:rPr>
        <w:t xml:space="preserve"> se realiza un ejercicio de nivelación donde todos los parámetros de sensibilización anteriores varían desfavorablemente para el resultado del proyecto de manera simultánea. </w:t>
      </w:r>
    </w:p>
    <w:p w14:paraId="42364BF7" w14:textId="77777777" w:rsidR="00E43FE7" w:rsidRPr="00083041" w:rsidRDefault="00F92059" w:rsidP="00E43FE7">
      <w:pPr>
        <w:pStyle w:val="FirstHeading"/>
        <w:rPr>
          <w:rFonts w:ascii="Arial" w:hAnsi="Arial" w:cs="Arial"/>
          <w:sz w:val="22"/>
          <w:szCs w:val="22"/>
          <w:lang w:val="es-ES_tradnl"/>
        </w:rPr>
      </w:pPr>
      <w:r w:rsidRPr="00083041">
        <w:rPr>
          <w:rFonts w:ascii="Arial" w:hAnsi="Arial" w:cs="Arial"/>
          <w:sz w:val="22"/>
          <w:szCs w:val="22"/>
          <w:lang w:val="es-ES_tradnl"/>
        </w:rPr>
        <w:fldChar w:fldCharType="begin"/>
      </w:r>
      <w:r w:rsidRPr="00083041">
        <w:rPr>
          <w:rFonts w:ascii="Arial" w:hAnsi="Arial" w:cs="Arial"/>
          <w:sz w:val="22"/>
          <w:szCs w:val="22"/>
          <w:lang w:val="es-ES_tradnl"/>
        </w:rPr>
        <w:instrText xml:space="preserve"> SEQ "</w:instrText>
      </w:r>
      <w:r w:rsidR="009C45C9" w:rsidRPr="00083041">
        <w:rPr>
          <w:rFonts w:ascii="Arial" w:hAnsi="Arial" w:cs="Arial"/>
          <w:sz w:val="22"/>
          <w:szCs w:val="22"/>
          <w:lang w:val="es-ES_tradnl"/>
        </w:rPr>
        <w:fldChar w:fldCharType="begin"/>
      </w:r>
      <w:r w:rsidR="009C45C9" w:rsidRPr="00083041">
        <w:rPr>
          <w:rFonts w:ascii="Arial" w:hAnsi="Arial" w:cs="Arial"/>
          <w:sz w:val="22"/>
          <w:szCs w:val="22"/>
          <w:lang w:val="es-ES_tradnl"/>
        </w:rPr>
        <w:instrText xml:space="preserve"> SECTION  \* MERGEFORMAT </w:instrText>
      </w:r>
      <w:r w:rsidR="009C45C9" w:rsidRPr="00083041">
        <w:rPr>
          <w:rFonts w:ascii="Arial" w:hAnsi="Arial" w:cs="Arial"/>
          <w:sz w:val="22"/>
          <w:szCs w:val="22"/>
          <w:lang w:val="es-ES_tradnl"/>
        </w:rPr>
        <w:fldChar w:fldCharType="separate"/>
      </w:r>
      <w:r w:rsidR="002A0A84" w:rsidRPr="00083041">
        <w:rPr>
          <w:rFonts w:ascii="Arial" w:hAnsi="Arial" w:cs="Arial"/>
          <w:sz w:val="22"/>
          <w:szCs w:val="22"/>
          <w:lang w:val="es-ES_tradnl"/>
        </w:rPr>
        <w:instrText>5</w:instrText>
      </w:r>
      <w:r w:rsidR="009C45C9" w:rsidRPr="00083041">
        <w:rPr>
          <w:rFonts w:ascii="Arial" w:hAnsi="Arial" w:cs="Arial"/>
          <w:sz w:val="22"/>
          <w:szCs w:val="22"/>
          <w:lang w:val="es-ES_tradnl"/>
        </w:rPr>
        <w:fldChar w:fldCharType="end"/>
      </w:r>
      <w:r w:rsidRPr="00083041">
        <w:rPr>
          <w:rFonts w:ascii="Arial" w:hAnsi="Arial" w:cs="Arial"/>
          <w:sz w:val="22"/>
          <w:szCs w:val="22"/>
          <w:lang w:val="es-ES_tradnl"/>
        </w:rPr>
        <w:instrText xml:space="preserve">#"\* ALPHABETIC \* MERGEFORMAT </w:instrText>
      </w:r>
      <w:r w:rsidRPr="00083041">
        <w:rPr>
          <w:rFonts w:ascii="Arial" w:hAnsi="Arial" w:cs="Arial"/>
          <w:sz w:val="22"/>
          <w:szCs w:val="22"/>
          <w:lang w:val="es-ES_tradnl"/>
        </w:rPr>
        <w:fldChar w:fldCharType="separate"/>
      </w:r>
      <w:bookmarkStart w:id="10" w:name="_Toc482367473"/>
      <w:r w:rsidR="002A0A84" w:rsidRPr="00083041">
        <w:rPr>
          <w:rFonts w:ascii="Arial" w:hAnsi="Arial" w:cs="Arial"/>
          <w:sz w:val="22"/>
          <w:szCs w:val="22"/>
          <w:lang w:val="es-ES_tradnl"/>
        </w:rPr>
        <w:t>B</w:t>
      </w:r>
      <w:r w:rsidRPr="00083041">
        <w:rPr>
          <w:rFonts w:ascii="Arial" w:hAnsi="Arial" w:cs="Arial"/>
          <w:sz w:val="22"/>
          <w:szCs w:val="22"/>
          <w:lang w:val="es-ES_tradnl"/>
        </w:rPr>
        <w:fldChar w:fldCharType="end"/>
      </w:r>
      <w:r w:rsidRPr="00083041">
        <w:rPr>
          <w:rFonts w:ascii="Arial" w:hAnsi="Arial" w:cs="Arial"/>
          <w:sz w:val="22"/>
          <w:szCs w:val="22"/>
          <w:lang w:val="es-ES_tradnl"/>
        </w:rPr>
        <w:t>.</w:t>
      </w:r>
      <w:r w:rsidRPr="00083041">
        <w:rPr>
          <w:rFonts w:ascii="Arial" w:hAnsi="Arial" w:cs="Arial"/>
          <w:sz w:val="22"/>
          <w:szCs w:val="22"/>
          <w:lang w:val="es-ES_tradnl"/>
        </w:rPr>
        <w:tab/>
      </w:r>
      <w:r w:rsidR="00F63EED" w:rsidRPr="00083041">
        <w:rPr>
          <w:rFonts w:ascii="Arial" w:hAnsi="Arial" w:cs="Arial"/>
          <w:sz w:val="22"/>
          <w:szCs w:val="22"/>
          <w:lang w:val="es-ES_tradnl"/>
        </w:rPr>
        <w:t>S</w:t>
      </w:r>
      <w:r w:rsidR="00F10FC6" w:rsidRPr="00083041">
        <w:rPr>
          <w:rFonts w:ascii="Arial" w:hAnsi="Arial" w:cs="Arial"/>
          <w:sz w:val="22"/>
          <w:szCs w:val="22"/>
          <w:lang w:val="es-ES_tradnl"/>
        </w:rPr>
        <w:t>upuestos</w:t>
      </w:r>
      <w:r w:rsidR="00A24E78" w:rsidRPr="00083041">
        <w:rPr>
          <w:rFonts w:ascii="Arial" w:hAnsi="Arial" w:cs="Arial"/>
          <w:sz w:val="22"/>
          <w:szCs w:val="22"/>
          <w:lang w:val="es-ES_tradnl"/>
        </w:rPr>
        <w:t>, parámetros, fuentes</w:t>
      </w:r>
      <w:bookmarkEnd w:id="10"/>
    </w:p>
    <w:p w14:paraId="380D12AE" w14:textId="77777777" w:rsidR="00E43FE7" w:rsidRPr="00083041" w:rsidRDefault="00E43FE7" w:rsidP="00E43FE7">
      <w:pPr>
        <w:pStyle w:val="Paragraph"/>
        <w:tabs>
          <w:tab w:val="clear" w:pos="2448"/>
          <w:tab w:val="num" w:pos="720"/>
        </w:tabs>
        <w:ind w:left="720" w:hanging="720"/>
        <w:rPr>
          <w:rFonts w:ascii="Arial" w:hAnsi="Arial" w:cs="Arial"/>
          <w:b/>
          <w:color w:val="000000" w:themeColor="text1"/>
          <w:sz w:val="22"/>
          <w:szCs w:val="22"/>
          <w:lang w:val="es-ES_tradnl"/>
        </w:rPr>
      </w:pPr>
      <w:r w:rsidRPr="00083041">
        <w:rPr>
          <w:rFonts w:ascii="Arial" w:hAnsi="Arial" w:cs="Arial"/>
          <w:b/>
          <w:color w:val="000000" w:themeColor="text1"/>
          <w:sz w:val="22"/>
          <w:szCs w:val="22"/>
          <w:lang w:val="es-ES_tradnl"/>
        </w:rPr>
        <w:t xml:space="preserve">Periodo de análisis. </w:t>
      </w:r>
      <w:r w:rsidRPr="00083041">
        <w:rPr>
          <w:rFonts w:ascii="Arial" w:hAnsi="Arial" w:cs="Arial"/>
          <w:color w:val="000000" w:themeColor="text1"/>
          <w:sz w:val="22"/>
          <w:szCs w:val="22"/>
          <w:lang w:val="es-ES_tradnl"/>
        </w:rPr>
        <w:t xml:space="preserve">Pese a que la infraestructura de telecomunicaciones tiene una vida útil entorno a los 20 años, se ha decidido que el periodo de análisis de las variaciones de los excedentes para determinar la viabilidad socioeconómica del proyecto sea de 10 años. El motivo de esta temporalidad es el incremento </w:t>
      </w:r>
      <w:r w:rsidRPr="00083041">
        <w:rPr>
          <w:rFonts w:ascii="Arial" w:hAnsi="Arial" w:cs="Arial"/>
          <w:color w:val="000000" w:themeColor="text1"/>
          <w:sz w:val="22"/>
          <w:szCs w:val="22"/>
          <w:lang w:val="es-ES_tradnl"/>
        </w:rPr>
        <w:lastRenderedPageBreak/>
        <w:t xml:space="preserve">exponencial de las posibilidades de desviaciones de las previsiones del mercado del servicio de banda ancha móvil. En este sentido, pese a que existen predicciones que pueden superar los 10 años en cuanto a la dinámica de los precios, la demanda, la oferta y el consumo final de datos, la práctica común en los análisis de mercado de telecomunicaciones es limitar el horizonte temporal ya que, pese a tratarse de un mercado con demanda relativamente inelástica, es a la vez un mercado extremadamente dinámico donde la irrupción de nuevos </w:t>
      </w:r>
      <w:r w:rsidR="00061E4C" w:rsidRPr="00083041">
        <w:rPr>
          <w:rFonts w:ascii="Arial" w:hAnsi="Arial" w:cs="Arial"/>
          <w:color w:val="000000" w:themeColor="text1"/>
          <w:sz w:val="22"/>
          <w:szCs w:val="22"/>
          <w:lang w:val="es-ES_tradnl"/>
        </w:rPr>
        <w:t xml:space="preserve">desarrollos tecnológicos, servicios digitales y </w:t>
      </w:r>
      <w:r w:rsidRPr="00083041">
        <w:rPr>
          <w:rFonts w:ascii="Arial" w:hAnsi="Arial" w:cs="Arial"/>
          <w:color w:val="000000" w:themeColor="text1"/>
          <w:sz w:val="22"/>
          <w:szCs w:val="22"/>
          <w:lang w:val="es-ES_tradnl"/>
        </w:rPr>
        <w:t xml:space="preserve">usos no sólo altera sensiblemente la oferta sino la respuesta de la demanda. Generalmente, la literatura asume un </w:t>
      </w:r>
      <w:r w:rsidR="00B86667" w:rsidRPr="00083041">
        <w:rPr>
          <w:rFonts w:ascii="Arial" w:hAnsi="Arial" w:cs="Arial"/>
          <w:color w:val="000000" w:themeColor="text1"/>
          <w:sz w:val="22"/>
          <w:szCs w:val="22"/>
          <w:lang w:val="es-ES_tradnl"/>
        </w:rPr>
        <w:t>ingreso medio por usuario para los operadores (ARPU, por sus siglas en inglés)</w:t>
      </w:r>
      <w:r w:rsidRPr="00083041">
        <w:rPr>
          <w:rFonts w:ascii="Arial" w:hAnsi="Arial" w:cs="Arial"/>
          <w:color w:val="000000" w:themeColor="text1"/>
          <w:sz w:val="22"/>
          <w:szCs w:val="22"/>
          <w:lang w:val="es-ES_tradnl"/>
        </w:rPr>
        <w:t xml:space="preserve"> constante en el análisis del mercado de las telecomunicaciones, donde lo que varía es el consumo o tráfico total de datos. </w:t>
      </w:r>
      <w:r w:rsidR="001D3FF8" w:rsidRPr="00083041">
        <w:rPr>
          <w:rFonts w:ascii="Arial" w:hAnsi="Arial" w:cs="Arial"/>
          <w:color w:val="000000" w:themeColor="text1"/>
          <w:sz w:val="22"/>
          <w:szCs w:val="22"/>
          <w:lang w:val="es-ES_tradnl"/>
        </w:rPr>
        <w:t xml:space="preserve">Siguiendo los </w:t>
      </w:r>
      <w:r w:rsidR="00CF43D6" w:rsidRPr="00083041">
        <w:rPr>
          <w:rFonts w:ascii="Arial" w:hAnsi="Arial" w:cs="Arial"/>
          <w:color w:val="000000" w:themeColor="text1"/>
          <w:sz w:val="22"/>
          <w:szCs w:val="22"/>
          <w:lang w:val="es-ES_tradnl"/>
        </w:rPr>
        <w:t>mismos principios</w:t>
      </w:r>
      <w:r w:rsidR="001D3FF8" w:rsidRPr="00083041">
        <w:rPr>
          <w:rFonts w:ascii="Arial" w:hAnsi="Arial" w:cs="Arial"/>
          <w:color w:val="000000" w:themeColor="text1"/>
          <w:sz w:val="22"/>
          <w:szCs w:val="22"/>
          <w:lang w:val="es-ES_tradnl"/>
        </w:rPr>
        <w:t xml:space="preserve"> y e</w:t>
      </w:r>
      <w:r w:rsidRPr="00083041">
        <w:rPr>
          <w:rFonts w:ascii="Arial" w:hAnsi="Arial" w:cs="Arial"/>
          <w:color w:val="000000" w:themeColor="text1"/>
          <w:sz w:val="22"/>
          <w:szCs w:val="22"/>
          <w:lang w:val="es-ES_tradnl"/>
        </w:rPr>
        <w:t xml:space="preserve">n aras de presentar un análisis conservador con supuestos razonables se ha preferido acotar el análisis de la infraestructura a </w:t>
      </w:r>
      <w:r w:rsidR="00006DD5" w:rsidRPr="00083041">
        <w:rPr>
          <w:rFonts w:ascii="Arial" w:hAnsi="Arial" w:cs="Arial"/>
          <w:color w:val="000000" w:themeColor="text1"/>
          <w:sz w:val="22"/>
          <w:szCs w:val="22"/>
          <w:lang w:val="es-ES_tradnl"/>
        </w:rPr>
        <w:t>diez</w:t>
      </w:r>
      <w:r w:rsidRPr="00083041">
        <w:rPr>
          <w:rFonts w:ascii="Arial" w:hAnsi="Arial" w:cs="Arial"/>
          <w:color w:val="000000" w:themeColor="text1"/>
          <w:sz w:val="22"/>
          <w:szCs w:val="22"/>
          <w:lang w:val="es-ES_tradnl"/>
        </w:rPr>
        <w:t xml:space="preserve"> años, periodo en el que las distintas fuentes de datos consultadas para el análisis parecen converger en mayor medida.    </w:t>
      </w:r>
      <w:r w:rsidRPr="00083041">
        <w:rPr>
          <w:rFonts w:ascii="Arial" w:hAnsi="Arial" w:cs="Arial"/>
          <w:b/>
          <w:color w:val="000000" w:themeColor="text1"/>
          <w:sz w:val="22"/>
          <w:szCs w:val="22"/>
          <w:lang w:val="es-ES_tradnl"/>
        </w:rPr>
        <w:t xml:space="preserve"> </w:t>
      </w:r>
    </w:p>
    <w:p w14:paraId="68926FC8" w14:textId="77777777" w:rsidR="005E1965" w:rsidRPr="00083041" w:rsidRDefault="00760A70" w:rsidP="00760A70">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b/>
          <w:color w:val="000000" w:themeColor="text1"/>
          <w:sz w:val="22"/>
          <w:szCs w:val="22"/>
          <w:lang w:val="es-ES_tradnl"/>
        </w:rPr>
        <w:t>Escenario central: proyecto de Red Compartida.</w:t>
      </w:r>
      <w:r w:rsidRPr="00083041">
        <w:rPr>
          <w:rFonts w:ascii="Arial" w:hAnsi="Arial" w:cs="Arial"/>
          <w:color w:val="000000" w:themeColor="text1"/>
          <w:sz w:val="22"/>
          <w:szCs w:val="22"/>
          <w:lang w:val="es-ES_tradnl"/>
        </w:rPr>
        <w:t xml:space="preserve"> Como se comentó anteriormente, </w:t>
      </w:r>
      <w:r w:rsidR="00061E4C" w:rsidRPr="00083041">
        <w:rPr>
          <w:rFonts w:ascii="Arial" w:hAnsi="Arial" w:cs="Arial"/>
          <w:color w:val="000000" w:themeColor="text1"/>
          <w:sz w:val="22"/>
          <w:szCs w:val="22"/>
          <w:lang w:val="es-ES_tradnl"/>
        </w:rPr>
        <w:t xml:space="preserve">la </w:t>
      </w:r>
      <w:r w:rsidR="005E1965" w:rsidRPr="00083041">
        <w:rPr>
          <w:rFonts w:ascii="Arial" w:hAnsi="Arial" w:cs="Arial"/>
          <w:color w:val="000000" w:themeColor="text1"/>
          <w:sz w:val="22"/>
          <w:szCs w:val="22"/>
          <w:lang w:val="es-ES_tradnl"/>
        </w:rPr>
        <w:t>Red Compartida presenta potencialmente ventajas competitivas frente a otros modelos de mercado. Entre sus ventajas, destacan las siguientes: (i) el despliegue de la red es más rápido y menos costoso que el de otras redes móviles, ya que su espectro tiene una mayor propagación</w:t>
      </w:r>
      <w:r w:rsidR="0039404A" w:rsidRPr="00083041">
        <w:rPr>
          <w:rStyle w:val="FootnoteReference"/>
          <w:rFonts w:ascii="Arial" w:hAnsi="Arial" w:cs="Arial"/>
          <w:color w:val="000000" w:themeColor="text1"/>
          <w:sz w:val="22"/>
          <w:szCs w:val="22"/>
          <w:lang w:val="es-ES_tradnl"/>
        </w:rPr>
        <w:footnoteReference w:id="29"/>
      </w:r>
      <w:r w:rsidR="005E1965" w:rsidRPr="00083041">
        <w:rPr>
          <w:rFonts w:ascii="Arial" w:hAnsi="Arial" w:cs="Arial"/>
          <w:color w:val="000000" w:themeColor="text1"/>
          <w:sz w:val="22"/>
          <w:szCs w:val="22"/>
          <w:lang w:val="es-ES_tradnl"/>
        </w:rPr>
        <w:t xml:space="preserve"> de ondas radioeléctricas que permiten realizar una cobertura más amplia que el espectro de frecuencia más alta (</w:t>
      </w:r>
      <w:r w:rsidR="00061E4C" w:rsidRPr="00083041">
        <w:rPr>
          <w:rFonts w:ascii="Arial" w:hAnsi="Arial" w:cs="Arial"/>
          <w:color w:val="000000" w:themeColor="text1"/>
          <w:sz w:val="22"/>
          <w:szCs w:val="22"/>
          <w:lang w:val="es-ES_tradnl"/>
        </w:rPr>
        <w:t xml:space="preserve">es decir, para ofrecer </w:t>
      </w:r>
      <w:r w:rsidR="005E1965" w:rsidRPr="00083041">
        <w:rPr>
          <w:rFonts w:ascii="Arial" w:hAnsi="Arial" w:cs="Arial"/>
          <w:color w:val="000000" w:themeColor="text1"/>
          <w:sz w:val="22"/>
          <w:szCs w:val="22"/>
          <w:lang w:val="es-ES_tradnl"/>
        </w:rPr>
        <w:t>la misma cobertura</w:t>
      </w:r>
      <w:r w:rsidR="00061E4C" w:rsidRPr="00083041">
        <w:rPr>
          <w:rFonts w:ascii="Arial" w:hAnsi="Arial" w:cs="Arial"/>
          <w:color w:val="000000" w:themeColor="text1"/>
          <w:sz w:val="22"/>
          <w:szCs w:val="22"/>
          <w:lang w:val="es-ES_tradnl"/>
        </w:rPr>
        <w:t>, la banda de 700MHz en la que opera la Red Compartida requiere</w:t>
      </w:r>
      <w:r w:rsidR="005E1965" w:rsidRPr="00083041">
        <w:rPr>
          <w:rFonts w:ascii="Arial" w:hAnsi="Arial" w:cs="Arial"/>
          <w:color w:val="000000" w:themeColor="text1"/>
          <w:sz w:val="22"/>
          <w:szCs w:val="22"/>
          <w:lang w:val="es-ES_tradnl"/>
        </w:rPr>
        <w:t xml:space="preserve"> una cantidad de emplazamientos</w:t>
      </w:r>
      <w:r w:rsidR="00061E4C" w:rsidRPr="00083041">
        <w:rPr>
          <w:rFonts w:ascii="Arial" w:hAnsi="Arial" w:cs="Arial"/>
          <w:color w:val="000000" w:themeColor="text1"/>
          <w:sz w:val="22"/>
          <w:szCs w:val="22"/>
          <w:lang w:val="es-ES_tradnl"/>
        </w:rPr>
        <w:t xml:space="preserve"> para antenas</w:t>
      </w:r>
      <w:r w:rsidR="005E1965" w:rsidRPr="00083041">
        <w:rPr>
          <w:rFonts w:ascii="Arial" w:hAnsi="Arial" w:cs="Arial"/>
          <w:color w:val="000000" w:themeColor="text1"/>
          <w:sz w:val="22"/>
          <w:szCs w:val="22"/>
          <w:lang w:val="es-ES_tradnl"/>
        </w:rPr>
        <w:t xml:space="preserve"> tres veces menor que si se emplea el espectro de la banda de 1.700 MHz, que también suele utilizarse para las telecomunicaciones móviles); (ii) el espectro de </w:t>
      </w:r>
      <w:r w:rsidR="00061E4C" w:rsidRPr="00083041">
        <w:rPr>
          <w:rFonts w:ascii="Arial" w:hAnsi="Arial" w:cs="Arial"/>
          <w:color w:val="000000" w:themeColor="text1"/>
          <w:sz w:val="22"/>
          <w:szCs w:val="22"/>
          <w:lang w:val="es-ES_tradnl"/>
        </w:rPr>
        <w:t xml:space="preserve">la </w:t>
      </w:r>
      <w:r w:rsidR="005E1965" w:rsidRPr="00083041">
        <w:rPr>
          <w:rFonts w:ascii="Arial" w:hAnsi="Arial" w:cs="Arial"/>
          <w:color w:val="000000" w:themeColor="text1"/>
          <w:sz w:val="22"/>
          <w:szCs w:val="22"/>
          <w:lang w:val="es-ES_tradnl"/>
        </w:rPr>
        <w:t>Red Compartida soporta una nueva gama de servicios de banda ancha móvil en ambientes cerrados gracias a sus propiedades de menor absorción</w:t>
      </w:r>
      <w:r w:rsidR="0039404A" w:rsidRPr="00083041">
        <w:rPr>
          <w:rStyle w:val="FootnoteReference"/>
          <w:rFonts w:ascii="Arial" w:hAnsi="Arial" w:cs="Arial"/>
          <w:color w:val="000000" w:themeColor="text1"/>
          <w:sz w:val="22"/>
          <w:szCs w:val="22"/>
          <w:lang w:val="es-ES_tradnl"/>
        </w:rPr>
        <w:footnoteReference w:id="30"/>
      </w:r>
      <w:r w:rsidR="005E1965" w:rsidRPr="00083041">
        <w:rPr>
          <w:rFonts w:ascii="Arial" w:hAnsi="Arial" w:cs="Arial"/>
          <w:color w:val="000000" w:themeColor="text1"/>
          <w:sz w:val="22"/>
          <w:szCs w:val="22"/>
          <w:lang w:val="es-ES_tradnl"/>
        </w:rPr>
        <w:t>; (iii) la velocidad de transferencia de datos que se alcanza es superior a la de otras redes móviles existentes, puesto que Red Compartida se ha creado empleando la tecnología 4G LTE más moderna sin costos ni diseños heredados y ya se está considerando la posibilidad de realizar actualizaciones para adoptar la tecnología 5G; (iv) puede ofrecer servicios a costos más bajos, dado que no existen costos iniciales vinculados con la adquisición del espectro de</w:t>
      </w:r>
      <w:r w:rsidR="00061E4C" w:rsidRPr="00083041">
        <w:rPr>
          <w:rFonts w:ascii="Arial" w:hAnsi="Arial" w:cs="Arial"/>
          <w:color w:val="000000" w:themeColor="text1"/>
          <w:sz w:val="22"/>
          <w:szCs w:val="22"/>
          <w:lang w:val="es-ES_tradnl"/>
        </w:rPr>
        <w:t xml:space="preserve"> la</w:t>
      </w:r>
      <w:r w:rsidR="005E1965" w:rsidRPr="00083041">
        <w:rPr>
          <w:rFonts w:ascii="Arial" w:hAnsi="Arial" w:cs="Arial"/>
          <w:color w:val="000000" w:themeColor="text1"/>
          <w:sz w:val="22"/>
          <w:szCs w:val="22"/>
          <w:lang w:val="es-ES_tradnl"/>
        </w:rPr>
        <w:t xml:space="preserve"> Red Compartida que puede arrendarse a Promtel</w:t>
      </w:r>
      <w:r w:rsidR="00006DD5" w:rsidRPr="00083041">
        <w:rPr>
          <w:rFonts w:ascii="Arial" w:hAnsi="Arial" w:cs="Arial"/>
          <w:color w:val="000000" w:themeColor="text1"/>
          <w:sz w:val="22"/>
          <w:szCs w:val="22"/>
          <w:lang w:val="es-ES_tradnl"/>
        </w:rPr>
        <w:t>;</w:t>
      </w:r>
      <w:r w:rsidR="005E1965" w:rsidRPr="00083041">
        <w:rPr>
          <w:rFonts w:ascii="Arial" w:hAnsi="Arial" w:cs="Arial"/>
          <w:color w:val="000000" w:themeColor="text1"/>
          <w:sz w:val="22"/>
          <w:szCs w:val="22"/>
          <w:lang w:val="es-ES_tradnl"/>
        </w:rPr>
        <w:t xml:space="preserve"> y (v) no tiene conflictos de intereses con los proveedores de servicios móviles por cuanto es una red neutral al por mayor por naturaleza. </w:t>
      </w:r>
    </w:p>
    <w:p w14:paraId="54D72BF0" w14:textId="3DE26DA4" w:rsidR="00FB3179" w:rsidRPr="00083041" w:rsidRDefault="00760A70" w:rsidP="00BB70AC">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color w:val="000000" w:themeColor="text1"/>
          <w:sz w:val="22"/>
          <w:szCs w:val="22"/>
          <w:lang w:val="es-ES_tradnl"/>
        </w:rPr>
        <w:t xml:space="preserve">El supuesto principal bajo el que se diseña el escenario central es que </w:t>
      </w:r>
      <w:r w:rsidR="00FB3179" w:rsidRPr="00083041">
        <w:rPr>
          <w:rFonts w:ascii="Arial" w:hAnsi="Arial" w:cs="Arial"/>
          <w:color w:val="000000" w:themeColor="text1"/>
          <w:sz w:val="22"/>
          <w:szCs w:val="22"/>
          <w:lang w:val="es-ES_tradnl"/>
        </w:rPr>
        <w:t xml:space="preserve">el </w:t>
      </w:r>
      <w:r w:rsidRPr="00083041">
        <w:rPr>
          <w:rFonts w:ascii="Arial" w:hAnsi="Arial" w:cs="Arial"/>
          <w:color w:val="000000" w:themeColor="text1"/>
          <w:sz w:val="22"/>
          <w:szCs w:val="22"/>
          <w:lang w:val="es-ES_tradnl"/>
        </w:rPr>
        <w:t xml:space="preserve">aumento de la cobertura </w:t>
      </w:r>
      <w:r w:rsidR="00061E4C" w:rsidRPr="00083041">
        <w:rPr>
          <w:rFonts w:ascii="Arial" w:hAnsi="Arial" w:cs="Arial"/>
          <w:color w:val="000000" w:themeColor="text1"/>
          <w:sz w:val="22"/>
          <w:szCs w:val="22"/>
          <w:lang w:val="es-ES_tradnl"/>
        </w:rPr>
        <w:t xml:space="preserve">poblacional </w:t>
      </w:r>
      <w:r w:rsidRPr="00083041">
        <w:rPr>
          <w:rFonts w:ascii="Arial" w:hAnsi="Arial" w:cs="Arial"/>
          <w:color w:val="000000" w:themeColor="text1"/>
          <w:sz w:val="22"/>
          <w:szCs w:val="22"/>
          <w:lang w:val="es-ES_tradnl"/>
        </w:rPr>
        <w:t>avanza según el calendario de la propuesta de Altán</w:t>
      </w:r>
      <w:r w:rsidR="00061E4C" w:rsidRPr="00083041">
        <w:rPr>
          <w:rFonts w:ascii="Arial" w:hAnsi="Arial" w:cs="Arial"/>
          <w:color w:val="000000" w:themeColor="text1"/>
          <w:sz w:val="22"/>
          <w:szCs w:val="22"/>
          <w:lang w:val="es-ES_tradnl"/>
        </w:rPr>
        <w:t xml:space="preserve"> Redes</w:t>
      </w:r>
      <w:r w:rsidRPr="00083041">
        <w:rPr>
          <w:rFonts w:ascii="Arial" w:hAnsi="Arial" w:cs="Arial"/>
          <w:color w:val="000000" w:themeColor="text1"/>
          <w:sz w:val="22"/>
          <w:szCs w:val="22"/>
          <w:lang w:val="es-ES_tradnl"/>
        </w:rPr>
        <w:t xml:space="preserve">; es decir, </w:t>
      </w:r>
      <w:r w:rsidR="00010A52" w:rsidRPr="00083041">
        <w:rPr>
          <w:rFonts w:ascii="Arial" w:hAnsi="Arial" w:cs="Arial"/>
          <w:color w:val="000000" w:themeColor="text1"/>
          <w:sz w:val="22"/>
          <w:szCs w:val="22"/>
          <w:lang w:val="es-ES_tradnl"/>
        </w:rPr>
        <w:t xml:space="preserve">30% en 2018; 40% </w:t>
      </w:r>
      <w:r w:rsidRPr="00083041">
        <w:rPr>
          <w:rFonts w:ascii="Arial" w:hAnsi="Arial" w:cs="Arial"/>
          <w:color w:val="000000" w:themeColor="text1"/>
          <w:sz w:val="22"/>
          <w:szCs w:val="22"/>
          <w:lang w:val="es-ES_tradnl"/>
        </w:rPr>
        <w:t>e</w:t>
      </w:r>
      <w:r w:rsidR="00010A52" w:rsidRPr="00083041">
        <w:rPr>
          <w:rFonts w:ascii="Arial" w:hAnsi="Arial" w:cs="Arial"/>
          <w:color w:val="000000" w:themeColor="text1"/>
          <w:sz w:val="22"/>
          <w:szCs w:val="22"/>
          <w:lang w:val="es-ES_tradnl"/>
        </w:rPr>
        <w:t>n 2019;</w:t>
      </w:r>
      <w:r w:rsidRPr="00083041">
        <w:rPr>
          <w:rFonts w:ascii="Arial" w:hAnsi="Arial" w:cs="Arial"/>
          <w:color w:val="000000" w:themeColor="text1"/>
          <w:sz w:val="22"/>
          <w:szCs w:val="22"/>
          <w:lang w:val="es-ES_tradnl"/>
        </w:rPr>
        <w:t xml:space="preserve"> 50% en 2020; 70% en 2021; 85</w:t>
      </w:r>
      <w:r w:rsidR="00010A52" w:rsidRPr="00083041">
        <w:rPr>
          <w:rFonts w:ascii="Arial" w:hAnsi="Arial" w:cs="Arial"/>
          <w:color w:val="000000" w:themeColor="text1"/>
          <w:sz w:val="22"/>
          <w:szCs w:val="22"/>
          <w:lang w:val="es-ES_tradnl"/>
        </w:rPr>
        <w:t>%</w:t>
      </w:r>
      <w:r w:rsidR="008E6F45">
        <w:rPr>
          <w:rFonts w:ascii="Arial" w:hAnsi="Arial" w:cs="Arial"/>
          <w:color w:val="000000" w:themeColor="text1"/>
          <w:sz w:val="22"/>
          <w:szCs w:val="22"/>
          <w:lang w:val="es-ES_tradnl"/>
        </w:rPr>
        <w:t> </w:t>
      </w:r>
      <w:r w:rsidR="00010A52" w:rsidRPr="00083041">
        <w:rPr>
          <w:rFonts w:ascii="Arial" w:hAnsi="Arial" w:cs="Arial"/>
          <w:color w:val="000000" w:themeColor="text1"/>
          <w:sz w:val="22"/>
          <w:szCs w:val="22"/>
          <w:lang w:val="es-ES_tradnl"/>
        </w:rPr>
        <w:t>en</w:t>
      </w:r>
      <w:r w:rsidR="008E6F45">
        <w:rPr>
          <w:rFonts w:ascii="Arial" w:hAnsi="Arial" w:cs="Arial"/>
          <w:color w:val="000000" w:themeColor="text1"/>
          <w:sz w:val="22"/>
          <w:szCs w:val="22"/>
          <w:lang w:val="es-ES_tradnl"/>
        </w:rPr>
        <w:t> </w:t>
      </w:r>
      <w:r w:rsidRPr="00083041">
        <w:rPr>
          <w:rFonts w:ascii="Arial" w:hAnsi="Arial" w:cs="Arial"/>
          <w:color w:val="000000" w:themeColor="text1"/>
          <w:sz w:val="22"/>
          <w:szCs w:val="22"/>
          <w:lang w:val="es-ES_tradnl"/>
        </w:rPr>
        <w:t>2022; 88,6%</w:t>
      </w:r>
      <w:r w:rsidR="00010A52" w:rsidRPr="00083041">
        <w:rPr>
          <w:rFonts w:ascii="Arial" w:hAnsi="Arial" w:cs="Arial"/>
          <w:color w:val="000000" w:themeColor="text1"/>
          <w:sz w:val="22"/>
          <w:szCs w:val="22"/>
          <w:lang w:val="es-ES_tradnl"/>
        </w:rPr>
        <w:t xml:space="preserve"> en</w:t>
      </w:r>
      <w:r w:rsidRPr="00083041">
        <w:rPr>
          <w:rFonts w:ascii="Arial" w:hAnsi="Arial" w:cs="Arial"/>
          <w:color w:val="000000" w:themeColor="text1"/>
          <w:sz w:val="22"/>
          <w:szCs w:val="22"/>
          <w:lang w:val="es-ES_tradnl"/>
        </w:rPr>
        <w:t xml:space="preserve"> 2023 y</w:t>
      </w:r>
      <w:r w:rsidR="00010A52" w:rsidRPr="00083041">
        <w:rPr>
          <w:rFonts w:ascii="Arial" w:hAnsi="Arial" w:cs="Arial"/>
          <w:color w:val="000000" w:themeColor="text1"/>
          <w:sz w:val="22"/>
          <w:szCs w:val="22"/>
          <w:lang w:val="es-ES_tradnl"/>
        </w:rPr>
        <w:t xml:space="preserve"> finamente</w:t>
      </w:r>
      <w:r w:rsidRPr="00083041">
        <w:rPr>
          <w:rFonts w:ascii="Arial" w:hAnsi="Arial" w:cs="Arial"/>
          <w:color w:val="000000" w:themeColor="text1"/>
          <w:sz w:val="22"/>
          <w:szCs w:val="22"/>
          <w:lang w:val="es-ES_tradnl"/>
        </w:rPr>
        <w:t xml:space="preserve"> 92,2% para enero de 2024</w:t>
      </w:r>
      <w:r w:rsidR="00010A52" w:rsidRPr="00083041">
        <w:rPr>
          <w:rFonts w:ascii="Arial" w:hAnsi="Arial" w:cs="Arial"/>
          <w:color w:val="000000" w:themeColor="text1"/>
          <w:sz w:val="22"/>
          <w:szCs w:val="22"/>
          <w:lang w:val="es-ES_tradnl"/>
        </w:rPr>
        <w:t xml:space="preserve">. Asimismo, la penetración de servicios de banda ancha </w:t>
      </w:r>
      <w:r w:rsidR="00061E4C" w:rsidRPr="00083041">
        <w:rPr>
          <w:rFonts w:ascii="Arial" w:hAnsi="Arial" w:cs="Arial"/>
          <w:color w:val="000000" w:themeColor="text1"/>
          <w:sz w:val="22"/>
          <w:szCs w:val="22"/>
          <w:lang w:val="es-ES_tradnl"/>
        </w:rPr>
        <w:t>móvil</w:t>
      </w:r>
      <w:r w:rsidR="00010A52" w:rsidRPr="00083041">
        <w:rPr>
          <w:rFonts w:ascii="Arial" w:hAnsi="Arial" w:cs="Arial"/>
          <w:color w:val="000000" w:themeColor="text1"/>
          <w:sz w:val="22"/>
          <w:szCs w:val="22"/>
          <w:lang w:val="es-ES_tradnl"/>
        </w:rPr>
        <w:t xml:space="preserve"> </w:t>
      </w:r>
      <w:r w:rsidR="00FB3179" w:rsidRPr="00083041">
        <w:rPr>
          <w:rFonts w:ascii="Arial" w:hAnsi="Arial" w:cs="Arial"/>
          <w:color w:val="000000" w:themeColor="text1"/>
          <w:sz w:val="22"/>
          <w:szCs w:val="22"/>
          <w:lang w:val="es-ES_tradnl"/>
        </w:rPr>
        <w:t xml:space="preserve">se acrecentará gradualmente </w:t>
      </w:r>
      <w:r w:rsidR="00010A52" w:rsidRPr="00083041">
        <w:rPr>
          <w:rFonts w:ascii="Arial" w:hAnsi="Arial" w:cs="Arial"/>
          <w:color w:val="000000" w:themeColor="text1"/>
          <w:sz w:val="22"/>
          <w:szCs w:val="22"/>
          <w:lang w:val="es-ES_tradnl"/>
        </w:rPr>
        <w:t xml:space="preserve">y </w:t>
      </w:r>
      <w:r w:rsidR="00010A52" w:rsidRPr="00083041">
        <w:rPr>
          <w:rFonts w:ascii="Arial" w:hAnsi="Arial" w:cs="Arial"/>
          <w:color w:val="000000" w:themeColor="text1"/>
          <w:sz w:val="22"/>
          <w:szCs w:val="22"/>
          <w:lang w:val="es-ES_tradnl"/>
        </w:rPr>
        <w:lastRenderedPageBreak/>
        <w:t>s</w:t>
      </w:r>
      <w:r w:rsidR="00FB3179" w:rsidRPr="00083041">
        <w:rPr>
          <w:rFonts w:ascii="Arial" w:hAnsi="Arial" w:cs="Arial"/>
          <w:color w:val="000000" w:themeColor="text1"/>
          <w:sz w:val="22"/>
          <w:szCs w:val="22"/>
          <w:lang w:val="es-ES_tradnl"/>
        </w:rPr>
        <w:t>e prevé que el tráfico mensual promedio de datos se incrementará como resultado de (i) un aumento de los dispositivos compatibles con tecnología 4G; (ii)</w:t>
      </w:r>
      <w:r w:rsidR="008E6F45">
        <w:rPr>
          <w:rFonts w:ascii="Arial" w:hAnsi="Arial" w:cs="Arial"/>
          <w:color w:val="000000" w:themeColor="text1"/>
          <w:sz w:val="22"/>
          <w:szCs w:val="22"/>
          <w:lang w:val="es-ES_tradnl"/>
        </w:rPr>
        <w:t> </w:t>
      </w:r>
      <w:r w:rsidR="00FB3179" w:rsidRPr="00083041">
        <w:rPr>
          <w:rFonts w:ascii="Arial" w:hAnsi="Arial" w:cs="Arial"/>
          <w:color w:val="000000" w:themeColor="text1"/>
          <w:sz w:val="22"/>
          <w:szCs w:val="22"/>
          <w:lang w:val="es-ES_tradnl"/>
        </w:rPr>
        <w:t xml:space="preserve">los </w:t>
      </w:r>
      <w:r w:rsidR="00061E4C" w:rsidRPr="00083041">
        <w:rPr>
          <w:rFonts w:ascii="Arial" w:hAnsi="Arial" w:cs="Arial"/>
          <w:color w:val="000000" w:themeColor="text1"/>
          <w:sz w:val="22"/>
          <w:szCs w:val="22"/>
          <w:lang w:val="es-ES_tradnl"/>
        </w:rPr>
        <w:t>hábitos</w:t>
      </w:r>
      <w:r w:rsidR="00FB3179" w:rsidRPr="00083041">
        <w:rPr>
          <w:rFonts w:ascii="Arial" w:hAnsi="Arial" w:cs="Arial"/>
          <w:color w:val="000000" w:themeColor="text1"/>
          <w:sz w:val="22"/>
          <w:szCs w:val="22"/>
          <w:lang w:val="es-ES_tradnl"/>
        </w:rPr>
        <w:t xml:space="preserve"> cambiantes de uso de datos, y (iii) la ampliación de la cobertura de tecnología 4G gracias a Red Compartida. La cuota de mercado de los ORMV crecería del 1,2% en 2017 al 12,4% en 2025, debido principalmente a que los proveedores de servicios de televisión por cable o satélite ofrecerían servicios de telecomunicaciones móviles a través de</w:t>
      </w:r>
      <w:r w:rsidR="00061E4C" w:rsidRPr="00083041">
        <w:rPr>
          <w:rFonts w:ascii="Arial" w:hAnsi="Arial" w:cs="Arial"/>
          <w:color w:val="000000" w:themeColor="text1"/>
          <w:sz w:val="22"/>
          <w:szCs w:val="22"/>
          <w:lang w:val="es-ES_tradnl"/>
        </w:rPr>
        <w:t xml:space="preserve"> los servicios mayoristas de la</w:t>
      </w:r>
      <w:r w:rsidR="00FB3179" w:rsidRPr="00083041">
        <w:rPr>
          <w:rFonts w:ascii="Arial" w:hAnsi="Arial" w:cs="Arial"/>
          <w:color w:val="000000" w:themeColor="text1"/>
          <w:sz w:val="22"/>
          <w:szCs w:val="22"/>
          <w:lang w:val="es-ES_tradnl"/>
        </w:rPr>
        <w:t xml:space="preserve"> Red Compartida en un paquete </w:t>
      </w:r>
      <w:r w:rsidR="00FB3179" w:rsidRPr="00083041">
        <w:rPr>
          <w:rFonts w:ascii="Arial" w:hAnsi="Arial" w:cs="Arial"/>
          <w:i/>
          <w:color w:val="000000" w:themeColor="text1"/>
          <w:sz w:val="22"/>
          <w:szCs w:val="22"/>
          <w:lang w:val="es-ES_tradnl"/>
        </w:rPr>
        <w:t>multiplay</w:t>
      </w:r>
      <w:r w:rsidR="00FB3179" w:rsidRPr="00083041">
        <w:rPr>
          <w:rFonts w:ascii="Arial" w:hAnsi="Arial" w:cs="Arial"/>
          <w:color w:val="000000" w:themeColor="text1"/>
          <w:sz w:val="22"/>
          <w:szCs w:val="22"/>
          <w:lang w:val="es-ES_tradnl"/>
        </w:rPr>
        <w:t xml:space="preserve"> a su clientela existente. Según las estimaciones, el precio al por mayor de Altán</w:t>
      </w:r>
      <w:r w:rsidR="00061E4C" w:rsidRPr="00083041">
        <w:rPr>
          <w:rFonts w:ascii="Arial" w:hAnsi="Arial" w:cs="Arial"/>
          <w:color w:val="000000" w:themeColor="text1"/>
          <w:sz w:val="22"/>
          <w:szCs w:val="22"/>
          <w:lang w:val="es-ES_tradnl"/>
        </w:rPr>
        <w:t xml:space="preserve"> Redes</w:t>
      </w:r>
      <w:r w:rsidR="00FB3179" w:rsidRPr="00083041">
        <w:rPr>
          <w:rFonts w:ascii="Arial" w:hAnsi="Arial" w:cs="Arial"/>
          <w:color w:val="000000" w:themeColor="text1"/>
          <w:sz w:val="22"/>
          <w:szCs w:val="22"/>
          <w:lang w:val="es-ES_tradnl"/>
        </w:rPr>
        <w:t xml:space="preserve"> (Mex$/MB) disminuirá registrando una TACC de -18,6%, en consonancia con las tendencias mundiales de los precios al por menor. </w:t>
      </w:r>
      <w:r w:rsidR="001F3839">
        <w:rPr>
          <w:rFonts w:ascii="Arial" w:hAnsi="Arial" w:cs="Arial"/>
          <w:color w:val="000000" w:themeColor="text1"/>
          <w:sz w:val="22"/>
          <w:szCs w:val="22"/>
          <w:lang w:val="es-ES_tradnl"/>
        </w:rPr>
        <w:t xml:space="preserve">El supuesto implícito que subyace a este escenario es que gracias al proyecto de la Red Compartida se consigue ofrecer mayor cantidad de </w:t>
      </w:r>
      <w:r w:rsidR="001434BC">
        <w:rPr>
          <w:rFonts w:ascii="Arial" w:hAnsi="Arial" w:cs="Arial"/>
          <w:color w:val="000000" w:themeColor="text1"/>
          <w:sz w:val="22"/>
          <w:szCs w:val="22"/>
          <w:lang w:val="es-ES_tradnl"/>
        </w:rPr>
        <w:t>MB</w:t>
      </w:r>
      <w:r w:rsidR="001F3839">
        <w:rPr>
          <w:rFonts w:ascii="Arial" w:hAnsi="Arial" w:cs="Arial"/>
          <w:color w:val="000000" w:themeColor="text1"/>
          <w:sz w:val="22"/>
          <w:szCs w:val="22"/>
          <w:lang w:val="es-ES_tradnl"/>
        </w:rPr>
        <w:t xml:space="preserve"> a un precio menor (o, siguiendo los supuesto</w:t>
      </w:r>
      <w:r w:rsidR="00D2552A">
        <w:rPr>
          <w:rFonts w:ascii="Arial" w:hAnsi="Arial" w:cs="Arial"/>
          <w:color w:val="000000" w:themeColor="text1"/>
          <w:sz w:val="22"/>
          <w:szCs w:val="22"/>
          <w:lang w:val="es-ES_tradnl"/>
        </w:rPr>
        <w:t>s</w:t>
      </w:r>
      <w:r w:rsidR="001F3839">
        <w:rPr>
          <w:rFonts w:ascii="Arial" w:hAnsi="Arial" w:cs="Arial"/>
          <w:color w:val="000000" w:themeColor="text1"/>
          <w:sz w:val="22"/>
          <w:szCs w:val="22"/>
          <w:lang w:val="es-ES_tradnl"/>
        </w:rPr>
        <w:t xml:space="preserve"> del ARPU constante, el precio del </w:t>
      </w:r>
      <w:r w:rsidR="001434BC">
        <w:rPr>
          <w:rFonts w:ascii="Arial" w:hAnsi="Arial" w:cs="Arial"/>
          <w:color w:val="000000" w:themeColor="text1"/>
          <w:sz w:val="22"/>
          <w:szCs w:val="22"/>
          <w:lang w:val="es-ES_tradnl"/>
        </w:rPr>
        <w:t>MB</w:t>
      </w:r>
      <w:r w:rsidR="001F3839">
        <w:rPr>
          <w:rFonts w:ascii="Arial" w:hAnsi="Arial" w:cs="Arial"/>
          <w:color w:val="000000" w:themeColor="text1"/>
          <w:sz w:val="22"/>
          <w:szCs w:val="22"/>
          <w:lang w:val="es-ES_tradnl"/>
        </w:rPr>
        <w:t xml:space="preserve"> cae y, por un mismo precio, se ofrece una mayor cantidad de </w:t>
      </w:r>
      <w:r w:rsidR="001434BC">
        <w:rPr>
          <w:rFonts w:ascii="Arial" w:hAnsi="Arial" w:cs="Arial"/>
          <w:color w:val="000000" w:themeColor="text1"/>
          <w:sz w:val="22"/>
          <w:szCs w:val="22"/>
          <w:lang w:val="es-ES_tradnl"/>
        </w:rPr>
        <w:t>MB</w:t>
      </w:r>
      <w:r w:rsidR="001F3839">
        <w:rPr>
          <w:rFonts w:ascii="Arial" w:hAnsi="Arial" w:cs="Arial"/>
          <w:color w:val="000000" w:themeColor="text1"/>
          <w:sz w:val="22"/>
          <w:szCs w:val="22"/>
          <w:lang w:val="es-ES_tradnl"/>
        </w:rPr>
        <w:t>), y, por tanto, existe un desplazamiento de la curva de oferta.</w:t>
      </w:r>
    </w:p>
    <w:p w14:paraId="5DBD7FAF" w14:textId="77777777" w:rsidR="008C0BAC" w:rsidRPr="00083041" w:rsidRDefault="008C0BAC" w:rsidP="008C0BAC">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color w:val="000000" w:themeColor="text1"/>
          <w:sz w:val="22"/>
          <w:szCs w:val="22"/>
          <w:lang w:val="es-ES_tradnl"/>
        </w:rPr>
        <w:t xml:space="preserve">De manera concreta los </w:t>
      </w:r>
      <w:r w:rsidR="00CF43D6" w:rsidRPr="00083041">
        <w:rPr>
          <w:rFonts w:ascii="Arial" w:hAnsi="Arial" w:cs="Arial"/>
          <w:color w:val="000000" w:themeColor="text1"/>
          <w:sz w:val="22"/>
          <w:szCs w:val="22"/>
          <w:lang w:val="es-ES_tradnl"/>
        </w:rPr>
        <w:t>parámetros</w:t>
      </w:r>
      <w:r w:rsidRPr="00083041">
        <w:rPr>
          <w:rFonts w:ascii="Arial" w:hAnsi="Arial" w:cs="Arial"/>
          <w:color w:val="000000" w:themeColor="text1"/>
          <w:sz w:val="22"/>
          <w:szCs w:val="22"/>
          <w:lang w:val="es-ES_tradnl"/>
        </w:rPr>
        <w:t xml:space="preserve"> principales para medir las variaciones en los excedentes de los consumidores se estima </w:t>
      </w:r>
      <w:r w:rsidR="00CF484C">
        <w:rPr>
          <w:rFonts w:ascii="Arial" w:hAnsi="Arial" w:cs="Arial"/>
          <w:color w:val="000000" w:themeColor="text1"/>
          <w:sz w:val="22"/>
          <w:szCs w:val="22"/>
          <w:lang w:val="es-ES_tradnl"/>
        </w:rPr>
        <w:t xml:space="preserve">que </w:t>
      </w:r>
      <w:r w:rsidRPr="00083041">
        <w:rPr>
          <w:rFonts w:ascii="Arial" w:hAnsi="Arial" w:cs="Arial"/>
          <w:color w:val="000000" w:themeColor="text1"/>
          <w:sz w:val="22"/>
          <w:szCs w:val="22"/>
          <w:lang w:val="es-ES_tradnl"/>
        </w:rPr>
        <w:t xml:space="preserve">se </w:t>
      </w:r>
      <w:r w:rsidR="00CF43D6" w:rsidRPr="00083041">
        <w:rPr>
          <w:rFonts w:ascii="Arial" w:hAnsi="Arial" w:cs="Arial"/>
          <w:color w:val="000000" w:themeColor="text1"/>
          <w:sz w:val="22"/>
          <w:szCs w:val="22"/>
          <w:lang w:val="es-ES_tradnl"/>
        </w:rPr>
        <w:t>comporten</w:t>
      </w:r>
      <w:r w:rsidRPr="00083041">
        <w:rPr>
          <w:rFonts w:ascii="Arial" w:hAnsi="Arial" w:cs="Arial"/>
          <w:color w:val="000000" w:themeColor="text1"/>
          <w:sz w:val="22"/>
          <w:szCs w:val="22"/>
          <w:lang w:val="es-ES_tradnl"/>
        </w:rPr>
        <w:t xml:space="preserve"> de la siguiente manera:</w:t>
      </w:r>
    </w:p>
    <w:p w14:paraId="49D8532F" w14:textId="329513C2" w:rsidR="008C0BAC" w:rsidRPr="00083041" w:rsidRDefault="008C0BAC" w:rsidP="002375AD">
      <w:pPr>
        <w:pStyle w:val="subpar"/>
        <w:tabs>
          <w:tab w:val="clear" w:pos="2304"/>
          <w:tab w:val="num" w:pos="1134"/>
        </w:tabs>
        <w:ind w:left="993" w:hanging="284"/>
        <w:rPr>
          <w:rFonts w:ascii="Arial" w:hAnsi="Arial" w:cs="Arial"/>
          <w:sz w:val="22"/>
          <w:szCs w:val="22"/>
          <w:lang w:val="es-ES_tradnl"/>
        </w:rPr>
      </w:pPr>
      <w:r w:rsidRPr="00083041">
        <w:rPr>
          <w:rFonts w:ascii="Arial" w:hAnsi="Arial" w:cs="Arial"/>
          <w:sz w:val="22"/>
          <w:szCs w:val="22"/>
          <w:lang w:val="es-ES_tradnl"/>
        </w:rPr>
        <w:t xml:space="preserve">Cantidad de MB. La cantidad de equilibrio que se intercambiaba en el mercado de banda ancha móvil, es decir, el tráfico de </w:t>
      </w:r>
      <w:r w:rsidR="00CF43D6" w:rsidRPr="00083041">
        <w:rPr>
          <w:rFonts w:ascii="Arial" w:hAnsi="Arial" w:cs="Arial"/>
          <w:sz w:val="22"/>
          <w:szCs w:val="22"/>
          <w:lang w:val="es-ES_tradnl"/>
        </w:rPr>
        <w:t>datos</w:t>
      </w:r>
      <w:r w:rsidRPr="00083041">
        <w:rPr>
          <w:rFonts w:ascii="Arial" w:hAnsi="Arial" w:cs="Arial"/>
          <w:sz w:val="22"/>
          <w:szCs w:val="22"/>
          <w:lang w:val="es-ES_tradnl"/>
        </w:rPr>
        <w:t xml:space="preserve"> era de 651.081 TB, (651.080.633.642 MB)</w:t>
      </w:r>
      <w:r w:rsidR="00F06A52" w:rsidRPr="00083041">
        <w:rPr>
          <w:rStyle w:val="FootnoteReference"/>
          <w:rFonts w:ascii="Arial" w:hAnsi="Arial" w:cs="Arial"/>
          <w:sz w:val="22"/>
          <w:szCs w:val="22"/>
          <w:lang w:val="es-ES_tradnl"/>
        </w:rPr>
        <w:footnoteReference w:id="31"/>
      </w:r>
      <w:r w:rsidRPr="00083041">
        <w:rPr>
          <w:rFonts w:ascii="Arial" w:hAnsi="Arial" w:cs="Arial"/>
          <w:sz w:val="22"/>
          <w:szCs w:val="22"/>
          <w:lang w:val="es-ES_tradnl"/>
        </w:rPr>
        <w:t xml:space="preserve">. Durante el </w:t>
      </w:r>
      <w:r w:rsidR="00CF43D6" w:rsidRPr="00083041">
        <w:rPr>
          <w:rFonts w:ascii="Arial" w:hAnsi="Arial" w:cs="Arial"/>
          <w:sz w:val="22"/>
          <w:szCs w:val="22"/>
          <w:lang w:val="es-ES_tradnl"/>
        </w:rPr>
        <w:t>periodo</w:t>
      </w:r>
      <w:r w:rsidRPr="00083041">
        <w:rPr>
          <w:rFonts w:ascii="Arial" w:hAnsi="Arial" w:cs="Arial"/>
          <w:sz w:val="22"/>
          <w:szCs w:val="22"/>
          <w:lang w:val="es-ES_tradnl"/>
        </w:rPr>
        <w:t xml:space="preserve"> de análisis del proyecto (10 años), se espera que el tráfico aumente hasta los 12.096.479 TB (12.096.479.141.792 </w:t>
      </w:r>
      <w:r w:rsidR="008E6F45">
        <w:rPr>
          <w:rFonts w:ascii="Arial" w:hAnsi="Arial" w:cs="Arial"/>
          <w:sz w:val="22"/>
          <w:szCs w:val="22"/>
          <w:lang w:val="es-ES_tradnl"/>
        </w:rPr>
        <w:t> </w:t>
      </w:r>
      <w:r w:rsidRPr="00083041">
        <w:rPr>
          <w:rFonts w:ascii="Arial" w:hAnsi="Arial" w:cs="Arial"/>
          <w:sz w:val="22"/>
          <w:szCs w:val="22"/>
          <w:lang w:val="es-ES_tradnl"/>
        </w:rPr>
        <w:t>B).</w:t>
      </w:r>
    </w:p>
    <w:p w14:paraId="0AFC2086" w14:textId="1C23BCFD" w:rsidR="008C0BAC" w:rsidRPr="00083041" w:rsidRDefault="008C0BAC" w:rsidP="002375AD">
      <w:pPr>
        <w:pStyle w:val="subpar"/>
        <w:tabs>
          <w:tab w:val="clear" w:pos="2304"/>
          <w:tab w:val="num" w:pos="1134"/>
        </w:tabs>
        <w:ind w:left="993" w:hanging="284"/>
        <w:rPr>
          <w:rFonts w:ascii="Arial" w:hAnsi="Arial" w:cs="Arial"/>
          <w:sz w:val="22"/>
          <w:szCs w:val="22"/>
          <w:lang w:val="es-ES_tradnl"/>
        </w:rPr>
      </w:pPr>
      <w:r w:rsidRPr="00083041">
        <w:rPr>
          <w:rFonts w:ascii="Arial" w:hAnsi="Arial" w:cs="Arial"/>
          <w:sz w:val="22"/>
          <w:szCs w:val="22"/>
          <w:lang w:val="es-ES_tradnl"/>
        </w:rPr>
        <w:t xml:space="preserve">Precio: Se </w:t>
      </w:r>
      <w:r w:rsidR="002375AD" w:rsidRPr="00083041">
        <w:rPr>
          <w:rFonts w:ascii="Arial" w:hAnsi="Arial" w:cs="Arial"/>
          <w:sz w:val="22"/>
          <w:szCs w:val="22"/>
          <w:lang w:val="es-ES_tradnl"/>
        </w:rPr>
        <w:t>e</w:t>
      </w:r>
      <w:r w:rsidRPr="00083041">
        <w:rPr>
          <w:rFonts w:ascii="Arial" w:hAnsi="Arial" w:cs="Arial"/>
          <w:sz w:val="22"/>
          <w:szCs w:val="22"/>
          <w:lang w:val="es-ES_tradnl"/>
        </w:rPr>
        <w:t>spera que el precio por MB caiga desde los 0</w:t>
      </w:r>
      <w:r w:rsidR="00061E4C" w:rsidRPr="00083041">
        <w:rPr>
          <w:rFonts w:ascii="Arial" w:hAnsi="Arial" w:cs="Arial"/>
          <w:sz w:val="22"/>
          <w:szCs w:val="22"/>
          <w:lang w:val="es-ES_tradnl"/>
        </w:rPr>
        <w:t>,</w:t>
      </w:r>
      <w:r w:rsidRPr="00083041">
        <w:rPr>
          <w:rFonts w:ascii="Arial" w:hAnsi="Arial" w:cs="Arial"/>
          <w:sz w:val="22"/>
          <w:szCs w:val="22"/>
          <w:lang w:val="es-ES_tradnl"/>
        </w:rPr>
        <w:t>43 centavos de US$</w:t>
      </w:r>
      <w:r w:rsidR="008E6F45">
        <w:rPr>
          <w:rFonts w:ascii="Arial" w:hAnsi="Arial" w:cs="Arial"/>
          <w:sz w:val="22"/>
          <w:szCs w:val="22"/>
          <w:lang w:val="es-ES_tradnl"/>
        </w:rPr>
        <w:t> </w:t>
      </w:r>
      <w:r w:rsidRPr="00083041">
        <w:rPr>
          <w:rFonts w:ascii="Arial" w:hAnsi="Arial" w:cs="Arial"/>
          <w:sz w:val="22"/>
          <w:szCs w:val="22"/>
          <w:lang w:val="es-ES_tradnl"/>
        </w:rPr>
        <w:t xml:space="preserve">hasta los 0.1 centavos de US$ </w:t>
      </w:r>
      <w:r w:rsidR="002375AD" w:rsidRPr="00083041">
        <w:rPr>
          <w:rFonts w:ascii="Arial" w:hAnsi="Arial" w:cs="Arial"/>
          <w:sz w:val="22"/>
          <w:szCs w:val="22"/>
          <w:lang w:val="es-ES_tradnl"/>
        </w:rPr>
        <w:t>durante</w:t>
      </w:r>
      <w:r w:rsidRPr="00083041">
        <w:rPr>
          <w:rFonts w:ascii="Arial" w:hAnsi="Arial" w:cs="Arial"/>
          <w:sz w:val="22"/>
          <w:szCs w:val="22"/>
          <w:lang w:val="es-ES_tradnl"/>
        </w:rPr>
        <w:t xml:space="preserve"> el periodo de análisis. Si bien se estima que el precio pueda seguir </w:t>
      </w:r>
      <w:r w:rsidR="002375AD" w:rsidRPr="00083041">
        <w:rPr>
          <w:rFonts w:ascii="Arial" w:hAnsi="Arial" w:cs="Arial"/>
          <w:sz w:val="22"/>
          <w:szCs w:val="22"/>
          <w:lang w:val="es-ES_tradnl"/>
        </w:rPr>
        <w:t>descendiendo</w:t>
      </w:r>
      <w:r w:rsidRPr="00083041">
        <w:rPr>
          <w:rFonts w:ascii="Arial" w:hAnsi="Arial" w:cs="Arial"/>
          <w:sz w:val="22"/>
          <w:szCs w:val="22"/>
          <w:lang w:val="es-ES_tradnl"/>
        </w:rPr>
        <w:t xml:space="preserve"> hasta aproximarse a las previsiones </w:t>
      </w:r>
      <w:r w:rsidR="00E43FE7" w:rsidRPr="00083041">
        <w:rPr>
          <w:rFonts w:ascii="Arial" w:hAnsi="Arial" w:cs="Arial"/>
          <w:sz w:val="22"/>
          <w:szCs w:val="22"/>
          <w:lang w:val="es-ES_tradnl"/>
        </w:rPr>
        <w:t xml:space="preserve">para la OCDE, en torno a los 0.04 centavos de US$, se ha decido fijar esa tendencia hasta los 0.1 centavos de US$ en previsión a la posible </w:t>
      </w:r>
      <w:r w:rsidR="00CF43D6" w:rsidRPr="00083041">
        <w:rPr>
          <w:rFonts w:ascii="Arial" w:hAnsi="Arial" w:cs="Arial"/>
          <w:sz w:val="22"/>
          <w:szCs w:val="22"/>
          <w:lang w:val="es-ES_tradnl"/>
        </w:rPr>
        <w:t>irrupción</w:t>
      </w:r>
      <w:r w:rsidR="00E43FE7" w:rsidRPr="00083041">
        <w:rPr>
          <w:rFonts w:ascii="Arial" w:hAnsi="Arial" w:cs="Arial"/>
          <w:sz w:val="22"/>
          <w:szCs w:val="22"/>
          <w:lang w:val="es-ES_tradnl"/>
        </w:rPr>
        <w:t xml:space="preserve"> de nuevas tecnologías que puedan desviar las predicciones hechas sobre el mercado de servicios de banda móvil con tecnología 4G o superior, difícilmente medible con la información disponible a día de hoy. </w:t>
      </w:r>
    </w:p>
    <w:p w14:paraId="05785E1E" w14:textId="77777777" w:rsidR="002375AD" w:rsidRPr="00083041" w:rsidRDefault="002375AD" w:rsidP="00570578">
      <w:pPr>
        <w:pStyle w:val="Paragraph"/>
        <w:tabs>
          <w:tab w:val="clear" w:pos="2448"/>
          <w:tab w:val="num" w:pos="720"/>
        </w:tabs>
        <w:ind w:left="720" w:hanging="720"/>
        <w:rPr>
          <w:rFonts w:ascii="Arial" w:hAnsi="Arial" w:cs="Arial"/>
          <w:color w:val="000000" w:themeColor="text1"/>
          <w:sz w:val="22"/>
          <w:szCs w:val="22"/>
          <w:lang w:val="es-ES_tradnl"/>
        </w:rPr>
      </w:pPr>
      <w:r w:rsidRPr="00083041">
        <w:rPr>
          <w:rFonts w:ascii="Arial" w:hAnsi="Arial" w:cs="Arial"/>
          <w:color w:val="000000" w:themeColor="text1"/>
          <w:sz w:val="22"/>
          <w:szCs w:val="22"/>
          <w:lang w:val="es-ES_tradnl"/>
        </w:rPr>
        <w:t>Bajo estos supuestos, la variación en los excedentes que se espera derivada del proyecto de Red Compartida es la siguiente:</w:t>
      </w:r>
    </w:p>
    <w:p w14:paraId="75BF6988" w14:textId="77777777" w:rsidR="00570578" w:rsidRPr="00083041" w:rsidRDefault="00570578" w:rsidP="0037316C">
      <w:pPr>
        <w:pStyle w:val="subpar"/>
        <w:tabs>
          <w:tab w:val="clear" w:pos="2304"/>
          <w:tab w:val="num" w:pos="1134"/>
        </w:tabs>
        <w:ind w:left="993" w:hanging="284"/>
        <w:rPr>
          <w:rFonts w:ascii="Arial" w:hAnsi="Arial" w:cs="Arial"/>
          <w:sz w:val="22"/>
          <w:szCs w:val="22"/>
          <w:lang w:val="es-ES_tradnl"/>
        </w:rPr>
      </w:pPr>
      <w:r w:rsidRPr="00083041">
        <w:rPr>
          <w:rFonts w:ascii="Arial" w:hAnsi="Arial" w:cs="Arial"/>
          <w:sz w:val="22"/>
          <w:szCs w:val="22"/>
          <w:lang w:val="es-ES_tradnl"/>
        </w:rPr>
        <w:t xml:space="preserve">Excedente del consumidor. Originalmente el excedente del consumidor estaba comprendido </w:t>
      </w:r>
      <w:r w:rsidR="0038785C" w:rsidRPr="00083041">
        <w:rPr>
          <w:rFonts w:ascii="Arial" w:hAnsi="Arial" w:cs="Arial"/>
          <w:sz w:val="22"/>
          <w:szCs w:val="22"/>
          <w:lang w:val="es-ES_tradnl"/>
        </w:rPr>
        <w:t>bajo</w:t>
      </w:r>
      <w:r w:rsidRPr="00083041">
        <w:rPr>
          <w:rFonts w:ascii="Arial" w:hAnsi="Arial" w:cs="Arial"/>
          <w:sz w:val="22"/>
          <w:szCs w:val="22"/>
          <w:lang w:val="es-ES_tradnl"/>
        </w:rPr>
        <w:t xml:space="preserve"> el área (ab</w:t>
      </w:r>
      <w:r w:rsidR="0038785C" w:rsidRPr="00083041">
        <w:rPr>
          <w:rFonts w:ascii="Arial" w:hAnsi="Arial" w:cs="Arial"/>
          <w:sz w:val="22"/>
          <w:szCs w:val="22"/>
          <w:lang w:val="es-ES_tradnl"/>
        </w:rPr>
        <w:t>P</w:t>
      </w:r>
      <w:r w:rsidR="0038785C" w:rsidRPr="00083041">
        <w:rPr>
          <w:rFonts w:ascii="Arial" w:hAnsi="Arial" w:cs="Arial"/>
          <w:sz w:val="22"/>
          <w:szCs w:val="22"/>
          <w:vertAlign w:val="subscript"/>
          <w:lang w:val="es-ES_tradnl"/>
        </w:rPr>
        <w:t>0</w:t>
      </w:r>
      <w:r w:rsidRPr="00083041">
        <w:rPr>
          <w:rFonts w:ascii="Arial" w:hAnsi="Arial" w:cs="Arial"/>
          <w:sz w:val="22"/>
          <w:szCs w:val="22"/>
          <w:lang w:val="es-ES_tradnl"/>
        </w:rPr>
        <w:t>). Con la entrada del proyecto, el nuevo excedente del consumidor incorporaría a lo anterior el área (</w:t>
      </w:r>
      <w:r w:rsidR="0038785C" w:rsidRPr="00083041">
        <w:rPr>
          <w:rFonts w:ascii="Arial" w:hAnsi="Arial" w:cs="Arial"/>
          <w:sz w:val="22"/>
          <w:szCs w:val="22"/>
          <w:lang w:val="es-ES_tradnl"/>
        </w:rPr>
        <w:t>P</w:t>
      </w:r>
      <w:r w:rsidR="0038785C" w:rsidRPr="00083041">
        <w:rPr>
          <w:rFonts w:ascii="Arial" w:hAnsi="Arial" w:cs="Arial"/>
          <w:sz w:val="22"/>
          <w:szCs w:val="22"/>
          <w:vertAlign w:val="subscript"/>
          <w:lang w:val="es-ES_tradnl"/>
        </w:rPr>
        <w:t>0</w:t>
      </w:r>
      <w:r w:rsidRPr="00083041">
        <w:rPr>
          <w:rFonts w:ascii="Arial" w:hAnsi="Arial" w:cs="Arial"/>
          <w:sz w:val="22"/>
          <w:szCs w:val="22"/>
          <w:lang w:val="es-ES_tradnl"/>
        </w:rPr>
        <w:t>bd</w:t>
      </w:r>
      <w:r w:rsidR="0038785C" w:rsidRPr="00083041">
        <w:rPr>
          <w:rFonts w:ascii="Arial" w:hAnsi="Arial" w:cs="Arial"/>
          <w:sz w:val="22"/>
          <w:szCs w:val="22"/>
          <w:lang w:val="es-ES_tradnl"/>
        </w:rPr>
        <w:t>P</w:t>
      </w:r>
      <w:r w:rsidR="0038785C" w:rsidRPr="00083041">
        <w:rPr>
          <w:rFonts w:ascii="Arial" w:hAnsi="Arial" w:cs="Arial"/>
          <w:sz w:val="22"/>
          <w:szCs w:val="22"/>
          <w:vertAlign w:val="subscript"/>
          <w:lang w:val="es-ES_tradnl"/>
        </w:rPr>
        <w:t>1</w:t>
      </w:r>
      <w:r w:rsidRPr="00083041">
        <w:rPr>
          <w:rFonts w:ascii="Arial" w:hAnsi="Arial" w:cs="Arial"/>
          <w:sz w:val="22"/>
          <w:szCs w:val="22"/>
          <w:lang w:val="es-ES_tradnl"/>
        </w:rPr>
        <w:t>), con lo que el nuevo excedente del consumidor en total sería el área</w:t>
      </w:r>
      <w:r w:rsidR="0038785C" w:rsidRPr="00083041">
        <w:rPr>
          <w:rFonts w:ascii="Arial" w:hAnsi="Arial" w:cs="Arial"/>
          <w:sz w:val="22"/>
          <w:szCs w:val="22"/>
          <w:lang w:val="es-ES_tradnl"/>
        </w:rPr>
        <w:t xml:space="preserve"> bajo</w:t>
      </w:r>
      <w:r w:rsidRPr="00083041">
        <w:rPr>
          <w:rFonts w:ascii="Arial" w:hAnsi="Arial" w:cs="Arial"/>
          <w:sz w:val="22"/>
          <w:szCs w:val="22"/>
          <w:lang w:val="es-ES_tradnl"/>
        </w:rPr>
        <w:t xml:space="preserve"> (ad</w:t>
      </w:r>
      <w:r w:rsidR="0038785C" w:rsidRPr="00083041">
        <w:rPr>
          <w:rFonts w:ascii="Arial" w:hAnsi="Arial" w:cs="Arial"/>
          <w:sz w:val="22"/>
          <w:szCs w:val="22"/>
          <w:lang w:val="es-ES_tradnl"/>
        </w:rPr>
        <w:t>P</w:t>
      </w:r>
      <w:r w:rsidR="0038785C" w:rsidRPr="00083041">
        <w:rPr>
          <w:rFonts w:ascii="Arial" w:hAnsi="Arial" w:cs="Arial"/>
          <w:sz w:val="22"/>
          <w:szCs w:val="22"/>
          <w:vertAlign w:val="subscript"/>
          <w:lang w:val="es-ES_tradnl"/>
        </w:rPr>
        <w:t>1</w:t>
      </w:r>
      <w:r w:rsidRPr="00083041">
        <w:rPr>
          <w:rFonts w:ascii="Arial" w:hAnsi="Arial" w:cs="Arial"/>
          <w:sz w:val="22"/>
          <w:szCs w:val="22"/>
          <w:lang w:val="es-ES_tradnl"/>
        </w:rPr>
        <w:t>).</w:t>
      </w:r>
    </w:p>
    <w:p w14:paraId="4B406EEE" w14:textId="77777777" w:rsidR="00570578" w:rsidRPr="00083041" w:rsidRDefault="00570578" w:rsidP="0037316C">
      <w:pPr>
        <w:pStyle w:val="subpar"/>
        <w:tabs>
          <w:tab w:val="clear" w:pos="2304"/>
          <w:tab w:val="num" w:pos="1134"/>
        </w:tabs>
        <w:ind w:left="993" w:hanging="284"/>
        <w:rPr>
          <w:rFonts w:ascii="Arial" w:hAnsi="Arial" w:cs="Arial"/>
          <w:sz w:val="22"/>
          <w:szCs w:val="22"/>
          <w:lang w:val="es-ES_tradnl"/>
        </w:rPr>
      </w:pPr>
      <w:r w:rsidRPr="00083041">
        <w:rPr>
          <w:rFonts w:ascii="Arial" w:hAnsi="Arial" w:cs="Arial"/>
          <w:sz w:val="22"/>
          <w:szCs w:val="22"/>
          <w:lang w:val="es-ES_tradnl"/>
        </w:rPr>
        <w:t>Excedente del productor. Originalmente, el excedente del productor correspondía al área</w:t>
      </w:r>
      <w:r w:rsidR="0038785C" w:rsidRPr="00083041">
        <w:rPr>
          <w:rFonts w:ascii="Arial" w:hAnsi="Arial" w:cs="Arial"/>
          <w:sz w:val="22"/>
          <w:szCs w:val="22"/>
          <w:lang w:val="es-ES_tradnl"/>
        </w:rPr>
        <w:t xml:space="preserve"> bajo</w:t>
      </w:r>
      <w:r w:rsidRPr="00083041">
        <w:rPr>
          <w:rFonts w:ascii="Arial" w:hAnsi="Arial" w:cs="Arial"/>
          <w:sz w:val="22"/>
          <w:szCs w:val="22"/>
          <w:lang w:val="es-ES_tradnl"/>
        </w:rPr>
        <w:t xml:space="preserve"> (</w:t>
      </w:r>
      <w:r w:rsidR="0038785C" w:rsidRPr="00083041">
        <w:rPr>
          <w:rFonts w:ascii="Arial" w:hAnsi="Arial" w:cs="Arial"/>
          <w:sz w:val="22"/>
          <w:szCs w:val="22"/>
          <w:lang w:val="es-ES_tradnl"/>
        </w:rPr>
        <w:t>P</w:t>
      </w:r>
      <w:r w:rsidR="0038785C" w:rsidRPr="00083041">
        <w:rPr>
          <w:rFonts w:ascii="Arial" w:hAnsi="Arial" w:cs="Arial"/>
          <w:sz w:val="22"/>
          <w:szCs w:val="22"/>
          <w:vertAlign w:val="subscript"/>
          <w:lang w:val="es-ES_tradnl"/>
        </w:rPr>
        <w:t>0</w:t>
      </w:r>
      <w:r w:rsidR="0038785C" w:rsidRPr="00083041">
        <w:rPr>
          <w:rFonts w:ascii="Arial" w:hAnsi="Arial" w:cs="Arial"/>
          <w:sz w:val="22"/>
          <w:szCs w:val="22"/>
          <w:lang w:val="es-ES_tradnl"/>
        </w:rPr>
        <w:t>b</w:t>
      </w:r>
      <w:r w:rsidR="00F06A52" w:rsidRPr="00083041">
        <w:rPr>
          <w:rFonts w:ascii="Arial" w:hAnsi="Arial" w:cs="Arial"/>
          <w:sz w:val="22"/>
          <w:szCs w:val="22"/>
          <w:lang w:val="es-ES_tradnl"/>
        </w:rPr>
        <w:t>Q</w:t>
      </w:r>
      <w:r w:rsidR="00F06A52" w:rsidRPr="00083041">
        <w:rPr>
          <w:rFonts w:ascii="Arial" w:hAnsi="Arial" w:cs="Arial"/>
          <w:sz w:val="22"/>
          <w:szCs w:val="22"/>
          <w:vertAlign w:val="subscript"/>
          <w:lang w:val="es-ES_tradnl"/>
        </w:rPr>
        <w:t>0</w:t>
      </w:r>
      <w:r w:rsidR="0038785C" w:rsidRPr="00083041">
        <w:rPr>
          <w:rFonts w:ascii="Arial" w:hAnsi="Arial" w:cs="Arial"/>
          <w:sz w:val="22"/>
          <w:szCs w:val="22"/>
          <w:lang w:val="es-ES_tradnl"/>
        </w:rPr>
        <w:t>). Con la entrada del proyecto, a lo anterior habría que restarle el área bajo (P</w:t>
      </w:r>
      <w:r w:rsidR="0038785C" w:rsidRPr="00083041">
        <w:rPr>
          <w:rFonts w:ascii="Arial" w:hAnsi="Arial" w:cs="Arial"/>
          <w:sz w:val="22"/>
          <w:szCs w:val="22"/>
          <w:vertAlign w:val="subscript"/>
          <w:lang w:val="es-ES_tradnl"/>
        </w:rPr>
        <w:t>0</w:t>
      </w:r>
      <w:r w:rsidR="0038785C" w:rsidRPr="00083041">
        <w:rPr>
          <w:rFonts w:ascii="Arial" w:hAnsi="Arial" w:cs="Arial"/>
          <w:sz w:val="22"/>
          <w:szCs w:val="22"/>
          <w:lang w:val="es-ES_tradnl"/>
        </w:rPr>
        <w:t>bdP</w:t>
      </w:r>
      <w:r w:rsidR="0038785C" w:rsidRPr="00083041">
        <w:rPr>
          <w:rFonts w:ascii="Arial" w:hAnsi="Arial" w:cs="Arial"/>
          <w:sz w:val="22"/>
          <w:szCs w:val="22"/>
          <w:vertAlign w:val="subscript"/>
          <w:lang w:val="es-ES_tradnl"/>
        </w:rPr>
        <w:t>1</w:t>
      </w:r>
      <w:r w:rsidR="0038785C" w:rsidRPr="00083041">
        <w:rPr>
          <w:rFonts w:ascii="Arial" w:hAnsi="Arial" w:cs="Arial"/>
          <w:sz w:val="22"/>
          <w:szCs w:val="22"/>
          <w:lang w:val="es-ES_tradnl"/>
        </w:rPr>
        <w:t>) y sumarle el área bajo (Q</w:t>
      </w:r>
      <w:r w:rsidR="0038785C" w:rsidRPr="00083041">
        <w:rPr>
          <w:rFonts w:ascii="Arial" w:hAnsi="Arial" w:cs="Arial"/>
          <w:sz w:val="22"/>
          <w:szCs w:val="22"/>
          <w:vertAlign w:val="subscript"/>
          <w:lang w:val="es-ES_tradnl"/>
        </w:rPr>
        <w:t>0</w:t>
      </w:r>
      <w:r w:rsidR="0038785C" w:rsidRPr="00083041">
        <w:rPr>
          <w:rFonts w:ascii="Arial" w:hAnsi="Arial" w:cs="Arial"/>
          <w:sz w:val="22"/>
          <w:szCs w:val="22"/>
          <w:lang w:val="es-ES_tradnl"/>
        </w:rPr>
        <w:t>dcQ</w:t>
      </w:r>
      <w:r w:rsidR="0038785C" w:rsidRPr="00083041">
        <w:rPr>
          <w:rFonts w:ascii="Arial" w:hAnsi="Arial" w:cs="Arial"/>
          <w:sz w:val="22"/>
          <w:szCs w:val="22"/>
          <w:vertAlign w:val="subscript"/>
          <w:lang w:val="es-ES_tradnl"/>
        </w:rPr>
        <w:t>1</w:t>
      </w:r>
      <w:r w:rsidR="0038785C" w:rsidRPr="00083041">
        <w:rPr>
          <w:rFonts w:ascii="Arial" w:hAnsi="Arial" w:cs="Arial"/>
          <w:sz w:val="22"/>
          <w:szCs w:val="22"/>
          <w:lang w:val="es-ES_tradnl"/>
        </w:rPr>
        <w:t>).</w:t>
      </w:r>
    </w:p>
    <w:p w14:paraId="6441BA8A" w14:textId="77777777" w:rsidR="008E6F45" w:rsidRDefault="008E6F45" w:rsidP="0037316C">
      <w:pPr>
        <w:pStyle w:val="Paragraph"/>
        <w:numPr>
          <w:ilvl w:val="0"/>
          <w:numId w:val="0"/>
        </w:numPr>
        <w:jc w:val="center"/>
        <w:rPr>
          <w:rFonts w:ascii="Arial" w:hAnsi="Arial" w:cs="Arial"/>
          <w:b/>
          <w:color w:val="000000" w:themeColor="text1"/>
          <w:sz w:val="22"/>
          <w:szCs w:val="22"/>
          <w:lang w:val="es-ES_tradnl"/>
        </w:rPr>
      </w:pPr>
    </w:p>
    <w:p w14:paraId="01EC894A" w14:textId="37918255" w:rsidR="0037316C" w:rsidRPr="00083041" w:rsidRDefault="00006DD5" w:rsidP="0037316C">
      <w:pPr>
        <w:pStyle w:val="Paragraph"/>
        <w:numPr>
          <w:ilvl w:val="0"/>
          <w:numId w:val="0"/>
        </w:numPr>
        <w:jc w:val="center"/>
        <w:rPr>
          <w:rFonts w:ascii="Arial" w:hAnsi="Arial" w:cs="Arial"/>
          <w:b/>
          <w:color w:val="000000" w:themeColor="text1"/>
          <w:sz w:val="22"/>
          <w:szCs w:val="22"/>
          <w:lang w:val="es-ES_tradnl"/>
        </w:rPr>
      </w:pPr>
      <w:r w:rsidRPr="00083041">
        <w:rPr>
          <w:rFonts w:ascii="Arial" w:hAnsi="Arial" w:cs="Arial"/>
          <w:noProof/>
          <w:sz w:val="22"/>
          <w:szCs w:val="22"/>
          <w:lang w:eastAsia="en-US"/>
        </w:rPr>
        <w:lastRenderedPageBreak/>
        <w:drawing>
          <wp:anchor distT="0" distB="0" distL="114300" distR="114300" simplePos="0" relativeHeight="251660288" behindDoc="0" locked="0" layoutInCell="1" allowOverlap="1" wp14:anchorId="37320F36" wp14:editId="167E6236">
            <wp:simplePos x="0" y="0"/>
            <wp:positionH relativeFrom="column">
              <wp:posOffset>716915</wp:posOffset>
            </wp:positionH>
            <wp:positionV relativeFrom="paragraph">
              <wp:posOffset>157925</wp:posOffset>
            </wp:positionV>
            <wp:extent cx="4051300" cy="3178175"/>
            <wp:effectExtent l="0" t="0" r="0"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51300" cy="3178175"/>
                    </a:xfrm>
                    <a:prstGeom prst="rect">
                      <a:avLst/>
                    </a:prstGeom>
                    <a:noFill/>
                  </pic:spPr>
                </pic:pic>
              </a:graphicData>
            </a:graphic>
            <wp14:sizeRelH relativeFrom="page">
              <wp14:pctWidth>0</wp14:pctWidth>
            </wp14:sizeRelH>
            <wp14:sizeRelV relativeFrom="page">
              <wp14:pctHeight>0</wp14:pctHeight>
            </wp14:sizeRelV>
          </wp:anchor>
        </w:drawing>
      </w:r>
      <w:r w:rsidR="0037316C" w:rsidRPr="00083041">
        <w:rPr>
          <w:rFonts w:ascii="Arial" w:hAnsi="Arial" w:cs="Arial"/>
          <w:b/>
          <w:color w:val="000000" w:themeColor="text1"/>
          <w:sz w:val="22"/>
          <w:szCs w:val="22"/>
          <w:lang w:val="es-ES_tradnl"/>
        </w:rPr>
        <w:t>Gráfica 2. Excedentes del Consumidor y del Productor</w:t>
      </w:r>
    </w:p>
    <w:p w14:paraId="6A5B93C7" w14:textId="77777777" w:rsidR="002375AD" w:rsidRPr="00083041" w:rsidRDefault="002375AD" w:rsidP="0038785C">
      <w:pPr>
        <w:pStyle w:val="subpar"/>
        <w:numPr>
          <w:ilvl w:val="0"/>
          <w:numId w:val="0"/>
        </w:numPr>
        <w:jc w:val="center"/>
        <w:rPr>
          <w:rFonts w:ascii="Arial" w:hAnsi="Arial" w:cs="Arial"/>
          <w:sz w:val="22"/>
          <w:szCs w:val="22"/>
          <w:lang w:val="es-ES_tradnl"/>
        </w:rPr>
      </w:pPr>
    </w:p>
    <w:p w14:paraId="56412677" w14:textId="77777777" w:rsidR="00570578" w:rsidRPr="00083041" w:rsidRDefault="00570578" w:rsidP="00570578">
      <w:pPr>
        <w:pStyle w:val="subpar"/>
        <w:numPr>
          <w:ilvl w:val="0"/>
          <w:numId w:val="0"/>
        </w:numPr>
        <w:jc w:val="center"/>
        <w:rPr>
          <w:rFonts w:ascii="Arial" w:hAnsi="Arial" w:cs="Arial"/>
          <w:sz w:val="22"/>
          <w:szCs w:val="22"/>
          <w:lang w:val="es-ES_tradnl"/>
        </w:rPr>
      </w:pPr>
    </w:p>
    <w:p w14:paraId="1C6D86AA" w14:textId="77777777" w:rsidR="00006DD5" w:rsidRPr="00083041" w:rsidRDefault="00006DD5" w:rsidP="00570578">
      <w:pPr>
        <w:pStyle w:val="subpar"/>
        <w:numPr>
          <w:ilvl w:val="0"/>
          <w:numId w:val="0"/>
        </w:numPr>
        <w:jc w:val="center"/>
        <w:rPr>
          <w:rFonts w:ascii="Arial" w:hAnsi="Arial" w:cs="Arial"/>
          <w:sz w:val="22"/>
          <w:szCs w:val="22"/>
          <w:lang w:val="es-ES_tradnl"/>
        </w:rPr>
      </w:pPr>
    </w:p>
    <w:p w14:paraId="30D3DCA9" w14:textId="77777777" w:rsidR="00006DD5" w:rsidRPr="00083041" w:rsidRDefault="00006DD5" w:rsidP="00570578">
      <w:pPr>
        <w:pStyle w:val="subpar"/>
        <w:numPr>
          <w:ilvl w:val="0"/>
          <w:numId w:val="0"/>
        </w:numPr>
        <w:jc w:val="center"/>
        <w:rPr>
          <w:rFonts w:ascii="Arial" w:hAnsi="Arial" w:cs="Arial"/>
          <w:sz w:val="22"/>
          <w:szCs w:val="22"/>
          <w:lang w:val="es-ES_tradnl"/>
        </w:rPr>
      </w:pPr>
    </w:p>
    <w:p w14:paraId="4AC4FC03" w14:textId="77777777" w:rsidR="00006DD5" w:rsidRPr="00083041" w:rsidRDefault="00006DD5" w:rsidP="00570578">
      <w:pPr>
        <w:pStyle w:val="subpar"/>
        <w:numPr>
          <w:ilvl w:val="0"/>
          <w:numId w:val="0"/>
        </w:numPr>
        <w:jc w:val="center"/>
        <w:rPr>
          <w:rFonts w:ascii="Arial" w:hAnsi="Arial" w:cs="Arial"/>
          <w:sz w:val="22"/>
          <w:szCs w:val="22"/>
          <w:lang w:val="es-ES_tradnl"/>
        </w:rPr>
      </w:pPr>
    </w:p>
    <w:p w14:paraId="0204D6E9" w14:textId="77777777" w:rsidR="00006DD5" w:rsidRPr="00083041" w:rsidRDefault="00006DD5" w:rsidP="00570578">
      <w:pPr>
        <w:pStyle w:val="subpar"/>
        <w:numPr>
          <w:ilvl w:val="0"/>
          <w:numId w:val="0"/>
        </w:numPr>
        <w:jc w:val="center"/>
        <w:rPr>
          <w:rFonts w:ascii="Arial" w:hAnsi="Arial" w:cs="Arial"/>
          <w:sz w:val="22"/>
          <w:szCs w:val="22"/>
          <w:lang w:val="es-ES_tradnl"/>
        </w:rPr>
      </w:pPr>
    </w:p>
    <w:p w14:paraId="0EB557A1" w14:textId="2B70D781" w:rsidR="00006DD5" w:rsidRDefault="00006DD5" w:rsidP="00570578">
      <w:pPr>
        <w:pStyle w:val="subpar"/>
        <w:numPr>
          <w:ilvl w:val="0"/>
          <w:numId w:val="0"/>
        </w:numPr>
        <w:jc w:val="center"/>
        <w:rPr>
          <w:rFonts w:ascii="Arial" w:hAnsi="Arial" w:cs="Arial"/>
          <w:sz w:val="22"/>
          <w:szCs w:val="22"/>
          <w:lang w:val="es-ES_tradnl"/>
        </w:rPr>
      </w:pPr>
    </w:p>
    <w:p w14:paraId="23083181" w14:textId="0C5FD9D7" w:rsidR="001434BC" w:rsidRDefault="001434BC" w:rsidP="00570578">
      <w:pPr>
        <w:pStyle w:val="subpar"/>
        <w:numPr>
          <w:ilvl w:val="0"/>
          <w:numId w:val="0"/>
        </w:numPr>
        <w:jc w:val="center"/>
        <w:rPr>
          <w:rFonts w:ascii="Arial" w:hAnsi="Arial" w:cs="Arial"/>
          <w:sz w:val="22"/>
          <w:szCs w:val="22"/>
          <w:lang w:val="es-ES_tradnl"/>
        </w:rPr>
      </w:pPr>
    </w:p>
    <w:p w14:paraId="5434B484" w14:textId="04FE1AA0" w:rsidR="001434BC" w:rsidRDefault="001434BC" w:rsidP="00570578">
      <w:pPr>
        <w:pStyle w:val="subpar"/>
        <w:numPr>
          <w:ilvl w:val="0"/>
          <w:numId w:val="0"/>
        </w:numPr>
        <w:jc w:val="center"/>
        <w:rPr>
          <w:rFonts w:ascii="Arial" w:hAnsi="Arial" w:cs="Arial"/>
          <w:sz w:val="22"/>
          <w:szCs w:val="22"/>
          <w:lang w:val="es-ES_tradnl"/>
        </w:rPr>
      </w:pPr>
    </w:p>
    <w:p w14:paraId="23502A78" w14:textId="77777777" w:rsidR="001434BC" w:rsidRPr="00083041" w:rsidRDefault="001434BC" w:rsidP="00570578">
      <w:pPr>
        <w:pStyle w:val="subpar"/>
        <w:numPr>
          <w:ilvl w:val="0"/>
          <w:numId w:val="0"/>
        </w:numPr>
        <w:jc w:val="center"/>
        <w:rPr>
          <w:rFonts w:ascii="Arial" w:hAnsi="Arial" w:cs="Arial"/>
          <w:sz w:val="22"/>
          <w:szCs w:val="22"/>
          <w:lang w:val="es-ES_tradnl"/>
        </w:rPr>
      </w:pPr>
    </w:p>
    <w:p w14:paraId="5DEF6AB2" w14:textId="5579F5DD" w:rsidR="00FB3179" w:rsidRPr="00083041" w:rsidRDefault="0038785C" w:rsidP="00BB70AC">
      <w:pPr>
        <w:pStyle w:val="Paragraph"/>
        <w:tabs>
          <w:tab w:val="clear" w:pos="2448"/>
          <w:tab w:val="num" w:pos="720"/>
        </w:tabs>
        <w:ind w:left="720" w:hanging="720"/>
        <w:rPr>
          <w:lang w:val="es-ES_tradnl"/>
        </w:rPr>
      </w:pPr>
      <w:r w:rsidRPr="00083041">
        <w:rPr>
          <w:rFonts w:ascii="Arial" w:hAnsi="Arial" w:cs="Arial"/>
          <w:color w:val="000000" w:themeColor="text1"/>
          <w:sz w:val="22"/>
          <w:szCs w:val="22"/>
          <w:lang w:val="es-ES_tradnl"/>
        </w:rPr>
        <w:t xml:space="preserve">Escenario alternativo. El escenario alternativo considerado para este análisis es el de la situación sin proyecto. Sin el proyecto de la Red Compartida, la evolución esperada del mercado nos llevaría a un incremento de los ingresos del productor por usuario o ARPU de base constante y con variación igual </w:t>
      </w:r>
      <w:r w:rsidR="00CF43D6" w:rsidRPr="00083041">
        <w:rPr>
          <w:rFonts w:ascii="Arial" w:hAnsi="Arial" w:cs="Arial"/>
          <w:color w:val="000000" w:themeColor="text1"/>
          <w:sz w:val="22"/>
          <w:szCs w:val="22"/>
          <w:lang w:val="es-ES_tradnl"/>
        </w:rPr>
        <w:t>a</w:t>
      </w:r>
      <w:r w:rsidRPr="00083041">
        <w:rPr>
          <w:rFonts w:ascii="Arial" w:hAnsi="Arial" w:cs="Arial"/>
          <w:color w:val="000000" w:themeColor="text1"/>
          <w:sz w:val="22"/>
          <w:szCs w:val="22"/>
          <w:lang w:val="es-ES_tradnl"/>
        </w:rPr>
        <w:t xml:space="preserve"> la del IPC. En este sentid</w:t>
      </w:r>
      <w:r w:rsidR="004F1648" w:rsidRPr="00083041">
        <w:rPr>
          <w:rFonts w:ascii="Arial" w:hAnsi="Arial" w:cs="Arial"/>
          <w:color w:val="000000" w:themeColor="text1"/>
          <w:sz w:val="22"/>
          <w:szCs w:val="22"/>
          <w:lang w:val="es-ES_tradnl"/>
        </w:rPr>
        <w:t xml:space="preserve">o, la versión conservadora que se ha considerado no refleja cambios en la oferta, demanda o precios. </w:t>
      </w:r>
      <w:r w:rsidR="001F3839">
        <w:rPr>
          <w:rFonts w:ascii="Arial" w:hAnsi="Arial" w:cs="Arial"/>
          <w:color w:val="000000" w:themeColor="text1"/>
          <w:sz w:val="22"/>
          <w:szCs w:val="22"/>
          <w:lang w:val="es-ES_tradnl"/>
        </w:rPr>
        <w:t>Se trata pues de que en el escenario alternativo no se desplazan la</w:t>
      </w:r>
      <w:r w:rsidR="001434BC">
        <w:rPr>
          <w:rFonts w:ascii="Arial" w:hAnsi="Arial" w:cs="Arial"/>
          <w:color w:val="000000" w:themeColor="text1"/>
          <w:sz w:val="22"/>
          <w:szCs w:val="22"/>
          <w:lang w:val="es-ES_tradnl"/>
        </w:rPr>
        <w:t>s</w:t>
      </w:r>
      <w:r w:rsidR="001F3839">
        <w:rPr>
          <w:rFonts w:ascii="Arial" w:hAnsi="Arial" w:cs="Arial"/>
          <w:color w:val="000000" w:themeColor="text1"/>
          <w:sz w:val="22"/>
          <w:szCs w:val="22"/>
          <w:lang w:val="es-ES_tradnl"/>
        </w:rPr>
        <w:t xml:space="preserve"> curvas originales de oferta y demanda, frente al escenario con proyecto en el que el beneficio proviene justamente de los excedentes netos ganados al desplazarse la curva de oferta por la acción del proyecto. </w:t>
      </w:r>
      <w:r w:rsidR="004F1648" w:rsidRPr="00083041">
        <w:rPr>
          <w:rFonts w:ascii="Arial" w:hAnsi="Arial" w:cs="Arial"/>
          <w:color w:val="000000" w:themeColor="text1"/>
          <w:sz w:val="22"/>
          <w:szCs w:val="22"/>
          <w:lang w:val="es-ES_tradnl"/>
        </w:rPr>
        <w:t xml:space="preserve">Si profundizamos un poco más en la literatura sobre el futuro del mercado del servicio de banda ancha móvil, podemos </w:t>
      </w:r>
      <w:r w:rsidR="00CF43D6" w:rsidRPr="00083041">
        <w:rPr>
          <w:rFonts w:ascii="Arial" w:hAnsi="Arial" w:cs="Arial"/>
          <w:color w:val="000000" w:themeColor="text1"/>
          <w:sz w:val="22"/>
          <w:szCs w:val="22"/>
          <w:lang w:val="es-ES_tradnl"/>
        </w:rPr>
        <w:t>observar</w:t>
      </w:r>
      <w:r w:rsidR="004F1648" w:rsidRPr="00083041">
        <w:rPr>
          <w:rFonts w:ascii="Arial" w:hAnsi="Arial" w:cs="Arial"/>
          <w:color w:val="000000" w:themeColor="text1"/>
          <w:sz w:val="22"/>
          <w:szCs w:val="22"/>
          <w:lang w:val="es-ES_tradnl"/>
        </w:rPr>
        <w:t xml:space="preserve"> como se espera una demanda creciente a nivel mundial y en la misma línea para México. </w:t>
      </w:r>
    </w:p>
    <w:p w14:paraId="44DD09C7" w14:textId="77777777" w:rsidR="007B2613" w:rsidRPr="00083041" w:rsidRDefault="007B2613" w:rsidP="007B2613">
      <w:pPr>
        <w:pStyle w:val="Paragraph"/>
        <w:numPr>
          <w:ilvl w:val="0"/>
          <w:numId w:val="0"/>
        </w:numPr>
        <w:rPr>
          <w:rFonts w:ascii="Arial" w:hAnsi="Arial" w:cs="Arial"/>
          <w:sz w:val="22"/>
          <w:szCs w:val="22"/>
          <w:lang w:val="es-ES_tradnl"/>
        </w:rPr>
      </w:pPr>
      <w:bookmarkStart w:id="11" w:name="_Ref360385447"/>
    </w:p>
    <w:p w14:paraId="6ECCEC56" w14:textId="77777777" w:rsidR="00F10FC6" w:rsidRPr="00083041" w:rsidRDefault="00F10FC6" w:rsidP="009C45C9">
      <w:pPr>
        <w:pStyle w:val="Chapter"/>
        <w:spacing w:before="0"/>
        <w:rPr>
          <w:rFonts w:ascii="Arial" w:hAnsi="Arial" w:cs="Arial"/>
          <w:color w:val="000000" w:themeColor="text1"/>
          <w:sz w:val="22"/>
          <w:szCs w:val="22"/>
          <w:lang w:val="es-ES_tradnl"/>
        </w:rPr>
      </w:pPr>
      <w:bookmarkStart w:id="12" w:name="_Toc389817803"/>
      <w:bookmarkStart w:id="13" w:name="_Toc389817804"/>
      <w:bookmarkStart w:id="14" w:name="_Toc389817805"/>
      <w:bookmarkStart w:id="15" w:name="_Toc389817806"/>
      <w:bookmarkStart w:id="16" w:name="_Toc389817807"/>
      <w:bookmarkStart w:id="17" w:name="_Toc389817808"/>
      <w:bookmarkStart w:id="18" w:name="_Toc389817809"/>
      <w:bookmarkStart w:id="19" w:name="_Toc389817810"/>
      <w:bookmarkStart w:id="20" w:name="_Toc389817811"/>
      <w:bookmarkStart w:id="21" w:name="_Toc389817812"/>
      <w:bookmarkStart w:id="22" w:name="_Toc389817813"/>
      <w:bookmarkStart w:id="23" w:name="_Toc389817814"/>
      <w:bookmarkStart w:id="24" w:name="_Toc389817815"/>
      <w:bookmarkStart w:id="25" w:name="_Toc389817816"/>
      <w:bookmarkStart w:id="26" w:name="_Toc388249753"/>
      <w:bookmarkStart w:id="27" w:name="_Ref388349414"/>
      <w:bookmarkStart w:id="28" w:name="_Toc482367474"/>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083041">
        <w:rPr>
          <w:rFonts w:ascii="Arial" w:hAnsi="Arial" w:cs="Arial"/>
          <w:color w:val="000000" w:themeColor="text1"/>
          <w:sz w:val="22"/>
          <w:szCs w:val="22"/>
          <w:lang w:val="es-ES_tradnl"/>
        </w:rPr>
        <w:t>Valoración del Beneficio Económico</w:t>
      </w:r>
      <w:bookmarkEnd w:id="26"/>
      <w:bookmarkEnd w:id="27"/>
      <w:bookmarkEnd w:id="28"/>
    </w:p>
    <w:p w14:paraId="46937F4D" w14:textId="77777777" w:rsidR="009E2D50" w:rsidRPr="00083041" w:rsidRDefault="009E2D50" w:rsidP="00BA4E88">
      <w:pPr>
        <w:pStyle w:val="Paragraph"/>
        <w:tabs>
          <w:tab w:val="clear" w:pos="2448"/>
          <w:tab w:val="num" w:pos="720"/>
        </w:tabs>
        <w:ind w:left="720" w:hanging="720"/>
        <w:rPr>
          <w:rFonts w:ascii="Arial" w:hAnsi="Arial" w:cs="Arial"/>
          <w:sz w:val="22"/>
          <w:szCs w:val="22"/>
          <w:lang w:val="es-ES_tradnl"/>
        </w:rPr>
      </w:pPr>
      <w:bookmarkStart w:id="29" w:name="_Ref389817664"/>
      <w:r w:rsidRPr="00083041">
        <w:rPr>
          <w:rFonts w:ascii="Arial" w:hAnsi="Arial" w:cs="Arial"/>
          <w:b/>
          <w:sz w:val="22"/>
          <w:szCs w:val="22"/>
          <w:lang w:val="es-ES_tradnl"/>
        </w:rPr>
        <w:t>Cálculo de los flujos de ingresos y egresos emergentes a partir de la realización del proyecto.</w:t>
      </w:r>
      <w:r w:rsidRPr="00083041">
        <w:rPr>
          <w:rFonts w:ascii="Arial" w:hAnsi="Arial" w:cs="Arial"/>
          <w:sz w:val="22"/>
          <w:szCs w:val="22"/>
          <w:lang w:val="es-ES_tradnl"/>
        </w:rPr>
        <w:t xml:space="preserve"> Se describe aquí el tipo de flujos de los cuales se desprenden el </w:t>
      </w:r>
      <w:r w:rsidR="009C088C" w:rsidRPr="00083041">
        <w:rPr>
          <w:rFonts w:ascii="Arial" w:hAnsi="Arial" w:cs="Arial"/>
          <w:sz w:val="22"/>
          <w:szCs w:val="22"/>
          <w:lang w:val="es-ES_tradnl"/>
        </w:rPr>
        <w:t>VAN</w:t>
      </w:r>
      <w:r w:rsidRPr="00083041">
        <w:rPr>
          <w:rFonts w:ascii="Arial" w:hAnsi="Arial" w:cs="Arial"/>
          <w:sz w:val="22"/>
          <w:szCs w:val="22"/>
          <w:lang w:val="es-ES_tradnl"/>
        </w:rPr>
        <w:t xml:space="preserve"> total (tanto en el escenario de referencia de la situación con proye</w:t>
      </w:r>
      <w:r w:rsidR="00DC5A29" w:rsidRPr="00083041">
        <w:rPr>
          <w:rFonts w:ascii="Arial" w:hAnsi="Arial" w:cs="Arial"/>
          <w:sz w:val="22"/>
          <w:szCs w:val="22"/>
          <w:lang w:val="es-ES_tradnl"/>
        </w:rPr>
        <w:t>cto y de las sensibilizaciones)</w:t>
      </w:r>
      <w:r w:rsidRPr="00083041">
        <w:rPr>
          <w:rFonts w:ascii="Arial" w:hAnsi="Arial" w:cs="Arial"/>
          <w:sz w:val="22"/>
          <w:szCs w:val="22"/>
          <w:lang w:val="es-ES_tradnl"/>
        </w:rPr>
        <w:t xml:space="preserve"> y su interpretación.</w:t>
      </w:r>
      <w:bookmarkEnd w:id="29"/>
      <w:r w:rsidRPr="00083041">
        <w:rPr>
          <w:rFonts w:ascii="Arial" w:hAnsi="Arial" w:cs="Arial"/>
          <w:sz w:val="22"/>
          <w:szCs w:val="22"/>
          <w:lang w:val="es-ES_tradnl"/>
        </w:rPr>
        <w:t xml:space="preserve"> </w:t>
      </w:r>
    </w:p>
    <w:p w14:paraId="238781B8" w14:textId="77777777" w:rsidR="00C84C1D" w:rsidRPr="00CF484C" w:rsidRDefault="00817812" w:rsidP="00C207D8">
      <w:pPr>
        <w:pStyle w:val="Paragraph"/>
        <w:tabs>
          <w:tab w:val="clear" w:pos="2448"/>
          <w:tab w:val="num" w:pos="720"/>
        </w:tabs>
        <w:ind w:left="720" w:hanging="720"/>
        <w:rPr>
          <w:rFonts w:ascii="Arial" w:hAnsi="Arial" w:cs="Arial"/>
          <w:sz w:val="22"/>
          <w:szCs w:val="22"/>
          <w:lang w:val="es-ES_tradnl"/>
        </w:rPr>
      </w:pPr>
      <w:r w:rsidRPr="00083041">
        <w:rPr>
          <w:rFonts w:ascii="Arial" w:hAnsi="Arial" w:cs="Arial"/>
          <w:sz w:val="22"/>
          <w:szCs w:val="22"/>
          <w:lang w:val="es-ES_tradnl"/>
        </w:rPr>
        <w:t xml:space="preserve">Como se ha mencionado, la metodología a utilizar es la de la variación de excedentes. En este sentido es especialmente importante excluir del análisis cualquier tipo de transferencia entre el excedente del consumidor y el </w:t>
      </w:r>
      <w:r w:rsidR="006363A2" w:rsidRPr="00083041">
        <w:rPr>
          <w:rFonts w:ascii="Arial" w:hAnsi="Arial" w:cs="Arial"/>
          <w:sz w:val="22"/>
          <w:szCs w:val="22"/>
          <w:lang w:val="es-ES_tradnl"/>
        </w:rPr>
        <w:t>excedente del</w:t>
      </w:r>
      <w:r w:rsidRPr="00083041">
        <w:rPr>
          <w:rFonts w:ascii="Arial" w:hAnsi="Arial" w:cs="Arial"/>
          <w:sz w:val="22"/>
          <w:szCs w:val="22"/>
          <w:lang w:val="es-ES_tradnl"/>
        </w:rPr>
        <w:t xml:space="preserve"> productor para evitar cualquier tipo de doble contabilización. A </w:t>
      </w:r>
      <w:r w:rsidR="00CF484C" w:rsidRPr="00CF484C">
        <w:rPr>
          <w:rFonts w:ascii="Arial" w:hAnsi="Arial" w:cs="Arial"/>
          <w:sz w:val="22"/>
          <w:szCs w:val="22"/>
          <w:lang w:val="es-ES_tradnl"/>
        </w:rPr>
        <w:t>continuación,</w:t>
      </w:r>
      <w:r w:rsidRPr="00083041">
        <w:rPr>
          <w:rFonts w:ascii="Arial" w:hAnsi="Arial" w:cs="Arial"/>
          <w:sz w:val="22"/>
          <w:szCs w:val="22"/>
          <w:lang w:val="es-ES_tradnl"/>
        </w:rPr>
        <w:t xml:space="preserve"> se presenta un resumen de los cálculos para ambos excedentes y su concreción</w:t>
      </w:r>
      <w:r w:rsidR="00C207D8" w:rsidRPr="00083041">
        <w:rPr>
          <w:rFonts w:ascii="Arial" w:hAnsi="Arial" w:cs="Arial"/>
          <w:sz w:val="22"/>
          <w:szCs w:val="22"/>
          <w:lang w:val="es-ES_tradnl"/>
        </w:rPr>
        <w:t xml:space="preserve"> en la variación total de excedentes a considerar, así como la representación gráfica del mismo.</w:t>
      </w:r>
    </w:p>
    <w:p w14:paraId="20883408" w14:textId="77777777" w:rsidR="008A2FC0" w:rsidRPr="00CF484C" w:rsidRDefault="008A2FC0" w:rsidP="008A2FC0">
      <w:pPr>
        <w:pStyle w:val="Paragraph"/>
        <w:numPr>
          <w:ilvl w:val="0"/>
          <w:numId w:val="0"/>
        </w:numPr>
        <w:spacing w:before="240" w:after="240"/>
        <w:ind w:left="720"/>
        <w:rPr>
          <w:rFonts w:ascii="Arial" w:hAnsi="Arial" w:cs="Arial"/>
          <w:sz w:val="22"/>
          <w:szCs w:val="22"/>
          <w:lang w:val="es-ES_tradnl"/>
        </w:rPr>
      </w:pPr>
      <m:oMathPara>
        <m:oMath>
          <m:r>
            <w:rPr>
              <w:rFonts w:ascii="Cambria Math" w:hAnsi="Cambria Math" w:cs="Arial"/>
              <w:sz w:val="22"/>
              <w:szCs w:val="22"/>
              <w:lang w:val="es-ES_tradnl"/>
            </w:rPr>
            <w:lastRenderedPageBreak/>
            <m:t>∆EC=</m:t>
          </m:r>
          <m:d>
            <m:dPr>
              <m:begChr m:val="["/>
              <m:endChr m:val="]"/>
              <m:ctrlPr>
                <w:rPr>
                  <w:rFonts w:ascii="Cambria Math" w:hAnsi="Cambria Math" w:cs="Arial"/>
                  <w:i/>
                  <w:sz w:val="22"/>
                  <w:szCs w:val="22"/>
                  <w:lang w:val="es-ES_tradnl"/>
                </w:rPr>
              </m:ctrlPr>
            </m:dPr>
            <m:e>
              <m:f>
                <m:fPr>
                  <m:ctrlPr>
                    <w:rPr>
                      <w:rFonts w:ascii="Cambria Math" w:hAnsi="Cambria Math" w:cs="Arial"/>
                      <w:i/>
                      <w:sz w:val="22"/>
                      <w:szCs w:val="22"/>
                      <w:lang w:val="es-ES_tradnl"/>
                    </w:rPr>
                  </m:ctrlPr>
                </m:fPr>
                <m:num>
                  <m:d>
                    <m:dPr>
                      <m:ctrlPr>
                        <w:rPr>
                          <w:rFonts w:ascii="Cambria Math" w:hAnsi="Cambria Math" w:cs="Arial"/>
                          <w:i/>
                          <w:sz w:val="22"/>
                          <w:szCs w:val="22"/>
                          <w:lang w:val="es-ES_tradnl"/>
                        </w:rPr>
                      </m:ctrlPr>
                    </m:dPr>
                    <m:e>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0</m:t>
                          </m:r>
                        </m:sub>
                      </m:sSub>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1</m:t>
                          </m:r>
                        </m:sub>
                      </m:sSub>
                    </m:e>
                  </m:d>
                  <m:d>
                    <m:dPr>
                      <m:ctrlPr>
                        <w:rPr>
                          <w:rFonts w:ascii="Cambria Math" w:hAnsi="Cambria Math" w:cs="Arial"/>
                          <w:i/>
                          <w:sz w:val="22"/>
                          <w:szCs w:val="22"/>
                          <w:lang w:val="es-ES_tradnl"/>
                        </w:rPr>
                      </m:ctrlPr>
                    </m:dPr>
                    <m:e>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1</m:t>
                          </m:r>
                        </m:sub>
                      </m:sSub>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0</m:t>
                          </m:r>
                        </m:sub>
                      </m:sSub>
                    </m:e>
                  </m:d>
                </m:num>
                <m:den>
                  <m:r>
                    <w:rPr>
                      <w:rFonts w:ascii="Cambria Math" w:hAnsi="Cambria Math" w:cs="Arial"/>
                      <w:sz w:val="22"/>
                      <w:szCs w:val="22"/>
                      <w:lang w:val="es-ES_tradnl"/>
                    </w:rPr>
                    <m:t>2</m:t>
                  </m:r>
                </m:den>
              </m:f>
            </m:e>
          </m:d>
          <m:r>
            <w:rPr>
              <w:rFonts w:ascii="Cambria Math" w:hAnsi="Cambria Math" w:cs="Arial"/>
              <w:sz w:val="22"/>
              <w:szCs w:val="22"/>
              <w:lang w:val="es-ES_tradnl"/>
            </w:rPr>
            <m:t>+</m:t>
          </m:r>
          <m:d>
            <m:dPr>
              <m:begChr m:val="["/>
              <m:endChr m:val="]"/>
              <m:ctrlPr>
                <w:rPr>
                  <w:rFonts w:ascii="Cambria Math" w:hAnsi="Cambria Math" w:cs="Arial"/>
                  <w:i/>
                  <w:sz w:val="22"/>
                  <w:szCs w:val="22"/>
                  <w:lang w:val="es-ES_tradnl"/>
                </w:rPr>
              </m:ctrlPr>
            </m:dPr>
            <m:e>
              <m:d>
                <m:dPr>
                  <m:ctrlPr>
                    <w:rPr>
                      <w:rFonts w:ascii="Cambria Math" w:hAnsi="Cambria Math" w:cs="Arial"/>
                      <w:i/>
                      <w:sz w:val="22"/>
                      <w:szCs w:val="22"/>
                      <w:lang w:val="es-ES_tradnl"/>
                    </w:rPr>
                  </m:ctrlPr>
                </m:dPr>
                <m:e>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0</m:t>
                      </m:r>
                    </m:sub>
                  </m:sSub>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1</m:t>
                      </m:r>
                    </m:sub>
                  </m:sSub>
                </m:e>
              </m:d>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0</m:t>
                  </m:r>
                </m:sub>
              </m:sSub>
            </m:e>
          </m:d>
          <m:r>
            <w:rPr>
              <w:rFonts w:ascii="Cambria Math" w:hAnsi="Cambria Math" w:cs="Arial"/>
              <w:sz w:val="22"/>
              <w:szCs w:val="22"/>
              <w:lang w:val="es-ES_tradnl"/>
            </w:rPr>
            <m:t>;</m:t>
          </m:r>
        </m:oMath>
      </m:oMathPara>
    </w:p>
    <w:p w14:paraId="2440D5A0" w14:textId="77777777" w:rsidR="008A2FC0" w:rsidRPr="00CF484C" w:rsidRDefault="008A2FC0" w:rsidP="008A2FC0">
      <w:pPr>
        <w:pStyle w:val="Paragraph"/>
        <w:numPr>
          <w:ilvl w:val="0"/>
          <w:numId w:val="0"/>
        </w:numPr>
        <w:spacing w:before="240" w:after="240"/>
        <w:rPr>
          <w:rFonts w:ascii="Arial" w:hAnsi="Arial" w:cs="Arial"/>
          <w:sz w:val="22"/>
          <w:szCs w:val="22"/>
          <w:lang w:val="es-ES_tradnl"/>
        </w:rPr>
      </w:pPr>
      <m:oMathPara>
        <m:oMath>
          <m:r>
            <w:rPr>
              <w:rFonts w:ascii="Cambria Math" w:hAnsi="Cambria Math" w:cs="Arial"/>
              <w:sz w:val="22"/>
              <w:szCs w:val="22"/>
              <w:lang w:val="es-ES_tradnl"/>
            </w:rPr>
            <m:t>∆EP=</m:t>
          </m:r>
          <m:d>
            <m:dPr>
              <m:begChr m:val="["/>
              <m:endChr m:val="]"/>
              <m:ctrlPr>
                <w:rPr>
                  <w:rFonts w:ascii="Cambria Math" w:hAnsi="Cambria Math" w:cs="Arial"/>
                  <w:i/>
                  <w:sz w:val="22"/>
                  <w:szCs w:val="22"/>
                  <w:lang w:val="es-ES_tradnl"/>
                </w:rPr>
              </m:ctrlPr>
            </m:dPr>
            <m:e>
              <m:d>
                <m:dPr>
                  <m:ctrlPr>
                    <w:rPr>
                      <w:rFonts w:ascii="Cambria Math" w:hAnsi="Cambria Math" w:cs="Arial"/>
                      <w:i/>
                      <w:sz w:val="22"/>
                      <w:szCs w:val="22"/>
                      <w:lang w:val="es-ES_tradnl"/>
                    </w:rPr>
                  </m:ctrlPr>
                </m:dPr>
                <m:e>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1</m:t>
                      </m:r>
                    </m:sub>
                  </m:sSub>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0</m:t>
                      </m:r>
                    </m:sub>
                  </m:sSub>
                </m:e>
              </m:d>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1</m:t>
                  </m:r>
                </m:sub>
              </m:sSub>
            </m:e>
          </m:d>
          <m:r>
            <w:rPr>
              <w:rFonts w:ascii="Cambria Math" w:hAnsi="Cambria Math" w:cs="Arial"/>
              <w:sz w:val="22"/>
              <w:szCs w:val="22"/>
              <w:lang w:val="es-ES_tradnl"/>
            </w:rPr>
            <m:t>-</m:t>
          </m:r>
          <m:d>
            <m:dPr>
              <m:begChr m:val="["/>
              <m:endChr m:val="]"/>
              <m:ctrlPr>
                <w:rPr>
                  <w:rFonts w:ascii="Cambria Math" w:hAnsi="Cambria Math" w:cs="Arial"/>
                  <w:i/>
                  <w:sz w:val="22"/>
                  <w:szCs w:val="22"/>
                  <w:lang w:val="es-ES_tradnl"/>
                </w:rPr>
              </m:ctrlPr>
            </m:dPr>
            <m:e>
              <m:d>
                <m:dPr>
                  <m:ctrlPr>
                    <w:rPr>
                      <w:rFonts w:ascii="Cambria Math" w:hAnsi="Cambria Math" w:cs="Arial"/>
                      <w:i/>
                      <w:sz w:val="22"/>
                      <w:szCs w:val="22"/>
                      <w:lang w:val="es-ES_tradnl"/>
                    </w:rPr>
                  </m:ctrlPr>
                </m:dPr>
                <m:e>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0</m:t>
                      </m:r>
                    </m:sub>
                  </m:sSub>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1</m:t>
                      </m:r>
                    </m:sub>
                  </m:sSub>
                </m:e>
              </m:d>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0</m:t>
                  </m:r>
                </m:sub>
              </m:sSub>
            </m:e>
          </m:d>
          <m:r>
            <w:rPr>
              <w:rFonts w:ascii="Cambria Math" w:hAnsi="Cambria Math" w:cs="Arial"/>
              <w:sz w:val="22"/>
              <w:szCs w:val="22"/>
              <w:lang w:val="es-ES_tradnl"/>
            </w:rPr>
            <m:t>;</m:t>
          </m:r>
        </m:oMath>
      </m:oMathPara>
    </w:p>
    <w:p w14:paraId="66500FDF" w14:textId="77777777" w:rsidR="00C207D8" w:rsidRPr="00CF484C" w:rsidRDefault="008A2FC0" w:rsidP="008A2FC0">
      <w:pPr>
        <w:pStyle w:val="Paragraph"/>
        <w:numPr>
          <w:ilvl w:val="0"/>
          <w:numId w:val="0"/>
        </w:numPr>
        <w:spacing w:before="240" w:after="240"/>
        <w:ind w:left="720"/>
        <w:rPr>
          <w:rFonts w:ascii="Arial" w:hAnsi="Arial" w:cs="Arial"/>
          <w:sz w:val="22"/>
          <w:szCs w:val="22"/>
          <w:lang w:val="es-ES_tradnl"/>
        </w:rPr>
      </w:pPr>
      <m:oMathPara>
        <m:oMath>
          <m:r>
            <w:rPr>
              <w:rFonts w:ascii="Cambria Math" w:hAnsi="Cambria Math" w:cs="Arial"/>
              <w:sz w:val="22"/>
              <w:szCs w:val="22"/>
              <w:lang w:val="es-ES_tradnl"/>
            </w:rPr>
            <m:t>∆ET=</m:t>
          </m:r>
          <m:d>
            <m:dPr>
              <m:begChr m:val="["/>
              <m:endChr m:val="]"/>
              <m:ctrlPr>
                <w:rPr>
                  <w:rFonts w:ascii="Cambria Math" w:hAnsi="Cambria Math" w:cs="Arial"/>
                  <w:i/>
                  <w:sz w:val="22"/>
                  <w:szCs w:val="22"/>
                  <w:lang w:val="es-ES_tradnl"/>
                </w:rPr>
              </m:ctrlPr>
            </m:dPr>
            <m:e>
              <m:f>
                <m:fPr>
                  <m:ctrlPr>
                    <w:rPr>
                      <w:rFonts w:ascii="Cambria Math" w:hAnsi="Cambria Math" w:cs="Arial"/>
                      <w:i/>
                      <w:sz w:val="22"/>
                      <w:szCs w:val="22"/>
                      <w:lang w:val="es-ES_tradnl"/>
                    </w:rPr>
                  </m:ctrlPr>
                </m:fPr>
                <m:num>
                  <m:d>
                    <m:dPr>
                      <m:ctrlPr>
                        <w:rPr>
                          <w:rFonts w:ascii="Cambria Math" w:hAnsi="Cambria Math" w:cs="Arial"/>
                          <w:i/>
                          <w:sz w:val="22"/>
                          <w:szCs w:val="22"/>
                          <w:lang w:val="es-ES_tradnl"/>
                        </w:rPr>
                      </m:ctrlPr>
                    </m:dPr>
                    <m:e>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0</m:t>
                          </m:r>
                        </m:sub>
                      </m:sSub>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1</m:t>
                          </m:r>
                        </m:sub>
                      </m:sSub>
                    </m:e>
                  </m:d>
                  <m:d>
                    <m:dPr>
                      <m:ctrlPr>
                        <w:rPr>
                          <w:rFonts w:ascii="Cambria Math" w:hAnsi="Cambria Math" w:cs="Arial"/>
                          <w:i/>
                          <w:sz w:val="22"/>
                          <w:szCs w:val="22"/>
                          <w:lang w:val="es-ES_tradnl"/>
                        </w:rPr>
                      </m:ctrlPr>
                    </m:dPr>
                    <m:e>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1</m:t>
                          </m:r>
                        </m:sub>
                      </m:sSub>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0</m:t>
                          </m:r>
                        </m:sub>
                      </m:sSub>
                    </m:e>
                  </m:d>
                </m:num>
                <m:den>
                  <m:r>
                    <w:rPr>
                      <w:rFonts w:ascii="Cambria Math" w:hAnsi="Cambria Math" w:cs="Arial"/>
                      <w:sz w:val="22"/>
                      <w:szCs w:val="22"/>
                      <w:lang w:val="es-ES_tradnl"/>
                    </w:rPr>
                    <m:t>2</m:t>
                  </m:r>
                </m:den>
              </m:f>
            </m:e>
          </m:d>
          <m:r>
            <w:rPr>
              <w:rFonts w:ascii="Cambria Math" w:hAnsi="Cambria Math" w:cs="Arial"/>
              <w:sz w:val="22"/>
              <w:szCs w:val="22"/>
              <w:lang w:val="es-ES_tradnl"/>
            </w:rPr>
            <m:t>+</m:t>
          </m:r>
          <m:d>
            <m:dPr>
              <m:begChr m:val="["/>
              <m:endChr m:val="]"/>
              <m:ctrlPr>
                <w:rPr>
                  <w:rFonts w:ascii="Cambria Math" w:hAnsi="Cambria Math" w:cs="Arial"/>
                  <w:i/>
                  <w:sz w:val="22"/>
                  <w:szCs w:val="22"/>
                  <w:lang w:val="es-ES_tradnl"/>
                </w:rPr>
              </m:ctrlPr>
            </m:dPr>
            <m:e>
              <m:d>
                <m:dPr>
                  <m:ctrlPr>
                    <w:rPr>
                      <w:rFonts w:ascii="Cambria Math" w:hAnsi="Cambria Math" w:cs="Arial"/>
                      <w:i/>
                      <w:sz w:val="22"/>
                      <w:szCs w:val="22"/>
                      <w:lang w:val="es-ES_tradnl"/>
                    </w:rPr>
                  </m:ctrlPr>
                </m:dPr>
                <m:e>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1</m:t>
                      </m:r>
                    </m:sub>
                  </m:sSub>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q</m:t>
                      </m:r>
                    </m:e>
                    <m:sub>
                      <m:r>
                        <w:rPr>
                          <w:rFonts w:ascii="Cambria Math" w:hAnsi="Cambria Math" w:cs="Arial"/>
                          <w:sz w:val="22"/>
                          <w:szCs w:val="22"/>
                          <w:lang w:val="es-ES_tradnl"/>
                        </w:rPr>
                        <m:t>0</m:t>
                      </m:r>
                    </m:sub>
                  </m:sSub>
                </m:e>
              </m:d>
              <m:sSub>
                <m:sSubPr>
                  <m:ctrlPr>
                    <w:rPr>
                      <w:rFonts w:ascii="Cambria Math" w:hAnsi="Cambria Math" w:cs="Arial"/>
                      <w:i/>
                      <w:sz w:val="22"/>
                      <w:szCs w:val="22"/>
                      <w:lang w:val="es-ES_tradnl"/>
                    </w:rPr>
                  </m:ctrlPr>
                </m:sSubPr>
                <m:e>
                  <m:r>
                    <w:rPr>
                      <w:rFonts w:ascii="Cambria Math" w:hAnsi="Cambria Math" w:cs="Arial"/>
                      <w:sz w:val="22"/>
                      <w:szCs w:val="22"/>
                      <w:lang w:val="es-ES_tradnl"/>
                    </w:rPr>
                    <m:t>p</m:t>
                  </m:r>
                </m:e>
                <m:sub>
                  <m:r>
                    <w:rPr>
                      <w:rFonts w:ascii="Cambria Math" w:hAnsi="Cambria Math" w:cs="Arial"/>
                      <w:sz w:val="22"/>
                      <w:szCs w:val="22"/>
                      <w:lang w:val="es-ES_tradnl"/>
                    </w:rPr>
                    <m:t>1</m:t>
                  </m:r>
                </m:sub>
              </m:sSub>
            </m:e>
          </m:d>
        </m:oMath>
      </m:oMathPara>
    </w:p>
    <w:p w14:paraId="287DD96C" w14:textId="77777777" w:rsidR="0037316C" w:rsidRPr="00083041" w:rsidRDefault="00006DD5" w:rsidP="0037316C">
      <w:pPr>
        <w:pStyle w:val="Paragraph"/>
        <w:numPr>
          <w:ilvl w:val="0"/>
          <w:numId w:val="0"/>
        </w:numPr>
        <w:jc w:val="center"/>
        <w:rPr>
          <w:rFonts w:ascii="Arial" w:hAnsi="Arial" w:cs="Arial"/>
          <w:b/>
          <w:color w:val="000000" w:themeColor="text1"/>
          <w:sz w:val="22"/>
          <w:szCs w:val="22"/>
          <w:lang w:val="es-ES_tradnl"/>
        </w:rPr>
      </w:pPr>
      <w:r w:rsidRPr="00083041">
        <w:rPr>
          <w:rFonts w:ascii="Arial" w:hAnsi="Arial" w:cs="Arial"/>
          <w:noProof/>
          <w:sz w:val="22"/>
          <w:szCs w:val="22"/>
          <w:lang w:eastAsia="en-US"/>
        </w:rPr>
        <w:drawing>
          <wp:anchor distT="0" distB="0" distL="114300" distR="114300" simplePos="0" relativeHeight="251661312" behindDoc="0" locked="0" layoutInCell="1" allowOverlap="1" wp14:anchorId="098A720F" wp14:editId="1F466505">
            <wp:simplePos x="0" y="0"/>
            <wp:positionH relativeFrom="column">
              <wp:posOffset>1142365</wp:posOffset>
            </wp:positionH>
            <wp:positionV relativeFrom="paragraph">
              <wp:posOffset>228188</wp:posOffset>
            </wp:positionV>
            <wp:extent cx="3585845" cy="2720975"/>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85845" cy="2720975"/>
                    </a:xfrm>
                    <a:prstGeom prst="rect">
                      <a:avLst/>
                    </a:prstGeom>
                    <a:noFill/>
                  </pic:spPr>
                </pic:pic>
              </a:graphicData>
            </a:graphic>
            <wp14:sizeRelH relativeFrom="page">
              <wp14:pctWidth>0</wp14:pctWidth>
            </wp14:sizeRelH>
            <wp14:sizeRelV relativeFrom="page">
              <wp14:pctHeight>0</wp14:pctHeight>
            </wp14:sizeRelV>
          </wp:anchor>
        </w:drawing>
      </w:r>
      <w:r w:rsidR="0037316C" w:rsidRPr="00083041">
        <w:rPr>
          <w:rFonts w:ascii="Arial" w:hAnsi="Arial" w:cs="Arial"/>
          <w:b/>
          <w:color w:val="000000" w:themeColor="text1"/>
          <w:sz w:val="22"/>
          <w:szCs w:val="22"/>
          <w:lang w:val="es-ES_tradnl"/>
        </w:rPr>
        <w:t>Gráfica 3. Variación total de excedentes con el proyecto Red Compartida</w:t>
      </w:r>
    </w:p>
    <w:p w14:paraId="7F0ABDED" w14:textId="77777777" w:rsidR="00006DD5" w:rsidRPr="00CF484C" w:rsidRDefault="00006DD5" w:rsidP="00E02764">
      <w:pPr>
        <w:pStyle w:val="Paragraph"/>
        <w:numPr>
          <w:ilvl w:val="0"/>
          <w:numId w:val="0"/>
        </w:numPr>
        <w:spacing w:before="240" w:after="240"/>
        <w:ind w:left="720"/>
        <w:jc w:val="center"/>
        <w:rPr>
          <w:rFonts w:ascii="Arial" w:hAnsi="Arial" w:cs="Arial"/>
          <w:sz w:val="22"/>
          <w:szCs w:val="22"/>
          <w:lang w:val="es-ES_tradnl"/>
        </w:rPr>
      </w:pPr>
    </w:p>
    <w:p w14:paraId="5A25280E" w14:textId="77777777" w:rsidR="00006DD5" w:rsidRPr="00CF484C" w:rsidRDefault="00006DD5" w:rsidP="00E02764">
      <w:pPr>
        <w:pStyle w:val="Paragraph"/>
        <w:numPr>
          <w:ilvl w:val="0"/>
          <w:numId w:val="0"/>
        </w:numPr>
        <w:spacing w:before="240" w:after="240"/>
        <w:ind w:left="720"/>
        <w:jc w:val="center"/>
        <w:rPr>
          <w:rFonts w:ascii="Arial" w:hAnsi="Arial" w:cs="Arial"/>
          <w:sz w:val="22"/>
          <w:szCs w:val="22"/>
          <w:lang w:val="es-ES_tradnl"/>
        </w:rPr>
      </w:pPr>
    </w:p>
    <w:p w14:paraId="5E7E7DC5" w14:textId="77777777" w:rsidR="00006DD5" w:rsidRPr="00CF484C" w:rsidRDefault="00006DD5" w:rsidP="00E02764">
      <w:pPr>
        <w:pStyle w:val="Paragraph"/>
        <w:numPr>
          <w:ilvl w:val="0"/>
          <w:numId w:val="0"/>
        </w:numPr>
        <w:spacing w:before="240" w:after="240"/>
        <w:ind w:left="720"/>
        <w:jc w:val="center"/>
        <w:rPr>
          <w:rFonts w:ascii="Arial" w:hAnsi="Arial" w:cs="Arial"/>
          <w:sz w:val="22"/>
          <w:szCs w:val="22"/>
          <w:lang w:val="es-ES_tradnl"/>
        </w:rPr>
      </w:pPr>
    </w:p>
    <w:p w14:paraId="35ABE2DB" w14:textId="42DA08EF" w:rsidR="008A2FC0" w:rsidRDefault="008A2FC0" w:rsidP="00E02764">
      <w:pPr>
        <w:pStyle w:val="Paragraph"/>
        <w:numPr>
          <w:ilvl w:val="0"/>
          <w:numId w:val="0"/>
        </w:numPr>
        <w:spacing w:before="240" w:after="240"/>
        <w:ind w:left="720"/>
        <w:jc w:val="center"/>
        <w:rPr>
          <w:rFonts w:ascii="Arial" w:hAnsi="Arial" w:cs="Arial"/>
          <w:sz w:val="22"/>
          <w:szCs w:val="22"/>
          <w:lang w:val="es-ES_tradnl"/>
        </w:rPr>
      </w:pPr>
    </w:p>
    <w:p w14:paraId="41959702" w14:textId="22CF0DEE" w:rsidR="001434BC" w:rsidRDefault="001434BC" w:rsidP="00E02764">
      <w:pPr>
        <w:pStyle w:val="Paragraph"/>
        <w:numPr>
          <w:ilvl w:val="0"/>
          <w:numId w:val="0"/>
        </w:numPr>
        <w:spacing w:before="240" w:after="240"/>
        <w:ind w:left="720"/>
        <w:jc w:val="center"/>
        <w:rPr>
          <w:rFonts w:ascii="Arial" w:hAnsi="Arial" w:cs="Arial"/>
          <w:sz w:val="22"/>
          <w:szCs w:val="22"/>
          <w:lang w:val="es-ES_tradnl"/>
        </w:rPr>
      </w:pPr>
    </w:p>
    <w:p w14:paraId="7C563401" w14:textId="77777777" w:rsidR="001434BC" w:rsidRPr="00CF484C" w:rsidRDefault="001434BC" w:rsidP="00E02764">
      <w:pPr>
        <w:pStyle w:val="Paragraph"/>
        <w:numPr>
          <w:ilvl w:val="0"/>
          <w:numId w:val="0"/>
        </w:numPr>
        <w:spacing w:before="240" w:after="240"/>
        <w:ind w:left="720"/>
        <w:jc w:val="center"/>
        <w:rPr>
          <w:rFonts w:ascii="Arial" w:hAnsi="Arial" w:cs="Arial"/>
          <w:sz w:val="22"/>
          <w:szCs w:val="22"/>
          <w:lang w:val="es-ES_tradnl"/>
        </w:rPr>
      </w:pPr>
    </w:p>
    <w:p w14:paraId="1E2AC1CE" w14:textId="77777777" w:rsidR="008A2FC0" w:rsidRPr="00CF484C" w:rsidRDefault="00642318" w:rsidP="00642318">
      <w:pPr>
        <w:pStyle w:val="Paragraph"/>
        <w:tabs>
          <w:tab w:val="clear" w:pos="2448"/>
          <w:tab w:val="num" w:pos="720"/>
        </w:tabs>
        <w:ind w:left="720" w:hanging="720"/>
        <w:rPr>
          <w:rFonts w:ascii="Arial" w:hAnsi="Arial" w:cs="Arial"/>
          <w:sz w:val="22"/>
          <w:szCs w:val="22"/>
          <w:lang w:val="es-ES_tradnl"/>
        </w:rPr>
      </w:pPr>
      <w:r w:rsidRPr="00083041">
        <w:rPr>
          <w:rFonts w:ascii="Arial" w:hAnsi="Arial" w:cs="Arial"/>
          <w:sz w:val="22"/>
          <w:szCs w:val="22"/>
          <w:lang w:val="es-ES_tradnl"/>
        </w:rPr>
        <w:t>Como se ha señalado, las variaciones en los excedentes vienen determinad</w:t>
      </w:r>
      <w:r w:rsidR="009F7E80" w:rsidRPr="00083041">
        <w:rPr>
          <w:rFonts w:ascii="Arial" w:hAnsi="Arial" w:cs="Arial"/>
          <w:sz w:val="22"/>
          <w:szCs w:val="22"/>
          <w:lang w:val="es-ES_tradnl"/>
        </w:rPr>
        <w:t>a</w:t>
      </w:r>
      <w:r w:rsidRPr="00083041">
        <w:rPr>
          <w:rFonts w:ascii="Arial" w:hAnsi="Arial" w:cs="Arial"/>
          <w:sz w:val="22"/>
          <w:szCs w:val="22"/>
          <w:lang w:val="es-ES_tradnl"/>
        </w:rPr>
        <w:t xml:space="preserve">s por los resultados del mercado, es decir, el precio original y final de equilibrio y la cantidad de MB de equilibrio original y final, es decir, el tráfico efectivo de MB. En cuanto a los productores, cabe señalar que se están englobando </w:t>
      </w:r>
      <w:r w:rsidR="00B86667" w:rsidRPr="00083041">
        <w:rPr>
          <w:rFonts w:ascii="Arial" w:hAnsi="Arial" w:cs="Arial"/>
          <w:sz w:val="22"/>
          <w:szCs w:val="22"/>
          <w:lang w:val="es-ES_tradnl"/>
        </w:rPr>
        <w:t>tanto</w:t>
      </w:r>
      <w:r w:rsidRPr="00083041">
        <w:rPr>
          <w:rFonts w:ascii="Arial" w:hAnsi="Arial" w:cs="Arial"/>
          <w:sz w:val="22"/>
          <w:szCs w:val="22"/>
          <w:lang w:val="es-ES_tradnl"/>
        </w:rPr>
        <w:t xml:space="preserve"> mayoristas como minoristas de manera agregada, aunque tanto los ingresos como los egresos tienen fuentes y caracterizaciones diferentes.</w:t>
      </w:r>
    </w:p>
    <w:p w14:paraId="6959B1EF" w14:textId="77777777" w:rsidR="00642318" w:rsidRPr="00CF484C" w:rsidRDefault="00642318" w:rsidP="006854CE">
      <w:pPr>
        <w:pStyle w:val="Paragraph"/>
        <w:tabs>
          <w:tab w:val="clear" w:pos="2448"/>
          <w:tab w:val="num" w:pos="720"/>
        </w:tabs>
        <w:ind w:left="720" w:hanging="720"/>
        <w:rPr>
          <w:rFonts w:ascii="Arial" w:hAnsi="Arial" w:cs="Arial"/>
          <w:sz w:val="22"/>
          <w:szCs w:val="22"/>
          <w:lang w:val="es-ES_tradnl"/>
        </w:rPr>
      </w:pPr>
      <w:r w:rsidRPr="00CF484C">
        <w:rPr>
          <w:rFonts w:ascii="Arial" w:hAnsi="Arial" w:cs="Arial"/>
          <w:sz w:val="22"/>
          <w:szCs w:val="22"/>
          <w:lang w:val="es-ES_tradnl"/>
        </w:rPr>
        <w:t>Los ingresos del mayorista, en este caso Altán</w:t>
      </w:r>
      <w:r w:rsidR="009F7E80" w:rsidRPr="00CF484C">
        <w:rPr>
          <w:rFonts w:ascii="Arial" w:hAnsi="Arial" w:cs="Arial"/>
          <w:sz w:val="22"/>
          <w:szCs w:val="22"/>
          <w:lang w:val="es-ES_tradnl"/>
        </w:rPr>
        <w:t xml:space="preserve"> Redes</w:t>
      </w:r>
      <w:r w:rsidRPr="00CF484C">
        <w:rPr>
          <w:rFonts w:ascii="Arial" w:hAnsi="Arial" w:cs="Arial"/>
          <w:sz w:val="22"/>
          <w:szCs w:val="22"/>
          <w:lang w:val="es-ES_tradnl"/>
        </w:rPr>
        <w:t>, provienen de la venta mayorista de l</w:t>
      </w:r>
      <w:r w:rsidR="009F7E80" w:rsidRPr="00CF484C">
        <w:rPr>
          <w:rFonts w:ascii="Arial" w:hAnsi="Arial" w:cs="Arial"/>
          <w:sz w:val="22"/>
          <w:szCs w:val="22"/>
          <w:lang w:val="es-ES_tradnl"/>
        </w:rPr>
        <w:t>os servicios de la</w:t>
      </w:r>
      <w:r w:rsidRPr="00CF484C">
        <w:rPr>
          <w:rFonts w:ascii="Arial" w:hAnsi="Arial" w:cs="Arial"/>
          <w:sz w:val="22"/>
          <w:szCs w:val="22"/>
          <w:lang w:val="es-ES_tradnl"/>
        </w:rPr>
        <w:t xml:space="preserve"> Red Compartida a los minoristas. Estos minoristas recibirán sus ingresos directamente de los consumidores finales del servicio de banda ancha móvil. </w:t>
      </w:r>
      <w:r w:rsidR="00B86667" w:rsidRPr="00CF484C">
        <w:rPr>
          <w:rFonts w:ascii="Arial" w:hAnsi="Arial" w:cs="Arial"/>
          <w:sz w:val="22"/>
          <w:szCs w:val="22"/>
          <w:lang w:val="es-ES_tradnl"/>
        </w:rPr>
        <w:t xml:space="preserve">Basado en las previsiones del ARPU para el mercado, se ha determinado que el 40% del mismo es recibido por el mayorista, frente al 60% que reciben los minoristas. </w:t>
      </w:r>
      <w:r w:rsidRPr="00CF484C">
        <w:rPr>
          <w:rFonts w:ascii="Arial" w:hAnsi="Arial" w:cs="Arial"/>
          <w:sz w:val="22"/>
          <w:szCs w:val="22"/>
          <w:lang w:val="es-ES_tradnl"/>
        </w:rPr>
        <w:t xml:space="preserve">Por su parte, en cuanto a los egresos, sabemos que el mayorista tiene una estructura de costes mucho más oscilante hacia el CAPEX frente al OPEX, mientras </w:t>
      </w:r>
      <w:r w:rsidR="006363A2" w:rsidRPr="00CF484C">
        <w:rPr>
          <w:rFonts w:ascii="Arial" w:hAnsi="Arial" w:cs="Arial"/>
          <w:sz w:val="22"/>
          <w:szCs w:val="22"/>
          <w:lang w:val="es-ES_tradnl"/>
        </w:rPr>
        <w:t>que,</w:t>
      </w:r>
      <w:r w:rsidRPr="00CF484C">
        <w:rPr>
          <w:rFonts w:ascii="Arial" w:hAnsi="Arial" w:cs="Arial"/>
          <w:sz w:val="22"/>
          <w:szCs w:val="22"/>
          <w:lang w:val="es-ES_tradnl"/>
        </w:rPr>
        <w:t xml:space="preserve"> en el caso de los minoristas, y especialmente bajo el caso de la Red Compartida donde la mayor parte de las inversiones de capital las realiza el mayorista por naturaleza del esquema elegido, cobra más peso el OPEX frente al CAPEX en la estructura de costes. </w:t>
      </w:r>
    </w:p>
    <w:p w14:paraId="1A26B452" w14:textId="24BA30E0" w:rsidR="003A53C3" w:rsidRDefault="00DC5A29" w:rsidP="00C84C1D">
      <w:pPr>
        <w:pStyle w:val="Paragraph"/>
        <w:tabs>
          <w:tab w:val="clear" w:pos="2448"/>
          <w:tab w:val="num" w:pos="720"/>
        </w:tabs>
        <w:ind w:left="720" w:hanging="720"/>
        <w:rPr>
          <w:rFonts w:ascii="Arial" w:hAnsi="Arial" w:cs="Arial"/>
          <w:sz w:val="22"/>
          <w:szCs w:val="22"/>
          <w:lang w:val="es-ES_tradnl"/>
        </w:rPr>
      </w:pPr>
      <w:r w:rsidRPr="00083041">
        <w:rPr>
          <w:rFonts w:ascii="Arial" w:hAnsi="Arial" w:cs="Arial"/>
          <w:sz w:val="22"/>
          <w:szCs w:val="22"/>
          <w:lang w:val="es-ES_tradnl"/>
        </w:rPr>
        <w:lastRenderedPageBreak/>
        <w:t>A partir de es</w:t>
      </w:r>
      <w:r w:rsidR="002948A7" w:rsidRPr="00083041">
        <w:rPr>
          <w:rFonts w:ascii="Arial" w:hAnsi="Arial" w:cs="Arial"/>
          <w:sz w:val="22"/>
          <w:szCs w:val="22"/>
          <w:lang w:val="es-ES_tradnl"/>
        </w:rPr>
        <w:t>tas variaciones que dan como resultado la variación de excedentes total</w:t>
      </w:r>
      <w:r w:rsidR="00642318" w:rsidRPr="00083041">
        <w:rPr>
          <w:rFonts w:ascii="Arial" w:hAnsi="Arial" w:cs="Arial"/>
          <w:sz w:val="22"/>
          <w:szCs w:val="22"/>
          <w:lang w:val="es-ES_tradnl"/>
        </w:rPr>
        <w:t xml:space="preserve"> y la deducción de los costos imputables al proyecto anteriormente descritos</w:t>
      </w:r>
      <w:r w:rsidR="002948A7" w:rsidRPr="00083041">
        <w:rPr>
          <w:rFonts w:ascii="Arial" w:hAnsi="Arial" w:cs="Arial"/>
          <w:sz w:val="22"/>
          <w:szCs w:val="22"/>
          <w:lang w:val="es-ES_tradnl"/>
        </w:rPr>
        <w:t xml:space="preserve">, </w:t>
      </w:r>
      <w:r w:rsidRPr="00083041">
        <w:rPr>
          <w:rFonts w:ascii="Arial" w:hAnsi="Arial" w:cs="Arial"/>
          <w:sz w:val="22"/>
          <w:szCs w:val="22"/>
          <w:lang w:val="es-ES_tradnl"/>
        </w:rPr>
        <w:t xml:space="preserve">resulta entonces que el </w:t>
      </w:r>
      <w:r w:rsidR="009C088C" w:rsidRPr="00083041">
        <w:rPr>
          <w:rFonts w:ascii="Arial" w:hAnsi="Arial" w:cs="Arial"/>
          <w:sz w:val="22"/>
          <w:szCs w:val="22"/>
          <w:lang w:val="es-ES_tradnl"/>
        </w:rPr>
        <w:t>VAN</w:t>
      </w:r>
      <w:r w:rsidRPr="00083041">
        <w:rPr>
          <w:rFonts w:ascii="Arial" w:hAnsi="Arial" w:cs="Arial"/>
          <w:sz w:val="22"/>
          <w:szCs w:val="22"/>
          <w:lang w:val="es-ES_tradnl"/>
        </w:rPr>
        <w:t xml:space="preserve"> total en el escenario central </w:t>
      </w:r>
      <w:r w:rsidR="000E2868" w:rsidRPr="00083041">
        <w:rPr>
          <w:rFonts w:ascii="Arial" w:hAnsi="Arial" w:cs="Arial"/>
          <w:sz w:val="22"/>
          <w:szCs w:val="22"/>
          <w:lang w:val="es-ES_tradnl"/>
        </w:rPr>
        <w:t xml:space="preserve">bajo las condiciones ya descritas </w:t>
      </w:r>
      <w:r w:rsidRPr="00083041">
        <w:rPr>
          <w:rFonts w:ascii="Arial" w:hAnsi="Arial" w:cs="Arial"/>
          <w:sz w:val="22"/>
          <w:szCs w:val="22"/>
          <w:lang w:val="es-ES_tradnl"/>
        </w:rPr>
        <w:t xml:space="preserve">asciende </w:t>
      </w:r>
      <w:r w:rsidR="00C208B2" w:rsidRPr="00083041">
        <w:rPr>
          <w:rFonts w:ascii="Arial" w:hAnsi="Arial" w:cs="Arial"/>
          <w:sz w:val="22"/>
          <w:szCs w:val="22"/>
          <w:lang w:val="es-ES_tradnl"/>
        </w:rPr>
        <w:t>a US$</w:t>
      </w:r>
      <w:r w:rsidR="002948A7" w:rsidRPr="00083041">
        <w:rPr>
          <w:rFonts w:ascii="Arial" w:hAnsi="Arial" w:cs="Arial"/>
          <w:sz w:val="22"/>
          <w:szCs w:val="22"/>
          <w:lang w:val="es-ES_tradnl"/>
        </w:rPr>
        <w:t>2.350</w:t>
      </w:r>
      <w:r w:rsidR="00006DD5" w:rsidRPr="00083041">
        <w:rPr>
          <w:rFonts w:ascii="Arial" w:hAnsi="Arial" w:cs="Arial"/>
          <w:sz w:val="22"/>
          <w:szCs w:val="22"/>
          <w:lang w:val="es-ES_tradnl"/>
        </w:rPr>
        <w:t> </w:t>
      </w:r>
      <w:r w:rsidRPr="00083041">
        <w:rPr>
          <w:rFonts w:ascii="Arial" w:hAnsi="Arial" w:cs="Arial"/>
          <w:sz w:val="22"/>
          <w:szCs w:val="22"/>
          <w:lang w:val="es-ES_tradnl"/>
        </w:rPr>
        <w:t xml:space="preserve">millones </w:t>
      </w:r>
      <w:r w:rsidR="000E2868">
        <w:rPr>
          <w:rFonts w:ascii="Arial" w:hAnsi="Arial" w:cs="Arial"/>
          <w:sz w:val="22"/>
          <w:szCs w:val="22"/>
          <w:lang w:val="es-ES_tradnl"/>
        </w:rPr>
        <w:t>y presenta una TIRM superior al 12% (resulta una TIRM del 42%)</w:t>
      </w:r>
      <w:r w:rsidRPr="00083041">
        <w:rPr>
          <w:rFonts w:ascii="Arial" w:hAnsi="Arial" w:cs="Arial"/>
          <w:sz w:val="22"/>
          <w:szCs w:val="22"/>
          <w:lang w:val="es-ES_tradnl"/>
        </w:rPr>
        <w:t>.</w:t>
      </w:r>
      <w:r w:rsidR="003A53C3">
        <w:rPr>
          <w:rStyle w:val="FootnoteReference"/>
          <w:rFonts w:ascii="Arial" w:hAnsi="Arial" w:cs="Arial"/>
          <w:sz w:val="22"/>
          <w:szCs w:val="22"/>
          <w:lang w:val="es-ES_tradnl"/>
        </w:rPr>
        <w:footnoteReference w:id="32"/>
      </w:r>
      <w:r w:rsidRPr="00083041">
        <w:rPr>
          <w:rFonts w:ascii="Arial" w:hAnsi="Arial" w:cs="Arial"/>
          <w:sz w:val="22"/>
          <w:szCs w:val="22"/>
          <w:lang w:val="es-ES_tradnl"/>
        </w:rPr>
        <w:t xml:space="preserve"> </w:t>
      </w:r>
      <w:r w:rsidR="00B32A35">
        <w:rPr>
          <w:rFonts w:ascii="Arial" w:hAnsi="Arial" w:cs="Arial"/>
          <w:sz w:val="22"/>
          <w:szCs w:val="22"/>
          <w:lang w:val="es-ES_tradnl"/>
        </w:rPr>
        <w:t>El resultado de la TIRM asociada al proyecto se comprende por el alca</w:t>
      </w:r>
      <w:r w:rsidR="001434BC">
        <w:rPr>
          <w:rFonts w:ascii="Arial" w:hAnsi="Arial" w:cs="Arial"/>
          <w:sz w:val="22"/>
          <w:szCs w:val="22"/>
          <w:lang w:val="es-ES_tradnl"/>
        </w:rPr>
        <w:t>n</w:t>
      </w:r>
      <w:r w:rsidR="00B32A35">
        <w:rPr>
          <w:rFonts w:ascii="Arial" w:hAnsi="Arial" w:cs="Arial"/>
          <w:sz w:val="22"/>
          <w:szCs w:val="22"/>
          <w:lang w:val="es-ES_tradnl"/>
        </w:rPr>
        <w:t>ce de la operación, que posibilita a nivel nacional el acceso a la Red Compartida, con un significativo aumento de la cobertura del servicio ofrecido hasta la fecha y el consecuente impacto tanto en los consumidores finales del servicio, como en los proveedores minoristas de este servicio.</w:t>
      </w:r>
    </w:p>
    <w:p w14:paraId="310BFD36" w14:textId="2B489271" w:rsidR="00C84C1D" w:rsidRPr="00083041" w:rsidRDefault="00DC5A29" w:rsidP="00C84C1D">
      <w:pPr>
        <w:pStyle w:val="Paragraph"/>
        <w:tabs>
          <w:tab w:val="clear" w:pos="2448"/>
          <w:tab w:val="num" w:pos="720"/>
        </w:tabs>
        <w:ind w:left="720" w:hanging="720"/>
        <w:rPr>
          <w:rFonts w:ascii="Arial" w:hAnsi="Arial" w:cs="Arial"/>
          <w:sz w:val="22"/>
          <w:szCs w:val="22"/>
          <w:lang w:val="es-ES_tradnl"/>
        </w:rPr>
      </w:pPr>
      <w:r w:rsidRPr="00083041">
        <w:rPr>
          <w:rFonts w:ascii="Arial" w:hAnsi="Arial" w:cs="Arial"/>
          <w:sz w:val="22"/>
          <w:szCs w:val="22"/>
          <w:lang w:val="es-ES_tradnl"/>
        </w:rPr>
        <w:t>Los</w:t>
      </w:r>
      <w:r w:rsidR="00C84C1D" w:rsidRPr="00083041">
        <w:rPr>
          <w:rFonts w:ascii="Arial" w:hAnsi="Arial" w:cs="Arial"/>
          <w:sz w:val="22"/>
          <w:szCs w:val="22"/>
          <w:lang w:val="es-ES_tradnl"/>
        </w:rPr>
        <w:t xml:space="preserve"> efecto</w:t>
      </w:r>
      <w:r w:rsidRPr="00083041">
        <w:rPr>
          <w:rFonts w:ascii="Arial" w:hAnsi="Arial" w:cs="Arial"/>
          <w:sz w:val="22"/>
          <w:szCs w:val="22"/>
          <w:lang w:val="es-ES_tradnl"/>
        </w:rPr>
        <w:t>s</w:t>
      </w:r>
      <w:r w:rsidR="00C84C1D" w:rsidRPr="00083041">
        <w:rPr>
          <w:rFonts w:ascii="Arial" w:hAnsi="Arial" w:cs="Arial"/>
          <w:sz w:val="22"/>
          <w:szCs w:val="22"/>
          <w:lang w:val="es-ES_tradnl"/>
        </w:rPr>
        <w:t xml:space="preserve"> de considerar situaciones alternativas para los distintos componentes de este cálculo se detallan en la siguiente sección.</w:t>
      </w:r>
    </w:p>
    <w:p w14:paraId="33FDBCDC" w14:textId="77777777" w:rsidR="002D2946" w:rsidRPr="00083041" w:rsidRDefault="004468E4" w:rsidP="004468E4">
      <w:pPr>
        <w:rPr>
          <w:rFonts w:ascii="Arial" w:hAnsi="Arial" w:cs="Arial"/>
          <w:b/>
          <w:lang w:val="es-ES_tradnl"/>
        </w:rPr>
      </w:pPr>
      <w:r w:rsidRPr="00083041">
        <w:rPr>
          <w:rFonts w:ascii="Arial" w:hAnsi="Arial" w:cs="Arial"/>
          <w:b/>
          <w:lang w:val="es-ES_tradnl"/>
        </w:rPr>
        <w:br w:type="page"/>
      </w:r>
    </w:p>
    <w:p w14:paraId="28431F43" w14:textId="77777777" w:rsidR="002D2946" w:rsidRPr="00083041" w:rsidRDefault="002D2946" w:rsidP="009C45C9">
      <w:pPr>
        <w:pStyle w:val="ListParagraph"/>
        <w:tabs>
          <w:tab w:val="num" w:pos="1170"/>
        </w:tabs>
        <w:spacing w:before="120" w:after="120"/>
        <w:ind w:left="1170" w:hanging="450"/>
        <w:jc w:val="center"/>
        <w:rPr>
          <w:rFonts w:ascii="Arial" w:hAnsi="Arial" w:cs="Arial"/>
          <w:b/>
          <w:lang w:val="es-ES_tradnl"/>
        </w:rPr>
        <w:sectPr w:rsidR="002D2946" w:rsidRPr="00083041" w:rsidSect="00586FC8">
          <w:footerReference w:type="default" r:id="rId17"/>
          <w:pgSz w:w="12242" w:h="15842" w:code="1"/>
          <w:pgMar w:top="1440" w:right="1797" w:bottom="1440" w:left="1797" w:header="720" w:footer="720" w:gutter="0"/>
          <w:cols w:space="708"/>
          <w:docGrid w:linePitch="360"/>
        </w:sectPr>
      </w:pPr>
    </w:p>
    <w:p w14:paraId="321310ED" w14:textId="77777777" w:rsidR="008B0024" w:rsidRPr="00083041" w:rsidRDefault="002D2946" w:rsidP="006A2649">
      <w:pPr>
        <w:pStyle w:val="ListParagraph"/>
        <w:tabs>
          <w:tab w:val="num" w:pos="1170"/>
        </w:tabs>
        <w:spacing w:after="0" w:line="240" w:lineRule="auto"/>
        <w:ind w:left="1166" w:hanging="446"/>
        <w:contextualSpacing w:val="0"/>
        <w:jc w:val="center"/>
        <w:rPr>
          <w:rFonts w:ascii="Arial" w:hAnsi="Arial" w:cs="Arial"/>
          <w:b/>
          <w:color w:val="000000" w:themeColor="text1"/>
          <w:lang w:val="es-ES_tradnl"/>
        </w:rPr>
      </w:pPr>
      <w:r w:rsidRPr="00083041">
        <w:rPr>
          <w:rFonts w:ascii="Arial" w:hAnsi="Arial" w:cs="Arial"/>
          <w:b/>
          <w:color w:val="000000" w:themeColor="text1"/>
          <w:lang w:val="es-ES_tradnl"/>
        </w:rPr>
        <w:lastRenderedPageBreak/>
        <w:t>Cuadro 1. Escenario Central. Horizonte a 1</w:t>
      </w:r>
      <w:r w:rsidR="003A4EE2" w:rsidRPr="00083041">
        <w:rPr>
          <w:rFonts w:ascii="Arial" w:hAnsi="Arial" w:cs="Arial"/>
          <w:b/>
          <w:color w:val="000000" w:themeColor="text1"/>
          <w:lang w:val="es-ES_tradnl"/>
        </w:rPr>
        <w:t>0</w:t>
      </w:r>
      <w:r w:rsidRPr="00083041">
        <w:rPr>
          <w:rFonts w:ascii="Arial" w:hAnsi="Arial" w:cs="Arial"/>
          <w:b/>
          <w:color w:val="000000" w:themeColor="text1"/>
          <w:lang w:val="es-ES_tradnl"/>
        </w:rPr>
        <w:t xml:space="preserve"> años</w:t>
      </w:r>
    </w:p>
    <w:p w14:paraId="207D27CB" w14:textId="20DFF7C8" w:rsidR="004468E4" w:rsidRPr="00083041" w:rsidRDefault="004468E4" w:rsidP="006A2649">
      <w:pPr>
        <w:pStyle w:val="ListParagraph"/>
        <w:tabs>
          <w:tab w:val="num" w:pos="1170"/>
        </w:tabs>
        <w:spacing w:after="0" w:line="240" w:lineRule="auto"/>
        <w:ind w:left="1166" w:hanging="446"/>
        <w:contextualSpacing w:val="0"/>
        <w:jc w:val="center"/>
        <w:rPr>
          <w:rFonts w:ascii="Arial" w:hAnsi="Arial" w:cs="Arial"/>
          <w:b/>
          <w:color w:val="000000" w:themeColor="text1"/>
          <w:lang w:val="es-ES_tradnl"/>
        </w:rPr>
      </w:pPr>
    </w:p>
    <w:p w14:paraId="7C6C6C76" w14:textId="0DDEE4D7" w:rsidR="004468E4" w:rsidRPr="00083041" w:rsidRDefault="00C55CBC" w:rsidP="006A2649">
      <w:pPr>
        <w:pStyle w:val="ListParagraph"/>
        <w:tabs>
          <w:tab w:val="num" w:pos="1170"/>
        </w:tabs>
        <w:spacing w:after="0" w:line="240" w:lineRule="auto"/>
        <w:ind w:left="1166" w:hanging="446"/>
        <w:contextualSpacing w:val="0"/>
        <w:jc w:val="center"/>
        <w:rPr>
          <w:rFonts w:ascii="Arial" w:hAnsi="Arial" w:cs="Arial"/>
          <w:b/>
          <w:color w:val="000000" w:themeColor="text1"/>
          <w:lang w:val="es-ES_tradnl"/>
        </w:rPr>
      </w:pPr>
      <w:r w:rsidRPr="00C55CBC">
        <w:rPr>
          <w:rFonts w:ascii="Arial" w:hAnsi="Arial" w:cs="Arial"/>
          <w:b/>
          <w:noProof/>
          <w:color w:val="000000" w:themeColor="text1"/>
          <w:lang w:val="en-US" w:eastAsia="en-US"/>
        </w:rPr>
        <w:drawing>
          <wp:anchor distT="0" distB="0" distL="114300" distR="114300" simplePos="0" relativeHeight="251662336" behindDoc="0" locked="0" layoutInCell="1" allowOverlap="1" wp14:anchorId="60229D3D" wp14:editId="76EC2ADC">
            <wp:simplePos x="0" y="0"/>
            <wp:positionH relativeFrom="column">
              <wp:posOffset>-436880</wp:posOffset>
            </wp:positionH>
            <wp:positionV relativeFrom="paragraph">
              <wp:posOffset>328295</wp:posOffset>
            </wp:positionV>
            <wp:extent cx="9213566" cy="1762125"/>
            <wp:effectExtent l="38100" t="38100" r="45085" b="2857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13566" cy="1762125"/>
                    </a:xfrm>
                    <a:prstGeom prst="rect">
                      <a:avLst/>
                    </a:prstGeom>
                    <a:ln w="38100">
                      <a:solidFill>
                        <a:srgbClr val="002060"/>
                      </a:solidFill>
                    </a:ln>
                  </pic:spPr>
                </pic:pic>
              </a:graphicData>
            </a:graphic>
          </wp:anchor>
        </w:drawing>
      </w:r>
    </w:p>
    <w:p w14:paraId="6689E346" w14:textId="77777777" w:rsidR="004468E4" w:rsidRPr="00083041" w:rsidRDefault="004468E4" w:rsidP="00460AD4">
      <w:pPr>
        <w:pStyle w:val="ListParagraph"/>
        <w:tabs>
          <w:tab w:val="num" w:pos="1170"/>
        </w:tabs>
        <w:spacing w:after="0" w:line="240" w:lineRule="auto"/>
        <w:ind w:left="1166" w:hanging="446"/>
        <w:contextualSpacing w:val="0"/>
        <w:jc w:val="center"/>
        <w:rPr>
          <w:rFonts w:ascii="Arial" w:hAnsi="Arial" w:cs="Arial"/>
          <w:b/>
          <w:color w:val="000000" w:themeColor="text1"/>
          <w:lang w:val="es-ES_tradnl"/>
        </w:rPr>
      </w:pPr>
    </w:p>
    <w:p w14:paraId="41B64838" w14:textId="32D7EE43" w:rsidR="004468E4" w:rsidRPr="00083041" w:rsidRDefault="004468E4" w:rsidP="00460AD4">
      <w:pPr>
        <w:pStyle w:val="ListParagraph"/>
        <w:tabs>
          <w:tab w:val="num" w:pos="1170"/>
        </w:tabs>
        <w:spacing w:after="0" w:line="240" w:lineRule="auto"/>
        <w:ind w:left="1166" w:hanging="446"/>
        <w:contextualSpacing w:val="0"/>
        <w:jc w:val="right"/>
        <w:rPr>
          <w:rFonts w:ascii="Arial" w:hAnsi="Arial" w:cs="Arial"/>
          <w:b/>
          <w:color w:val="000000" w:themeColor="text1"/>
          <w:lang w:val="es-ES_tradnl"/>
        </w:rPr>
      </w:pPr>
    </w:p>
    <w:p w14:paraId="08FD75C6" w14:textId="77777777" w:rsidR="004468E4" w:rsidRPr="00083041" w:rsidRDefault="004468E4" w:rsidP="006A2649">
      <w:pPr>
        <w:pStyle w:val="ListParagraph"/>
        <w:tabs>
          <w:tab w:val="num" w:pos="1170"/>
        </w:tabs>
        <w:spacing w:after="0" w:line="240" w:lineRule="auto"/>
        <w:ind w:left="1166" w:hanging="446"/>
        <w:contextualSpacing w:val="0"/>
        <w:jc w:val="center"/>
        <w:rPr>
          <w:rFonts w:ascii="Arial" w:hAnsi="Arial" w:cs="Arial"/>
          <w:b/>
          <w:color w:val="000000" w:themeColor="text1"/>
          <w:lang w:val="es-ES_tradnl"/>
        </w:rPr>
      </w:pPr>
    </w:p>
    <w:p w14:paraId="7E9BCFD8" w14:textId="77777777" w:rsidR="004468E4" w:rsidRPr="00083041" w:rsidRDefault="004468E4" w:rsidP="006A2649">
      <w:pPr>
        <w:pStyle w:val="ListParagraph"/>
        <w:tabs>
          <w:tab w:val="num" w:pos="1170"/>
        </w:tabs>
        <w:spacing w:after="0" w:line="240" w:lineRule="auto"/>
        <w:ind w:left="1166" w:hanging="446"/>
        <w:contextualSpacing w:val="0"/>
        <w:jc w:val="center"/>
        <w:rPr>
          <w:rFonts w:ascii="Arial" w:hAnsi="Arial" w:cs="Arial"/>
          <w:b/>
          <w:color w:val="000000" w:themeColor="text1"/>
          <w:lang w:val="es-ES_tradnl"/>
        </w:rPr>
      </w:pPr>
    </w:p>
    <w:p w14:paraId="3A818409" w14:textId="77777777" w:rsidR="004468E4" w:rsidRPr="00083041" w:rsidRDefault="004468E4" w:rsidP="006A2649">
      <w:pPr>
        <w:pStyle w:val="ListParagraph"/>
        <w:tabs>
          <w:tab w:val="num" w:pos="1170"/>
        </w:tabs>
        <w:spacing w:after="0" w:line="240" w:lineRule="auto"/>
        <w:ind w:left="1166" w:hanging="446"/>
        <w:contextualSpacing w:val="0"/>
        <w:jc w:val="center"/>
        <w:rPr>
          <w:rFonts w:ascii="Arial" w:hAnsi="Arial" w:cs="Arial"/>
          <w:b/>
          <w:color w:val="000000" w:themeColor="text1"/>
          <w:lang w:val="es-ES_tradnl"/>
        </w:rPr>
      </w:pPr>
    </w:p>
    <w:p w14:paraId="15B31CC5" w14:textId="77777777" w:rsidR="004468E4" w:rsidRPr="00083041" w:rsidRDefault="004468E4" w:rsidP="004468E4">
      <w:pPr>
        <w:pStyle w:val="ListParagraph"/>
        <w:tabs>
          <w:tab w:val="num" w:pos="1170"/>
        </w:tabs>
        <w:spacing w:before="120" w:after="120"/>
        <w:ind w:left="1170" w:hanging="450"/>
        <w:jc w:val="center"/>
        <w:rPr>
          <w:rFonts w:ascii="Arial" w:hAnsi="Arial" w:cs="Arial"/>
          <w:b/>
          <w:lang w:val="es-ES_tradnl"/>
        </w:rPr>
        <w:sectPr w:rsidR="004468E4" w:rsidRPr="00083041" w:rsidSect="004468E4">
          <w:pgSz w:w="15842" w:h="12242" w:orient="landscape" w:code="1"/>
          <w:pgMar w:top="1797" w:right="1440" w:bottom="1797" w:left="1440" w:header="720" w:footer="720" w:gutter="0"/>
          <w:cols w:space="708"/>
          <w:docGrid w:linePitch="360"/>
        </w:sectPr>
      </w:pPr>
    </w:p>
    <w:p w14:paraId="136380B2" w14:textId="77777777" w:rsidR="004468E4" w:rsidRPr="00083041" w:rsidRDefault="004468E4" w:rsidP="006A2649">
      <w:pPr>
        <w:pStyle w:val="ListParagraph"/>
        <w:tabs>
          <w:tab w:val="num" w:pos="1170"/>
        </w:tabs>
        <w:spacing w:after="0" w:line="240" w:lineRule="auto"/>
        <w:ind w:left="1166" w:hanging="446"/>
        <w:contextualSpacing w:val="0"/>
        <w:jc w:val="center"/>
        <w:rPr>
          <w:rFonts w:ascii="Arial" w:hAnsi="Arial" w:cs="Arial"/>
          <w:b/>
          <w:color w:val="000000" w:themeColor="text1"/>
          <w:lang w:val="es-ES_tradnl"/>
        </w:rPr>
      </w:pPr>
    </w:p>
    <w:p w14:paraId="6B4CD8F2" w14:textId="77777777" w:rsidR="00FB2B31" w:rsidRPr="00083041" w:rsidRDefault="00FB2B31" w:rsidP="00FB2B31">
      <w:pPr>
        <w:pStyle w:val="Paragraph"/>
        <w:tabs>
          <w:tab w:val="clear" w:pos="2448"/>
        </w:tabs>
        <w:ind w:left="720" w:hanging="720"/>
        <w:rPr>
          <w:rFonts w:ascii="Arial" w:hAnsi="Arial" w:cs="Arial"/>
          <w:sz w:val="22"/>
          <w:szCs w:val="22"/>
          <w:lang w:val="es-ES_tradnl"/>
        </w:rPr>
      </w:pPr>
      <w:bookmarkStart w:id="30" w:name="_Toc389817819"/>
      <w:bookmarkStart w:id="31" w:name="_Toc389817820"/>
      <w:bookmarkStart w:id="32" w:name="_Toc389817821"/>
      <w:bookmarkStart w:id="33" w:name="_Toc389817822"/>
      <w:bookmarkStart w:id="34" w:name="_Toc388249755"/>
      <w:bookmarkStart w:id="35" w:name="_Ref388349433"/>
      <w:bookmarkEnd w:id="30"/>
      <w:bookmarkEnd w:id="31"/>
      <w:bookmarkEnd w:id="32"/>
      <w:bookmarkEnd w:id="33"/>
      <w:r w:rsidRPr="00083041">
        <w:rPr>
          <w:rFonts w:ascii="Arial" w:hAnsi="Arial" w:cs="Arial"/>
          <w:sz w:val="22"/>
          <w:szCs w:val="22"/>
          <w:lang w:val="es-ES_tradnl"/>
        </w:rPr>
        <w:t xml:space="preserve">El escenario anterior se sensibiliza a continuación en múltiples dimensiones. A saber, se consideran los </w:t>
      </w:r>
      <w:r w:rsidR="00D62F1D" w:rsidRPr="00083041">
        <w:rPr>
          <w:rFonts w:ascii="Arial" w:hAnsi="Arial" w:cs="Arial"/>
          <w:sz w:val="22"/>
          <w:szCs w:val="22"/>
          <w:lang w:val="es-ES_tradnl"/>
        </w:rPr>
        <w:t>siguientes escenarios</w:t>
      </w:r>
      <w:r w:rsidRPr="00083041">
        <w:rPr>
          <w:rFonts w:ascii="Arial" w:hAnsi="Arial" w:cs="Arial"/>
          <w:sz w:val="22"/>
          <w:szCs w:val="22"/>
          <w:lang w:val="es-ES_tradnl"/>
        </w:rPr>
        <w:t xml:space="preserve"> alternativos:</w:t>
      </w:r>
    </w:p>
    <w:p w14:paraId="7E2BA329" w14:textId="77777777" w:rsidR="00FB2B31" w:rsidRPr="00083041" w:rsidRDefault="00FB2B31" w:rsidP="00FB2B31">
      <w:pPr>
        <w:pStyle w:val="subpar"/>
        <w:tabs>
          <w:tab w:val="clear" w:pos="2304"/>
          <w:tab w:val="num" w:pos="1170"/>
        </w:tabs>
        <w:ind w:left="1170" w:hanging="450"/>
        <w:rPr>
          <w:rFonts w:ascii="Arial" w:hAnsi="Arial" w:cs="Arial"/>
          <w:sz w:val="22"/>
          <w:szCs w:val="22"/>
          <w:lang w:val="es-ES_tradnl"/>
        </w:rPr>
      </w:pPr>
      <w:r w:rsidRPr="00083041">
        <w:rPr>
          <w:rFonts w:ascii="Arial" w:hAnsi="Arial" w:cs="Arial"/>
          <w:b/>
          <w:sz w:val="22"/>
          <w:szCs w:val="22"/>
          <w:lang w:val="es-ES_tradnl"/>
        </w:rPr>
        <w:t>Variaciones de costos</w:t>
      </w:r>
      <w:r w:rsidRPr="00083041">
        <w:rPr>
          <w:rFonts w:ascii="Arial" w:hAnsi="Arial" w:cs="Arial"/>
          <w:sz w:val="22"/>
          <w:szCs w:val="22"/>
          <w:lang w:val="es-ES_tradnl"/>
        </w:rPr>
        <w:t xml:space="preserve">. En primer </w:t>
      </w:r>
      <w:r w:rsidR="00D62F1D" w:rsidRPr="00083041">
        <w:rPr>
          <w:rFonts w:ascii="Arial" w:hAnsi="Arial" w:cs="Arial"/>
          <w:sz w:val="22"/>
          <w:szCs w:val="22"/>
          <w:lang w:val="es-ES_tradnl"/>
        </w:rPr>
        <w:t>lugar,</w:t>
      </w:r>
      <w:r w:rsidRPr="00083041">
        <w:rPr>
          <w:rFonts w:ascii="Arial" w:hAnsi="Arial" w:cs="Arial"/>
          <w:sz w:val="22"/>
          <w:szCs w:val="22"/>
          <w:lang w:val="es-ES_tradnl"/>
        </w:rPr>
        <w:t xml:space="preserve"> se varía el escenario central en lo que hace a los costos </w:t>
      </w:r>
      <w:r w:rsidR="00EA4E82" w:rsidRPr="00083041">
        <w:rPr>
          <w:rFonts w:ascii="Arial" w:hAnsi="Arial" w:cs="Arial"/>
          <w:sz w:val="22"/>
          <w:szCs w:val="22"/>
          <w:lang w:val="es-ES_tradnl"/>
        </w:rPr>
        <w:t>de inversión y operación atribuibles</w:t>
      </w:r>
      <w:r w:rsidRPr="00083041">
        <w:rPr>
          <w:rFonts w:ascii="Arial" w:hAnsi="Arial" w:cs="Arial"/>
          <w:sz w:val="22"/>
          <w:szCs w:val="22"/>
          <w:lang w:val="es-ES_tradnl"/>
        </w:rPr>
        <w:t xml:space="preserve"> a la </w:t>
      </w:r>
      <w:r w:rsidR="00C35F7F" w:rsidRPr="00083041">
        <w:rPr>
          <w:rFonts w:ascii="Arial" w:hAnsi="Arial" w:cs="Arial"/>
          <w:sz w:val="22"/>
          <w:szCs w:val="22"/>
          <w:lang w:val="es-ES_tradnl"/>
        </w:rPr>
        <w:t>nueva operación.</w:t>
      </w:r>
      <w:r w:rsidR="00BB70AC" w:rsidRPr="00083041">
        <w:rPr>
          <w:rFonts w:ascii="Arial" w:hAnsi="Arial" w:cs="Arial"/>
          <w:sz w:val="22"/>
          <w:szCs w:val="22"/>
          <w:lang w:val="es-ES_tradnl"/>
        </w:rPr>
        <w:t xml:space="preserve"> Bajo esta premisa se incrementan en un 25% </w:t>
      </w:r>
      <w:r w:rsidR="001C72C2" w:rsidRPr="00083041">
        <w:rPr>
          <w:rFonts w:ascii="Arial" w:hAnsi="Arial" w:cs="Arial"/>
          <w:sz w:val="22"/>
          <w:szCs w:val="22"/>
          <w:lang w:val="es-ES_tradnl"/>
        </w:rPr>
        <w:t xml:space="preserve">(escenario I) y un 50% (escenario II) </w:t>
      </w:r>
      <w:r w:rsidR="00BB70AC" w:rsidRPr="00083041">
        <w:rPr>
          <w:rFonts w:ascii="Arial" w:hAnsi="Arial" w:cs="Arial"/>
          <w:sz w:val="22"/>
          <w:szCs w:val="22"/>
          <w:lang w:val="es-ES_tradnl"/>
        </w:rPr>
        <w:t>los costos totales tanto para mayoristas como para minoristas al mismo tiempo.</w:t>
      </w:r>
      <w:r w:rsidR="00C35F7F" w:rsidRPr="00083041">
        <w:rPr>
          <w:rFonts w:ascii="Arial" w:hAnsi="Arial" w:cs="Arial"/>
          <w:sz w:val="22"/>
          <w:szCs w:val="22"/>
          <w:lang w:val="es-ES_tradnl"/>
        </w:rPr>
        <w:t xml:space="preserve"> </w:t>
      </w:r>
    </w:p>
    <w:p w14:paraId="6B1F67C9" w14:textId="77777777" w:rsidR="00FB2B31" w:rsidRPr="00083041" w:rsidRDefault="00FB2B31" w:rsidP="00FB2B31">
      <w:pPr>
        <w:pStyle w:val="subpar"/>
        <w:tabs>
          <w:tab w:val="clear" w:pos="2304"/>
          <w:tab w:val="num" w:pos="1170"/>
        </w:tabs>
        <w:ind w:left="1170" w:hanging="450"/>
        <w:rPr>
          <w:rFonts w:ascii="Arial" w:hAnsi="Arial" w:cs="Arial"/>
          <w:sz w:val="22"/>
          <w:szCs w:val="22"/>
          <w:lang w:val="es-ES_tradnl"/>
        </w:rPr>
      </w:pPr>
      <w:r w:rsidRPr="00083041">
        <w:rPr>
          <w:rFonts w:ascii="Arial" w:hAnsi="Arial" w:cs="Arial"/>
          <w:b/>
          <w:sz w:val="22"/>
          <w:szCs w:val="22"/>
          <w:lang w:val="es-ES_tradnl"/>
        </w:rPr>
        <w:t xml:space="preserve">Variaciones precio </w:t>
      </w:r>
      <w:r w:rsidR="00BB70AC" w:rsidRPr="00083041">
        <w:rPr>
          <w:rFonts w:ascii="Arial" w:hAnsi="Arial" w:cs="Arial"/>
          <w:b/>
          <w:sz w:val="22"/>
          <w:szCs w:val="22"/>
          <w:lang w:val="es-ES_tradnl"/>
        </w:rPr>
        <w:t xml:space="preserve">por MB. </w:t>
      </w:r>
      <w:r w:rsidR="00246F22" w:rsidRPr="00083041">
        <w:rPr>
          <w:rFonts w:ascii="Arial" w:hAnsi="Arial" w:cs="Arial"/>
          <w:sz w:val="22"/>
          <w:szCs w:val="22"/>
          <w:lang w:val="es-ES_tradnl"/>
        </w:rPr>
        <w:t>Siguiendo lo anterior</w:t>
      </w:r>
      <w:r w:rsidRPr="00083041">
        <w:rPr>
          <w:rFonts w:ascii="Arial" w:hAnsi="Arial" w:cs="Arial"/>
          <w:sz w:val="22"/>
          <w:szCs w:val="22"/>
          <w:lang w:val="es-ES_tradnl"/>
        </w:rPr>
        <w:t xml:space="preserve">, también se varía el escenario central </w:t>
      </w:r>
      <w:r w:rsidR="00246F22" w:rsidRPr="00083041">
        <w:rPr>
          <w:rFonts w:ascii="Arial" w:hAnsi="Arial" w:cs="Arial"/>
          <w:sz w:val="22"/>
          <w:szCs w:val="22"/>
          <w:lang w:val="es-ES_tradnl"/>
        </w:rPr>
        <w:t>con respecto</w:t>
      </w:r>
      <w:r w:rsidRPr="00083041">
        <w:rPr>
          <w:rFonts w:ascii="Arial" w:hAnsi="Arial" w:cs="Arial"/>
          <w:sz w:val="22"/>
          <w:szCs w:val="22"/>
          <w:lang w:val="es-ES_tradnl"/>
        </w:rPr>
        <w:t xml:space="preserve"> a los precios de venta</w:t>
      </w:r>
      <w:r w:rsidR="00BB70AC" w:rsidRPr="00083041">
        <w:rPr>
          <w:rFonts w:ascii="Arial" w:hAnsi="Arial" w:cs="Arial"/>
          <w:sz w:val="22"/>
          <w:szCs w:val="22"/>
          <w:lang w:val="es-ES_tradnl"/>
        </w:rPr>
        <w:t xml:space="preserve"> que enfrentan consumidores y productores en el mercado. En este sentido se plantea un escenario donde los costes alcancen una reducción del 60% sobre la reducción prevista</w:t>
      </w:r>
      <w:r w:rsidR="001C72C2" w:rsidRPr="00083041">
        <w:rPr>
          <w:rFonts w:ascii="Arial" w:hAnsi="Arial" w:cs="Arial"/>
          <w:sz w:val="22"/>
          <w:szCs w:val="22"/>
          <w:lang w:val="es-ES_tradnl"/>
        </w:rPr>
        <w:t xml:space="preserve"> (escenario III).</w:t>
      </w:r>
    </w:p>
    <w:p w14:paraId="2EDD68A8" w14:textId="77777777" w:rsidR="00FB2B31" w:rsidRPr="00083041" w:rsidRDefault="00BB70AC" w:rsidP="00FB2B31">
      <w:pPr>
        <w:pStyle w:val="subpar"/>
        <w:tabs>
          <w:tab w:val="clear" w:pos="2304"/>
          <w:tab w:val="num" w:pos="1170"/>
        </w:tabs>
        <w:ind w:left="1170" w:hanging="450"/>
        <w:rPr>
          <w:rFonts w:ascii="Arial" w:hAnsi="Arial" w:cs="Arial"/>
          <w:sz w:val="22"/>
          <w:szCs w:val="22"/>
          <w:lang w:val="es-ES_tradnl"/>
        </w:rPr>
      </w:pPr>
      <w:r w:rsidRPr="00083041">
        <w:rPr>
          <w:rFonts w:ascii="Arial" w:hAnsi="Arial" w:cs="Arial"/>
          <w:b/>
          <w:sz w:val="22"/>
          <w:szCs w:val="22"/>
          <w:lang w:val="es-ES_tradnl"/>
        </w:rPr>
        <w:t xml:space="preserve">Variación de la demanda. </w:t>
      </w:r>
      <w:r w:rsidRPr="00083041">
        <w:rPr>
          <w:rFonts w:ascii="Arial" w:hAnsi="Arial" w:cs="Arial"/>
          <w:sz w:val="22"/>
          <w:szCs w:val="22"/>
          <w:lang w:val="es-ES_tradnl"/>
        </w:rPr>
        <w:t>Se plantea un escenario donde el tráfico de la banda ancha no alcance las cotas establecidas, quedándose en un 60% de la demanda esperada de MBs</w:t>
      </w:r>
      <w:r w:rsidR="001C72C2" w:rsidRPr="00083041">
        <w:rPr>
          <w:rFonts w:ascii="Arial" w:hAnsi="Arial" w:cs="Arial"/>
          <w:sz w:val="22"/>
          <w:szCs w:val="22"/>
          <w:lang w:val="es-ES_tradnl"/>
        </w:rPr>
        <w:t xml:space="preserve"> (escenario IV)</w:t>
      </w:r>
      <w:r w:rsidRPr="00083041">
        <w:rPr>
          <w:rFonts w:ascii="Arial" w:hAnsi="Arial" w:cs="Arial"/>
          <w:sz w:val="22"/>
          <w:szCs w:val="22"/>
          <w:lang w:val="es-ES_tradnl"/>
        </w:rPr>
        <w:t>.</w:t>
      </w:r>
      <w:r w:rsidR="00FB2B31" w:rsidRPr="00083041">
        <w:rPr>
          <w:rFonts w:ascii="Arial" w:hAnsi="Arial" w:cs="Arial"/>
          <w:sz w:val="22"/>
          <w:szCs w:val="22"/>
          <w:lang w:val="es-ES_tradnl"/>
        </w:rPr>
        <w:t xml:space="preserve"> </w:t>
      </w:r>
    </w:p>
    <w:p w14:paraId="7F04B863" w14:textId="77777777" w:rsidR="00BB70AC" w:rsidRPr="00083041" w:rsidRDefault="00BB70AC" w:rsidP="00FB2B31">
      <w:pPr>
        <w:pStyle w:val="subpar"/>
        <w:tabs>
          <w:tab w:val="clear" w:pos="2304"/>
          <w:tab w:val="num" w:pos="1170"/>
        </w:tabs>
        <w:ind w:left="1170" w:hanging="450"/>
        <w:rPr>
          <w:rFonts w:ascii="Arial" w:hAnsi="Arial" w:cs="Arial"/>
          <w:sz w:val="22"/>
          <w:szCs w:val="22"/>
          <w:lang w:val="es-ES_tradnl"/>
        </w:rPr>
      </w:pPr>
      <w:r w:rsidRPr="00083041">
        <w:rPr>
          <w:rFonts w:ascii="Arial" w:hAnsi="Arial" w:cs="Arial"/>
          <w:b/>
          <w:sz w:val="22"/>
          <w:szCs w:val="22"/>
          <w:lang w:val="es-ES_tradnl"/>
        </w:rPr>
        <w:t xml:space="preserve">Escenario de nivelación. </w:t>
      </w:r>
      <w:r w:rsidRPr="00083041">
        <w:rPr>
          <w:rFonts w:ascii="Arial" w:hAnsi="Arial" w:cs="Arial"/>
          <w:sz w:val="22"/>
          <w:szCs w:val="22"/>
          <w:lang w:val="es-ES_tradnl"/>
        </w:rPr>
        <w:t>En este caso se plantea un escenario donde se d</w:t>
      </w:r>
      <w:r w:rsidR="00B42228" w:rsidRPr="00083041">
        <w:rPr>
          <w:rFonts w:ascii="Arial" w:hAnsi="Arial" w:cs="Arial"/>
          <w:sz w:val="22"/>
          <w:szCs w:val="22"/>
          <w:lang w:val="es-ES_tradnl"/>
        </w:rPr>
        <w:t>é</w:t>
      </w:r>
      <w:r w:rsidRPr="00083041">
        <w:rPr>
          <w:rFonts w:ascii="Arial" w:hAnsi="Arial" w:cs="Arial"/>
          <w:sz w:val="22"/>
          <w:szCs w:val="22"/>
          <w:lang w:val="es-ES_tradnl"/>
        </w:rPr>
        <w:t xml:space="preserve"> a la vez un aumento de los costes, una reducción de precios menor a la del escenario central y una demanda del % sobre el escenario central planteado</w:t>
      </w:r>
      <w:r w:rsidR="001C72C2" w:rsidRPr="00083041">
        <w:rPr>
          <w:rFonts w:ascii="Arial" w:hAnsi="Arial" w:cs="Arial"/>
          <w:sz w:val="22"/>
          <w:szCs w:val="22"/>
          <w:lang w:val="es-ES_tradnl"/>
        </w:rPr>
        <w:t xml:space="preserve"> (escenario V)</w:t>
      </w:r>
      <w:r w:rsidRPr="00083041">
        <w:rPr>
          <w:rFonts w:ascii="Arial" w:hAnsi="Arial" w:cs="Arial"/>
          <w:sz w:val="22"/>
          <w:szCs w:val="22"/>
          <w:lang w:val="es-ES_tradnl"/>
        </w:rPr>
        <w:t>.</w:t>
      </w:r>
    </w:p>
    <w:p w14:paraId="7322B97B" w14:textId="24DA544E" w:rsidR="00A44DE7" w:rsidRPr="008C0E9E" w:rsidRDefault="00C208B2" w:rsidP="008C0E9E">
      <w:pPr>
        <w:pStyle w:val="Paragraph"/>
        <w:tabs>
          <w:tab w:val="clear" w:pos="2448"/>
        </w:tabs>
        <w:ind w:left="720" w:hanging="720"/>
        <w:rPr>
          <w:rFonts w:ascii="Arial" w:hAnsi="Arial" w:cs="Arial"/>
          <w:b/>
          <w:lang w:val="es-ES_tradnl"/>
        </w:rPr>
      </w:pPr>
      <w:r w:rsidRPr="00083041">
        <w:rPr>
          <w:rFonts w:ascii="Arial" w:hAnsi="Arial" w:cs="Arial"/>
          <w:sz w:val="22"/>
          <w:szCs w:val="22"/>
          <w:lang w:val="es-ES_tradnl"/>
        </w:rPr>
        <w:t>El C</w:t>
      </w:r>
      <w:r w:rsidR="00FB2B31" w:rsidRPr="00083041">
        <w:rPr>
          <w:rFonts w:ascii="Arial" w:hAnsi="Arial" w:cs="Arial"/>
          <w:sz w:val="22"/>
          <w:szCs w:val="22"/>
          <w:lang w:val="es-ES_tradnl"/>
        </w:rPr>
        <w:t>uadro 2 a continuación resume los resultados de los puntos anteriores. Como puede verse, los resultados</w:t>
      </w:r>
      <w:r w:rsidR="001C72C2" w:rsidRPr="00083041">
        <w:rPr>
          <w:rFonts w:ascii="Arial" w:hAnsi="Arial" w:cs="Arial"/>
          <w:sz w:val="22"/>
          <w:szCs w:val="22"/>
          <w:lang w:val="es-ES_tradnl"/>
        </w:rPr>
        <w:t xml:space="preserve"> observado</w:t>
      </w:r>
      <w:r w:rsidR="00B42228" w:rsidRPr="00083041">
        <w:rPr>
          <w:rFonts w:ascii="Arial" w:hAnsi="Arial" w:cs="Arial"/>
          <w:sz w:val="22"/>
          <w:szCs w:val="22"/>
          <w:lang w:val="es-ES_tradnl"/>
        </w:rPr>
        <w:t>s</w:t>
      </w:r>
      <w:r w:rsidR="001C72C2" w:rsidRPr="00083041">
        <w:rPr>
          <w:rFonts w:ascii="Arial" w:hAnsi="Arial" w:cs="Arial"/>
          <w:sz w:val="22"/>
          <w:szCs w:val="22"/>
          <w:lang w:val="es-ES_tradnl"/>
        </w:rPr>
        <w:t xml:space="preserve"> bajo los distintos escenarios de sensibilización se mantienen siempre positivos. </w:t>
      </w:r>
      <w:r w:rsidR="006363A2" w:rsidRPr="00083041">
        <w:rPr>
          <w:rFonts w:ascii="Arial" w:hAnsi="Arial" w:cs="Arial"/>
          <w:sz w:val="22"/>
          <w:szCs w:val="22"/>
          <w:lang w:val="es-ES_tradnl"/>
        </w:rPr>
        <w:t>Además,</w:t>
      </w:r>
      <w:r w:rsidR="001C72C2" w:rsidRPr="00083041">
        <w:rPr>
          <w:rFonts w:ascii="Arial" w:hAnsi="Arial" w:cs="Arial"/>
          <w:sz w:val="22"/>
          <w:szCs w:val="22"/>
          <w:lang w:val="es-ES_tradnl"/>
        </w:rPr>
        <w:t xml:space="preserve"> puede inferirse que el tráfico final de MB -o, dicho de otro modo, la demanda- es el </w:t>
      </w:r>
      <w:r w:rsidR="00A44DE7" w:rsidRPr="00083041">
        <w:rPr>
          <w:rFonts w:ascii="Arial" w:hAnsi="Arial" w:cs="Arial"/>
          <w:sz w:val="22"/>
          <w:szCs w:val="22"/>
          <w:lang w:val="es-ES_tradnl"/>
        </w:rPr>
        <w:t>parámetro con más efecto sobre el resultado del proyecto. En este sentido cabe señalar que las predicciones de demanda presentadas para el escena</w:t>
      </w:r>
      <w:r w:rsidR="00A44DE7" w:rsidRPr="008C0E9E">
        <w:rPr>
          <w:rFonts w:ascii="Arial" w:hAnsi="Arial" w:cs="Arial"/>
          <w:sz w:val="22"/>
          <w:szCs w:val="22"/>
          <w:lang w:val="es-ES_tradnl"/>
        </w:rPr>
        <w:t xml:space="preserve">rio central son de hecho conservadoras y una disminución del 40% sobre esa predicción sería un escenario poco probable y muy fatalista que incrementaría aún más la brecha de tráfico entre México y el resto de países de la OCDE. </w:t>
      </w:r>
    </w:p>
    <w:p w14:paraId="163285EB" w14:textId="77777777" w:rsidR="00FB2B31" w:rsidRPr="00083041" w:rsidRDefault="00FB2B31" w:rsidP="00A44DE7">
      <w:pPr>
        <w:pStyle w:val="Paragraph"/>
        <w:numPr>
          <w:ilvl w:val="0"/>
          <w:numId w:val="0"/>
        </w:numPr>
        <w:ind w:left="720" w:firstLine="696"/>
        <w:rPr>
          <w:rFonts w:ascii="Arial" w:hAnsi="Arial" w:cs="Arial"/>
          <w:b/>
          <w:lang w:val="es-ES_tradnl"/>
        </w:rPr>
      </w:pPr>
      <w:r w:rsidRPr="00083041">
        <w:rPr>
          <w:rFonts w:ascii="Arial" w:hAnsi="Arial" w:cs="Arial"/>
          <w:b/>
          <w:lang w:val="es-ES_tradnl"/>
        </w:rPr>
        <w:t>Cuadro 2</w:t>
      </w:r>
      <w:r w:rsidR="00022A9F" w:rsidRPr="00083041">
        <w:rPr>
          <w:rFonts w:ascii="Arial" w:hAnsi="Arial" w:cs="Arial"/>
          <w:b/>
          <w:lang w:val="es-ES_tradnl"/>
        </w:rPr>
        <w:t xml:space="preserve">. </w:t>
      </w:r>
      <w:r w:rsidRPr="00083041">
        <w:rPr>
          <w:rFonts w:ascii="Arial" w:hAnsi="Arial" w:cs="Arial"/>
          <w:b/>
          <w:lang w:val="es-ES_tradnl"/>
        </w:rPr>
        <w:t xml:space="preserve">Resumen del impacto sobre el </w:t>
      </w:r>
      <w:r w:rsidR="009C088C" w:rsidRPr="00083041">
        <w:rPr>
          <w:rFonts w:ascii="Arial" w:hAnsi="Arial" w:cs="Arial"/>
          <w:b/>
          <w:lang w:val="es-ES_tradnl"/>
        </w:rPr>
        <w:t>VAN</w:t>
      </w:r>
    </w:p>
    <w:tbl>
      <w:tblPr>
        <w:tblW w:w="8555"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75"/>
        <w:gridCol w:w="1240"/>
        <w:gridCol w:w="1280"/>
        <w:gridCol w:w="1320"/>
        <w:gridCol w:w="1400"/>
        <w:gridCol w:w="1340"/>
      </w:tblGrid>
      <w:tr w:rsidR="001C72C2" w:rsidRPr="00CF484C" w14:paraId="4BC41ACF" w14:textId="77777777" w:rsidTr="001C72C2">
        <w:trPr>
          <w:trHeight w:val="332"/>
          <w:jc w:val="center"/>
        </w:trPr>
        <w:tc>
          <w:tcPr>
            <w:tcW w:w="1975" w:type="dxa"/>
            <w:tcBorders>
              <w:top w:val="double" w:sz="4" w:space="0" w:color="auto"/>
              <w:bottom w:val="single" w:sz="4" w:space="0" w:color="auto"/>
            </w:tcBorders>
            <w:shd w:val="clear" w:color="auto" w:fill="auto"/>
            <w:noWrap/>
            <w:vAlign w:val="center"/>
            <w:hideMark/>
          </w:tcPr>
          <w:p w14:paraId="2B4840F2" w14:textId="77777777" w:rsidR="001C72C2" w:rsidRPr="00083041" w:rsidRDefault="001C72C2" w:rsidP="00636266">
            <w:pPr>
              <w:spacing w:after="0" w:line="240" w:lineRule="auto"/>
              <w:jc w:val="center"/>
              <w:rPr>
                <w:rFonts w:ascii="Arial" w:eastAsia="Times New Roman" w:hAnsi="Arial" w:cs="Arial"/>
                <w:b/>
                <w:sz w:val="18"/>
                <w:szCs w:val="24"/>
                <w:lang w:val="es-ES_tradnl" w:eastAsia="en-US"/>
              </w:rPr>
            </w:pPr>
          </w:p>
        </w:tc>
        <w:tc>
          <w:tcPr>
            <w:tcW w:w="1240" w:type="dxa"/>
            <w:tcBorders>
              <w:top w:val="double" w:sz="4" w:space="0" w:color="auto"/>
              <w:bottom w:val="single" w:sz="4" w:space="0" w:color="auto"/>
            </w:tcBorders>
            <w:shd w:val="clear" w:color="auto" w:fill="auto"/>
            <w:noWrap/>
            <w:vAlign w:val="center"/>
            <w:hideMark/>
          </w:tcPr>
          <w:p w14:paraId="0DF03CB7" w14:textId="77777777" w:rsidR="001C72C2" w:rsidRPr="00083041" w:rsidRDefault="001C72C2" w:rsidP="00636266">
            <w:pPr>
              <w:spacing w:after="0" w:line="240" w:lineRule="auto"/>
              <w:jc w:val="center"/>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Escenario I</w:t>
            </w:r>
          </w:p>
        </w:tc>
        <w:tc>
          <w:tcPr>
            <w:tcW w:w="1280" w:type="dxa"/>
            <w:tcBorders>
              <w:top w:val="double" w:sz="4" w:space="0" w:color="auto"/>
              <w:bottom w:val="single" w:sz="4" w:space="0" w:color="auto"/>
            </w:tcBorders>
            <w:shd w:val="clear" w:color="auto" w:fill="auto"/>
            <w:noWrap/>
            <w:vAlign w:val="center"/>
            <w:hideMark/>
          </w:tcPr>
          <w:p w14:paraId="5455DFD1" w14:textId="77777777" w:rsidR="001C72C2" w:rsidRPr="00083041" w:rsidRDefault="001C72C2" w:rsidP="00636266">
            <w:pPr>
              <w:spacing w:after="0" w:line="240" w:lineRule="auto"/>
              <w:jc w:val="center"/>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Escenario II</w:t>
            </w:r>
          </w:p>
        </w:tc>
        <w:tc>
          <w:tcPr>
            <w:tcW w:w="1320" w:type="dxa"/>
            <w:tcBorders>
              <w:top w:val="double" w:sz="4" w:space="0" w:color="auto"/>
              <w:bottom w:val="single" w:sz="4" w:space="0" w:color="auto"/>
            </w:tcBorders>
            <w:shd w:val="clear" w:color="auto" w:fill="auto"/>
            <w:noWrap/>
            <w:vAlign w:val="center"/>
            <w:hideMark/>
          </w:tcPr>
          <w:p w14:paraId="7D783CA0" w14:textId="77777777" w:rsidR="001C72C2" w:rsidRPr="00083041" w:rsidRDefault="001C72C2" w:rsidP="00636266">
            <w:pPr>
              <w:spacing w:after="0" w:line="240" w:lineRule="auto"/>
              <w:jc w:val="center"/>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Escenario III</w:t>
            </w:r>
          </w:p>
        </w:tc>
        <w:tc>
          <w:tcPr>
            <w:tcW w:w="1400" w:type="dxa"/>
            <w:tcBorders>
              <w:top w:val="double" w:sz="4" w:space="0" w:color="auto"/>
              <w:bottom w:val="single" w:sz="4" w:space="0" w:color="auto"/>
            </w:tcBorders>
            <w:shd w:val="clear" w:color="auto" w:fill="auto"/>
            <w:noWrap/>
            <w:vAlign w:val="center"/>
            <w:hideMark/>
          </w:tcPr>
          <w:p w14:paraId="08BAAEF4" w14:textId="77777777" w:rsidR="001C72C2" w:rsidRPr="00083041" w:rsidRDefault="001C72C2" w:rsidP="00636266">
            <w:pPr>
              <w:spacing w:after="0" w:line="240" w:lineRule="auto"/>
              <w:jc w:val="center"/>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Escenario IV</w:t>
            </w:r>
          </w:p>
        </w:tc>
        <w:tc>
          <w:tcPr>
            <w:tcW w:w="1340" w:type="dxa"/>
            <w:tcBorders>
              <w:top w:val="double" w:sz="4" w:space="0" w:color="auto"/>
              <w:bottom w:val="single" w:sz="4" w:space="0" w:color="auto"/>
            </w:tcBorders>
            <w:shd w:val="clear" w:color="auto" w:fill="auto"/>
            <w:noWrap/>
            <w:vAlign w:val="center"/>
            <w:hideMark/>
          </w:tcPr>
          <w:p w14:paraId="7CD67E9C" w14:textId="77777777" w:rsidR="001C72C2" w:rsidRPr="00083041" w:rsidRDefault="001C72C2" w:rsidP="00636266">
            <w:pPr>
              <w:spacing w:after="0" w:line="240" w:lineRule="auto"/>
              <w:jc w:val="center"/>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Escenario V</w:t>
            </w:r>
          </w:p>
        </w:tc>
      </w:tr>
      <w:tr w:rsidR="001C72C2" w:rsidRPr="00CF484C" w14:paraId="2A543D79" w14:textId="77777777" w:rsidTr="001C72C2">
        <w:trPr>
          <w:trHeight w:val="340"/>
          <w:jc w:val="center"/>
        </w:trPr>
        <w:tc>
          <w:tcPr>
            <w:tcW w:w="1975" w:type="dxa"/>
            <w:tcBorders>
              <w:top w:val="single" w:sz="4" w:space="0" w:color="auto"/>
              <w:bottom w:val="single" w:sz="4" w:space="0" w:color="auto"/>
            </w:tcBorders>
            <w:shd w:val="clear" w:color="auto" w:fill="F2F2F2" w:themeFill="background1" w:themeFillShade="F2"/>
            <w:noWrap/>
            <w:vAlign w:val="center"/>
            <w:hideMark/>
          </w:tcPr>
          <w:p w14:paraId="3D456605" w14:textId="77777777" w:rsidR="001C72C2" w:rsidRPr="00083041" w:rsidRDefault="001C72C2" w:rsidP="00636266">
            <w:pPr>
              <w:spacing w:after="0" w:line="240" w:lineRule="auto"/>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 xml:space="preserve">+25% costes </w:t>
            </w:r>
          </w:p>
        </w:tc>
        <w:tc>
          <w:tcPr>
            <w:tcW w:w="1240" w:type="dxa"/>
            <w:tcBorders>
              <w:top w:val="single" w:sz="4" w:space="0" w:color="auto"/>
              <w:bottom w:val="single" w:sz="4" w:space="0" w:color="auto"/>
            </w:tcBorders>
            <w:shd w:val="clear" w:color="auto" w:fill="F2F2F2" w:themeFill="background1" w:themeFillShade="F2"/>
            <w:noWrap/>
            <w:vAlign w:val="center"/>
            <w:hideMark/>
          </w:tcPr>
          <w:p w14:paraId="2A679A18"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r w:rsidRPr="00083041">
              <w:rPr>
                <w:rFonts w:ascii="Arial" w:eastAsia="Times New Roman" w:hAnsi="Arial" w:cs="Arial"/>
                <w:color w:val="000000"/>
                <w:sz w:val="18"/>
                <w:lang w:val="es-ES_tradnl" w:eastAsia="en-US"/>
              </w:rPr>
              <w:t>2.049</w:t>
            </w:r>
          </w:p>
        </w:tc>
        <w:tc>
          <w:tcPr>
            <w:tcW w:w="1280" w:type="dxa"/>
            <w:tcBorders>
              <w:top w:val="single" w:sz="4" w:space="0" w:color="auto"/>
              <w:bottom w:val="single" w:sz="4" w:space="0" w:color="auto"/>
            </w:tcBorders>
            <w:shd w:val="clear" w:color="auto" w:fill="F2F2F2" w:themeFill="background1" w:themeFillShade="F2"/>
            <w:noWrap/>
            <w:vAlign w:val="center"/>
            <w:hideMark/>
          </w:tcPr>
          <w:p w14:paraId="638F611C"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p>
        </w:tc>
        <w:tc>
          <w:tcPr>
            <w:tcW w:w="1320" w:type="dxa"/>
            <w:tcBorders>
              <w:top w:val="single" w:sz="4" w:space="0" w:color="auto"/>
              <w:bottom w:val="single" w:sz="4" w:space="0" w:color="auto"/>
            </w:tcBorders>
            <w:shd w:val="clear" w:color="auto" w:fill="F2F2F2" w:themeFill="background1" w:themeFillShade="F2"/>
            <w:noWrap/>
            <w:vAlign w:val="center"/>
            <w:hideMark/>
          </w:tcPr>
          <w:p w14:paraId="0E8D5993"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400" w:type="dxa"/>
            <w:tcBorders>
              <w:top w:val="single" w:sz="4" w:space="0" w:color="auto"/>
              <w:bottom w:val="single" w:sz="4" w:space="0" w:color="auto"/>
            </w:tcBorders>
            <w:shd w:val="clear" w:color="auto" w:fill="F2F2F2" w:themeFill="background1" w:themeFillShade="F2"/>
            <w:noWrap/>
            <w:vAlign w:val="center"/>
            <w:hideMark/>
          </w:tcPr>
          <w:p w14:paraId="5FB20D2E"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340" w:type="dxa"/>
            <w:tcBorders>
              <w:top w:val="single" w:sz="4" w:space="0" w:color="auto"/>
              <w:bottom w:val="single" w:sz="4" w:space="0" w:color="auto"/>
            </w:tcBorders>
            <w:shd w:val="clear" w:color="auto" w:fill="F2F2F2" w:themeFill="background1" w:themeFillShade="F2"/>
            <w:noWrap/>
            <w:vAlign w:val="center"/>
            <w:hideMark/>
          </w:tcPr>
          <w:p w14:paraId="4CB08111"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r>
      <w:tr w:rsidR="001C72C2" w:rsidRPr="00CF484C" w14:paraId="3F365DC2" w14:textId="77777777" w:rsidTr="001C72C2">
        <w:trPr>
          <w:trHeight w:val="340"/>
          <w:jc w:val="center"/>
        </w:trPr>
        <w:tc>
          <w:tcPr>
            <w:tcW w:w="1975" w:type="dxa"/>
            <w:tcBorders>
              <w:top w:val="single" w:sz="4" w:space="0" w:color="auto"/>
              <w:bottom w:val="single" w:sz="4" w:space="0" w:color="auto"/>
            </w:tcBorders>
            <w:shd w:val="clear" w:color="auto" w:fill="auto"/>
            <w:noWrap/>
            <w:vAlign w:val="center"/>
            <w:hideMark/>
          </w:tcPr>
          <w:p w14:paraId="7CC70BB1" w14:textId="77777777" w:rsidR="001C72C2" w:rsidRPr="00083041" w:rsidRDefault="001C72C2" w:rsidP="00636266">
            <w:pPr>
              <w:spacing w:after="0" w:line="240" w:lineRule="auto"/>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+50% costes</w:t>
            </w:r>
          </w:p>
        </w:tc>
        <w:tc>
          <w:tcPr>
            <w:tcW w:w="1240" w:type="dxa"/>
            <w:tcBorders>
              <w:top w:val="single" w:sz="4" w:space="0" w:color="auto"/>
              <w:bottom w:val="single" w:sz="4" w:space="0" w:color="auto"/>
            </w:tcBorders>
            <w:shd w:val="clear" w:color="auto" w:fill="auto"/>
            <w:noWrap/>
            <w:vAlign w:val="center"/>
            <w:hideMark/>
          </w:tcPr>
          <w:p w14:paraId="7B18831A"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p>
        </w:tc>
        <w:tc>
          <w:tcPr>
            <w:tcW w:w="1280" w:type="dxa"/>
            <w:tcBorders>
              <w:top w:val="single" w:sz="4" w:space="0" w:color="auto"/>
              <w:bottom w:val="single" w:sz="4" w:space="0" w:color="auto"/>
            </w:tcBorders>
            <w:shd w:val="clear" w:color="auto" w:fill="auto"/>
            <w:noWrap/>
            <w:vAlign w:val="center"/>
            <w:hideMark/>
          </w:tcPr>
          <w:p w14:paraId="766A7BBF"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r w:rsidRPr="00083041">
              <w:rPr>
                <w:rFonts w:ascii="Arial" w:eastAsia="Times New Roman" w:hAnsi="Arial" w:cs="Arial"/>
                <w:color w:val="000000"/>
                <w:sz w:val="18"/>
                <w:lang w:val="es-ES_tradnl" w:eastAsia="en-US"/>
              </w:rPr>
              <w:t>1.697</w:t>
            </w:r>
          </w:p>
        </w:tc>
        <w:tc>
          <w:tcPr>
            <w:tcW w:w="1320" w:type="dxa"/>
            <w:tcBorders>
              <w:top w:val="single" w:sz="4" w:space="0" w:color="auto"/>
              <w:bottom w:val="single" w:sz="4" w:space="0" w:color="auto"/>
            </w:tcBorders>
            <w:shd w:val="clear" w:color="auto" w:fill="auto"/>
            <w:noWrap/>
            <w:vAlign w:val="center"/>
            <w:hideMark/>
          </w:tcPr>
          <w:p w14:paraId="6E1A3F9A"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p>
        </w:tc>
        <w:tc>
          <w:tcPr>
            <w:tcW w:w="1400" w:type="dxa"/>
            <w:tcBorders>
              <w:top w:val="single" w:sz="4" w:space="0" w:color="auto"/>
              <w:bottom w:val="single" w:sz="4" w:space="0" w:color="auto"/>
            </w:tcBorders>
            <w:shd w:val="clear" w:color="auto" w:fill="auto"/>
            <w:noWrap/>
            <w:vAlign w:val="center"/>
            <w:hideMark/>
          </w:tcPr>
          <w:p w14:paraId="0006E279"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340" w:type="dxa"/>
            <w:tcBorders>
              <w:top w:val="single" w:sz="4" w:space="0" w:color="auto"/>
              <w:bottom w:val="single" w:sz="4" w:space="0" w:color="auto"/>
            </w:tcBorders>
            <w:shd w:val="clear" w:color="auto" w:fill="auto"/>
            <w:noWrap/>
            <w:vAlign w:val="center"/>
            <w:hideMark/>
          </w:tcPr>
          <w:p w14:paraId="232AE23F"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r>
      <w:tr w:rsidR="001C72C2" w:rsidRPr="00CF484C" w14:paraId="37482CF5" w14:textId="77777777" w:rsidTr="001C72C2">
        <w:trPr>
          <w:trHeight w:val="340"/>
          <w:jc w:val="center"/>
        </w:trPr>
        <w:tc>
          <w:tcPr>
            <w:tcW w:w="1975" w:type="dxa"/>
            <w:tcBorders>
              <w:top w:val="single" w:sz="4" w:space="0" w:color="auto"/>
              <w:bottom w:val="single" w:sz="4" w:space="0" w:color="auto"/>
            </w:tcBorders>
            <w:shd w:val="clear" w:color="auto" w:fill="F2F2F2" w:themeFill="background1" w:themeFillShade="F2"/>
            <w:noWrap/>
            <w:vAlign w:val="center"/>
            <w:hideMark/>
          </w:tcPr>
          <w:p w14:paraId="23B7BEE9" w14:textId="77777777" w:rsidR="001C72C2" w:rsidRPr="00083041" w:rsidRDefault="001C72C2" w:rsidP="00636266">
            <w:pPr>
              <w:spacing w:after="0" w:line="240" w:lineRule="auto"/>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+40% precios</w:t>
            </w:r>
          </w:p>
        </w:tc>
        <w:tc>
          <w:tcPr>
            <w:tcW w:w="1240" w:type="dxa"/>
            <w:tcBorders>
              <w:top w:val="single" w:sz="4" w:space="0" w:color="auto"/>
              <w:bottom w:val="single" w:sz="4" w:space="0" w:color="auto"/>
            </w:tcBorders>
            <w:shd w:val="clear" w:color="auto" w:fill="F2F2F2" w:themeFill="background1" w:themeFillShade="F2"/>
            <w:noWrap/>
            <w:vAlign w:val="center"/>
            <w:hideMark/>
          </w:tcPr>
          <w:p w14:paraId="5B23A58B"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p>
        </w:tc>
        <w:tc>
          <w:tcPr>
            <w:tcW w:w="1280" w:type="dxa"/>
            <w:tcBorders>
              <w:top w:val="single" w:sz="4" w:space="0" w:color="auto"/>
              <w:bottom w:val="single" w:sz="4" w:space="0" w:color="auto"/>
            </w:tcBorders>
            <w:shd w:val="clear" w:color="auto" w:fill="F2F2F2" w:themeFill="background1" w:themeFillShade="F2"/>
            <w:noWrap/>
            <w:vAlign w:val="center"/>
            <w:hideMark/>
          </w:tcPr>
          <w:p w14:paraId="0192A87B"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320" w:type="dxa"/>
            <w:tcBorders>
              <w:top w:val="single" w:sz="4" w:space="0" w:color="auto"/>
              <w:bottom w:val="single" w:sz="4" w:space="0" w:color="auto"/>
            </w:tcBorders>
            <w:shd w:val="clear" w:color="auto" w:fill="F2F2F2" w:themeFill="background1" w:themeFillShade="F2"/>
            <w:noWrap/>
            <w:vAlign w:val="center"/>
            <w:hideMark/>
          </w:tcPr>
          <w:p w14:paraId="72562822"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r w:rsidRPr="00083041">
              <w:rPr>
                <w:rFonts w:ascii="Arial" w:eastAsia="Times New Roman" w:hAnsi="Arial" w:cs="Arial"/>
                <w:color w:val="000000"/>
                <w:sz w:val="18"/>
                <w:lang w:val="es-ES_tradnl" w:eastAsia="en-US"/>
              </w:rPr>
              <w:t>1.838</w:t>
            </w:r>
          </w:p>
        </w:tc>
        <w:tc>
          <w:tcPr>
            <w:tcW w:w="1400" w:type="dxa"/>
            <w:tcBorders>
              <w:top w:val="single" w:sz="4" w:space="0" w:color="auto"/>
              <w:bottom w:val="single" w:sz="4" w:space="0" w:color="auto"/>
            </w:tcBorders>
            <w:shd w:val="clear" w:color="auto" w:fill="F2F2F2" w:themeFill="background1" w:themeFillShade="F2"/>
            <w:noWrap/>
            <w:vAlign w:val="center"/>
            <w:hideMark/>
          </w:tcPr>
          <w:p w14:paraId="6E4E9C0F"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p>
        </w:tc>
        <w:tc>
          <w:tcPr>
            <w:tcW w:w="1340" w:type="dxa"/>
            <w:tcBorders>
              <w:top w:val="single" w:sz="4" w:space="0" w:color="auto"/>
              <w:bottom w:val="single" w:sz="4" w:space="0" w:color="auto"/>
            </w:tcBorders>
            <w:shd w:val="clear" w:color="auto" w:fill="F2F2F2" w:themeFill="background1" w:themeFillShade="F2"/>
            <w:noWrap/>
            <w:vAlign w:val="center"/>
            <w:hideMark/>
          </w:tcPr>
          <w:p w14:paraId="58C5CCA1"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r>
      <w:tr w:rsidR="001C72C2" w:rsidRPr="00CF484C" w14:paraId="3A8256F7" w14:textId="77777777" w:rsidTr="001C72C2">
        <w:trPr>
          <w:trHeight w:val="340"/>
          <w:jc w:val="center"/>
        </w:trPr>
        <w:tc>
          <w:tcPr>
            <w:tcW w:w="1975" w:type="dxa"/>
            <w:tcBorders>
              <w:top w:val="single" w:sz="4" w:space="0" w:color="auto"/>
              <w:bottom w:val="single" w:sz="4" w:space="0" w:color="auto"/>
            </w:tcBorders>
            <w:shd w:val="clear" w:color="auto" w:fill="auto"/>
            <w:noWrap/>
            <w:vAlign w:val="center"/>
            <w:hideMark/>
          </w:tcPr>
          <w:p w14:paraId="66F17F21" w14:textId="77777777" w:rsidR="001C72C2" w:rsidRPr="00083041" w:rsidRDefault="001C72C2" w:rsidP="00636266">
            <w:pPr>
              <w:spacing w:after="0" w:line="240" w:lineRule="auto"/>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-40% tráfico</w:t>
            </w:r>
          </w:p>
        </w:tc>
        <w:tc>
          <w:tcPr>
            <w:tcW w:w="1240" w:type="dxa"/>
            <w:tcBorders>
              <w:top w:val="single" w:sz="4" w:space="0" w:color="auto"/>
              <w:bottom w:val="single" w:sz="4" w:space="0" w:color="auto"/>
            </w:tcBorders>
            <w:shd w:val="clear" w:color="auto" w:fill="auto"/>
            <w:noWrap/>
            <w:vAlign w:val="center"/>
            <w:hideMark/>
          </w:tcPr>
          <w:p w14:paraId="59A703CE"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p>
        </w:tc>
        <w:tc>
          <w:tcPr>
            <w:tcW w:w="1280" w:type="dxa"/>
            <w:tcBorders>
              <w:top w:val="single" w:sz="4" w:space="0" w:color="auto"/>
              <w:bottom w:val="single" w:sz="4" w:space="0" w:color="auto"/>
            </w:tcBorders>
            <w:shd w:val="clear" w:color="auto" w:fill="auto"/>
            <w:noWrap/>
            <w:vAlign w:val="center"/>
            <w:hideMark/>
          </w:tcPr>
          <w:p w14:paraId="7749E879"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320" w:type="dxa"/>
            <w:tcBorders>
              <w:top w:val="single" w:sz="4" w:space="0" w:color="auto"/>
              <w:bottom w:val="single" w:sz="4" w:space="0" w:color="auto"/>
            </w:tcBorders>
            <w:shd w:val="clear" w:color="auto" w:fill="auto"/>
            <w:noWrap/>
            <w:vAlign w:val="center"/>
            <w:hideMark/>
          </w:tcPr>
          <w:p w14:paraId="696866B6"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400" w:type="dxa"/>
            <w:tcBorders>
              <w:top w:val="single" w:sz="4" w:space="0" w:color="auto"/>
              <w:bottom w:val="single" w:sz="4" w:space="0" w:color="auto"/>
            </w:tcBorders>
            <w:shd w:val="clear" w:color="auto" w:fill="auto"/>
            <w:noWrap/>
            <w:vAlign w:val="center"/>
            <w:hideMark/>
          </w:tcPr>
          <w:p w14:paraId="65393E97"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r w:rsidRPr="00083041">
              <w:rPr>
                <w:rFonts w:ascii="Arial" w:eastAsia="Times New Roman" w:hAnsi="Arial" w:cs="Arial"/>
                <w:color w:val="000000"/>
                <w:sz w:val="18"/>
                <w:lang w:val="es-ES_tradnl" w:eastAsia="en-US"/>
              </w:rPr>
              <w:t>1.214</w:t>
            </w:r>
          </w:p>
        </w:tc>
        <w:tc>
          <w:tcPr>
            <w:tcW w:w="1340" w:type="dxa"/>
            <w:tcBorders>
              <w:top w:val="single" w:sz="4" w:space="0" w:color="auto"/>
              <w:bottom w:val="single" w:sz="4" w:space="0" w:color="auto"/>
            </w:tcBorders>
            <w:shd w:val="clear" w:color="auto" w:fill="auto"/>
            <w:noWrap/>
            <w:vAlign w:val="center"/>
            <w:hideMark/>
          </w:tcPr>
          <w:p w14:paraId="602304F7"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p>
        </w:tc>
      </w:tr>
      <w:tr w:rsidR="001C72C2" w:rsidRPr="00CF484C" w14:paraId="66C65B31" w14:textId="77777777" w:rsidTr="001C72C2">
        <w:trPr>
          <w:trHeight w:val="737"/>
          <w:jc w:val="center"/>
        </w:trPr>
        <w:tc>
          <w:tcPr>
            <w:tcW w:w="1975" w:type="dxa"/>
            <w:tcBorders>
              <w:top w:val="single" w:sz="4" w:space="0" w:color="auto"/>
              <w:bottom w:val="double" w:sz="4" w:space="0" w:color="auto"/>
            </w:tcBorders>
            <w:shd w:val="clear" w:color="auto" w:fill="F2F2F2" w:themeFill="background1" w:themeFillShade="F2"/>
            <w:noWrap/>
            <w:vAlign w:val="center"/>
            <w:hideMark/>
          </w:tcPr>
          <w:p w14:paraId="354F1667" w14:textId="77777777" w:rsidR="001C72C2" w:rsidRPr="00083041" w:rsidRDefault="001C72C2" w:rsidP="00636266">
            <w:pPr>
              <w:spacing w:after="0" w:line="240" w:lineRule="auto"/>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+25% devaluación,</w:t>
            </w:r>
          </w:p>
          <w:p w14:paraId="361B2AA3" w14:textId="77777777" w:rsidR="001C72C2" w:rsidRPr="00083041" w:rsidRDefault="001C72C2" w:rsidP="00636266">
            <w:pPr>
              <w:spacing w:after="0" w:line="240" w:lineRule="auto"/>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+40% precios,</w:t>
            </w:r>
          </w:p>
          <w:p w14:paraId="4B3F720D" w14:textId="77777777" w:rsidR="001C72C2" w:rsidRPr="00083041" w:rsidRDefault="001C72C2" w:rsidP="00636266">
            <w:pPr>
              <w:spacing w:after="0" w:line="240" w:lineRule="auto"/>
              <w:rPr>
                <w:rFonts w:ascii="Arial" w:eastAsia="Times New Roman" w:hAnsi="Arial" w:cs="Arial"/>
                <w:b/>
                <w:color w:val="000000"/>
                <w:sz w:val="18"/>
                <w:lang w:val="es-ES_tradnl" w:eastAsia="en-US"/>
              </w:rPr>
            </w:pPr>
            <w:r w:rsidRPr="00083041">
              <w:rPr>
                <w:rFonts w:ascii="Arial" w:eastAsia="Times New Roman" w:hAnsi="Arial" w:cs="Arial"/>
                <w:b/>
                <w:color w:val="000000"/>
                <w:sz w:val="18"/>
                <w:lang w:val="es-ES_tradnl" w:eastAsia="en-US"/>
              </w:rPr>
              <w:t>-40% tráfico</w:t>
            </w:r>
          </w:p>
        </w:tc>
        <w:tc>
          <w:tcPr>
            <w:tcW w:w="1240" w:type="dxa"/>
            <w:tcBorders>
              <w:top w:val="single" w:sz="4" w:space="0" w:color="auto"/>
              <w:bottom w:val="double" w:sz="4" w:space="0" w:color="auto"/>
            </w:tcBorders>
            <w:shd w:val="clear" w:color="auto" w:fill="F2F2F2" w:themeFill="background1" w:themeFillShade="F2"/>
            <w:noWrap/>
            <w:vAlign w:val="center"/>
            <w:hideMark/>
          </w:tcPr>
          <w:p w14:paraId="5C073776"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p>
        </w:tc>
        <w:tc>
          <w:tcPr>
            <w:tcW w:w="1280" w:type="dxa"/>
            <w:tcBorders>
              <w:top w:val="single" w:sz="4" w:space="0" w:color="auto"/>
              <w:bottom w:val="double" w:sz="4" w:space="0" w:color="auto"/>
            </w:tcBorders>
            <w:shd w:val="clear" w:color="auto" w:fill="F2F2F2" w:themeFill="background1" w:themeFillShade="F2"/>
            <w:noWrap/>
            <w:vAlign w:val="center"/>
            <w:hideMark/>
          </w:tcPr>
          <w:p w14:paraId="1BE7826F"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320" w:type="dxa"/>
            <w:tcBorders>
              <w:top w:val="single" w:sz="4" w:space="0" w:color="auto"/>
              <w:bottom w:val="double" w:sz="4" w:space="0" w:color="auto"/>
            </w:tcBorders>
            <w:shd w:val="clear" w:color="auto" w:fill="F2F2F2" w:themeFill="background1" w:themeFillShade="F2"/>
            <w:noWrap/>
            <w:vAlign w:val="center"/>
            <w:hideMark/>
          </w:tcPr>
          <w:p w14:paraId="1B83AAA0"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400" w:type="dxa"/>
            <w:tcBorders>
              <w:top w:val="single" w:sz="4" w:space="0" w:color="auto"/>
              <w:bottom w:val="double" w:sz="4" w:space="0" w:color="auto"/>
            </w:tcBorders>
            <w:shd w:val="clear" w:color="auto" w:fill="F2F2F2" w:themeFill="background1" w:themeFillShade="F2"/>
            <w:noWrap/>
            <w:vAlign w:val="center"/>
            <w:hideMark/>
          </w:tcPr>
          <w:p w14:paraId="25358ED9" w14:textId="77777777" w:rsidR="001C72C2" w:rsidRPr="00083041" w:rsidRDefault="001C72C2" w:rsidP="00636266">
            <w:pPr>
              <w:spacing w:after="0" w:line="240" w:lineRule="auto"/>
              <w:jc w:val="center"/>
              <w:rPr>
                <w:rFonts w:ascii="Arial" w:eastAsia="Times New Roman" w:hAnsi="Arial" w:cs="Arial"/>
                <w:sz w:val="18"/>
                <w:szCs w:val="20"/>
                <w:lang w:val="es-ES_tradnl" w:eastAsia="en-US"/>
              </w:rPr>
            </w:pPr>
          </w:p>
        </w:tc>
        <w:tc>
          <w:tcPr>
            <w:tcW w:w="1340" w:type="dxa"/>
            <w:tcBorders>
              <w:top w:val="single" w:sz="4" w:space="0" w:color="auto"/>
              <w:bottom w:val="double" w:sz="4" w:space="0" w:color="auto"/>
            </w:tcBorders>
            <w:shd w:val="clear" w:color="auto" w:fill="F2F2F2" w:themeFill="background1" w:themeFillShade="F2"/>
            <w:noWrap/>
            <w:vAlign w:val="center"/>
            <w:hideMark/>
          </w:tcPr>
          <w:p w14:paraId="12B5E2B1" w14:textId="77777777" w:rsidR="001C72C2" w:rsidRPr="00083041" w:rsidRDefault="001C72C2" w:rsidP="00636266">
            <w:pPr>
              <w:spacing w:after="0" w:line="240" w:lineRule="auto"/>
              <w:jc w:val="center"/>
              <w:rPr>
                <w:rFonts w:ascii="Arial" w:eastAsia="Times New Roman" w:hAnsi="Arial" w:cs="Arial"/>
                <w:color w:val="000000"/>
                <w:sz w:val="18"/>
                <w:lang w:val="es-ES_tradnl" w:eastAsia="en-US"/>
              </w:rPr>
            </w:pPr>
            <w:r w:rsidRPr="00083041">
              <w:rPr>
                <w:rFonts w:ascii="Arial" w:eastAsia="Times New Roman" w:hAnsi="Arial" w:cs="Arial"/>
                <w:color w:val="000000"/>
                <w:sz w:val="18"/>
                <w:lang w:val="es-ES_tradnl" w:eastAsia="en-US"/>
              </w:rPr>
              <w:t>829</w:t>
            </w:r>
          </w:p>
        </w:tc>
      </w:tr>
    </w:tbl>
    <w:p w14:paraId="62A55E29" w14:textId="77777777" w:rsidR="002C4FC6" w:rsidRPr="00083041" w:rsidRDefault="002C4FC6" w:rsidP="001C72C2">
      <w:pPr>
        <w:rPr>
          <w:rFonts w:ascii="Arial" w:eastAsia="Times New Roman" w:hAnsi="Arial" w:cs="Arial"/>
          <w:b/>
          <w:lang w:val="es-ES_tradnl"/>
        </w:rPr>
      </w:pPr>
    </w:p>
    <w:p w14:paraId="7D1A324B" w14:textId="77777777" w:rsidR="00F10FC6" w:rsidRPr="00083041" w:rsidRDefault="00F10FC6" w:rsidP="005B590E">
      <w:pPr>
        <w:pStyle w:val="Chapter"/>
        <w:tabs>
          <w:tab w:val="clear" w:pos="1440"/>
          <w:tab w:val="clear" w:pos="1800"/>
        </w:tabs>
        <w:spacing w:before="0"/>
        <w:ind w:left="360" w:hanging="360"/>
        <w:rPr>
          <w:rFonts w:ascii="Arial" w:hAnsi="Arial" w:cs="Arial"/>
          <w:sz w:val="22"/>
          <w:szCs w:val="22"/>
          <w:lang w:val="es-ES_tradnl"/>
        </w:rPr>
      </w:pPr>
      <w:bookmarkStart w:id="36" w:name="_Toc482367476"/>
      <w:r w:rsidRPr="00083041">
        <w:rPr>
          <w:rFonts w:ascii="Arial" w:hAnsi="Arial" w:cs="Arial"/>
          <w:sz w:val="22"/>
          <w:szCs w:val="22"/>
          <w:lang w:val="es-ES_tradnl"/>
        </w:rPr>
        <w:lastRenderedPageBreak/>
        <w:t>Conclusiones</w:t>
      </w:r>
      <w:bookmarkEnd w:id="34"/>
      <w:bookmarkEnd w:id="35"/>
      <w:bookmarkEnd w:id="36"/>
    </w:p>
    <w:p w14:paraId="71085A8F" w14:textId="77777777" w:rsidR="007A498F" w:rsidRPr="00083041" w:rsidRDefault="007A498F" w:rsidP="005B590E">
      <w:pPr>
        <w:pStyle w:val="Paragraph"/>
        <w:tabs>
          <w:tab w:val="clear" w:pos="2448"/>
        </w:tabs>
        <w:ind w:left="720" w:hanging="720"/>
        <w:rPr>
          <w:rFonts w:ascii="Arial" w:hAnsi="Arial" w:cs="Arial"/>
          <w:sz w:val="22"/>
          <w:szCs w:val="22"/>
          <w:lang w:val="es-ES_tradnl"/>
        </w:rPr>
      </w:pPr>
      <w:r w:rsidRPr="00083041">
        <w:rPr>
          <w:rFonts w:ascii="Arial" w:hAnsi="Arial" w:cs="Arial"/>
          <w:sz w:val="22"/>
          <w:szCs w:val="22"/>
          <w:lang w:val="es-ES_tradnl"/>
        </w:rPr>
        <w:t xml:space="preserve">Del presente análisis se espera que el programa genere un beneficio neto agregado (valor </w:t>
      </w:r>
      <w:r w:rsidR="009C088C" w:rsidRPr="00083041">
        <w:rPr>
          <w:rFonts w:ascii="Arial" w:hAnsi="Arial" w:cs="Arial"/>
          <w:sz w:val="22"/>
          <w:szCs w:val="22"/>
          <w:lang w:val="es-ES_tradnl"/>
        </w:rPr>
        <w:t>actual</w:t>
      </w:r>
      <w:r w:rsidRPr="00083041">
        <w:rPr>
          <w:rFonts w:ascii="Arial" w:hAnsi="Arial" w:cs="Arial"/>
          <w:sz w:val="22"/>
          <w:szCs w:val="22"/>
          <w:lang w:val="es-ES_tradnl"/>
        </w:rPr>
        <w:t xml:space="preserve"> neto agregado total) de US$</w:t>
      </w:r>
      <w:r w:rsidR="001C72C2" w:rsidRPr="00083041">
        <w:rPr>
          <w:rFonts w:ascii="Arial" w:hAnsi="Arial" w:cs="Arial"/>
          <w:sz w:val="22"/>
          <w:szCs w:val="22"/>
          <w:lang w:val="es-ES_tradnl"/>
        </w:rPr>
        <w:t>2.350</w:t>
      </w:r>
      <w:r w:rsidRPr="00083041">
        <w:rPr>
          <w:rFonts w:ascii="Arial" w:hAnsi="Arial" w:cs="Arial"/>
          <w:sz w:val="22"/>
          <w:szCs w:val="22"/>
          <w:lang w:val="es-ES_tradnl"/>
        </w:rPr>
        <w:t xml:space="preserve"> millones en el escenario central. El </w:t>
      </w:r>
      <w:r w:rsidR="009C088C" w:rsidRPr="00083041">
        <w:rPr>
          <w:rFonts w:ascii="Arial" w:hAnsi="Arial" w:cs="Arial"/>
          <w:sz w:val="22"/>
          <w:szCs w:val="22"/>
          <w:lang w:val="es-ES_tradnl"/>
        </w:rPr>
        <w:t>VAN</w:t>
      </w:r>
      <w:r w:rsidRPr="00083041">
        <w:rPr>
          <w:rFonts w:ascii="Arial" w:hAnsi="Arial" w:cs="Arial"/>
          <w:sz w:val="22"/>
          <w:szCs w:val="22"/>
          <w:lang w:val="es-ES_tradnl"/>
        </w:rPr>
        <w:t xml:space="preserve"> total se mantiene positivo para </w:t>
      </w:r>
      <w:r w:rsidR="001B5A79" w:rsidRPr="00083041">
        <w:rPr>
          <w:rFonts w:ascii="Arial" w:hAnsi="Arial" w:cs="Arial"/>
          <w:sz w:val="22"/>
          <w:szCs w:val="22"/>
          <w:lang w:val="es-ES_tradnl"/>
        </w:rPr>
        <w:t xml:space="preserve">todos los escenarios contemplados con una amplia variación en los </w:t>
      </w:r>
      <w:r w:rsidRPr="00083041">
        <w:rPr>
          <w:rFonts w:ascii="Arial" w:hAnsi="Arial" w:cs="Arial"/>
          <w:sz w:val="22"/>
          <w:szCs w:val="22"/>
          <w:lang w:val="es-ES_tradnl"/>
        </w:rPr>
        <w:t>parámetros según las sensibilizaciones detalladas en la sección y cuadros correspondientes. Se recomienda por tanto la realización del programa.</w:t>
      </w:r>
    </w:p>
    <w:p w14:paraId="68870EC4" w14:textId="77777777" w:rsidR="00EC5035" w:rsidRPr="00083041" w:rsidRDefault="00EC5035" w:rsidP="00586FC8">
      <w:pPr>
        <w:rPr>
          <w:rFonts w:ascii="Arial" w:hAnsi="Arial" w:cs="Arial"/>
          <w:color w:val="4F81BD" w:themeColor="accent1"/>
          <w:lang w:val="es-ES_tradnl"/>
        </w:rPr>
      </w:pPr>
    </w:p>
    <w:sectPr w:rsidR="00EC5035" w:rsidRPr="00083041" w:rsidSect="00391727">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7BB84" w14:textId="77777777" w:rsidR="00165CA0" w:rsidRDefault="00165CA0" w:rsidP="00F10FC6">
      <w:pPr>
        <w:spacing w:after="0" w:line="240" w:lineRule="auto"/>
      </w:pPr>
      <w:r>
        <w:separator/>
      </w:r>
    </w:p>
  </w:endnote>
  <w:endnote w:type="continuationSeparator" w:id="0">
    <w:p w14:paraId="43D44914" w14:textId="77777777" w:rsidR="00165CA0" w:rsidRDefault="00165CA0" w:rsidP="00F10FC6">
      <w:pPr>
        <w:spacing w:after="0" w:line="240" w:lineRule="auto"/>
      </w:pPr>
      <w:r>
        <w:continuationSeparator/>
      </w:r>
    </w:p>
  </w:endnote>
  <w:endnote w:type="continuationNotice" w:id="1">
    <w:p w14:paraId="3B78B08B" w14:textId="77777777" w:rsidR="00165CA0" w:rsidRDefault="00165C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illSans Light">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7FB18" w14:textId="77777777" w:rsidR="0077758F" w:rsidRDefault="007775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D58A9" w14:textId="77777777" w:rsidR="00636266" w:rsidRPr="0093252C" w:rsidRDefault="00636266">
    <w:pPr>
      <w:pStyle w:val="Footer"/>
      <w:jc w:val="center"/>
      <w:rPr>
        <w:rFonts w:ascii="Times New Roman" w:hAnsi="Times New Roman" w:cs="Times New Roman"/>
      </w:rPr>
    </w:pPr>
    <w:r w:rsidRPr="0093252C">
      <w:rPr>
        <w:rFonts w:ascii="Times New Roman" w:hAnsi="Times New Roman" w:cs="Times New Roman"/>
      </w:rPr>
      <w:t>-</w:t>
    </w:r>
    <w:sdt>
      <w:sdtPr>
        <w:rPr>
          <w:rFonts w:ascii="Times New Roman" w:hAnsi="Times New Roman" w:cs="Times New Roman"/>
        </w:rPr>
        <w:id w:val="-158847383"/>
        <w:docPartObj>
          <w:docPartGallery w:val="Page Numbers (Bottom of Page)"/>
          <w:docPartUnique/>
        </w:docPartObj>
      </w:sdtPr>
      <w:sdtEndPr>
        <w:rPr>
          <w:noProof/>
        </w:rPr>
      </w:sdtEndPr>
      <w:sdtContent>
        <w:r w:rsidRPr="0093252C">
          <w:rPr>
            <w:rFonts w:ascii="Times New Roman" w:hAnsi="Times New Roman" w:cs="Times New Roman"/>
          </w:rPr>
          <w:fldChar w:fldCharType="begin"/>
        </w:r>
        <w:r w:rsidRPr="0093252C">
          <w:rPr>
            <w:rFonts w:ascii="Times New Roman" w:hAnsi="Times New Roman" w:cs="Times New Roman"/>
          </w:rPr>
          <w:instrText xml:space="preserve"> PAGE   \* MERGEFORMAT </w:instrText>
        </w:r>
        <w:r w:rsidRPr="0093252C">
          <w:rPr>
            <w:rFonts w:ascii="Times New Roman" w:hAnsi="Times New Roman" w:cs="Times New Roman"/>
          </w:rPr>
          <w:fldChar w:fldCharType="separate"/>
        </w:r>
        <w:r>
          <w:rPr>
            <w:rFonts w:ascii="Times New Roman" w:hAnsi="Times New Roman" w:cs="Times New Roman"/>
            <w:noProof/>
          </w:rPr>
          <w:t>2</w:t>
        </w:r>
        <w:r w:rsidRPr="0093252C">
          <w:rPr>
            <w:rFonts w:ascii="Times New Roman" w:hAnsi="Times New Roman" w:cs="Times New Roman"/>
            <w:noProof/>
          </w:rPr>
          <w:fldChar w:fldCharType="end"/>
        </w:r>
        <w:r w:rsidRPr="0093252C">
          <w:rPr>
            <w:rFonts w:ascii="Times New Roman" w:hAnsi="Times New Roman" w:cs="Times New Roman"/>
            <w:noProof/>
          </w:rPr>
          <w:t>-</w:t>
        </w:r>
      </w:sdtContent>
    </w:sdt>
  </w:p>
  <w:p w14:paraId="3DDF3A24" w14:textId="77777777" w:rsidR="00636266" w:rsidRDefault="006362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77C7A" w14:textId="77777777" w:rsidR="00636266" w:rsidRPr="001D1187" w:rsidRDefault="00636266">
    <w:pPr>
      <w:pStyle w:val="Footer"/>
      <w:jc w:val="center"/>
      <w:rPr>
        <w:rFonts w:ascii="Times New Roman" w:hAnsi="Times New Roman" w:cs="Times New Roman"/>
      </w:rPr>
    </w:pPr>
    <w:r w:rsidRPr="001D1187">
      <w:rPr>
        <w:rFonts w:ascii="Times New Roman" w:hAnsi="Times New Roman" w:cs="Times New Roman"/>
      </w:rPr>
      <w:t>-</w:t>
    </w:r>
    <w:sdt>
      <w:sdtPr>
        <w:rPr>
          <w:rFonts w:ascii="Times New Roman" w:hAnsi="Times New Roman" w:cs="Times New Roman"/>
        </w:rPr>
        <w:id w:val="590976762"/>
        <w:docPartObj>
          <w:docPartGallery w:val="Page Numbers (Bottom of Page)"/>
          <w:docPartUnique/>
        </w:docPartObj>
      </w:sdtPr>
      <w:sdtEndPr>
        <w:rPr>
          <w:noProof/>
        </w:rPr>
      </w:sdtEndPr>
      <w:sdtContent>
        <w:r w:rsidRPr="001D1187">
          <w:rPr>
            <w:rFonts w:ascii="Times New Roman" w:hAnsi="Times New Roman" w:cs="Times New Roman"/>
          </w:rPr>
          <w:fldChar w:fldCharType="begin"/>
        </w:r>
        <w:r w:rsidRPr="001D1187">
          <w:rPr>
            <w:rFonts w:ascii="Times New Roman" w:hAnsi="Times New Roman" w:cs="Times New Roman"/>
          </w:rPr>
          <w:instrText xml:space="preserve"> PAGE   \* MERGEFORMAT </w:instrText>
        </w:r>
        <w:r w:rsidRPr="001D1187">
          <w:rPr>
            <w:rFonts w:ascii="Times New Roman" w:hAnsi="Times New Roman" w:cs="Times New Roman"/>
          </w:rPr>
          <w:fldChar w:fldCharType="separate"/>
        </w:r>
        <w:r>
          <w:rPr>
            <w:rFonts w:ascii="Times New Roman" w:hAnsi="Times New Roman" w:cs="Times New Roman"/>
            <w:noProof/>
          </w:rPr>
          <w:t>2</w:t>
        </w:r>
        <w:r w:rsidRPr="001D1187">
          <w:rPr>
            <w:rFonts w:ascii="Times New Roman" w:hAnsi="Times New Roman" w:cs="Times New Roman"/>
            <w:noProof/>
          </w:rPr>
          <w:fldChar w:fldCharType="end"/>
        </w:r>
        <w:r w:rsidRPr="001D1187">
          <w:rPr>
            <w:rFonts w:ascii="Times New Roman" w:hAnsi="Times New Roman" w:cs="Times New Roman"/>
            <w:noProof/>
          </w:rPr>
          <w:t>-</w:t>
        </w:r>
      </w:sdtContent>
    </w:sdt>
  </w:p>
  <w:p w14:paraId="793F3E57" w14:textId="77777777" w:rsidR="00636266" w:rsidRDefault="006362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46898" w14:textId="77777777" w:rsidR="00636266" w:rsidRDefault="0063626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E08CE" w14:textId="6DF34C27" w:rsidR="00636266" w:rsidRPr="008B0024" w:rsidRDefault="00636266">
    <w:pPr>
      <w:pStyle w:val="Footer"/>
      <w:jc w:val="center"/>
      <w:rPr>
        <w:rFonts w:ascii="Arial" w:hAnsi="Arial" w:cs="Arial"/>
        <w:sz w:val="18"/>
      </w:rPr>
    </w:pPr>
    <w:r w:rsidRPr="008B0024">
      <w:rPr>
        <w:rFonts w:ascii="Arial" w:hAnsi="Arial" w:cs="Arial"/>
        <w:sz w:val="18"/>
      </w:rPr>
      <w:t>-</w:t>
    </w:r>
    <w:sdt>
      <w:sdtPr>
        <w:rPr>
          <w:rFonts w:ascii="Arial" w:hAnsi="Arial" w:cs="Arial"/>
          <w:sz w:val="18"/>
        </w:rPr>
        <w:id w:val="1208989848"/>
        <w:docPartObj>
          <w:docPartGallery w:val="Page Numbers (Bottom of Page)"/>
          <w:docPartUnique/>
        </w:docPartObj>
      </w:sdtPr>
      <w:sdtEndPr>
        <w:rPr>
          <w:noProof/>
        </w:rPr>
      </w:sdtEndPr>
      <w:sdtContent>
        <w:r w:rsidRPr="008B0024">
          <w:rPr>
            <w:rFonts w:ascii="Arial" w:hAnsi="Arial" w:cs="Arial"/>
            <w:sz w:val="18"/>
          </w:rPr>
          <w:fldChar w:fldCharType="begin"/>
        </w:r>
        <w:r w:rsidRPr="008B0024">
          <w:rPr>
            <w:rFonts w:ascii="Arial" w:hAnsi="Arial" w:cs="Arial"/>
            <w:sz w:val="18"/>
          </w:rPr>
          <w:instrText xml:space="preserve"> PAGE   \* MERGEFORMAT </w:instrText>
        </w:r>
        <w:r w:rsidRPr="008B0024">
          <w:rPr>
            <w:rFonts w:ascii="Arial" w:hAnsi="Arial" w:cs="Arial"/>
            <w:sz w:val="18"/>
          </w:rPr>
          <w:fldChar w:fldCharType="separate"/>
        </w:r>
        <w:r w:rsidR="00460AD4">
          <w:rPr>
            <w:rFonts w:ascii="Arial" w:hAnsi="Arial" w:cs="Arial"/>
            <w:noProof/>
            <w:sz w:val="18"/>
          </w:rPr>
          <w:t>16</w:t>
        </w:r>
        <w:r w:rsidRPr="008B0024">
          <w:rPr>
            <w:rFonts w:ascii="Arial" w:hAnsi="Arial" w:cs="Arial"/>
            <w:noProof/>
            <w:sz w:val="18"/>
          </w:rPr>
          <w:fldChar w:fldCharType="end"/>
        </w:r>
        <w:r w:rsidRPr="008B0024">
          <w:rPr>
            <w:rFonts w:ascii="Arial" w:hAnsi="Arial" w:cs="Arial"/>
            <w:noProof/>
            <w:sz w:val="18"/>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39269" w14:textId="77777777" w:rsidR="00165CA0" w:rsidRDefault="00165CA0" w:rsidP="00F10FC6">
      <w:pPr>
        <w:spacing w:after="0" w:line="240" w:lineRule="auto"/>
      </w:pPr>
      <w:r>
        <w:separator/>
      </w:r>
    </w:p>
  </w:footnote>
  <w:footnote w:type="continuationSeparator" w:id="0">
    <w:p w14:paraId="4BC4F9E6" w14:textId="77777777" w:rsidR="00165CA0" w:rsidRDefault="00165CA0" w:rsidP="00F10FC6">
      <w:pPr>
        <w:spacing w:after="0" w:line="240" w:lineRule="auto"/>
      </w:pPr>
      <w:r>
        <w:continuationSeparator/>
      </w:r>
    </w:p>
  </w:footnote>
  <w:footnote w:type="continuationNotice" w:id="1">
    <w:p w14:paraId="340528E3" w14:textId="77777777" w:rsidR="00165CA0" w:rsidRDefault="00165CA0">
      <w:pPr>
        <w:spacing w:after="0" w:line="240" w:lineRule="auto"/>
      </w:pPr>
    </w:p>
  </w:footnote>
  <w:footnote w:id="2">
    <w:p w14:paraId="5D7CAB60" w14:textId="77777777" w:rsidR="00636266" w:rsidRPr="00657A64" w:rsidRDefault="00636266" w:rsidP="00657A64">
      <w:pPr>
        <w:pStyle w:val="FootnoteText"/>
        <w:numPr>
          <w:ilvl w:val="0"/>
          <w:numId w:val="0"/>
        </w:numPr>
        <w:spacing w:after="60"/>
        <w:ind w:left="90"/>
        <w:rPr>
          <w:rFonts w:ascii="Arial" w:hAnsi="Arial" w:cs="Arial"/>
          <w:sz w:val="18"/>
          <w:szCs w:val="18"/>
          <w:lang w:val="es-ES_tradnl"/>
        </w:rPr>
      </w:pPr>
      <w:r w:rsidRPr="00657A64">
        <w:rPr>
          <w:rStyle w:val="FootnoteReference"/>
          <w:rFonts w:ascii="Arial" w:hAnsi="Arial" w:cs="Arial"/>
          <w:sz w:val="18"/>
          <w:szCs w:val="18"/>
        </w:rPr>
        <w:footnoteRef/>
      </w:r>
      <w:r w:rsidRPr="00657A64">
        <w:rPr>
          <w:rFonts w:ascii="Arial" w:hAnsi="Arial" w:cs="Arial"/>
          <w:sz w:val="18"/>
          <w:szCs w:val="18"/>
          <w:lang w:val="es-ES_tradnl"/>
        </w:rPr>
        <w:t xml:space="preserve"> Esta tasa es superior al crecimiento observado en México en la década anterior a la crisis (2,9%) y levemente inferior al crecimiento de Latinoamérica en su conjunto (4,5%).</w:t>
      </w:r>
    </w:p>
  </w:footnote>
  <w:footnote w:id="3">
    <w:p w14:paraId="12C77797" w14:textId="77777777" w:rsidR="00636266" w:rsidRPr="00D82DF3" w:rsidRDefault="00636266" w:rsidP="00657A64">
      <w:pPr>
        <w:pStyle w:val="FootnoteText"/>
        <w:numPr>
          <w:ilvl w:val="0"/>
          <w:numId w:val="0"/>
        </w:numPr>
        <w:spacing w:after="60"/>
        <w:ind w:left="90"/>
        <w:rPr>
          <w:rStyle w:val="FootnoteReference"/>
          <w:rFonts w:ascii="Arial" w:hAnsi="Arial" w:cs="Arial"/>
          <w:sz w:val="18"/>
          <w:szCs w:val="18"/>
          <w:lang w:val="es-ES"/>
        </w:rPr>
      </w:pPr>
      <w:r w:rsidRPr="00657A64">
        <w:rPr>
          <w:rStyle w:val="FootnoteReference"/>
          <w:rFonts w:ascii="Arial" w:hAnsi="Arial" w:cs="Arial"/>
          <w:sz w:val="18"/>
          <w:szCs w:val="18"/>
        </w:rPr>
        <w:footnoteRef/>
      </w:r>
      <w:r w:rsidRPr="00657A64">
        <w:rPr>
          <w:rFonts w:ascii="Arial" w:hAnsi="Arial" w:cs="Arial"/>
          <w:sz w:val="18"/>
          <w:szCs w:val="18"/>
          <w:lang w:val="es-ES_tradnl"/>
        </w:rPr>
        <w:t xml:space="preserve"> De acuerdo con el Fondo Monetario Internacional (FMI), la caída histórica de la inflación en 2015, si bien correspondería a una marca temporal, fue debida en gran medida a la bajada en los precios de alimentos, energía y servicios de telecomunicación experimentados en México gracias a un proceso estructural de </w:t>
      </w:r>
      <w:r w:rsidRPr="00D82DF3">
        <w:rPr>
          <w:rStyle w:val="FootnoteReference"/>
          <w:rFonts w:ascii="Arial" w:hAnsi="Arial" w:cs="Arial"/>
          <w:sz w:val="18"/>
          <w:szCs w:val="18"/>
          <w:vertAlign w:val="baseline"/>
          <w:lang w:val="es-ES"/>
        </w:rPr>
        <w:t>reformas.</w:t>
      </w:r>
    </w:p>
  </w:footnote>
  <w:footnote w:id="4">
    <w:p w14:paraId="09439D0C" w14:textId="77777777" w:rsidR="00636266" w:rsidRPr="00657A64" w:rsidRDefault="00636266" w:rsidP="00657A64">
      <w:pPr>
        <w:pStyle w:val="FootnoteText"/>
        <w:numPr>
          <w:ilvl w:val="0"/>
          <w:numId w:val="0"/>
        </w:numPr>
        <w:spacing w:after="60"/>
        <w:ind w:left="90"/>
        <w:rPr>
          <w:rStyle w:val="FootnoteReference"/>
          <w:rFonts w:ascii="Arial" w:hAnsi="Arial" w:cs="Arial"/>
          <w:sz w:val="18"/>
          <w:szCs w:val="18"/>
          <w:vertAlign w:val="baseline"/>
        </w:rPr>
      </w:pPr>
      <w:r w:rsidRPr="00657A64">
        <w:rPr>
          <w:rStyle w:val="FootnoteReference"/>
          <w:rFonts w:ascii="Arial" w:hAnsi="Arial" w:cs="Arial"/>
          <w:sz w:val="18"/>
          <w:szCs w:val="18"/>
        </w:rPr>
        <w:footnoteRef/>
      </w:r>
      <w:r w:rsidRPr="00657A64">
        <w:rPr>
          <w:rStyle w:val="FootnoteReference"/>
          <w:rFonts w:ascii="Arial" w:hAnsi="Arial" w:cs="Arial"/>
          <w:sz w:val="18"/>
          <w:szCs w:val="18"/>
        </w:rPr>
        <w:t xml:space="preserve"> </w:t>
      </w:r>
      <w:r w:rsidRPr="00657A64">
        <w:rPr>
          <w:rStyle w:val="FootnoteReference"/>
          <w:rFonts w:ascii="Arial" w:hAnsi="Arial" w:cs="Arial"/>
          <w:sz w:val="18"/>
          <w:szCs w:val="18"/>
          <w:vertAlign w:val="baseline"/>
        </w:rPr>
        <w:t>Documento de Marco Sectorial de Respaldo para PyME y Acceso y Supervisión Financieros, BID, 2017.</w:t>
      </w:r>
    </w:p>
  </w:footnote>
  <w:footnote w:id="5">
    <w:p w14:paraId="01EC89E3" w14:textId="77777777" w:rsidR="00636266" w:rsidRPr="00657A64" w:rsidRDefault="00636266" w:rsidP="00657A64">
      <w:pPr>
        <w:pStyle w:val="FootnoteText"/>
        <w:numPr>
          <w:ilvl w:val="0"/>
          <w:numId w:val="0"/>
        </w:numPr>
        <w:spacing w:after="60"/>
        <w:ind w:left="90"/>
        <w:rPr>
          <w:rStyle w:val="FootnoteReference"/>
          <w:rFonts w:ascii="Arial" w:hAnsi="Arial" w:cs="Arial"/>
          <w:sz w:val="18"/>
          <w:szCs w:val="18"/>
          <w:vertAlign w:val="baseline"/>
        </w:rPr>
      </w:pPr>
      <w:r w:rsidRPr="00657A64">
        <w:rPr>
          <w:rStyle w:val="FootnoteReference"/>
          <w:rFonts w:ascii="Arial" w:hAnsi="Arial" w:cs="Arial"/>
          <w:sz w:val="18"/>
          <w:szCs w:val="18"/>
        </w:rPr>
        <w:footnoteRef/>
      </w:r>
      <w:r w:rsidRPr="00657A64">
        <w:rPr>
          <w:rStyle w:val="FootnoteReference"/>
          <w:rFonts w:ascii="Arial" w:hAnsi="Arial" w:cs="Arial"/>
          <w:sz w:val="18"/>
          <w:szCs w:val="18"/>
        </w:rPr>
        <w:t xml:space="preserve"> </w:t>
      </w:r>
      <w:r w:rsidRPr="00657A64">
        <w:rPr>
          <w:rStyle w:val="FootnoteReference"/>
          <w:rFonts w:ascii="Arial" w:hAnsi="Arial" w:cs="Arial"/>
          <w:sz w:val="18"/>
          <w:szCs w:val="18"/>
          <w:vertAlign w:val="baseline"/>
        </w:rPr>
        <w:t>Infrastructure productivity: How to save $1 trillion a year. McKinsey Global Institute. 2013.</w:t>
      </w:r>
    </w:p>
  </w:footnote>
  <w:footnote w:id="6">
    <w:p w14:paraId="6A72899A" w14:textId="77777777" w:rsidR="00636266" w:rsidRPr="00657A64" w:rsidRDefault="00636266" w:rsidP="00657A64">
      <w:pPr>
        <w:pStyle w:val="FootnoteText"/>
        <w:numPr>
          <w:ilvl w:val="0"/>
          <w:numId w:val="0"/>
        </w:numPr>
        <w:spacing w:after="60"/>
        <w:ind w:left="90"/>
        <w:rPr>
          <w:rFonts w:ascii="Arial" w:hAnsi="Arial" w:cs="Arial"/>
          <w:sz w:val="18"/>
          <w:szCs w:val="18"/>
        </w:rPr>
      </w:pPr>
      <w:r w:rsidRPr="00657A64">
        <w:rPr>
          <w:rStyle w:val="FootnoteReference"/>
          <w:rFonts w:ascii="Arial" w:hAnsi="Arial" w:cs="Arial"/>
          <w:sz w:val="18"/>
          <w:szCs w:val="18"/>
        </w:rPr>
        <w:footnoteRef/>
      </w:r>
      <w:r w:rsidRPr="00657A64">
        <w:rPr>
          <w:rStyle w:val="FootnoteReference"/>
          <w:rFonts w:ascii="Arial" w:hAnsi="Arial" w:cs="Arial"/>
          <w:sz w:val="18"/>
          <w:szCs w:val="18"/>
        </w:rPr>
        <w:t xml:space="preserve"> </w:t>
      </w:r>
      <w:r w:rsidRPr="00657A64">
        <w:rPr>
          <w:rStyle w:val="FootnoteReference"/>
          <w:rFonts w:ascii="Arial" w:hAnsi="Arial" w:cs="Arial"/>
          <w:sz w:val="18"/>
          <w:szCs w:val="18"/>
          <w:vertAlign w:val="baseline"/>
        </w:rPr>
        <w:t>Ver Estache, A y Garsous, G. 2013. The Impact of Infrastructure on Growth in Developing Countries. 2013. IFC Economic Notes. Note 1.</w:t>
      </w:r>
    </w:p>
  </w:footnote>
  <w:footnote w:id="7">
    <w:p w14:paraId="4715C55E" w14:textId="77777777" w:rsidR="00636266" w:rsidRPr="00657A64" w:rsidRDefault="00636266" w:rsidP="001747F4">
      <w:pPr>
        <w:pStyle w:val="FootnoteText"/>
        <w:numPr>
          <w:ilvl w:val="0"/>
          <w:numId w:val="0"/>
        </w:numPr>
        <w:tabs>
          <w:tab w:val="left" w:pos="180"/>
        </w:tabs>
        <w:spacing w:after="0"/>
        <w:ind w:left="180" w:hanging="180"/>
        <w:rPr>
          <w:rFonts w:ascii="Arial" w:hAnsi="Arial" w:cs="Arial"/>
          <w:sz w:val="18"/>
          <w:szCs w:val="18"/>
        </w:rPr>
      </w:pPr>
      <w:r w:rsidRPr="00657A64">
        <w:rPr>
          <w:rStyle w:val="FootnoteReference"/>
          <w:rFonts w:ascii="Arial" w:hAnsi="Arial" w:cs="Arial"/>
          <w:sz w:val="18"/>
          <w:szCs w:val="18"/>
        </w:rPr>
        <w:footnoteRef/>
      </w:r>
      <w:r>
        <w:rPr>
          <w:rFonts w:ascii="Arial" w:hAnsi="Arial" w:cs="Arial"/>
          <w:sz w:val="18"/>
          <w:szCs w:val="18"/>
        </w:rPr>
        <w:tab/>
      </w:r>
      <w:r w:rsidRPr="00657A64">
        <w:rPr>
          <w:rFonts w:ascii="Arial" w:hAnsi="Arial" w:cs="Arial"/>
          <w:sz w:val="18"/>
          <w:szCs w:val="18"/>
        </w:rPr>
        <w:t>McKinsey Global Institute. Bridging Global Infrastructure Gaps. 2016.</w:t>
      </w:r>
    </w:p>
  </w:footnote>
  <w:footnote w:id="8">
    <w:p w14:paraId="294191A0" w14:textId="77777777" w:rsidR="00636266" w:rsidRPr="00657A64" w:rsidRDefault="00636266" w:rsidP="001747F4">
      <w:pPr>
        <w:pStyle w:val="FootnoteText"/>
        <w:numPr>
          <w:ilvl w:val="0"/>
          <w:numId w:val="0"/>
        </w:numPr>
        <w:tabs>
          <w:tab w:val="left" w:pos="180"/>
        </w:tabs>
        <w:spacing w:after="0"/>
        <w:ind w:left="180" w:hanging="180"/>
        <w:rPr>
          <w:rFonts w:ascii="Arial" w:hAnsi="Arial" w:cs="Arial"/>
          <w:sz w:val="18"/>
          <w:szCs w:val="18"/>
          <w:lang w:val="es-ES"/>
        </w:rPr>
      </w:pPr>
      <w:r w:rsidRPr="00657A64">
        <w:rPr>
          <w:rStyle w:val="FootnoteReference"/>
          <w:rFonts w:ascii="Arial" w:hAnsi="Arial" w:cs="Arial"/>
          <w:sz w:val="18"/>
          <w:szCs w:val="18"/>
        </w:rPr>
        <w:footnoteRef/>
      </w:r>
      <w:r>
        <w:rPr>
          <w:rFonts w:ascii="Arial" w:hAnsi="Arial" w:cs="Arial"/>
          <w:sz w:val="18"/>
          <w:szCs w:val="18"/>
        </w:rPr>
        <w:tab/>
      </w:r>
      <w:r w:rsidRPr="00657A64">
        <w:rPr>
          <w:rFonts w:ascii="Arial" w:hAnsi="Arial" w:cs="Arial"/>
          <w:sz w:val="18"/>
          <w:szCs w:val="18"/>
        </w:rPr>
        <w:t xml:space="preserve">Azhar Jaimurzina. Infrastructure Gap in Latin America: challenges and opportunities. </w:t>
      </w:r>
      <w:r w:rsidRPr="00657A64">
        <w:rPr>
          <w:rFonts w:ascii="Arial" w:hAnsi="Arial" w:cs="Arial"/>
          <w:sz w:val="18"/>
          <w:szCs w:val="18"/>
          <w:lang w:val="es-ES"/>
        </w:rPr>
        <w:t>Comisión Económica para América Latina y el Caribe. 2016. Ver: http://www.amchamrio.com/srcreleases.</w:t>
      </w:r>
    </w:p>
  </w:footnote>
  <w:footnote w:id="9">
    <w:p w14:paraId="537C5EDF" w14:textId="77777777" w:rsidR="00636266" w:rsidRPr="002570CD" w:rsidRDefault="00636266" w:rsidP="001747F4">
      <w:pPr>
        <w:pStyle w:val="FootnoteText"/>
        <w:numPr>
          <w:ilvl w:val="0"/>
          <w:numId w:val="0"/>
        </w:numPr>
        <w:tabs>
          <w:tab w:val="left" w:pos="180"/>
        </w:tabs>
        <w:spacing w:after="0"/>
        <w:ind w:left="180" w:hanging="180"/>
        <w:rPr>
          <w:rFonts w:ascii="Arial" w:hAnsi="Arial" w:cs="Arial"/>
          <w:sz w:val="18"/>
          <w:szCs w:val="18"/>
          <w:lang w:val="es-ES"/>
        </w:rPr>
      </w:pPr>
      <w:r w:rsidRPr="002570CD">
        <w:rPr>
          <w:rStyle w:val="FootnoteReference"/>
          <w:rFonts w:ascii="Arial" w:hAnsi="Arial" w:cs="Arial"/>
          <w:sz w:val="18"/>
          <w:szCs w:val="18"/>
        </w:rPr>
        <w:footnoteRef/>
      </w:r>
      <w:r>
        <w:rPr>
          <w:rFonts w:ascii="Arial" w:hAnsi="Arial" w:cs="Arial"/>
          <w:sz w:val="18"/>
          <w:szCs w:val="18"/>
          <w:lang w:val="es-ES"/>
        </w:rPr>
        <w:tab/>
      </w:r>
      <w:r w:rsidRPr="002570CD">
        <w:rPr>
          <w:rFonts w:ascii="Arial" w:hAnsi="Arial" w:cs="Arial"/>
          <w:sz w:val="18"/>
          <w:szCs w:val="18"/>
          <w:lang w:val="es-ES"/>
        </w:rPr>
        <w:t xml:space="preserve">Banco de México. </w:t>
      </w:r>
      <w:hyperlink r:id="rId1" w:history="1">
        <w:r w:rsidRPr="002570CD">
          <w:rPr>
            <w:rStyle w:val="Hyperlink"/>
            <w:rFonts w:ascii="Arial" w:hAnsi="Arial" w:cs="Arial"/>
            <w:sz w:val="18"/>
            <w:szCs w:val="18"/>
            <w:lang w:val="es-ES"/>
          </w:rPr>
          <w:t>Reporte sobre el sistema financiero.</w:t>
        </w:r>
      </w:hyperlink>
      <w:r w:rsidRPr="002570CD">
        <w:rPr>
          <w:rFonts w:ascii="Arial" w:hAnsi="Arial" w:cs="Arial"/>
          <w:sz w:val="18"/>
          <w:szCs w:val="18"/>
          <w:lang w:val="es-ES"/>
        </w:rPr>
        <w:t xml:space="preserve"> Octubre de 2017.</w:t>
      </w:r>
    </w:p>
  </w:footnote>
  <w:footnote w:id="10">
    <w:p w14:paraId="6550703E" w14:textId="77777777" w:rsidR="00636266" w:rsidRPr="002570CD" w:rsidRDefault="00636266" w:rsidP="001747F4">
      <w:pPr>
        <w:pStyle w:val="FootnoteText"/>
        <w:numPr>
          <w:ilvl w:val="0"/>
          <w:numId w:val="0"/>
        </w:numPr>
        <w:tabs>
          <w:tab w:val="left" w:pos="180"/>
        </w:tabs>
        <w:spacing w:after="0"/>
        <w:ind w:left="180" w:hanging="180"/>
        <w:rPr>
          <w:rFonts w:ascii="Arial" w:hAnsi="Arial" w:cs="Arial"/>
          <w:sz w:val="18"/>
          <w:szCs w:val="18"/>
          <w:lang w:val="es-ES"/>
        </w:rPr>
      </w:pPr>
      <w:r w:rsidRPr="002570CD">
        <w:rPr>
          <w:rStyle w:val="FootnoteReference"/>
          <w:rFonts w:ascii="Arial" w:hAnsi="Arial" w:cs="Arial"/>
          <w:sz w:val="18"/>
          <w:szCs w:val="18"/>
        </w:rPr>
        <w:footnoteRef/>
      </w:r>
      <w:r>
        <w:rPr>
          <w:rFonts w:ascii="Arial" w:hAnsi="Arial" w:cs="Arial"/>
          <w:sz w:val="18"/>
          <w:szCs w:val="18"/>
          <w:lang w:val="es-ES"/>
        </w:rPr>
        <w:tab/>
      </w:r>
      <w:r w:rsidRPr="002570CD">
        <w:rPr>
          <w:rFonts w:ascii="Arial" w:hAnsi="Arial" w:cs="Arial"/>
          <w:sz w:val="18"/>
          <w:szCs w:val="18"/>
          <w:lang w:val="es-ES"/>
        </w:rPr>
        <w:t xml:space="preserve">De acuerdo con datos de la SHCP, la inversión en infraestructura desde el 2007 ha sido financiada en más del 80% por fondos públicos, mientras que sólo 18% (US$17 mil millones) ha sido financiada por el sector privado. De la participación del gobierno, 76% fue del presupuesto federal de egresos, 4% del Fondo Nacional de Infraestructura y 3% en créditos otorgados por BANOBRAS, Bancomext y NAFIN. </w:t>
      </w:r>
    </w:p>
  </w:footnote>
  <w:footnote w:id="11">
    <w:p w14:paraId="59EEF58E" w14:textId="77777777" w:rsidR="00636266" w:rsidRPr="002570CD" w:rsidRDefault="00636266" w:rsidP="001747F4">
      <w:pPr>
        <w:pStyle w:val="FootnoteText"/>
        <w:numPr>
          <w:ilvl w:val="0"/>
          <w:numId w:val="0"/>
        </w:numPr>
        <w:tabs>
          <w:tab w:val="left" w:pos="180"/>
        </w:tabs>
        <w:spacing w:after="0"/>
        <w:ind w:left="180" w:hanging="180"/>
        <w:rPr>
          <w:rFonts w:ascii="Arial" w:hAnsi="Arial" w:cs="Arial"/>
          <w:sz w:val="18"/>
          <w:szCs w:val="18"/>
          <w:lang w:val="es-ES"/>
        </w:rPr>
      </w:pPr>
      <w:r w:rsidRPr="002570CD">
        <w:rPr>
          <w:rStyle w:val="FootnoteReference"/>
          <w:rFonts w:ascii="Arial" w:hAnsi="Arial" w:cs="Arial"/>
          <w:sz w:val="18"/>
          <w:szCs w:val="18"/>
        </w:rPr>
        <w:footnoteRef/>
      </w:r>
      <w:r w:rsidRPr="002570CD">
        <w:rPr>
          <w:rFonts w:ascii="Arial" w:hAnsi="Arial" w:cs="Arial"/>
          <w:sz w:val="18"/>
          <w:szCs w:val="18"/>
          <w:lang w:val="es-ES"/>
        </w:rPr>
        <w:t xml:space="preserve"> México ha introducido reformas importantes para facilitar la inversión a largo plazo, por ejemplo</w:t>
      </w:r>
      <w:r>
        <w:rPr>
          <w:rFonts w:ascii="Arial" w:hAnsi="Arial" w:cs="Arial"/>
          <w:sz w:val="18"/>
          <w:szCs w:val="18"/>
          <w:lang w:val="es-ES"/>
        </w:rPr>
        <w:t>,</w:t>
      </w:r>
      <w:r w:rsidRPr="002570CD">
        <w:rPr>
          <w:rFonts w:ascii="Arial" w:hAnsi="Arial" w:cs="Arial"/>
          <w:sz w:val="18"/>
          <w:szCs w:val="18"/>
          <w:lang w:val="es-ES"/>
        </w:rPr>
        <w:t xml:space="preserve"> a través de la flexibilización de los límites de inversión en renta variable de los fondos de pensiones, y el desarrollo de instrumentos como los certificados de capital de desarrollo. Esto puede ayudar significativamente a financiar proyectos que requieren periodos de maduración de alrededor de los 15 años.</w:t>
      </w:r>
    </w:p>
  </w:footnote>
  <w:footnote w:id="12">
    <w:p w14:paraId="3F4F2C2A" w14:textId="77777777" w:rsidR="00636266" w:rsidRPr="002570CD" w:rsidRDefault="00636266" w:rsidP="001747F4">
      <w:pPr>
        <w:pStyle w:val="FootnoteText"/>
        <w:numPr>
          <w:ilvl w:val="0"/>
          <w:numId w:val="0"/>
        </w:numPr>
        <w:tabs>
          <w:tab w:val="left" w:pos="180"/>
        </w:tabs>
        <w:ind w:left="180" w:hanging="180"/>
        <w:rPr>
          <w:rFonts w:ascii="Arial" w:hAnsi="Arial" w:cs="Arial"/>
          <w:lang w:val="es-ES"/>
        </w:rPr>
      </w:pPr>
      <w:r w:rsidRPr="002570CD">
        <w:rPr>
          <w:rStyle w:val="FootnoteReference"/>
          <w:rFonts w:ascii="Arial" w:hAnsi="Arial" w:cs="Arial"/>
          <w:sz w:val="18"/>
          <w:szCs w:val="18"/>
        </w:rPr>
        <w:footnoteRef/>
      </w:r>
      <w:r w:rsidRPr="002570CD">
        <w:rPr>
          <w:rFonts w:ascii="Arial" w:hAnsi="Arial" w:cs="Arial"/>
          <w:sz w:val="18"/>
          <w:szCs w:val="18"/>
          <w:lang w:val="es-ES"/>
        </w:rPr>
        <w:t xml:space="preserve"> A febrero de 2018, el monto en moneda local de los créditos a más de 120 meses representaba un 9% de la cartera empresarial total de la Banca Múltiple, y un 3% del total de los créditos concedidos. A su vez, alineados con la práctica internacional, los bancos financian aproximadamente el 60% de sus créditos a largo y mediano plazo con depósitos y créditos a corto plazo. </w:t>
      </w:r>
      <w:r w:rsidRPr="002570CD">
        <w:rPr>
          <w:rFonts w:ascii="Arial" w:hAnsi="Arial" w:cs="Arial"/>
          <w:sz w:val="18"/>
          <w:szCs w:val="18"/>
        </w:rPr>
        <w:t>V</w:t>
      </w:r>
      <w:r>
        <w:rPr>
          <w:rFonts w:ascii="Arial" w:hAnsi="Arial" w:cs="Arial"/>
          <w:sz w:val="18"/>
          <w:szCs w:val="18"/>
        </w:rPr>
        <w:t>er:</w:t>
      </w:r>
      <w:r w:rsidRPr="002570CD">
        <w:rPr>
          <w:rFonts w:ascii="Arial" w:hAnsi="Arial" w:cs="Arial"/>
          <w:sz w:val="18"/>
          <w:szCs w:val="18"/>
        </w:rPr>
        <w:t xml:space="preserve"> </w:t>
      </w:r>
      <w:hyperlink r:id="rId2" w:history="1">
        <w:r w:rsidRPr="002570CD">
          <w:rPr>
            <w:rStyle w:val="Hyperlink"/>
            <w:rFonts w:ascii="Arial" w:hAnsi="Arial" w:cs="Arial"/>
            <w:sz w:val="18"/>
            <w:szCs w:val="18"/>
          </w:rPr>
          <w:t xml:space="preserve">Infrastructure Investing. It Matters. Swiss Re/Intitute of International Finance. </w:t>
        </w:r>
        <w:r w:rsidRPr="002570CD">
          <w:rPr>
            <w:rStyle w:val="Hyperlink"/>
            <w:rFonts w:ascii="Arial" w:hAnsi="Arial" w:cs="Arial"/>
            <w:sz w:val="18"/>
            <w:szCs w:val="18"/>
            <w:lang w:val="es-ES"/>
          </w:rPr>
          <w:t>2016.</w:t>
        </w:r>
      </w:hyperlink>
    </w:p>
  </w:footnote>
  <w:footnote w:id="13">
    <w:p w14:paraId="5B5E3075" w14:textId="77777777" w:rsidR="00636266" w:rsidRPr="00516492" w:rsidRDefault="00636266" w:rsidP="00516492">
      <w:pPr>
        <w:pStyle w:val="FootnoteText"/>
        <w:numPr>
          <w:ilvl w:val="0"/>
          <w:numId w:val="0"/>
        </w:numPr>
        <w:spacing w:after="0"/>
        <w:rPr>
          <w:rFonts w:ascii="Arial" w:hAnsi="Arial" w:cs="Arial"/>
          <w:sz w:val="18"/>
          <w:szCs w:val="18"/>
          <w:lang w:val="es-ES"/>
        </w:rPr>
      </w:pPr>
      <w:r w:rsidRPr="00516492">
        <w:rPr>
          <w:rStyle w:val="FootnoteReference"/>
          <w:rFonts w:ascii="Arial" w:hAnsi="Arial" w:cs="Arial"/>
          <w:sz w:val="18"/>
          <w:szCs w:val="18"/>
        </w:rPr>
        <w:footnoteRef/>
      </w:r>
      <w:r w:rsidRPr="00516492">
        <w:rPr>
          <w:rFonts w:ascii="Arial" w:hAnsi="Arial" w:cs="Arial"/>
          <w:sz w:val="18"/>
          <w:szCs w:val="18"/>
          <w:lang w:val="es-ES"/>
        </w:rPr>
        <w:t xml:space="preserve"> </w:t>
      </w:r>
      <w:hyperlink r:id="rId3" w:history="1">
        <w:r w:rsidRPr="00516492">
          <w:rPr>
            <w:rStyle w:val="Hyperlink"/>
            <w:rFonts w:ascii="Arial" w:hAnsi="Arial" w:cs="Arial"/>
            <w:sz w:val="18"/>
            <w:szCs w:val="18"/>
            <w:lang w:val="es-ES"/>
          </w:rPr>
          <w:t>Banco de México. Reporte sobre el sistema financiero. Octubre de 2017.</w:t>
        </w:r>
      </w:hyperlink>
      <w:r w:rsidRPr="00516492">
        <w:rPr>
          <w:rFonts w:ascii="Arial" w:hAnsi="Arial" w:cs="Arial"/>
          <w:sz w:val="18"/>
          <w:szCs w:val="18"/>
          <w:lang w:val="es-ES"/>
        </w:rPr>
        <w:t xml:space="preserve"> </w:t>
      </w:r>
    </w:p>
  </w:footnote>
  <w:footnote w:id="14">
    <w:p w14:paraId="4775D33E" w14:textId="77777777" w:rsidR="00636266" w:rsidRPr="00516492" w:rsidRDefault="00636266" w:rsidP="00516492">
      <w:pPr>
        <w:pStyle w:val="FootnoteText"/>
        <w:numPr>
          <w:ilvl w:val="0"/>
          <w:numId w:val="0"/>
        </w:numPr>
        <w:spacing w:after="0"/>
        <w:rPr>
          <w:rFonts w:ascii="Arial" w:hAnsi="Arial" w:cs="Arial"/>
          <w:sz w:val="18"/>
          <w:szCs w:val="18"/>
          <w:lang w:val="es-ES"/>
        </w:rPr>
      </w:pPr>
      <w:r w:rsidRPr="00516492">
        <w:rPr>
          <w:rStyle w:val="FootnoteReference"/>
          <w:rFonts w:ascii="Arial" w:hAnsi="Arial" w:cs="Arial"/>
          <w:sz w:val="18"/>
          <w:szCs w:val="18"/>
        </w:rPr>
        <w:footnoteRef/>
      </w:r>
      <w:r w:rsidRPr="00516492">
        <w:rPr>
          <w:rFonts w:ascii="Arial" w:hAnsi="Arial" w:cs="Arial"/>
          <w:sz w:val="18"/>
          <w:szCs w:val="18"/>
          <w:lang w:val="es-ES"/>
        </w:rPr>
        <w:t xml:space="preserve"> Consultar POD de la operación para más detalles.</w:t>
      </w:r>
    </w:p>
  </w:footnote>
  <w:footnote w:id="15">
    <w:p w14:paraId="0E35CA18" w14:textId="77777777" w:rsidR="00636266" w:rsidRPr="00083041" w:rsidRDefault="00636266" w:rsidP="00083041">
      <w:pPr>
        <w:pStyle w:val="FootnoteText"/>
        <w:keepNext w:val="0"/>
        <w:keepLines w:val="0"/>
        <w:widowControl w:val="0"/>
        <w:numPr>
          <w:ilvl w:val="0"/>
          <w:numId w:val="0"/>
        </w:numPr>
        <w:tabs>
          <w:tab w:val="left" w:pos="180"/>
        </w:tabs>
        <w:spacing w:after="0"/>
        <w:rPr>
          <w:rFonts w:ascii="Arial" w:hAnsi="Arial" w:cs="Arial"/>
          <w:sz w:val="18"/>
          <w:szCs w:val="18"/>
          <w:lang w:val="es-ES"/>
        </w:rPr>
      </w:pPr>
      <w:r w:rsidRPr="00050045">
        <w:rPr>
          <w:rStyle w:val="FootnoteReference"/>
          <w:rFonts w:ascii="Arial" w:hAnsi="Arial" w:cs="Arial"/>
          <w:sz w:val="18"/>
          <w:szCs w:val="18"/>
        </w:rPr>
        <w:footnoteRef/>
      </w:r>
      <w:r w:rsidRPr="00083041">
        <w:rPr>
          <w:rFonts w:ascii="Arial" w:hAnsi="Arial" w:cs="Arial"/>
          <w:sz w:val="18"/>
          <w:szCs w:val="18"/>
          <w:lang w:val="es-ES"/>
        </w:rPr>
        <w:tab/>
      </w:r>
      <w:hyperlink r:id="rId4" w:history="1">
        <w:r w:rsidRPr="00083041">
          <w:rPr>
            <w:rStyle w:val="Hyperlink"/>
            <w:rFonts w:ascii="Arial" w:hAnsi="Arial" w:cs="Arial"/>
            <w:sz w:val="18"/>
            <w:szCs w:val="18"/>
            <w:lang w:val="es-ES"/>
          </w:rPr>
          <w:t>Tercer informe trimestral estadístico 2017</w:t>
        </w:r>
      </w:hyperlink>
      <w:r w:rsidRPr="00083041">
        <w:rPr>
          <w:rFonts w:ascii="Arial" w:hAnsi="Arial" w:cs="Arial"/>
          <w:sz w:val="18"/>
          <w:szCs w:val="18"/>
          <w:lang w:val="es-ES"/>
        </w:rPr>
        <w:t xml:space="preserve">. IFT. </w:t>
      </w:r>
    </w:p>
  </w:footnote>
  <w:footnote w:id="16">
    <w:p w14:paraId="4096A2A8" w14:textId="77777777" w:rsidR="00636266" w:rsidRPr="00083041" w:rsidRDefault="00636266" w:rsidP="00083041">
      <w:pPr>
        <w:pStyle w:val="FootnoteText"/>
        <w:keepNext w:val="0"/>
        <w:keepLines w:val="0"/>
        <w:widowControl w:val="0"/>
        <w:numPr>
          <w:ilvl w:val="0"/>
          <w:numId w:val="0"/>
        </w:numPr>
        <w:tabs>
          <w:tab w:val="left" w:pos="180"/>
        </w:tabs>
        <w:spacing w:after="0"/>
        <w:rPr>
          <w:rFonts w:ascii="Arial" w:hAnsi="Arial" w:cs="Arial"/>
          <w:sz w:val="18"/>
          <w:szCs w:val="18"/>
          <w:lang w:val="es-ES_tradnl"/>
        </w:rPr>
      </w:pPr>
      <w:r w:rsidRPr="00050045">
        <w:rPr>
          <w:rStyle w:val="FootnoteReference"/>
          <w:rFonts w:ascii="Arial" w:hAnsi="Arial" w:cs="Arial"/>
          <w:sz w:val="18"/>
          <w:szCs w:val="18"/>
        </w:rPr>
        <w:footnoteRef/>
      </w:r>
      <w:r w:rsidRPr="00083041">
        <w:rPr>
          <w:rFonts w:ascii="Arial" w:hAnsi="Arial" w:cs="Arial"/>
          <w:sz w:val="18"/>
          <w:szCs w:val="18"/>
          <w:lang w:val="es-ES_tradnl"/>
        </w:rPr>
        <w:tab/>
        <w:t>Op.Cit. 26</w:t>
      </w:r>
    </w:p>
  </w:footnote>
  <w:footnote w:id="17">
    <w:p w14:paraId="6DEAD9C0" w14:textId="77777777" w:rsidR="00636266" w:rsidRPr="00083041" w:rsidRDefault="00636266" w:rsidP="00083041">
      <w:pPr>
        <w:pStyle w:val="FootnoteText"/>
        <w:keepNext w:val="0"/>
        <w:keepLines w:val="0"/>
        <w:widowControl w:val="0"/>
        <w:numPr>
          <w:ilvl w:val="0"/>
          <w:numId w:val="0"/>
        </w:numPr>
        <w:tabs>
          <w:tab w:val="left" w:pos="180"/>
        </w:tabs>
        <w:spacing w:after="0"/>
        <w:ind w:left="180" w:hanging="180"/>
        <w:rPr>
          <w:rFonts w:ascii="Arial" w:hAnsi="Arial" w:cs="Arial"/>
          <w:sz w:val="18"/>
          <w:szCs w:val="18"/>
          <w:lang w:val="pt-BR"/>
        </w:rPr>
      </w:pPr>
      <w:r w:rsidRPr="00050045">
        <w:rPr>
          <w:rStyle w:val="FootnoteReference"/>
          <w:rFonts w:ascii="Arial" w:hAnsi="Arial" w:cs="Arial"/>
          <w:sz w:val="18"/>
          <w:szCs w:val="18"/>
        </w:rPr>
        <w:footnoteRef/>
      </w:r>
      <w:r w:rsidRPr="00083041">
        <w:rPr>
          <w:rFonts w:ascii="Arial" w:hAnsi="Arial" w:cs="Arial"/>
          <w:sz w:val="18"/>
          <w:szCs w:val="18"/>
          <w:lang w:val="es-ES"/>
        </w:rPr>
        <w:tab/>
      </w:r>
      <w:hyperlink r:id="rId5" w:history="1">
        <w:r w:rsidRPr="00083041">
          <w:rPr>
            <w:rStyle w:val="Hyperlink"/>
            <w:lang w:val="es-ES"/>
          </w:rPr>
          <w:t>La Gobernanza de las Telecomunicaciones: hacia la Economía Digital.</w:t>
        </w:r>
      </w:hyperlink>
      <w:r w:rsidRPr="00083041">
        <w:rPr>
          <w:rFonts w:ascii="Arial" w:hAnsi="Arial" w:cs="Arial"/>
          <w:sz w:val="18"/>
          <w:szCs w:val="18"/>
          <w:lang w:val="es-ES"/>
        </w:rPr>
        <w:t xml:space="preserve"> </w:t>
      </w:r>
      <w:r w:rsidRPr="00083041">
        <w:rPr>
          <w:rFonts w:ascii="Arial" w:hAnsi="Arial" w:cs="Arial"/>
          <w:sz w:val="18"/>
          <w:szCs w:val="18"/>
          <w:lang w:val="pt-BR"/>
        </w:rPr>
        <w:t xml:space="preserve">BID. 2017. </w:t>
      </w:r>
    </w:p>
  </w:footnote>
  <w:footnote w:id="18">
    <w:p w14:paraId="65B088F8" w14:textId="77777777" w:rsidR="00636266" w:rsidRPr="00083041" w:rsidRDefault="00636266" w:rsidP="003D3B99">
      <w:pPr>
        <w:pStyle w:val="FootnoteText"/>
        <w:numPr>
          <w:ilvl w:val="0"/>
          <w:numId w:val="0"/>
        </w:numPr>
        <w:tabs>
          <w:tab w:val="left" w:pos="180"/>
        </w:tabs>
        <w:spacing w:after="0"/>
        <w:ind w:left="180" w:hanging="180"/>
        <w:rPr>
          <w:lang w:val="pt-BR"/>
        </w:rPr>
      </w:pPr>
      <w:r w:rsidRPr="002570CD">
        <w:rPr>
          <w:rStyle w:val="FootnoteReference"/>
          <w:rFonts w:ascii="Arial" w:hAnsi="Arial" w:cs="Arial"/>
          <w:sz w:val="18"/>
          <w:szCs w:val="18"/>
        </w:rPr>
        <w:footnoteRef/>
      </w:r>
      <w:r w:rsidRPr="00083041">
        <w:rPr>
          <w:rFonts w:ascii="Arial" w:hAnsi="Arial" w:cs="Arial"/>
          <w:sz w:val="18"/>
          <w:szCs w:val="18"/>
          <w:lang w:val="pt-BR"/>
        </w:rPr>
        <w:tab/>
      </w:r>
      <w:r w:rsidRPr="00083041">
        <w:rPr>
          <w:rStyle w:val="FootnoteReference"/>
          <w:rFonts w:ascii="Arial" w:hAnsi="Arial" w:cs="Arial"/>
          <w:sz w:val="18"/>
          <w:szCs w:val="18"/>
          <w:vertAlign w:val="baseline"/>
          <w:lang w:val="pt-BR"/>
        </w:rPr>
        <w:t>La canasta de servicios de banda ancha móvil de uso bajo se definió como 100 llamadas y 500MB, la de uso medio como 300 llamadas y 1GB, y la de uso alto como 900 llamadas y 2GB. La canasta de servicios de banda ancha fija de uso bajo se definió como 20GB, y la de uso alto como 200GB. Ve</w:t>
      </w:r>
      <w:r w:rsidRPr="00083041">
        <w:rPr>
          <w:rFonts w:ascii="Arial" w:hAnsi="Arial" w:cs="Arial"/>
          <w:sz w:val="18"/>
          <w:szCs w:val="18"/>
          <w:lang w:val="pt-BR"/>
        </w:rPr>
        <w:t>r:</w:t>
      </w:r>
      <w:r w:rsidRPr="00083041">
        <w:rPr>
          <w:rStyle w:val="FootnoteReference"/>
          <w:rFonts w:ascii="Arial" w:hAnsi="Arial" w:cs="Arial"/>
          <w:sz w:val="18"/>
          <w:szCs w:val="18"/>
          <w:vertAlign w:val="baseline"/>
          <w:lang w:val="pt-BR"/>
        </w:rPr>
        <w:t xml:space="preserve"> Estudio de la OCDE sobre telecomunicaciones y radiodifusión en México en 2017</w:t>
      </w:r>
      <w:r w:rsidRPr="00083041">
        <w:rPr>
          <w:rFonts w:ascii="Arial" w:hAnsi="Arial" w:cs="Arial"/>
          <w:sz w:val="18"/>
          <w:szCs w:val="18"/>
          <w:lang w:val="pt-BR"/>
        </w:rPr>
        <w:t>.</w:t>
      </w:r>
    </w:p>
  </w:footnote>
  <w:footnote w:id="19">
    <w:p w14:paraId="4083736D" w14:textId="77777777" w:rsidR="00636266" w:rsidRPr="00083041" w:rsidRDefault="00636266" w:rsidP="00083041">
      <w:pPr>
        <w:pStyle w:val="FootnoteText"/>
        <w:numPr>
          <w:ilvl w:val="0"/>
          <w:numId w:val="0"/>
        </w:numPr>
        <w:tabs>
          <w:tab w:val="left" w:pos="180"/>
        </w:tabs>
        <w:spacing w:after="0"/>
        <w:ind w:left="180" w:hanging="180"/>
        <w:rPr>
          <w:rFonts w:ascii="Arial" w:hAnsi="Arial" w:cs="Arial"/>
          <w:sz w:val="18"/>
          <w:szCs w:val="18"/>
          <w:lang w:val="es-ES"/>
        </w:rPr>
      </w:pPr>
      <w:r w:rsidRPr="00083041">
        <w:rPr>
          <w:rStyle w:val="FootnoteReference"/>
          <w:rFonts w:ascii="Arial" w:hAnsi="Arial" w:cs="Arial"/>
          <w:sz w:val="18"/>
          <w:szCs w:val="18"/>
        </w:rPr>
        <w:footnoteRef/>
      </w:r>
      <w:r>
        <w:rPr>
          <w:rFonts w:ascii="Arial" w:hAnsi="Arial" w:cs="Arial"/>
          <w:sz w:val="18"/>
          <w:szCs w:val="18"/>
        </w:rPr>
        <w:tab/>
      </w:r>
      <w:r w:rsidRPr="00083041">
        <w:rPr>
          <w:rFonts w:ascii="Arial" w:hAnsi="Arial" w:cs="Arial"/>
          <w:sz w:val="18"/>
          <w:szCs w:val="18"/>
        </w:rPr>
        <w:t xml:space="preserve">Atasoy, H. </w:t>
      </w:r>
      <w:r w:rsidRPr="00083041">
        <w:rPr>
          <w:rFonts w:ascii="Arial" w:hAnsi="Arial" w:cs="Arial"/>
          <w:i/>
          <w:iCs/>
          <w:sz w:val="18"/>
          <w:szCs w:val="18"/>
        </w:rPr>
        <w:t>The Effects of Broadband Internet Expansion on Labor Market Outcomes</w:t>
      </w:r>
      <w:r w:rsidRPr="00083041">
        <w:rPr>
          <w:rFonts w:ascii="Arial" w:hAnsi="Arial" w:cs="Arial"/>
          <w:sz w:val="18"/>
          <w:szCs w:val="18"/>
        </w:rPr>
        <w:t xml:space="preserve">. </w:t>
      </w:r>
      <w:r w:rsidRPr="00083041">
        <w:rPr>
          <w:rFonts w:ascii="Arial" w:hAnsi="Arial" w:cs="Arial"/>
          <w:i/>
          <w:iCs/>
          <w:sz w:val="18"/>
          <w:szCs w:val="18"/>
          <w:lang w:val="es-ES"/>
        </w:rPr>
        <w:t>ILR Review</w:t>
      </w:r>
      <w:r w:rsidRPr="00083041">
        <w:rPr>
          <w:rFonts w:ascii="Arial" w:hAnsi="Arial" w:cs="Arial"/>
          <w:sz w:val="18"/>
          <w:szCs w:val="18"/>
          <w:lang w:val="es-ES"/>
        </w:rPr>
        <w:t xml:space="preserve">, 66 (2), págs. 315-345.   </w:t>
      </w:r>
    </w:p>
  </w:footnote>
  <w:footnote w:id="20">
    <w:p w14:paraId="0DEFF491" w14:textId="77777777" w:rsidR="00636266" w:rsidRPr="00083041" w:rsidRDefault="00636266" w:rsidP="00083041">
      <w:pPr>
        <w:pStyle w:val="Default"/>
        <w:tabs>
          <w:tab w:val="left" w:pos="180"/>
        </w:tabs>
        <w:ind w:left="180" w:hanging="180"/>
        <w:jc w:val="both"/>
        <w:rPr>
          <w:rFonts w:ascii="Arial" w:hAnsi="Arial" w:cs="Arial"/>
          <w:sz w:val="18"/>
          <w:szCs w:val="18"/>
        </w:rPr>
      </w:pPr>
      <w:r w:rsidRPr="00083041">
        <w:rPr>
          <w:rStyle w:val="FootnoteReference"/>
          <w:rFonts w:ascii="Arial" w:hAnsi="Arial" w:cs="Arial"/>
          <w:sz w:val="18"/>
          <w:szCs w:val="18"/>
        </w:rPr>
        <w:footnoteRef/>
      </w:r>
      <w:r>
        <w:rPr>
          <w:rFonts w:ascii="Arial" w:hAnsi="Arial" w:cs="Arial"/>
          <w:sz w:val="18"/>
          <w:szCs w:val="18"/>
        </w:rPr>
        <w:tab/>
      </w:r>
      <w:r w:rsidRPr="00083041">
        <w:rPr>
          <w:rFonts w:ascii="Arial" w:hAnsi="Arial" w:cs="Arial"/>
          <w:sz w:val="18"/>
          <w:szCs w:val="18"/>
        </w:rPr>
        <w:t xml:space="preserve">Administración de Desarrollo Económico del Departamento de Comercio de los Estados Unidos. </w:t>
      </w:r>
      <w:r w:rsidRPr="00083041">
        <w:rPr>
          <w:rFonts w:ascii="Arial" w:hAnsi="Arial" w:cs="Arial"/>
          <w:sz w:val="18"/>
          <w:szCs w:val="18"/>
          <w:lang w:val="es-ES_tradnl"/>
        </w:rPr>
        <w:t xml:space="preserve">(2006). </w:t>
      </w:r>
      <w:hyperlink r:id="rId6" w:history="1">
        <w:r w:rsidRPr="00083041">
          <w:rPr>
            <w:rStyle w:val="Hyperlink"/>
            <w:rFonts w:ascii="Arial" w:hAnsi="Arial" w:cs="Arial"/>
            <w:sz w:val="18"/>
            <w:szCs w:val="18"/>
          </w:rPr>
          <w:t>Measuring Broadband’s Economic Impact</w:t>
        </w:r>
      </w:hyperlink>
      <w:r w:rsidRPr="00083041">
        <w:rPr>
          <w:rFonts w:ascii="Arial" w:hAnsi="Arial" w:cs="Arial"/>
          <w:i/>
          <w:iCs/>
          <w:sz w:val="18"/>
          <w:szCs w:val="18"/>
          <w:lang w:val="es-ES_tradnl"/>
        </w:rPr>
        <w:t xml:space="preserve">. </w:t>
      </w:r>
    </w:p>
  </w:footnote>
  <w:footnote w:id="21">
    <w:p w14:paraId="49861B98" w14:textId="77777777" w:rsidR="00636266" w:rsidRPr="00083041" w:rsidRDefault="00636266" w:rsidP="00083041">
      <w:pPr>
        <w:pStyle w:val="Default"/>
        <w:tabs>
          <w:tab w:val="left" w:pos="180"/>
        </w:tabs>
        <w:ind w:left="180" w:hanging="180"/>
        <w:jc w:val="both"/>
        <w:rPr>
          <w:rFonts w:ascii="Arial" w:hAnsi="Arial" w:cs="Arial"/>
          <w:sz w:val="18"/>
          <w:szCs w:val="18"/>
          <w:lang w:val="en-US"/>
        </w:rPr>
      </w:pPr>
      <w:r w:rsidRPr="00083041">
        <w:rPr>
          <w:rStyle w:val="FootnoteReference"/>
          <w:rFonts w:ascii="Arial" w:hAnsi="Arial" w:cs="Arial"/>
          <w:sz w:val="18"/>
          <w:szCs w:val="18"/>
        </w:rPr>
        <w:footnoteRef/>
      </w:r>
      <w:r>
        <w:rPr>
          <w:rFonts w:ascii="Arial" w:hAnsi="Arial" w:cs="Arial"/>
          <w:sz w:val="18"/>
          <w:szCs w:val="18"/>
        </w:rPr>
        <w:tab/>
      </w:r>
      <w:r w:rsidRPr="00083041">
        <w:rPr>
          <w:rFonts w:ascii="Arial" w:hAnsi="Arial" w:cs="Arial"/>
          <w:sz w:val="18"/>
          <w:szCs w:val="18"/>
        </w:rPr>
        <w:t>Las P</w:t>
      </w:r>
      <w:r>
        <w:rPr>
          <w:rFonts w:ascii="Arial" w:hAnsi="Arial" w:cs="Arial"/>
          <w:sz w:val="18"/>
          <w:szCs w:val="18"/>
        </w:rPr>
        <w:t>y</w:t>
      </w:r>
      <w:r w:rsidRPr="00083041">
        <w:rPr>
          <w:rFonts w:ascii="Arial" w:hAnsi="Arial" w:cs="Arial"/>
          <w:sz w:val="18"/>
          <w:szCs w:val="18"/>
        </w:rPr>
        <w:t>ME también se benefician de la adopción de determinadas aplicaciones avanzadas de banda ancha, pero esos beneficios dependen de factores aleatorios como los siguientes: (i) su industria de operaciones (servicios frente a manufacturas); (ii) la pertinencia de las aplicaciones informáticas específicas de banda ancha para la industria de operaciones de las PYME, y (iii) la realización de cambios estratégicos y organizativos de carácter complementario. El aumento de la productividad está comprendido entre el 20% y el 70% [</w:t>
      </w:r>
      <w:r>
        <w:rPr>
          <w:rFonts w:ascii="Arial" w:hAnsi="Arial" w:cs="Arial"/>
          <w:sz w:val="18"/>
          <w:szCs w:val="18"/>
        </w:rPr>
        <w:t>Ver:</w:t>
      </w:r>
      <w:r w:rsidRPr="00083041">
        <w:rPr>
          <w:rFonts w:ascii="Arial" w:hAnsi="Arial" w:cs="Arial"/>
          <w:sz w:val="18"/>
          <w:szCs w:val="18"/>
        </w:rPr>
        <w:t xml:space="preserve"> Colombo, M., Croce, A., Grilli, L. (2013). </w:t>
      </w:r>
      <w:r w:rsidRPr="00083041">
        <w:rPr>
          <w:rFonts w:ascii="Arial" w:hAnsi="Arial" w:cs="Arial"/>
          <w:i/>
          <w:iCs/>
          <w:sz w:val="18"/>
          <w:szCs w:val="18"/>
          <w:lang w:val="en-US"/>
        </w:rPr>
        <w:t>ICT services and small businesses’ productivity gains: An analysis of the adoption of broadband Internet technology. Information Economics and Policy</w:t>
      </w:r>
      <w:r w:rsidRPr="00083041">
        <w:rPr>
          <w:rFonts w:ascii="Arial" w:hAnsi="Arial" w:cs="Arial"/>
          <w:sz w:val="18"/>
          <w:szCs w:val="18"/>
          <w:lang w:val="en-US"/>
        </w:rPr>
        <w:t xml:space="preserve">, 25(3), 171-189]. </w:t>
      </w:r>
    </w:p>
  </w:footnote>
  <w:footnote w:id="22">
    <w:p w14:paraId="38DD638C" w14:textId="77777777" w:rsidR="00636266" w:rsidRPr="00083041" w:rsidRDefault="00636266" w:rsidP="00083041">
      <w:pPr>
        <w:pStyle w:val="Default"/>
        <w:tabs>
          <w:tab w:val="left" w:pos="180"/>
        </w:tabs>
        <w:ind w:left="180" w:hanging="180"/>
        <w:jc w:val="both"/>
        <w:rPr>
          <w:rFonts w:ascii="Arial" w:hAnsi="Arial" w:cs="Arial"/>
          <w:sz w:val="18"/>
          <w:szCs w:val="18"/>
        </w:rPr>
      </w:pPr>
      <w:r w:rsidRPr="00083041">
        <w:rPr>
          <w:rStyle w:val="FootnoteReference"/>
          <w:rFonts w:ascii="Arial" w:hAnsi="Arial" w:cs="Arial"/>
          <w:sz w:val="18"/>
          <w:szCs w:val="18"/>
        </w:rPr>
        <w:footnoteRef/>
      </w:r>
      <w:r>
        <w:rPr>
          <w:rFonts w:ascii="Arial" w:hAnsi="Arial" w:cs="Arial"/>
          <w:sz w:val="18"/>
          <w:szCs w:val="18"/>
          <w:lang w:val="en-US"/>
        </w:rPr>
        <w:tab/>
      </w:r>
      <w:r w:rsidRPr="00083041">
        <w:rPr>
          <w:rFonts w:ascii="Arial" w:hAnsi="Arial" w:cs="Arial"/>
          <w:sz w:val="18"/>
          <w:szCs w:val="18"/>
          <w:lang w:val="en-US"/>
        </w:rPr>
        <w:t xml:space="preserve">Grimes, A., Ren, C., Stevens. P. (2012). </w:t>
      </w:r>
      <w:r w:rsidRPr="00083041">
        <w:rPr>
          <w:rFonts w:ascii="Arial" w:hAnsi="Arial" w:cs="Arial"/>
          <w:i/>
          <w:iCs/>
          <w:sz w:val="18"/>
          <w:szCs w:val="18"/>
          <w:lang w:val="en-US"/>
        </w:rPr>
        <w:t xml:space="preserve">The need for speed: impacts of internet connectivity on firm </w:t>
      </w:r>
      <w:r w:rsidRPr="00083041">
        <w:rPr>
          <w:rFonts w:ascii="Arial" w:hAnsi="Arial" w:cs="Arial"/>
          <w:i/>
          <w:sz w:val="18"/>
          <w:szCs w:val="18"/>
          <w:lang w:val="en-US"/>
        </w:rPr>
        <w:t xml:space="preserve">productivity. </w:t>
      </w:r>
      <w:r w:rsidRPr="00083041">
        <w:rPr>
          <w:rFonts w:ascii="Arial" w:hAnsi="Arial" w:cs="Arial"/>
          <w:i/>
          <w:sz w:val="18"/>
          <w:szCs w:val="18"/>
          <w:lang w:val="es-ES_tradnl"/>
        </w:rPr>
        <w:t>Journal of Productivity Analysis</w:t>
      </w:r>
      <w:r w:rsidRPr="00083041">
        <w:rPr>
          <w:rFonts w:ascii="Arial" w:hAnsi="Arial" w:cs="Arial"/>
          <w:sz w:val="18"/>
          <w:szCs w:val="18"/>
          <w:lang w:val="es-ES_tradnl"/>
        </w:rPr>
        <w:t>, 37 (2), 187-201.</w:t>
      </w:r>
    </w:p>
  </w:footnote>
  <w:footnote w:id="23">
    <w:p w14:paraId="2040B6B9" w14:textId="6DCE6F28" w:rsidR="00636266" w:rsidRPr="00083041" w:rsidRDefault="00636266" w:rsidP="008E6F45">
      <w:pPr>
        <w:pStyle w:val="Default"/>
        <w:tabs>
          <w:tab w:val="left" w:pos="180"/>
        </w:tabs>
        <w:ind w:left="180" w:hanging="180"/>
        <w:jc w:val="both"/>
        <w:rPr>
          <w:rFonts w:ascii="Arial" w:hAnsi="Arial" w:cs="Arial"/>
          <w:sz w:val="18"/>
          <w:szCs w:val="18"/>
          <w:lang w:val="es-ES_tradnl"/>
        </w:rPr>
      </w:pPr>
      <w:r w:rsidRPr="00460AD4">
        <w:rPr>
          <w:rFonts w:ascii="Arial" w:hAnsi="Arial" w:cs="Arial"/>
          <w:sz w:val="18"/>
          <w:szCs w:val="18"/>
          <w:vertAlign w:val="superscript"/>
        </w:rPr>
        <w:footnoteRef/>
      </w:r>
      <w:r w:rsidR="008E6F45">
        <w:rPr>
          <w:rFonts w:ascii="Arial" w:hAnsi="Arial" w:cs="Arial"/>
          <w:sz w:val="18"/>
          <w:szCs w:val="18"/>
          <w:lang w:val="es-ES_tradnl"/>
        </w:rPr>
        <w:tab/>
      </w:r>
      <w:r w:rsidRPr="00083041">
        <w:rPr>
          <w:rFonts w:ascii="Arial" w:hAnsi="Arial" w:cs="Arial"/>
          <w:sz w:val="18"/>
          <w:szCs w:val="18"/>
          <w:lang w:val="es-ES_tradnl"/>
        </w:rPr>
        <w:t>Se observó que se producía este efecto por cada aumento de 10 puntos porcentuales en la penetración de la banda ancha en los países de la OCDE entre 1996 y 2007.</w:t>
      </w:r>
    </w:p>
  </w:footnote>
  <w:footnote w:id="24">
    <w:p w14:paraId="6DAE87E8" w14:textId="2D39E7AB" w:rsidR="00636266" w:rsidRPr="00083041" w:rsidRDefault="00636266" w:rsidP="008E6F45">
      <w:pPr>
        <w:pStyle w:val="Default"/>
        <w:tabs>
          <w:tab w:val="left" w:pos="180"/>
        </w:tabs>
        <w:ind w:left="180" w:hanging="180"/>
        <w:jc w:val="both"/>
        <w:rPr>
          <w:lang w:val="en-US"/>
        </w:rPr>
      </w:pPr>
      <w:r w:rsidRPr="00460AD4">
        <w:rPr>
          <w:rFonts w:ascii="Arial" w:hAnsi="Arial" w:cs="Arial"/>
          <w:sz w:val="18"/>
          <w:szCs w:val="18"/>
          <w:vertAlign w:val="superscript"/>
        </w:rPr>
        <w:footnoteRef/>
      </w:r>
      <w:r w:rsidRPr="00460AD4">
        <w:rPr>
          <w:rFonts w:ascii="Arial" w:hAnsi="Arial" w:cs="Arial"/>
          <w:sz w:val="18"/>
          <w:szCs w:val="18"/>
          <w:vertAlign w:val="superscript"/>
          <w:lang w:val="en-US"/>
        </w:rPr>
        <w:t xml:space="preserve"> </w:t>
      </w:r>
      <w:r w:rsidR="008E6F45" w:rsidRPr="00460AD4">
        <w:rPr>
          <w:rFonts w:ascii="Arial" w:hAnsi="Arial" w:cs="Arial"/>
          <w:sz w:val="18"/>
          <w:szCs w:val="18"/>
          <w:lang w:val="en-US"/>
        </w:rPr>
        <w:tab/>
      </w:r>
      <w:r w:rsidRPr="008E6F45">
        <w:rPr>
          <w:rFonts w:ascii="Arial" w:hAnsi="Arial" w:cs="Arial"/>
          <w:sz w:val="18"/>
          <w:szCs w:val="18"/>
          <w:lang w:val="en-US"/>
        </w:rPr>
        <w:t xml:space="preserve">Czernich, N., Falck, O., Kretschmer, T., Woessmann, L. (2011). </w:t>
      </w:r>
      <w:r w:rsidRPr="00460AD4">
        <w:rPr>
          <w:rFonts w:ascii="Arial" w:hAnsi="Arial" w:cs="Arial"/>
          <w:i/>
          <w:sz w:val="18"/>
          <w:szCs w:val="18"/>
          <w:lang w:val="es-ES_tradnl"/>
        </w:rPr>
        <w:t>Broadband Infrastructure and Economic Growth. The Economic Jo</w:t>
      </w:r>
      <w:r w:rsidRPr="00083041">
        <w:rPr>
          <w:rFonts w:ascii="Arial" w:hAnsi="Arial" w:cs="Arial"/>
          <w:i/>
          <w:sz w:val="18"/>
          <w:szCs w:val="18"/>
          <w:lang w:val="en-US"/>
        </w:rPr>
        <w:t>urnal</w:t>
      </w:r>
      <w:r w:rsidRPr="00083041">
        <w:rPr>
          <w:rFonts w:ascii="Arial" w:hAnsi="Arial" w:cs="Arial"/>
          <w:sz w:val="18"/>
          <w:szCs w:val="18"/>
          <w:lang w:val="en-US"/>
        </w:rPr>
        <w:t>, 121 (522), 505-532. doi: 10.1111/j.1468-0297.2011.02420.x.</w:t>
      </w:r>
      <w:r w:rsidRPr="009F1EA3">
        <w:rPr>
          <w:sz w:val="20"/>
          <w:szCs w:val="20"/>
          <w:lang w:val="en-US"/>
        </w:rPr>
        <w:t xml:space="preserve"> </w:t>
      </w:r>
    </w:p>
  </w:footnote>
  <w:footnote w:id="25">
    <w:p w14:paraId="5BA0D208" w14:textId="77777777" w:rsidR="00636266" w:rsidRPr="00083041" w:rsidRDefault="00636266" w:rsidP="008E6F45">
      <w:pPr>
        <w:tabs>
          <w:tab w:val="left" w:pos="180"/>
        </w:tabs>
        <w:spacing w:after="0" w:line="240" w:lineRule="auto"/>
        <w:ind w:left="180" w:hanging="180"/>
        <w:jc w:val="both"/>
        <w:rPr>
          <w:rFonts w:ascii="Arial" w:hAnsi="Arial" w:cs="Arial"/>
          <w:sz w:val="18"/>
          <w:szCs w:val="18"/>
        </w:rPr>
      </w:pPr>
      <w:r w:rsidRPr="00460AD4">
        <w:rPr>
          <w:rFonts w:ascii="Arial" w:hAnsi="Arial" w:cs="Arial"/>
          <w:sz w:val="18"/>
          <w:szCs w:val="18"/>
          <w:vertAlign w:val="superscript"/>
        </w:rPr>
        <w:footnoteRef/>
      </w:r>
      <w:r>
        <w:rPr>
          <w:rFonts w:ascii="Arial" w:hAnsi="Arial" w:cs="Arial"/>
          <w:sz w:val="18"/>
          <w:szCs w:val="18"/>
        </w:rPr>
        <w:tab/>
      </w:r>
      <w:r w:rsidRPr="00083041">
        <w:rPr>
          <w:rFonts w:ascii="Arial" w:hAnsi="Arial" w:cs="Arial"/>
          <w:sz w:val="18"/>
          <w:szCs w:val="18"/>
        </w:rPr>
        <w:t>Aker, J., Mbiti, I. (2010). Mobile Phones and Economic Development in Africa. Journal of Economic Perspectives, 24 (3), 207-32.</w:t>
      </w:r>
    </w:p>
  </w:footnote>
  <w:footnote w:id="26">
    <w:p w14:paraId="43A65566" w14:textId="52D67404" w:rsidR="00636266" w:rsidRPr="00083041" w:rsidRDefault="00636266" w:rsidP="008E6F45">
      <w:pPr>
        <w:tabs>
          <w:tab w:val="left" w:pos="180"/>
        </w:tabs>
        <w:spacing w:after="0" w:line="240" w:lineRule="auto"/>
        <w:ind w:left="180" w:hanging="180"/>
        <w:jc w:val="both"/>
        <w:rPr>
          <w:rFonts w:ascii="Arial" w:hAnsi="Arial" w:cs="Arial"/>
          <w:sz w:val="18"/>
          <w:szCs w:val="18"/>
        </w:rPr>
      </w:pPr>
      <w:r w:rsidRPr="00460AD4">
        <w:rPr>
          <w:rFonts w:ascii="Arial" w:hAnsi="Arial" w:cs="Arial"/>
          <w:sz w:val="18"/>
          <w:szCs w:val="18"/>
          <w:vertAlign w:val="superscript"/>
        </w:rPr>
        <w:footnoteRef/>
      </w:r>
      <w:r>
        <w:rPr>
          <w:rFonts w:ascii="Arial" w:hAnsi="Arial" w:cs="Arial"/>
          <w:sz w:val="18"/>
          <w:szCs w:val="18"/>
        </w:rPr>
        <w:tab/>
      </w:r>
      <w:r w:rsidRPr="00083041">
        <w:rPr>
          <w:rFonts w:ascii="Arial" w:hAnsi="Arial" w:cs="Arial"/>
          <w:sz w:val="18"/>
          <w:szCs w:val="18"/>
        </w:rPr>
        <w:t xml:space="preserve">Czernich, N., Falck, O., Kretschmer, T., Woessmann, L. (2011). Broadband Infrastructure and Economic Growth. The Economic Journal, 121 (522), 505-532. doi: 10.1111/j.1468-0297.2011.02420.x. </w:t>
      </w:r>
    </w:p>
  </w:footnote>
  <w:footnote w:id="27">
    <w:p w14:paraId="5F26F163" w14:textId="087C7B4C" w:rsidR="00636266" w:rsidRPr="00083041" w:rsidRDefault="00636266" w:rsidP="008E6F45">
      <w:pPr>
        <w:tabs>
          <w:tab w:val="left" w:pos="180"/>
        </w:tabs>
        <w:spacing w:after="0" w:line="240" w:lineRule="auto"/>
        <w:ind w:left="180" w:hanging="180"/>
        <w:jc w:val="both"/>
        <w:rPr>
          <w:lang w:val="es-ES"/>
        </w:rPr>
      </w:pPr>
      <w:r w:rsidRPr="00460AD4">
        <w:rPr>
          <w:rFonts w:ascii="Arial" w:hAnsi="Arial" w:cs="Arial"/>
          <w:sz w:val="18"/>
          <w:szCs w:val="18"/>
          <w:vertAlign w:val="superscript"/>
        </w:rPr>
        <w:footnoteRef/>
      </w:r>
      <w:r>
        <w:rPr>
          <w:rFonts w:ascii="Arial" w:hAnsi="Arial" w:cs="Arial"/>
          <w:sz w:val="18"/>
          <w:szCs w:val="18"/>
          <w:lang w:val="es-ES_tradnl"/>
        </w:rPr>
        <w:tab/>
      </w:r>
      <w:r w:rsidRPr="00083041">
        <w:rPr>
          <w:rFonts w:ascii="Arial" w:hAnsi="Arial" w:cs="Arial"/>
          <w:sz w:val="18"/>
          <w:szCs w:val="18"/>
          <w:lang w:val="es-ES_tradnl"/>
        </w:rPr>
        <w:t xml:space="preserve">García Zaballos, A., López-Rivas, R. (2012). </w:t>
      </w:r>
      <w:r w:rsidRPr="00083041">
        <w:rPr>
          <w:rFonts w:ascii="Arial" w:hAnsi="Arial" w:cs="Arial"/>
          <w:i/>
          <w:sz w:val="18"/>
          <w:szCs w:val="18"/>
        </w:rPr>
        <w:t>Socieconomic Impact of Broadband in Latin America and Caribbean Countries</w:t>
      </w:r>
      <w:r w:rsidRPr="00083041">
        <w:rPr>
          <w:rFonts w:ascii="Arial" w:hAnsi="Arial" w:cs="Arial"/>
          <w:sz w:val="18"/>
          <w:szCs w:val="18"/>
        </w:rPr>
        <w:t xml:space="preserve">. </w:t>
      </w:r>
      <w:r w:rsidRPr="00083041">
        <w:rPr>
          <w:rFonts w:ascii="Arial" w:hAnsi="Arial" w:cs="Arial"/>
          <w:sz w:val="18"/>
          <w:szCs w:val="18"/>
          <w:lang w:val="es-ES_tradnl"/>
        </w:rPr>
        <w:t>Información consultada en el sitio virtual</w:t>
      </w:r>
      <w:r w:rsidRPr="00083041">
        <w:rPr>
          <w:rFonts w:ascii="Arial" w:hAnsi="Arial" w:cs="Arial"/>
          <w:sz w:val="18"/>
          <w:szCs w:val="18"/>
          <w:lang w:val="es-ES"/>
        </w:rPr>
        <w:t xml:space="preserve"> </w:t>
      </w:r>
      <w:r w:rsidRPr="00083041">
        <w:rPr>
          <w:rFonts w:ascii="Arial" w:hAnsi="Arial" w:cs="Arial"/>
          <w:sz w:val="18"/>
          <w:szCs w:val="18"/>
          <w:lang w:val="es-ES_tradnl"/>
        </w:rPr>
        <w:t xml:space="preserve"> </w:t>
      </w:r>
    </w:p>
  </w:footnote>
  <w:footnote w:id="28">
    <w:p w14:paraId="7BFB81F3" w14:textId="238B338A" w:rsidR="00996F6C" w:rsidRPr="00460AD4" w:rsidRDefault="00996F6C" w:rsidP="00460AD4">
      <w:pPr>
        <w:tabs>
          <w:tab w:val="left" w:pos="180"/>
        </w:tabs>
        <w:ind w:left="180" w:hanging="180"/>
        <w:rPr>
          <w:rFonts w:ascii="Arial" w:hAnsi="Arial" w:cs="Arial"/>
          <w:sz w:val="18"/>
          <w:szCs w:val="18"/>
        </w:rPr>
      </w:pPr>
      <w:r w:rsidRPr="00460AD4">
        <w:rPr>
          <w:rFonts w:ascii="Arial" w:hAnsi="Arial" w:cs="Arial"/>
          <w:sz w:val="18"/>
          <w:szCs w:val="18"/>
          <w:vertAlign w:val="superscript"/>
        </w:rPr>
        <w:footnoteRef/>
      </w:r>
      <w:r w:rsidR="008E6F45" w:rsidRPr="00460AD4">
        <w:rPr>
          <w:rFonts w:ascii="Arial" w:hAnsi="Arial" w:cs="Arial"/>
          <w:sz w:val="18"/>
          <w:szCs w:val="18"/>
        </w:rPr>
        <w:tab/>
      </w:r>
      <w:r w:rsidRPr="00460AD4">
        <w:rPr>
          <w:rFonts w:ascii="Arial" w:hAnsi="Arial" w:cs="Arial"/>
          <w:sz w:val="18"/>
          <w:szCs w:val="18"/>
        </w:rPr>
        <w:t>Jensen, R., and Miller, N. (2017). Information, Demand and the Growth of Firms: Evidence from a Natural Experiment in India.”. Working Paper. Available at https://goo. gl/xiqWWP.</w:t>
      </w:r>
    </w:p>
  </w:footnote>
  <w:footnote w:id="29">
    <w:p w14:paraId="740739CE" w14:textId="77777777" w:rsidR="00636266" w:rsidRPr="00083041" w:rsidRDefault="00636266" w:rsidP="00083041">
      <w:pPr>
        <w:pStyle w:val="FootnoteText"/>
        <w:numPr>
          <w:ilvl w:val="0"/>
          <w:numId w:val="0"/>
        </w:numPr>
        <w:tabs>
          <w:tab w:val="left" w:pos="180"/>
        </w:tabs>
        <w:spacing w:after="0"/>
        <w:ind w:left="187" w:hanging="187"/>
        <w:rPr>
          <w:rFonts w:ascii="Arial" w:hAnsi="Arial" w:cs="Arial"/>
          <w:sz w:val="18"/>
          <w:szCs w:val="18"/>
          <w:lang w:val="es-ES"/>
        </w:rPr>
      </w:pPr>
      <w:r w:rsidRPr="00083041">
        <w:rPr>
          <w:rStyle w:val="FootnoteReference"/>
          <w:rFonts w:ascii="Arial" w:hAnsi="Arial" w:cs="Arial"/>
          <w:sz w:val="18"/>
          <w:szCs w:val="18"/>
        </w:rPr>
        <w:footnoteRef/>
      </w:r>
      <w:r>
        <w:rPr>
          <w:rFonts w:ascii="Arial" w:hAnsi="Arial" w:cs="Arial"/>
          <w:sz w:val="18"/>
          <w:szCs w:val="18"/>
          <w:lang w:val="es-ES"/>
        </w:rPr>
        <w:tab/>
      </w:r>
      <w:r w:rsidRPr="00083041">
        <w:rPr>
          <w:rFonts w:ascii="Arial" w:hAnsi="Arial" w:cs="Arial"/>
          <w:sz w:val="18"/>
          <w:szCs w:val="18"/>
          <w:lang w:val="es-ES"/>
        </w:rPr>
        <w:t xml:space="preserve">“La propagación es el comportamiento que muestran las ondas radioeléctricas cuando se trasladan, o se propagan, de un punto a otro (…)”. Propagación radioeléctrica (sin fecha). En Wikipedia. Información consultada el 7 de marzo de 2018 en https://en. wikipedia.org/wiki/Radio_propagation#Direct_modes _(line-of-sight).  </w:t>
      </w:r>
    </w:p>
  </w:footnote>
  <w:footnote w:id="30">
    <w:p w14:paraId="544181AE" w14:textId="77777777" w:rsidR="00636266" w:rsidRPr="00083041" w:rsidRDefault="00636266" w:rsidP="00083041">
      <w:pPr>
        <w:pStyle w:val="FootnoteText"/>
        <w:numPr>
          <w:ilvl w:val="0"/>
          <w:numId w:val="0"/>
        </w:numPr>
        <w:tabs>
          <w:tab w:val="left" w:pos="180"/>
        </w:tabs>
        <w:spacing w:after="0"/>
        <w:ind w:left="187" w:hanging="187"/>
        <w:rPr>
          <w:lang w:val="es-ES"/>
        </w:rPr>
      </w:pPr>
      <w:r w:rsidRPr="00083041">
        <w:rPr>
          <w:rStyle w:val="FootnoteReference"/>
          <w:rFonts w:ascii="Arial" w:hAnsi="Arial" w:cs="Arial"/>
          <w:sz w:val="18"/>
          <w:szCs w:val="18"/>
        </w:rPr>
        <w:footnoteRef/>
      </w:r>
      <w:r w:rsidRPr="00083041">
        <w:rPr>
          <w:rFonts w:ascii="Arial" w:hAnsi="Arial" w:cs="Arial"/>
          <w:sz w:val="18"/>
          <w:szCs w:val="18"/>
          <w:lang w:val="es-ES"/>
        </w:rPr>
        <w:t xml:space="preserve"> “Absorción. Las ondas radioeléctricas de baja frecuencia atraviesan fácilmente el ladrillo y la piedra (…)”. Propagación radioeléctrica (sin fecha). En Wikipedia. Información consultada el 7 de marzo de 2018 en https://en.wikipedia.org/wiki/Radio_propagation#Direct_modes_(line-of-sight).</w:t>
      </w:r>
      <w:r w:rsidRPr="00083041">
        <w:rPr>
          <w:lang w:val="es-ES"/>
        </w:rPr>
        <w:t xml:space="preserve">  </w:t>
      </w:r>
    </w:p>
  </w:footnote>
  <w:footnote w:id="31">
    <w:p w14:paraId="7018D523" w14:textId="77777777" w:rsidR="00636266" w:rsidRPr="00083041" w:rsidRDefault="00636266" w:rsidP="00083041">
      <w:pPr>
        <w:pStyle w:val="FootnoteText"/>
        <w:numPr>
          <w:ilvl w:val="0"/>
          <w:numId w:val="0"/>
        </w:numPr>
        <w:rPr>
          <w:rFonts w:ascii="Arial" w:hAnsi="Arial" w:cs="Arial"/>
          <w:sz w:val="18"/>
          <w:szCs w:val="18"/>
          <w:lang w:val="es-ES"/>
        </w:rPr>
      </w:pPr>
      <w:r w:rsidRPr="00083041">
        <w:rPr>
          <w:rStyle w:val="FootnoteReference"/>
          <w:rFonts w:ascii="Arial" w:hAnsi="Arial" w:cs="Arial"/>
          <w:sz w:val="18"/>
          <w:szCs w:val="18"/>
        </w:rPr>
        <w:footnoteRef/>
      </w:r>
      <w:r w:rsidRPr="00083041">
        <w:rPr>
          <w:rFonts w:ascii="Arial" w:hAnsi="Arial" w:cs="Arial"/>
          <w:sz w:val="18"/>
          <w:szCs w:val="18"/>
          <w:lang w:val="es-ES"/>
        </w:rPr>
        <w:t xml:space="preserve"> Datos correspondientes a 2017.</w:t>
      </w:r>
    </w:p>
  </w:footnote>
  <w:footnote w:id="32">
    <w:p w14:paraId="03BEECF6" w14:textId="0227BFB8" w:rsidR="003A53C3" w:rsidRPr="00460AD4" w:rsidRDefault="003A53C3" w:rsidP="008E6F45">
      <w:pPr>
        <w:pStyle w:val="FootnoteText"/>
        <w:numPr>
          <w:ilvl w:val="0"/>
          <w:numId w:val="0"/>
        </w:numPr>
        <w:tabs>
          <w:tab w:val="left" w:pos="360"/>
        </w:tabs>
        <w:ind w:left="360" w:hanging="218"/>
        <w:rPr>
          <w:rFonts w:ascii="Arial" w:hAnsi="Arial" w:cs="Arial"/>
          <w:lang w:val="es-ES"/>
        </w:rPr>
      </w:pPr>
      <w:r w:rsidRPr="00460AD4">
        <w:rPr>
          <w:rStyle w:val="FootnoteReference"/>
          <w:rFonts w:ascii="Arial" w:hAnsi="Arial" w:cs="Arial"/>
        </w:rPr>
        <w:footnoteRef/>
      </w:r>
      <w:r w:rsidRPr="00460AD4">
        <w:rPr>
          <w:rFonts w:ascii="Arial" w:hAnsi="Arial" w:cs="Arial"/>
          <w:lang w:val="es-ES"/>
        </w:rPr>
        <w:t xml:space="preserve"> </w:t>
      </w:r>
      <w:r w:rsidR="008E6F45">
        <w:rPr>
          <w:rFonts w:ascii="Arial" w:hAnsi="Arial" w:cs="Arial"/>
          <w:lang w:val="es-ES"/>
        </w:rPr>
        <w:tab/>
      </w:r>
      <w:r w:rsidRPr="00460AD4">
        <w:rPr>
          <w:rFonts w:ascii="Arial" w:hAnsi="Arial" w:cs="Arial"/>
          <w:lang w:val="es-ES"/>
        </w:rPr>
        <w:t>Debido al efecto de los flujos erráticos de caja, no es posible calcular la TIR. En su lugar se realiza el ejercicio de cálculo de la TIR modificada o TIRM.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336E5" w14:textId="77777777" w:rsidR="0077758F" w:rsidRDefault="00777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76E7E"/>
    <w:multiLevelType w:val="multilevel"/>
    <w:tmpl w:val="1C22BDB8"/>
    <w:lvl w:ilvl="0">
      <w:start w:val="1"/>
      <w:numFmt w:val="upperLetter"/>
      <w:pStyle w:val="TOC2"/>
      <w:lvlText w:val="%1."/>
      <w:lvlJc w:val="left"/>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18BF098A"/>
    <w:multiLevelType w:val="multilevel"/>
    <w:tmpl w:val="C36218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2" w15:restartNumberingAfterBreak="0">
    <w:nsid w:val="359B4991"/>
    <w:multiLevelType w:val="multilevel"/>
    <w:tmpl w:val="2C1ED880"/>
    <w:lvl w:ilvl="0">
      <w:start w:val="1"/>
      <w:numFmt w:val="upperRoman"/>
      <w:lvlRestart w:val="0"/>
      <w:lvlText w:val="%1."/>
      <w:lvlJc w:val="center"/>
      <w:pPr>
        <w:tabs>
          <w:tab w:val="num" w:pos="1800"/>
        </w:tabs>
        <w:ind w:left="1152" w:firstLine="288"/>
      </w:pPr>
      <w:rPr>
        <w:b/>
        <w:i w:val="0"/>
      </w:rPr>
    </w:lvl>
    <w:lvl w:ilvl="1">
      <w:start w:val="1"/>
      <w:numFmt w:val="decimal"/>
      <w:pStyle w:val="Title"/>
      <w:isLgl/>
      <w:lvlText w:val="%1.%2"/>
      <w:lvlJc w:val="left"/>
      <w:pPr>
        <w:tabs>
          <w:tab w:val="num" w:pos="2448"/>
        </w:tabs>
        <w:ind w:left="2448" w:hanging="1296"/>
      </w:pPr>
      <w:rPr>
        <w:rFonts w:ascii="Arial" w:hAnsi="Arial" w:cs="Arial" w:hint="default"/>
        <w:sz w:val="22"/>
        <w:szCs w:val="22"/>
      </w:rPr>
    </w:lvl>
    <w:lvl w:ilvl="2">
      <w:start w:val="1"/>
      <w:numFmt w:val="lowerLetter"/>
      <w:lvlText w:val="%3."/>
      <w:lvlJc w:val="left"/>
      <w:pPr>
        <w:tabs>
          <w:tab w:val="num" w:pos="2304"/>
        </w:tabs>
        <w:ind w:left="2304" w:hanging="432"/>
      </w:pPr>
    </w:lvl>
    <w:lvl w:ilvl="3">
      <w:start w:val="1"/>
      <w:numFmt w:val="lowerRoman"/>
      <w:pStyle w:val="FootnoteText"/>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364A6CC9"/>
    <w:multiLevelType w:val="multilevel"/>
    <w:tmpl w:val="E27EA1B8"/>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2B1DCD"/>
    <w:multiLevelType w:val="multilevel"/>
    <w:tmpl w:val="033C7DCA"/>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rFonts w:ascii="Arial" w:hAnsi="Arial" w:cs="Arial" w:hint="default"/>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4"/>
  </w:num>
  <w:num w:numId="2">
    <w:abstractNumId w:val="3"/>
  </w:num>
  <w:num w:numId="3">
    <w:abstractNumId w:val="1"/>
  </w:num>
  <w:num w:numId="4">
    <w:abstractNumId w:val="6"/>
  </w:num>
  <w:num w:numId="5">
    <w:abstractNumId w:val="2"/>
  </w:num>
  <w:num w:numId="6">
    <w:abstractNumId w:val="0"/>
  </w:num>
  <w:num w:numId="7">
    <w:abstractNumId w:val="3"/>
  </w:num>
  <w:num w:numId="8">
    <w:abstractNumId w:val="3"/>
  </w:num>
  <w:num w:numId="9">
    <w:abstractNumId w:val="3"/>
  </w:num>
  <w:num w:numId="10">
    <w:abstractNumId w:val="5"/>
  </w:num>
  <w:num w:numId="11">
    <w:abstractNumId w:val="3"/>
  </w:num>
  <w:num w:numId="12">
    <w:abstractNumId w:val="3"/>
  </w:num>
  <w:num w:numId="1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C6"/>
    <w:rsid w:val="00001304"/>
    <w:rsid w:val="00005070"/>
    <w:rsid w:val="00006DD5"/>
    <w:rsid w:val="00007CAB"/>
    <w:rsid w:val="00007D7F"/>
    <w:rsid w:val="00010A52"/>
    <w:rsid w:val="00022A9F"/>
    <w:rsid w:val="00024E54"/>
    <w:rsid w:val="0002516B"/>
    <w:rsid w:val="00025E2E"/>
    <w:rsid w:val="0003343D"/>
    <w:rsid w:val="00035789"/>
    <w:rsid w:val="00035FF4"/>
    <w:rsid w:val="0003650D"/>
    <w:rsid w:val="00040ED4"/>
    <w:rsid w:val="0004215C"/>
    <w:rsid w:val="0004257E"/>
    <w:rsid w:val="00051E8F"/>
    <w:rsid w:val="00053916"/>
    <w:rsid w:val="00056ECE"/>
    <w:rsid w:val="0006108A"/>
    <w:rsid w:val="00061E4C"/>
    <w:rsid w:val="000631EE"/>
    <w:rsid w:val="00066084"/>
    <w:rsid w:val="000665D8"/>
    <w:rsid w:val="00082F51"/>
    <w:rsid w:val="00083041"/>
    <w:rsid w:val="000925AD"/>
    <w:rsid w:val="00093EF6"/>
    <w:rsid w:val="00097C6E"/>
    <w:rsid w:val="000A5BE4"/>
    <w:rsid w:val="000B371E"/>
    <w:rsid w:val="000B59B2"/>
    <w:rsid w:val="000B73B7"/>
    <w:rsid w:val="000C5584"/>
    <w:rsid w:val="000D3F67"/>
    <w:rsid w:val="000D5968"/>
    <w:rsid w:val="000E22B1"/>
    <w:rsid w:val="000E2868"/>
    <w:rsid w:val="000E4734"/>
    <w:rsid w:val="000E6FBF"/>
    <w:rsid w:val="000F4634"/>
    <w:rsid w:val="0010034F"/>
    <w:rsid w:val="00106F77"/>
    <w:rsid w:val="00110BA3"/>
    <w:rsid w:val="00117272"/>
    <w:rsid w:val="0012077B"/>
    <w:rsid w:val="0012676E"/>
    <w:rsid w:val="001300F7"/>
    <w:rsid w:val="0013398E"/>
    <w:rsid w:val="00142C59"/>
    <w:rsid w:val="001434BC"/>
    <w:rsid w:val="00150C22"/>
    <w:rsid w:val="00150E7A"/>
    <w:rsid w:val="00165CA0"/>
    <w:rsid w:val="001747F4"/>
    <w:rsid w:val="00174E0D"/>
    <w:rsid w:val="00176371"/>
    <w:rsid w:val="00180901"/>
    <w:rsid w:val="00183337"/>
    <w:rsid w:val="00185981"/>
    <w:rsid w:val="00190BCE"/>
    <w:rsid w:val="001951DA"/>
    <w:rsid w:val="00195FC3"/>
    <w:rsid w:val="001B00CC"/>
    <w:rsid w:val="001B09DD"/>
    <w:rsid w:val="001B5A79"/>
    <w:rsid w:val="001C52E6"/>
    <w:rsid w:val="001C72C2"/>
    <w:rsid w:val="001D1187"/>
    <w:rsid w:val="001D200F"/>
    <w:rsid w:val="001D258C"/>
    <w:rsid w:val="001D3FF8"/>
    <w:rsid w:val="001D4C93"/>
    <w:rsid w:val="001D4EEE"/>
    <w:rsid w:val="001D6828"/>
    <w:rsid w:val="001D7FAC"/>
    <w:rsid w:val="001E6D34"/>
    <w:rsid w:val="001F08D6"/>
    <w:rsid w:val="001F3839"/>
    <w:rsid w:val="001F7DF2"/>
    <w:rsid w:val="00202BF7"/>
    <w:rsid w:val="00203E0D"/>
    <w:rsid w:val="00207BDB"/>
    <w:rsid w:val="00207F0D"/>
    <w:rsid w:val="00210607"/>
    <w:rsid w:val="00212F15"/>
    <w:rsid w:val="002158CB"/>
    <w:rsid w:val="00215EC5"/>
    <w:rsid w:val="00221726"/>
    <w:rsid w:val="0023654C"/>
    <w:rsid w:val="002375AD"/>
    <w:rsid w:val="00240386"/>
    <w:rsid w:val="00240F15"/>
    <w:rsid w:val="00246F22"/>
    <w:rsid w:val="00251BBC"/>
    <w:rsid w:val="002569D5"/>
    <w:rsid w:val="002570CD"/>
    <w:rsid w:val="002626D0"/>
    <w:rsid w:val="00265E27"/>
    <w:rsid w:val="002668F0"/>
    <w:rsid w:val="002721B0"/>
    <w:rsid w:val="00273710"/>
    <w:rsid w:val="00290765"/>
    <w:rsid w:val="00290BEE"/>
    <w:rsid w:val="002948A7"/>
    <w:rsid w:val="00295561"/>
    <w:rsid w:val="00296B65"/>
    <w:rsid w:val="002A0A84"/>
    <w:rsid w:val="002A6726"/>
    <w:rsid w:val="002B0E76"/>
    <w:rsid w:val="002B2976"/>
    <w:rsid w:val="002B3113"/>
    <w:rsid w:val="002B3CBA"/>
    <w:rsid w:val="002B42C3"/>
    <w:rsid w:val="002B4E3C"/>
    <w:rsid w:val="002B525E"/>
    <w:rsid w:val="002C2ACD"/>
    <w:rsid w:val="002C2FC0"/>
    <w:rsid w:val="002C3BFC"/>
    <w:rsid w:val="002C4FC6"/>
    <w:rsid w:val="002D0BB4"/>
    <w:rsid w:val="002D2946"/>
    <w:rsid w:val="002D4E5E"/>
    <w:rsid w:val="002D51F2"/>
    <w:rsid w:val="002D5EC3"/>
    <w:rsid w:val="002F0047"/>
    <w:rsid w:val="002F17F8"/>
    <w:rsid w:val="003003CB"/>
    <w:rsid w:val="003027EA"/>
    <w:rsid w:val="00303539"/>
    <w:rsid w:val="00310D29"/>
    <w:rsid w:val="00331CE5"/>
    <w:rsid w:val="0033273F"/>
    <w:rsid w:val="00332D16"/>
    <w:rsid w:val="0033643A"/>
    <w:rsid w:val="00341955"/>
    <w:rsid w:val="00343BAA"/>
    <w:rsid w:val="00346949"/>
    <w:rsid w:val="0035113C"/>
    <w:rsid w:val="00351F05"/>
    <w:rsid w:val="003534F9"/>
    <w:rsid w:val="003604EB"/>
    <w:rsid w:val="00361F93"/>
    <w:rsid w:val="003635E9"/>
    <w:rsid w:val="00367B7E"/>
    <w:rsid w:val="003715A3"/>
    <w:rsid w:val="0037316C"/>
    <w:rsid w:val="0038785C"/>
    <w:rsid w:val="00391727"/>
    <w:rsid w:val="0039404A"/>
    <w:rsid w:val="003A4EE2"/>
    <w:rsid w:val="003A53C3"/>
    <w:rsid w:val="003B444A"/>
    <w:rsid w:val="003C5E2B"/>
    <w:rsid w:val="003D3B99"/>
    <w:rsid w:val="003D5C92"/>
    <w:rsid w:val="003D67E9"/>
    <w:rsid w:val="003D793B"/>
    <w:rsid w:val="003E12B6"/>
    <w:rsid w:val="003E41E3"/>
    <w:rsid w:val="003F1FA1"/>
    <w:rsid w:val="003F554E"/>
    <w:rsid w:val="00410272"/>
    <w:rsid w:val="00417D85"/>
    <w:rsid w:val="004261FF"/>
    <w:rsid w:val="004327BE"/>
    <w:rsid w:val="00433B52"/>
    <w:rsid w:val="0043744C"/>
    <w:rsid w:val="00441867"/>
    <w:rsid w:val="00442608"/>
    <w:rsid w:val="004444D5"/>
    <w:rsid w:val="004468E4"/>
    <w:rsid w:val="00447569"/>
    <w:rsid w:val="00454D2C"/>
    <w:rsid w:val="00456CE2"/>
    <w:rsid w:val="0045714E"/>
    <w:rsid w:val="00460AA9"/>
    <w:rsid w:val="00460AD4"/>
    <w:rsid w:val="004635A0"/>
    <w:rsid w:val="00464BDC"/>
    <w:rsid w:val="004657BD"/>
    <w:rsid w:val="00465828"/>
    <w:rsid w:val="004668D4"/>
    <w:rsid w:val="004808A4"/>
    <w:rsid w:val="00482883"/>
    <w:rsid w:val="004839B5"/>
    <w:rsid w:val="004869A7"/>
    <w:rsid w:val="00487AC8"/>
    <w:rsid w:val="00490E52"/>
    <w:rsid w:val="00494A83"/>
    <w:rsid w:val="00495B45"/>
    <w:rsid w:val="004A103D"/>
    <w:rsid w:val="004A1092"/>
    <w:rsid w:val="004B0D82"/>
    <w:rsid w:val="004B4D75"/>
    <w:rsid w:val="004B58A9"/>
    <w:rsid w:val="004B5EA7"/>
    <w:rsid w:val="004C16E8"/>
    <w:rsid w:val="004C2AAC"/>
    <w:rsid w:val="004C42F1"/>
    <w:rsid w:val="004C5996"/>
    <w:rsid w:val="004D024D"/>
    <w:rsid w:val="004D2842"/>
    <w:rsid w:val="004D67F3"/>
    <w:rsid w:val="004E0620"/>
    <w:rsid w:val="004E5FB8"/>
    <w:rsid w:val="004F02B6"/>
    <w:rsid w:val="004F05DA"/>
    <w:rsid w:val="004F067B"/>
    <w:rsid w:val="004F1648"/>
    <w:rsid w:val="004F3368"/>
    <w:rsid w:val="004F4252"/>
    <w:rsid w:val="004F4BAD"/>
    <w:rsid w:val="004F5ABC"/>
    <w:rsid w:val="005155A0"/>
    <w:rsid w:val="00515739"/>
    <w:rsid w:val="00516492"/>
    <w:rsid w:val="0052145C"/>
    <w:rsid w:val="00525174"/>
    <w:rsid w:val="005264AF"/>
    <w:rsid w:val="00527FA5"/>
    <w:rsid w:val="00532063"/>
    <w:rsid w:val="00533E3B"/>
    <w:rsid w:val="005376DD"/>
    <w:rsid w:val="00543410"/>
    <w:rsid w:val="00554563"/>
    <w:rsid w:val="00556734"/>
    <w:rsid w:val="00560588"/>
    <w:rsid w:val="00565536"/>
    <w:rsid w:val="00566CA5"/>
    <w:rsid w:val="00570578"/>
    <w:rsid w:val="005736DC"/>
    <w:rsid w:val="005802BF"/>
    <w:rsid w:val="0058105C"/>
    <w:rsid w:val="005821DD"/>
    <w:rsid w:val="00586FC8"/>
    <w:rsid w:val="0059155B"/>
    <w:rsid w:val="00597E44"/>
    <w:rsid w:val="005A27EC"/>
    <w:rsid w:val="005A3520"/>
    <w:rsid w:val="005A37EF"/>
    <w:rsid w:val="005A38A4"/>
    <w:rsid w:val="005A5B4A"/>
    <w:rsid w:val="005B54F7"/>
    <w:rsid w:val="005B590E"/>
    <w:rsid w:val="005B5C7C"/>
    <w:rsid w:val="005C2030"/>
    <w:rsid w:val="005C5519"/>
    <w:rsid w:val="005C73D5"/>
    <w:rsid w:val="005E1965"/>
    <w:rsid w:val="005E492A"/>
    <w:rsid w:val="005F4207"/>
    <w:rsid w:val="005F4899"/>
    <w:rsid w:val="00601C86"/>
    <w:rsid w:val="006072FD"/>
    <w:rsid w:val="00611E31"/>
    <w:rsid w:val="00624DFB"/>
    <w:rsid w:val="00626BC8"/>
    <w:rsid w:val="00630173"/>
    <w:rsid w:val="00636266"/>
    <w:rsid w:val="006363A2"/>
    <w:rsid w:val="0063799D"/>
    <w:rsid w:val="00640DB2"/>
    <w:rsid w:val="00642318"/>
    <w:rsid w:val="0064419C"/>
    <w:rsid w:val="00644389"/>
    <w:rsid w:val="00657A64"/>
    <w:rsid w:val="00662CF7"/>
    <w:rsid w:val="00667363"/>
    <w:rsid w:val="006721FD"/>
    <w:rsid w:val="00672CF1"/>
    <w:rsid w:val="0068078C"/>
    <w:rsid w:val="006854CE"/>
    <w:rsid w:val="00691FAB"/>
    <w:rsid w:val="00693ABD"/>
    <w:rsid w:val="00694797"/>
    <w:rsid w:val="00695F3B"/>
    <w:rsid w:val="00696D25"/>
    <w:rsid w:val="006A2649"/>
    <w:rsid w:val="006A5A81"/>
    <w:rsid w:val="006B0D3C"/>
    <w:rsid w:val="006C1299"/>
    <w:rsid w:val="006D0B9E"/>
    <w:rsid w:val="006E152C"/>
    <w:rsid w:val="006E2318"/>
    <w:rsid w:val="006E35DD"/>
    <w:rsid w:val="006F330F"/>
    <w:rsid w:val="006F63AB"/>
    <w:rsid w:val="007035A8"/>
    <w:rsid w:val="00707BDE"/>
    <w:rsid w:val="0072258F"/>
    <w:rsid w:val="0072414D"/>
    <w:rsid w:val="007245EA"/>
    <w:rsid w:val="00724CE9"/>
    <w:rsid w:val="00730AA2"/>
    <w:rsid w:val="007351A4"/>
    <w:rsid w:val="00741F4D"/>
    <w:rsid w:val="00743192"/>
    <w:rsid w:val="0074415F"/>
    <w:rsid w:val="0074742C"/>
    <w:rsid w:val="007513ED"/>
    <w:rsid w:val="0075337D"/>
    <w:rsid w:val="00760A70"/>
    <w:rsid w:val="0077758F"/>
    <w:rsid w:val="00780C0F"/>
    <w:rsid w:val="00782E74"/>
    <w:rsid w:val="00783632"/>
    <w:rsid w:val="00786E23"/>
    <w:rsid w:val="007913B0"/>
    <w:rsid w:val="00791EB2"/>
    <w:rsid w:val="007929EC"/>
    <w:rsid w:val="007937B5"/>
    <w:rsid w:val="00795A4F"/>
    <w:rsid w:val="00795E43"/>
    <w:rsid w:val="007975E0"/>
    <w:rsid w:val="007A2743"/>
    <w:rsid w:val="007A3257"/>
    <w:rsid w:val="007A498F"/>
    <w:rsid w:val="007B2613"/>
    <w:rsid w:val="007B79B4"/>
    <w:rsid w:val="007C2F00"/>
    <w:rsid w:val="007D2D7F"/>
    <w:rsid w:val="007D769B"/>
    <w:rsid w:val="007E220A"/>
    <w:rsid w:val="007E2DC4"/>
    <w:rsid w:val="00800C26"/>
    <w:rsid w:val="0080222D"/>
    <w:rsid w:val="008176F0"/>
    <w:rsid w:val="00817812"/>
    <w:rsid w:val="00824507"/>
    <w:rsid w:val="00824F6C"/>
    <w:rsid w:val="0082724D"/>
    <w:rsid w:val="00833D9E"/>
    <w:rsid w:val="00836506"/>
    <w:rsid w:val="00837A35"/>
    <w:rsid w:val="00840B58"/>
    <w:rsid w:val="00843BCE"/>
    <w:rsid w:val="00852730"/>
    <w:rsid w:val="00865BEA"/>
    <w:rsid w:val="0086613E"/>
    <w:rsid w:val="00866A00"/>
    <w:rsid w:val="008672D3"/>
    <w:rsid w:val="00867F44"/>
    <w:rsid w:val="008706BF"/>
    <w:rsid w:val="008734FE"/>
    <w:rsid w:val="00880A8D"/>
    <w:rsid w:val="008818AA"/>
    <w:rsid w:val="0088752C"/>
    <w:rsid w:val="00887D5C"/>
    <w:rsid w:val="008942EF"/>
    <w:rsid w:val="008A2FC0"/>
    <w:rsid w:val="008B0024"/>
    <w:rsid w:val="008B4717"/>
    <w:rsid w:val="008C01DF"/>
    <w:rsid w:val="008C06C9"/>
    <w:rsid w:val="008C0BAC"/>
    <w:rsid w:val="008C0E9E"/>
    <w:rsid w:val="008C2577"/>
    <w:rsid w:val="008E4EF6"/>
    <w:rsid w:val="008E5835"/>
    <w:rsid w:val="008E6F45"/>
    <w:rsid w:val="008F0E4F"/>
    <w:rsid w:val="008F660B"/>
    <w:rsid w:val="00901A22"/>
    <w:rsid w:val="00906A14"/>
    <w:rsid w:val="0091395B"/>
    <w:rsid w:val="009140F4"/>
    <w:rsid w:val="009270FE"/>
    <w:rsid w:val="0093252C"/>
    <w:rsid w:val="00935C1C"/>
    <w:rsid w:val="00940171"/>
    <w:rsid w:val="0094283C"/>
    <w:rsid w:val="00942A5D"/>
    <w:rsid w:val="00950D63"/>
    <w:rsid w:val="00975463"/>
    <w:rsid w:val="00980A9E"/>
    <w:rsid w:val="00990F1F"/>
    <w:rsid w:val="009911D4"/>
    <w:rsid w:val="009928DB"/>
    <w:rsid w:val="00996F6C"/>
    <w:rsid w:val="0099722B"/>
    <w:rsid w:val="00997F7A"/>
    <w:rsid w:val="009A144B"/>
    <w:rsid w:val="009A31E2"/>
    <w:rsid w:val="009A3A67"/>
    <w:rsid w:val="009A53BF"/>
    <w:rsid w:val="009B5DF7"/>
    <w:rsid w:val="009C088C"/>
    <w:rsid w:val="009C3696"/>
    <w:rsid w:val="009C45C9"/>
    <w:rsid w:val="009C7E38"/>
    <w:rsid w:val="009D13DA"/>
    <w:rsid w:val="009D1F9D"/>
    <w:rsid w:val="009E0F14"/>
    <w:rsid w:val="009E2D50"/>
    <w:rsid w:val="009E5B0E"/>
    <w:rsid w:val="009F5451"/>
    <w:rsid w:val="009F6EAE"/>
    <w:rsid w:val="009F7286"/>
    <w:rsid w:val="009F7E80"/>
    <w:rsid w:val="00A05165"/>
    <w:rsid w:val="00A054F4"/>
    <w:rsid w:val="00A065F7"/>
    <w:rsid w:val="00A1702B"/>
    <w:rsid w:val="00A20E72"/>
    <w:rsid w:val="00A21549"/>
    <w:rsid w:val="00A218AA"/>
    <w:rsid w:val="00A24E78"/>
    <w:rsid w:val="00A257D3"/>
    <w:rsid w:val="00A2645E"/>
    <w:rsid w:val="00A42555"/>
    <w:rsid w:val="00A42BE0"/>
    <w:rsid w:val="00A44DE7"/>
    <w:rsid w:val="00A5087C"/>
    <w:rsid w:val="00A51ADA"/>
    <w:rsid w:val="00A52495"/>
    <w:rsid w:val="00A5474D"/>
    <w:rsid w:val="00A61B15"/>
    <w:rsid w:val="00A640D0"/>
    <w:rsid w:val="00A67694"/>
    <w:rsid w:val="00A81F1F"/>
    <w:rsid w:val="00A8608F"/>
    <w:rsid w:val="00A91EAD"/>
    <w:rsid w:val="00A92BE0"/>
    <w:rsid w:val="00A9550D"/>
    <w:rsid w:val="00A978AC"/>
    <w:rsid w:val="00AA1F92"/>
    <w:rsid w:val="00AC5129"/>
    <w:rsid w:val="00AD291C"/>
    <w:rsid w:val="00AE175A"/>
    <w:rsid w:val="00AE1D2D"/>
    <w:rsid w:val="00AE39BA"/>
    <w:rsid w:val="00AE52C8"/>
    <w:rsid w:val="00AE6BE8"/>
    <w:rsid w:val="00AF42B9"/>
    <w:rsid w:val="00B03618"/>
    <w:rsid w:val="00B102F8"/>
    <w:rsid w:val="00B137B7"/>
    <w:rsid w:val="00B16EB3"/>
    <w:rsid w:val="00B177E3"/>
    <w:rsid w:val="00B32893"/>
    <w:rsid w:val="00B32A35"/>
    <w:rsid w:val="00B36037"/>
    <w:rsid w:val="00B36F62"/>
    <w:rsid w:val="00B37ECC"/>
    <w:rsid w:val="00B418EC"/>
    <w:rsid w:val="00B42228"/>
    <w:rsid w:val="00B44922"/>
    <w:rsid w:val="00B4568E"/>
    <w:rsid w:val="00B45A47"/>
    <w:rsid w:val="00B52BAC"/>
    <w:rsid w:val="00B55255"/>
    <w:rsid w:val="00B56F8F"/>
    <w:rsid w:val="00B60FFF"/>
    <w:rsid w:val="00B610DA"/>
    <w:rsid w:val="00B858C1"/>
    <w:rsid w:val="00B86667"/>
    <w:rsid w:val="00B86E10"/>
    <w:rsid w:val="00B97B3F"/>
    <w:rsid w:val="00BA11FB"/>
    <w:rsid w:val="00BA4E88"/>
    <w:rsid w:val="00BA7AAF"/>
    <w:rsid w:val="00BB4BC9"/>
    <w:rsid w:val="00BB59B3"/>
    <w:rsid w:val="00BB70AC"/>
    <w:rsid w:val="00BC176C"/>
    <w:rsid w:val="00BD104B"/>
    <w:rsid w:val="00BD2292"/>
    <w:rsid w:val="00BE757D"/>
    <w:rsid w:val="00BE78B4"/>
    <w:rsid w:val="00C131B7"/>
    <w:rsid w:val="00C148D7"/>
    <w:rsid w:val="00C207D8"/>
    <w:rsid w:val="00C208B2"/>
    <w:rsid w:val="00C20E37"/>
    <w:rsid w:val="00C24AAD"/>
    <w:rsid w:val="00C25C95"/>
    <w:rsid w:val="00C3155D"/>
    <w:rsid w:val="00C31840"/>
    <w:rsid w:val="00C31A07"/>
    <w:rsid w:val="00C357B3"/>
    <w:rsid w:val="00C35F7F"/>
    <w:rsid w:val="00C371E6"/>
    <w:rsid w:val="00C40CDE"/>
    <w:rsid w:val="00C42092"/>
    <w:rsid w:val="00C450BB"/>
    <w:rsid w:val="00C51643"/>
    <w:rsid w:val="00C5581A"/>
    <w:rsid w:val="00C55CBC"/>
    <w:rsid w:val="00C62380"/>
    <w:rsid w:val="00C63BA8"/>
    <w:rsid w:val="00C703F1"/>
    <w:rsid w:val="00C7056E"/>
    <w:rsid w:val="00C752FB"/>
    <w:rsid w:val="00C77A11"/>
    <w:rsid w:val="00C77E28"/>
    <w:rsid w:val="00C814E2"/>
    <w:rsid w:val="00C8175E"/>
    <w:rsid w:val="00C835C8"/>
    <w:rsid w:val="00C84C1D"/>
    <w:rsid w:val="00C86CB4"/>
    <w:rsid w:val="00CA0DC1"/>
    <w:rsid w:val="00CA0EB9"/>
    <w:rsid w:val="00CA2D0B"/>
    <w:rsid w:val="00CA5165"/>
    <w:rsid w:val="00CA64D0"/>
    <w:rsid w:val="00CB14CD"/>
    <w:rsid w:val="00CB2E1D"/>
    <w:rsid w:val="00CB42C3"/>
    <w:rsid w:val="00CB6330"/>
    <w:rsid w:val="00CB639C"/>
    <w:rsid w:val="00CB66C3"/>
    <w:rsid w:val="00CC3C10"/>
    <w:rsid w:val="00CC7857"/>
    <w:rsid w:val="00CD1F6E"/>
    <w:rsid w:val="00CD2F57"/>
    <w:rsid w:val="00CD4CB7"/>
    <w:rsid w:val="00CD62A8"/>
    <w:rsid w:val="00CE2C8A"/>
    <w:rsid w:val="00CF047E"/>
    <w:rsid w:val="00CF43D6"/>
    <w:rsid w:val="00CF484C"/>
    <w:rsid w:val="00CF7900"/>
    <w:rsid w:val="00D005C2"/>
    <w:rsid w:val="00D050E5"/>
    <w:rsid w:val="00D0719E"/>
    <w:rsid w:val="00D15491"/>
    <w:rsid w:val="00D16656"/>
    <w:rsid w:val="00D16EFE"/>
    <w:rsid w:val="00D2089A"/>
    <w:rsid w:val="00D2175C"/>
    <w:rsid w:val="00D2552A"/>
    <w:rsid w:val="00D25F11"/>
    <w:rsid w:val="00D4067D"/>
    <w:rsid w:val="00D530F8"/>
    <w:rsid w:val="00D62B77"/>
    <w:rsid w:val="00D62F1D"/>
    <w:rsid w:val="00D676C4"/>
    <w:rsid w:val="00D72CAD"/>
    <w:rsid w:val="00D74C74"/>
    <w:rsid w:val="00D82DF3"/>
    <w:rsid w:val="00D92B92"/>
    <w:rsid w:val="00D9763B"/>
    <w:rsid w:val="00DA1B0D"/>
    <w:rsid w:val="00DA3664"/>
    <w:rsid w:val="00DA49C6"/>
    <w:rsid w:val="00DA6370"/>
    <w:rsid w:val="00DB3EC3"/>
    <w:rsid w:val="00DB782F"/>
    <w:rsid w:val="00DC5A29"/>
    <w:rsid w:val="00DE1215"/>
    <w:rsid w:val="00DE43F3"/>
    <w:rsid w:val="00DE5315"/>
    <w:rsid w:val="00DE57FC"/>
    <w:rsid w:val="00DE61BA"/>
    <w:rsid w:val="00DF25F8"/>
    <w:rsid w:val="00DF2C8D"/>
    <w:rsid w:val="00DF2E9B"/>
    <w:rsid w:val="00DF598D"/>
    <w:rsid w:val="00E01DF4"/>
    <w:rsid w:val="00E02764"/>
    <w:rsid w:val="00E06446"/>
    <w:rsid w:val="00E10205"/>
    <w:rsid w:val="00E10BE3"/>
    <w:rsid w:val="00E145FA"/>
    <w:rsid w:val="00E2261B"/>
    <w:rsid w:val="00E24676"/>
    <w:rsid w:val="00E32A61"/>
    <w:rsid w:val="00E34813"/>
    <w:rsid w:val="00E34BAE"/>
    <w:rsid w:val="00E35CFE"/>
    <w:rsid w:val="00E378CB"/>
    <w:rsid w:val="00E4081D"/>
    <w:rsid w:val="00E4084D"/>
    <w:rsid w:val="00E42342"/>
    <w:rsid w:val="00E43C72"/>
    <w:rsid w:val="00E43FE7"/>
    <w:rsid w:val="00E53D95"/>
    <w:rsid w:val="00E53E4A"/>
    <w:rsid w:val="00E60D7C"/>
    <w:rsid w:val="00E610A9"/>
    <w:rsid w:val="00E64962"/>
    <w:rsid w:val="00E70041"/>
    <w:rsid w:val="00E76681"/>
    <w:rsid w:val="00E87BE7"/>
    <w:rsid w:val="00E904FD"/>
    <w:rsid w:val="00E943E5"/>
    <w:rsid w:val="00E9482D"/>
    <w:rsid w:val="00E960B8"/>
    <w:rsid w:val="00E9615F"/>
    <w:rsid w:val="00E9619D"/>
    <w:rsid w:val="00E962F0"/>
    <w:rsid w:val="00EA035E"/>
    <w:rsid w:val="00EA0BC2"/>
    <w:rsid w:val="00EA1259"/>
    <w:rsid w:val="00EA1766"/>
    <w:rsid w:val="00EA32E3"/>
    <w:rsid w:val="00EA3579"/>
    <w:rsid w:val="00EA4E82"/>
    <w:rsid w:val="00EC0F76"/>
    <w:rsid w:val="00EC331D"/>
    <w:rsid w:val="00EC5035"/>
    <w:rsid w:val="00ED08DB"/>
    <w:rsid w:val="00ED45EB"/>
    <w:rsid w:val="00EE02D9"/>
    <w:rsid w:val="00EE049C"/>
    <w:rsid w:val="00EE603D"/>
    <w:rsid w:val="00EF785A"/>
    <w:rsid w:val="00F06A52"/>
    <w:rsid w:val="00F07EB1"/>
    <w:rsid w:val="00F10FC6"/>
    <w:rsid w:val="00F13C2F"/>
    <w:rsid w:val="00F14E5E"/>
    <w:rsid w:val="00F22E1F"/>
    <w:rsid w:val="00F23F5A"/>
    <w:rsid w:val="00F329C4"/>
    <w:rsid w:val="00F37AA5"/>
    <w:rsid w:val="00F435E1"/>
    <w:rsid w:val="00F45D03"/>
    <w:rsid w:val="00F527ED"/>
    <w:rsid w:val="00F53BC7"/>
    <w:rsid w:val="00F63EED"/>
    <w:rsid w:val="00F6596C"/>
    <w:rsid w:val="00F66460"/>
    <w:rsid w:val="00F70365"/>
    <w:rsid w:val="00F73729"/>
    <w:rsid w:val="00F73D23"/>
    <w:rsid w:val="00F7734A"/>
    <w:rsid w:val="00F8027D"/>
    <w:rsid w:val="00F823D5"/>
    <w:rsid w:val="00F902AC"/>
    <w:rsid w:val="00F92059"/>
    <w:rsid w:val="00F950A5"/>
    <w:rsid w:val="00F95C5E"/>
    <w:rsid w:val="00F97F20"/>
    <w:rsid w:val="00FA115B"/>
    <w:rsid w:val="00FB2B31"/>
    <w:rsid w:val="00FB3179"/>
    <w:rsid w:val="00FC050B"/>
    <w:rsid w:val="00FC1949"/>
    <w:rsid w:val="00FC3549"/>
    <w:rsid w:val="00FC746C"/>
    <w:rsid w:val="00FE284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5E7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10FC6"/>
    <w:rPr>
      <w:rFonts w:eastAsiaTheme="minorEastAsia"/>
      <w:lang w:val="en-GB" w:eastAsia="en-GB"/>
    </w:rPr>
  </w:style>
  <w:style w:type="paragraph" w:styleId="Heading1">
    <w:name w:val="heading 1"/>
    <w:aliases w:val="Heading 1.I"/>
    <w:basedOn w:val="Normal"/>
    <w:next w:val="Normal"/>
    <w:link w:val="Heading1Char"/>
    <w:qFormat/>
    <w:rsid w:val="00F10F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6F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33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eading 4.a"/>
    <w:next w:val="Normal"/>
    <w:link w:val="Heading4Char"/>
    <w:qFormat/>
    <w:rsid w:val="0075337D"/>
    <w:pPr>
      <w:keepNext/>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n-US" w:eastAsia="en-GB"/>
    </w:rPr>
  </w:style>
  <w:style w:type="paragraph" w:styleId="Heading5">
    <w:name w:val="heading 5"/>
    <w:basedOn w:val="Normal"/>
    <w:next w:val="Normal"/>
    <w:link w:val="Heading5Char"/>
    <w:uiPriority w:val="9"/>
    <w:semiHidden/>
    <w:unhideWhenUsed/>
    <w:qFormat/>
    <w:rsid w:val="0075337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5337D"/>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5337D"/>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5337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5337D"/>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10FC6"/>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4A1092"/>
    <w:rPr>
      <w:rFonts w:asciiTheme="majorHAnsi" w:eastAsiaTheme="majorEastAsia" w:hAnsiTheme="majorHAnsi" w:cstheme="majorBidi"/>
      <w:b/>
      <w:bCs/>
      <w:color w:val="4F81BD" w:themeColor="accent1"/>
      <w:sz w:val="26"/>
      <w:szCs w:val="26"/>
      <w:lang w:val="en-GB" w:eastAsia="en-GB"/>
    </w:rPr>
  </w:style>
  <w:style w:type="character" w:customStyle="1" w:styleId="Heading4Char">
    <w:name w:val="Heading 4 Char"/>
    <w:aliases w:val="Heading 4.a Char"/>
    <w:basedOn w:val="DefaultParagraphFont"/>
    <w:link w:val="Heading4"/>
    <w:rsid w:val="00586FC8"/>
    <w:rPr>
      <w:rFonts w:ascii="Times New Roman Bold" w:eastAsia="Times New Roman" w:hAnsi="Times New Roman Bold" w:cs="Times New Roman"/>
      <w:b/>
      <w:noProof/>
      <w:sz w:val="24"/>
      <w:szCs w:val="20"/>
      <w:lang w:val="en-US" w:eastAsia="en-GB"/>
    </w:rPr>
  </w:style>
  <w:style w:type="table" w:styleId="TableGrid">
    <w:name w:val="Table Grid"/>
    <w:basedOn w:val="TableNormal"/>
    <w:rsid w:val="00F10FC6"/>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10FC6"/>
    <w:pPr>
      <w:outlineLvl w:val="9"/>
    </w:pPr>
    <w:rPr>
      <w:lang w:val="en-US" w:eastAsia="ja-JP"/>
    </w:rPr>
  </w:style>
  <w:style w:type="paragraph" w:styleId="TOC2">
    <w:name w:val="toc 2"/>
    <w:basedOn w:val="Normal"/>
    <w:next w:val="Normal"/>
    <w:autoRedefine/>
    <w:uiPriority w:val="39"/>
    <w:unhideWhenUsed/>
    <w:qFormat/>
    <w:rsid w:val="00D82DF3"/>
    <w:pPr>
      <w:numPr>
        <w:numId w:val="6"/>
      </w:numPr>
      <w:tabs>
        <w:tab w:val="left" w:pos="900"/>
        <w:tab w:val="right" w:leader="dot" w:pos="8741"/>
      </w:tabs>
      <w:spacing w:before="120" w:after="0" w:line="240" w:lineRule="auto"/>
      <w:ind w:left="426" w:firstLine="141"/>
    </w:pPr>
    <w:rPr>
      <w:rFonts w:ascii="Times New Roman" w:hAnsi="Times New Roman" w:cs="Times New Roman"/>
      <w:sz w:val="24"/>
      <w:lang w:val="en-US" w:eastAsia="ja-JP"/>
    </w:rPr>
  </w:style>
  <w:style w:type="paragraph" w:styleId="TOC1">
    <w:name w:val="toc 1"/>
    <w:basedOn w:val="Normal"/>
    <w:next w:val="Normal"/>
    <w:autoRedefine/>
    <w:uiPriority w:val="39"/>
    <w:unhideWhenUsed/>
    <w:qFormat/>
    <w:rsid w:val="0086613E"/>
    <w:pPr>
      <w:tabs>
        <w:tab w:val="right" w:leader="dot" w:pos="8741"/>
      </w:tabs>
      <w:spacing w:before="240" w:after="240" w:line="240" w:lineRule="auto"/>
      <w:ind w:left="547" w:hanging="547"/>
    </w:pPr>
    <w:rPr>
      <w:rFonts w:ascii="Times New Roman" w:hAnsi="Times New Roman" w:cs="Times New Roman"/>
      <w:b/>
      <w:smallCaps/>
      <w:noProof/>
      <w:sz w:val="24"/>
      <w:lang w:val="es-ES_tradnl" w:eastAsia="ja-JP"/>
    </w:rPr>
  </w:style>
  <w:style w:type="paragraph" w:styleId="TOC3">
    <w:name w:val="toc 3"/>
    <w:basedOn w:val="Normal"/>
    <w:next w:val="Normal"/>
    <w:autoRedefine/>
    <w:uiPriority w:val="39"/>
    <w:unhideWhenUsed/>
    <w:qFormat/>
    <w:rsid w:val="00F950A5"/>
    <w:pPr>
      <w:tabs>
        <w:tab w:val="left" w:pos="540"/>
        <w:tab w:val="left" w:pos="810"/>
        <w:tab w:val="right" w:leader="dot" w:pos="8741"/>
      </w:tabs>
      <w:spacing w:before="120" w:after="0" w:line="240" w:lineRule="auto"/>
      <w:ind w:left="547"/>
      <w:jc w:val="both"/>
    </w:pPr>
    <w:rPr>
      <w:rFonts w:ascii="Arial" w:hAnsi="Arial" w:cs="Arial"/>
      <w:smallCaps/>
      <w:lang w:val="en-US" w:eastAsia="ja-JP"/>
    </w:rPr>
  </w:style>
  <w:style w:type="paragraph" w:styleId="BalloonText">
    <w:name w:val="Balloon Text"/>
    <w:basedOn w:val="Normal"/>
    <w:link w:val="BalloonTextChar"/>
    <w:uiPriority w:val="99"/>
    <w:semiHidden/>
    <w:unhideWhenUsed/>
    <w:rsid w:val="00F1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FC6"/>
    <w:rPr>
      <w:rFonts w:ascii="Tahoma" w:eastAsiaTheme="minorEastAsia" w:hAnsi="Tahoma" w:cs="Tahoma"/>
      <w:sz w:val="16"/>
      <w:szCs w:val="16"/>
      <w:lang w:val="en-GB" w:eastAsia="en-GB"/>
    </w:rPr>
  </w:style>
  <w:style w:type="character" w:styleId="Hyperlink">
    <w:name w:val="Hyperlink"/>
    <w:basedOn w:val="DefaultParagraphFont"/>
    <w:uiPriority w:val="99"/>
    <w:unhideWhenUsed/>
    <w:rsid w:val="00F10FC6"/>
    <w:rPr>
      <w:color w:val="0000FF" w:themeColor="hyperlink"/>
      <w:u w:val="single"/>
    </w:rPr>
  </w:style>
  <w:style w:type="paragraph" w:styleId="ListParagraph">
    <w:name w:val="List Paragraph"/>
    <w:basedOn w:val="Normal"/>
    <w:link w:val="ListParagraphChar"/>
    <w:uiPriority w:val="34"/>
    <w:qFormat/>
    <w:rsid w:val="00F10FC6"/>
    <w:pPr>
      <w:ind w:left="720"/>
      <w:contextualSpacing/>
    </w:pPr>
  </w:style>
  <w:style w:type="paragraph" w:customStyle="1" w:styleId="AutoNumpara">
    <w:name w:val="AutoNumpara"/>
    <w:basedOn w:val="BodyTextIndent"/>
    <w:rsid w:val="00F10FC6"/>
    <w:pPr>
      <w:spacing w:before="120"/>
      <w:ind w:left="0"/>
      <w:jc w:val="both"/>
    </w:pPr>
    <w:rPr>
      <w:rFonts w:eastAsia="Times New Roman"/>
      <w:noProof/>
      <w:spacing w:val="-2"/>
      <w:szCs w:val="20"/>
      <w:lang w:val="es-ES_tradnl"/>
    </w:rPr>
  </w:style>
  <w:style w:type="paragraph" w:styleId="BodyTextIndent">
    <w:name w:val="Body Text Indent"/>
    <w:basedOn w:val="Normal"/>
    <w:link w:val="BodyTextIndentChar"/>
    <w:uiPriority w:val="99"/>
    <w:semiHidden/>
    <w:unhideWhenUsed/>
    <w:rsid w:val="00F10FC6"/>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F10FC6"/>
    <w:rPr>
      <w:rFonts w:ascii="Times New Roman" w:eastAsiaTheme="minorEastAsia" w:hAnsi="Times New Roman" w:cs="Times New Roman"/>
      <w:sz w:val="24"/>
      <w:lang w:val="en-GB" w:eastAsia="en-GB"/>
    </w:rPr>
  </w:style>
  <w:style w:type="paragraph" w:styleId="Title">
    <w:name w:val="Title"/>
    <w:basedOn w:val="Normal"/>
    <w:link w:val="TitleChar"/>
    <w:qFormat/>
    <w:rsid w:val="00F10FC6"/>
    <w:pPr>
      <w:numPr>
        <w:ilvl w:val="1"/>
        <w:numId w:val="5"/>
      </w:numPr>
      <w:tabs>
        <w:tab w:val="left" w:pos="1440"/>
        <w:tab w:val="left" w:pos="3060"/>
      </w:tabs>
      <w:spacing w:after="0" w:line="240" w:lineRule="auto"/>
      <w:jc w:val="center"/>
      <w:outlineLvl w:val="0"/>
    </w:pPr>
    <w:rPr>
      <w:rFonts w:ascii="Times New Roman" w:eastAsia="Times New Roman" w:hAnsi="Times New Roman" w:cs="Times New Roman"/>
      <w:sz w:val="24"/>
      <w:szCs w:val="20"/>
      <w:lang w:val="es-ES_tradnl"/>
    </w:rPr>
  </w:style>
  <w:style w:type="character" w:customStyle="1" w:styleId="TitleChar">
    <w:name w:val="Title Char"/>
    <w:basedOn w:val="DefaultParagraphFont"/>
    <w:link w:val="Title"/>
    <w:rsid w:val="00F10FC6"/>
    <w:rPr>
      <w:rFonts w:ascii="Times New Roman" w:eastAsia="Times New Roman" w:hAnsi="Times New Roman" w:cs="Times New Roman"/>
      <w:sz w:val="24"/>
      <w:szCs w:val="20"/>
      <w:lang w:val="es-ES_tradnl" w:eastAsia="en-GB"/>
    </w:rPr>
  </w:style>
  <w:style w:type="paragraph" w:customStyle="1" w:styleId="bullets">
    <w:name w:val="bullets"/>
    <w:rsid w:val="00F10FC6"/>
    <w:pPr>
      <w:numPr>
        <w:numId w:val="1"/>
      </w:numPr>
      <w:spacing w:before="120" w:after="120" w:line="240" w:lineRule="auto"/>
      <w:jc w:val="both"/>
    </w:pPr>
    <w:rPr>
      <w:rFonts w:ascii="Times New Roman" w:eastAsia="Times New Roman" w:hAnsi="Times New Roman" w:cs="Times New Roman"/>
      <w:spacing w:val="-2"/>
      <w:sz w:val="24"/>
      <w:szCs w:val="20"/>
      <w:lang w:val="en-US" w:eastAsia="en-GB"/>
    </w:rPr>
  </w:style>
  <w:style w:type="character" w:styleId="PlaceholderText">
    <w:name w:val="Placeholder Text"/>
    <w:basedOn w:val="DefaultParagraphFont"/>
    <w:uiPriority w:val="99"/>
    <w:semiHidden/>
    <w:rsid w:val="00F10FC6"/>
    <w:rPr>
      <w:color w:val="808080"/>
    </w:rPr>
  </w:style>
  <w:style w:type="paragraph" w:customStyle="1" w:styleId="Paragraph">
    <w:name w:val="Paragraph"/>
    <w:aliases w:val="paragraph,p,PARAGRAPH,PG,pa,at"/>
    <w:basedOn w:val="BodyTextIndent"/>
    <w:link w:val="ParagraphChar"/>
    <w:qFormat/>
    <w:rsid w:val="0075337D"/>
    <w:pPr>
      <w:numPr>
        <w:ilvl w:val="1"/>
        <w:numId w:val="2"/>
      </w:numPr>
      <w:spacing w:before="120"/>
      <w:jc w:val="both"/>
      <w:outlineLvl w:val="1"/>
    </w:pPr>
    <w:rPr>
      <w:rFonts w:eastAsia="Times New Roman"/>
      <w:szCs w:val="20"/>
      <w:lang w:val="en-US"/>
    </w:rPr>
  </w:style>
  <w:style w:type="character" w:customStyle="1" w:styleId="ParagraphChar">
    <w:name w:val="Paragraph Char"/>
    <w:link w:val="Paragraph"/>
    <w:rsid w:val="0075337D"/>
    <w:rPr>
      <w:rFonts w:ascii="Times New Roman" w:eastAsia="Times New Roman" w:hAnsi="Times New Roman" w:cs="Times New Roman"/>
      <w:sz w:val="24"/>
      <w:szCs w:val="20"/>
      <w:lang w:val="en-US"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qFormat/>
    <w:rsid w:val="00F10FC6"/>
    <w:pPr>
      <w:keepNext/>
      <w:keepLines/>
      <w:numPr>
        <w:ilvl w:val="3"/>
        <w:numId w:val="5"/>
      </w:numPr>
      <w:spacing w:after="120" w:line="240" w:lineRule="auto"/>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F10FC6"/>
    <w:rPr>
      <w:rFonts w:ascii="Times New Roman" w:eastAsiaTheme="minorEastAsia" w:hAnsi="Times New Roman" w:cs="Times New Roman"/>
      <w:spacing w:val="-3"/>
      <w:sz w:val="20"/>
      <w:szCs w:val="20"/>
      <w:lang w:val="en-US"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nhideWhenUsed/>
    <w:qFormat/>
    <w:rsid w:val="00F10FC6"/>
    <w:rPr>
      <w:vertAlign w:val="superscript"/>
    </w:rPr>
  </w:style>
  <w:style w:type="paragraph" w:customStyle="1" w:styleId="Chapter">
    <w:name w:val="Chapter"/>
    <w:basedOn w:val="Normal"/>
    <w:next w:val="Normal"/>
    <w:qFormat/>
    <w:rsid w:val="0075337D"/>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link w:val="subparChar"/>
    <w:rsid w:val="0075337D"/>
    <w:pPr>
      <w:numPr>
        <w:ilvl w:val="2"/>
        <w:numId w:val="2"/>
      </w:numPr>
      <w:spacing w:before="120"/>
      <w:jc w:val="both"/>
      <w:outlineLvl w:val="2"/>
    </w:pPr>
    <w:rPr>
      <w:rFonts w:eastAsia="Times New Roman"/>
      <w:szCs w:val="20"/>
      <w:lang w:val="en-US"/>
    </w:rPr>
  </w:style>
  <w:style w:type="paragraph" w:customStyle="1" w:styleId="SubSubPar">
    <w:name w:val="SubSubPar"/>
    <w:basedOn w:val="subpar"/>
    <w:link w:val="SubSubParChar"/>
    <w:uiPriority w:val="99"/>
    <w:rsid w:val="0075337D"/>
    <w:pPr>
      <w:numPr>
        <w:ilvl w:val="3"/>
        <w:numId w:val="0"/>
      </w:numPr>
      <w:tabs>
        <w:tab w:val="left" w:pos="0"/>
        <w:tab w:val="num" w:pos="1296"/>
      </w:tabs>
      <w:ind w:left="1296"/>
    </w:pPr>
  </w:style>
  <w:style w:type="paragraph" w:styleId="BodyTextIndent3">
    <w:name w:val="Body Text Indent 3"/>
    <w:basedOn w:val="Normal"/>
    <w:link w:val="BodyTextIndent3Char"/>
    <w:uiPriority w:val="99"/>
    <w:semiHidden/>
    <w:unhideWhenUsed/>
    <w:rsid w:val="00F10FC6"/>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F10FC6"/>
    <w:rPr>
      <w:rFonts w:ascii="Times New Roman" w:eastAsiaTheme="minorEastAsia" w:hAnsi="Times New Roman" w:cs="Times New Roman"/>
      <w:sz w:val="24"/>
      <w:szCs w:val="16"/>
      <w:lang w:val="en-GB" w:eastAsia="en-GB"/>
    </w:rPr>
  </w:style>
  <w:style w:type="character" w:styleId="CommentReference">
    <w:name w:val="annotation reference"/>
    <w:basedOn w:val="DefaultParagraphFont"/>
    <w:uiPriority w:val="99"/>
    <w:semiHidden/>
    <w:unhideWhenUsed/>
    <w:rsid w:val="00F10FC6"/>
    <w:rPr>
      <w:sz w:val="16"/>
      <w:szCs w:val="16"/>
    </w:rPr>
  </w:style>
  <w:style w:type="paragraph" w:styleId="CommentText">
    <w:name w:val="annotation text"/>
    <w:basedOn w:val="Normal"/>
    <w:link w:val="CommentTextChar"/>
    <w:semiHidden/>
    <w:unhideWhenUsed/>
    <w:rsid w:val="00F10FC6"/>
    <w:pPr>
      <w:spacing w:line="240" w:lineRule="auto"/>
    </w:pPr>
    <w:rPr>
      <w:sz w:val="20"/>
      <w:szCs w:val="20"/>
    </w:rPr>
  </w:style>
  <w:style w:type="character" w:customStyle="1" w:styleId="CommentTextChar">
    <w:name w:val="Comment Text Char"/>
    <w:basedOn w:val="DefaultParagraphFont"/>
    <w:link w:val="CommentText"/>
    <w:uiPriority w:val="99"/>
    <w:semiHidden/>
    <w:rsid w:val="00F10FC6"/>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10FC6"/>
    <w:rPr>
      <w:b/>
      <w:bCs/>
    </w:rPr>
  </w:style>
  <w:style w:type="character" w:customStyle="1" w:styleId="CommentSubjectChar">
    <w:name w:val="Comment Subject Char"/>
    <w:basedOn w:val="CommentTextChar"/>
    <w:link w:val="CommentSubject"/>
    <w:uiPriority w:val="99"/>
    <w:semiHidden/>
    <w:rsid w:val="00F10FC6"/>
    <w:rPr>
      <w:rFonts w:eastAsiaTheme="minorEastAsia"/>
      <w:b/>
      <w:bCs/>
      <w:sz w:val="20"/>
      <w:szCs w:val="20"/>
      <w:lang w:val="en-GB" w:eastAsia="en-GB"/>
    </w:rPr>
  </w:style>
  <w:style w:type="character" w:customStyle="1" w:styleId="SubSubParChar">
    <w:name w:val="SubSubPar Char"/>
    <w:basedOn w:val="DefaultParagraphFont"/>
    <w:link w:val="SubSubPar"/>
    <w:rsid w:val="0075337D"/>
    <w:rPr>
      <w:rFonts w:ascii="Times New Roman" w:eastAsia="Times New Roman" w:hAnsi="Times New Roman" w:cs="Times New Roman"/>
      <w:sz w:val="24"/>
      <w:szCs w:val="20"/>
      <w:lang w:val="en-US" w:eastAsia="en-GB"/>
    </w:rPr>
  </w:style>
  <w:style w:type="paragraph" w:styleId="BodyText">
    <w:name w:val="Body Text"/>
    <w:basedOn w:val="Normal"/>
    <w:link w:val="BodyTextChar"/>
    <w:uiPriority w:val="99"/>
    <w:semiHidden/>
    <w:unhideWhenUsed/>
    <w:rsid w:val="00F10FC6"/>
    <w:pPr>
      <w:spacing w:after="120"/>
    </w:pPr>
  </w:style>
  <w:style w:type="character" w:customStyle="1" w:styleId="BodyTextChar">
    <w:name w:val="Body Text Char"/>
    <w:basedOn w:val="DefaultParagraphFont"/>
    <w:link w:val="BodyText"/>
    <w:uiPriority w:val="99"/>
    <w:semiHidden/>
    <w:rsid w:val="00F10FC6"/>
    <w:rPr>
      <w:rFonts w:eastAsiaTheme="minorEastAsia"/>
      <w:lang w:val="en-GB" w:eastAsia="en-GB"/>
    </w:rPr>
  </w:style>
  <w:style w:type="character" w:customStyle="1" w:styleId="apple-converted-space">
    <w:name w:val="apple-converted-space"/>
    <w:basedOn w:val="DefaultParagraphFont"/>
    <w:rsid w:val="00F10FC6"/>
  </w:style>
  <w:style w:type="character" w:customStyle="1" w:styleId="letrasmini">
    <w:name w:val="letrasmini"/>
    <w:basedOn w:val="DefaultParagraphFont"/>
    <w:rsid w:val="00F10FC6"/>
  </w:style>
  <w:style w:type="table" w:styleId="LightList">
    <w:name w:val="Light List"/>
    <w:basedOn w:val="TableNormal"/>
    <w:uiPriority w:val="61"/>
    <w:rsid w:val="00F10FC6"/>
    <w:pPr>
      <w:spacing w:after="0" w:line="240" w:lineRule="auto"/>
    </w:pPr>
    <w:rPr>
      <w:rFonts w:eastAsiaTheme="minorEastAsia"/>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irstHeading">
    <w:name w:val="FirstHeading"/>
    <w:basedOn w:val="Normal"/>
    <w:next w:val="Normal"/>
    <w:link w:val="FirstHeadingChar"/>
    <w:rsid w:val="0075337D"/>
    <w:pPr>
      <w:keepNext/>
      <w:numPr>
        <w:numId w:val="3"/>
      </w:numPr>
      <w:tabs>
        <w:tab w:val="left" w:pos="0"/>
        <w:tab w:val="left" w:pos="86"/>
      </w:tabs>
      <w:spacing w:before="120" w:after="120" w:line="240" w:lineRule="auto"/>
      <w:ind w:left="720"/>
    </w:pPr>
    <w:rPr>
      <w:rFonts w:ascii="Times New Roman" w:hAnsi="Times New Roman" w:cs="Times New Roman"/>
      <w:b/>
      <w:sz w:val="24"/>
      <w:szCs w:val="24"/>
      <w:lang w:val="en-US"/>
    </w:rPr>
  </w:style>
  <w:style w:type="character" w:customStyle="1" w:styleId="FirstHeadingChar">
    <w:name w:val="FirstHeading Char"/>
    <w:basedOn w:val="DefaultParagraphFont"/>
    <w:link w:val="FirstHeading"/>
    <w:rsid w:val="0075337D"/>
    <w:rPr>
      <w:rFonts w:ascii="Times New Roman" w:eastAsiaTheme="minorEastAsia" w:hAnsi="Times New Roman" w:cs="Times New Roman"/>
      <w:b/>
      <w:sz w:val="24"/>
      <w:szCs w:val="24"/>
      <w:lang w:val="en-US" w:eastAsia="en-GB"/>
    </w:rPr>
  </w:style>
  <w:style w:type="paragraph" w:customStyle="1" w:styleId="SecHeading">
    <w:name w:val="SecHeading"/>
    <w:basedOn w:val="Normal"/>
    <w:next w:val="Paragraph"/>
    <w:link w:val="SecHeadingChar"/>
    <w:rsid w:val="0075337D"/>
    <w:pPr>
      <w:keepNext/>
      <w:numPr>
        <w:ilvl w:val="1"/>
        <w:numId w:val="3"/>
      </w:numPr>
      <w:spacing w:before="120" w:after="120" w:line="240" w:lineRule="auto"/>
    </w:pPr>
    <w:rPr>
      <w:rFonts w:ascii="Times New Roman" w:hAnsi="Times New Roman" w:cs="Times New Roman"/>
      <w:b/>
      <w:sz w:val="24"/>
      <w:szCs w:val="24"/>
      <w:lang w:val="en-US"/>
    </w:rPr>
  </w:style>
  <w:style w:type="character" w:customStyle="1" w:styleId="SecHeadingChar">
    <w:name w:val="SecHeading Char"/>
    <w:basedOn w:val="DefaultParagraphFont"/>
    <w:link w:val="SecHeading"/>
    <w:rsid w:val="0075337D"/>
    <w:rPr>
      <w:rFonts w:ascii="Times New Roman" w:eastAsiaTheme="minorEastAsia" w:hAnsi="Times New Roman" w:cs="Times New Roman"/>
      <w:b/>
      <w:sz w:val="24"/>
      <w:szCs w:val="24"/>
      <w:lang w:val="en-US" w:eastAsia="en-GB"/>
    </w:rPr>
  </w:style>
  <w:style w:type="paragraph" w:customStyle="1" w:styleId="SubHeading1">
    <w:name w:val="SubHeading1"/>
    <w:basedOn w:val="SecHeading"/>
    <w:link w:val="SubHeading1Char"/>
    <w:rsid w:val="0075337D"/>
    <w:pPr>
      <w:numPr>
        <w:ilvl w:val="2"/>
      </w:numPr>
      <w:tabs>
        <w:tab w:val="clear" w:pos="5976"/>
        <w:tab w:val="num" w:pos="1872"/>
      </w:tabs>
      <w:ind w:left="1872"/>
    </w:pPr>
  </w:style>
  <w:style w:type="character" w:customStyle="1" w:styleId="SubHeading1Char">
    <w:name w:val="SubHeading1 Char"/>
    <w:basedOn w:val="DefaultParagraphFont"/>
    <w:link w:val="SubHeading1"/>
    <w:rsid w:val="0075337D"/>
    <w:rPr>
      <w:rFonts w:ascii="Times New Roman" w:eastAsiaTheme="minorEastAsia" w:hAnsi="Times New Roman" w:cs="Times New Roman"/>
      <w:b/>
      <w:sz w:val="24"/>
      <w:szCs w:val="24"/>
      <w:lang w:val="en-US" w:eastAsia="en-GB"/>
    </w:rPr>
  </w:style>
  <w:style w:type="paragraph" w:customStyle="1" w:styleId="Subheading2">
    <w:name w:val="Subheading2"/>
    <w:basedOn w:val="SecHeading"/>
    <w:link w:val="Subheading2Char"/>
    <w:rsid w:val="0075337D"/>
    <w:pPr>
      <w:numPr>
        <w:ilvl w:val="3"/>
      </w:numPr>
      <w:tabs>
        <w:tab w:val="clear" w:pos="6480"/>
        <w:tab w:val="num" w:pos="2376"/>
      </w:tabs>
      <w:ind w:left="2376"/>
    </w:pPr>
  </w:style>
  <w:style w:type="character" w:customStyle="1" w:styleId="Subheading2Char">
    <w:name w:val="Subheading2 Char"/>
    <w:basedOn w:val="DefaultParagraphFont"/>
    <w:link w:val="Subheading2"/>
    <w:rsid w:val="0075337D"/>
    <w:rPr>
      <w:rFonts w:ascii="Times New Roman" w:eastAsiaTheme="minorEastAsia" w:hAnsi="Times New Roman" w:cs="Times New Roman"/>
      <w:b/>
      <w:sz w:val="24"/>
      <w:szCs w:val="24"/>
      <w:lang w:val="en-US" w:eastAsia="en-GB"/>
    </w:rPr>
  </w:style>
  <w:style w:type="paragraph" w:customStyle="1" w:styleId="Regtable">
    <w:name w:val="Regtable"/>
    <w:basedOn w:val="Normal"/>
    <w:link w:val="RegtableChar"/>
    <w:rsid w:val="0075337D"/>
    <w:pPr>
      <w:keepLines/>
      <w:framePr w:wrap="around" w:vAnchor="text" w:hAnchor="text" w:y="1"/>
      <w:spacing w:before="20" w:after="20" w:line="240" w:lineRule="auto"/>
    </w:pPr>
    <w:rPr>
      <w:rFonts w:ascii="Times New Roman" w:hAnsi="Times New Roman" w:cs="Times New Roman"/>
      <w:sz w:val="20"/>
      <w:szCs w:val="24"/>
      <w:lang w:val="en-US"/>
    </w:rPr>
  </w:style>
  <w:style w:type="character" w:customStyle="1" w:styleId="RegtableChar">
    <w:name w:val="Regtable Char"/>
    <w:basedOn w:val="DefaultParagraphFont"/>
    <w:link w:val="Regtable"/>
    <w:rsid w:val="0075337D"/>
    <w:rPr>
      <w:rFonts w:ascii="Times New Roman" w:eastAsiaTheme="minorEastAsia" w:hAnsi="Times New Roman" w:cs="Times New Roman"/>
      <w:sz w:val="20"/>
      <w:szCs w:val="24"/>
      <w:lang w:val="en-US" w:eastAsia="en-GB"/>
    </w:rPr>
  </w:style>
  <w:style w:type="paragraph" w:customStyle="1" w:styleId="TableTitle">
    <w:name w:val="TableTitle"/>
    <w:basedOn w:val="Normal"/>
    <w:link w:val="TableTitleChar"/>
    <w:rsid w:val="0075337D"/>
    <w:pPr>
      <w:keepNext/>
      <w:framePr w:wrap="around" w:vAnchor="text" w:hAnchor="text" w:y="1"/>
      <w:spacing w:before="20" w:after="20" w:line="240" w:lineRule="auto"/>
      <w:jc w:val="center"/>
    </w:pPr>
    <w:rPr>
      <w:rFonts w:ascii="Times New Roman Bold" w:hAnsi="Times New Roman Bold" w:cs="Times New Roman"/>
      <w:b/>
      <w:spacing w:val="-3"/>
      <w:sz w:val="20"/>
      <w:szCs w:val="24"/>
      <w:lang w:val="en-US"/>
    </w:rPr>
  </w:style>
  <w:style w:type="character" w:customStyle="1" w:styleId="TableTitleChar">
    <w:name w:val="TableTitle Char"/>
    <w:basedOn w:val="DefaultParagraphFont"/>
    <w:link w:val="TableTitle"/>
    <w:rsid w:val="0075337D"/>
    <w:rPr>
      <w:rFonts w:ascii="Times New Roman Bold" w:eastAsiaTheme="minorEastAsia" w:hAnsi="Times New Roman Bold" w:cs="Times New Roman"/>
      <w:b/>
      <w:spacing w:val="-3"/>
      <w:sz w:val="20"/>
      <w:szCs w:val="24"/>
      <w:lang w:val="en-US" w:eastAsia="en-GB"/>
    </w:rPr>
  </w:style>
  <w:style w:type="character" w:customStyle="1" w:styleId="Heading3Char">
    <w:name w:val="Heading 3 Char"/>
    <w:basedOn w:val="DefaultParagraphFont"/>
    <w:link w:val="Heading3"/>
    <w:uiPriority w:val="9"/>
    <w:semiHidden/>
    <w:rsid w:val="00586FC8"/>
    <w:rPr>
      <w:rFonts w:asciiTheme="majorHAnsi" w:eastAsiaTheme="majorEastAsia" w:hAnsiTheme="majorHAnsi" w:cstheme="majorBidi"/>
      <w:b/>
      <w:bCs/>
      <w:color w:val="4F81BD" w:themeColor="accent1"/>
      <w:lang w:val="en-GB" w:eastAsia="en-GB"/>
    </w:rPr>
  </w:style>
  <w:style w:type="character" w:customStyle="1" w:styleId="Heading5Char">
    <w:name w:val="Heading 5 Char"/>
    <w:basedOn w:val="DefaultParagraphFont"/>
    <w:link w:val="Heading5"/>
    <w:uiPriority w:val="9"/>
    <w:semiHidden/>
    <w:rsid w:val="0075337D"/>
    <w:rPr>
      <w:rFonts w:asciiTheme="majorHAnsi" w:eastAsiaTheme="majorEastAsia" w:hAnsiTheme="majorHAnsi" w:cstheme="majorBidi"/>
      <w:color w:val="243F60" w:themeColor="accent1" w:themeShade="7F"/>
      <w:lang w:val="en-GB" w:eastAsia="en-GB"/>
    </w:rPr>
  </w:style>
  <w:style w:type="character" w:customStyle="1" w:styleId="Heading6Char">
    <w:name w:val="Heading 6 Char"/>
    <w:basedOn w:val="DefaultParagraphFont"/>
    <w:link w:val="Heading6"/>
    <w:uiPriority w:val="9"/>
    <w:semiHidden/>
    <w:rsid w:val="0075337D"/>
    <w:rPr>
      <w:rFonts w:asciiTheme="majorHAnsi" w:eastAsiaTheme="majorEastAsia" w:hAnsiTheme="majorHAnsi" w:cstheme="majorBidi"/>
      <w:i/>
      <w:iCs/>
      <w:color w:val="243F60" w:themeColor="accent1" w:themeShade="7F"/>
      <w:lang w:val="en-GB" w:eastAsia="en-GB"/>
    </w:rPr>
  </w:style>
  <w:style w:type="character" w:customStyle="1" w:styleId="Heading7Char">
    <w:name w:val="Heading 7 Char"/>
    <w:basedOn w:val="DefaultParagraphFont"/>
    <w:link w:val="Heading7"/>
    <w:uiPriority w:val="9"/>
    <w:semiHidden/>
    <w:rsid w:val="0075337D"/>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uiPriority w:val="9"/>
    <w:semiHidden/>
    <w:rsid w:val="0075337D"/>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uiPriority w:val="9"/>
    <w:semiHidden/>
    <w:rsid w:val="0075337D"/>
    <w:rPr>
      <w:rFonts w:asciiTheme="majorHAnsi" w:eastAsiaTheme="majorEastAsia" w:hAnsiTheme="majorHAnsi" w:cstheme="majorBidi"/>
      <w:i/>
      <w:iCs/>
      <w:color w:val="404040" w:themeColor="text1" w:themeTint="BF"/>
      <w:sz w:val="20"/>
      <w:szCs w:val="20"/>
      <w:lang w:val="en-GB" w:eastAsia="en-GB"/>
    </w:rPr>
  </w:style>
  <w:style w:type="character" w:customStyle="1" w:styleId="ListParagraphChar">
    <w:name w:val="List Paragraph Char"/>
    <w:basedOn w:val="DefaultParagraphFont"/>
    <w:link w:val="ListParagraph"/>
    <w:uiPriority w:val="34"/>
    <w:rsid w:val="00C8175E"/>
    <w:rPr>
      <w:rFonts w:eastAsiaTheme="minorEastAsia"/>
      <w:lang w:val="en-GB" w:eastAsia="en-GB"/>
    </w:rPr>
  </w:style>
  <w:style w:type="paragraph" w:styleId="Header">
    <w:name w:val="header"/>
    <w:basedOn w:val="Normal"/>
    <w:link w:val="HeaderChar"/>
    <w:uiPriority w:val="99"/>
    <w:unhideWhenUsed/>
    <w:rsid w:val="004C2A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AAC"/>
    <w:rPr>
      <w:rFonts w:eastAsiaTheme="minorEastAsia"/>
      <w:lang w:val="en-GB" w:eastAsia="en-GB"/>
    </w:rPr>
  </w:style>
  <w:style w:type="paragraph" w:styleId="Footer">
    <w:name w:val="footer"/>
    <w:basedOn w:val="Normal"/>
    <w:link w:val="FooterChar"/>
    <w:uiPriority w:val="99"/>
    <w:unhideWhenUsed/>
    <w:rsid w:val="004C2A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AAC"/>
    <w:rPr>
      <w:rFonts w:eastAsiaTheme="minorEastAsia"/>
      <w:lang w:val="en-GB" w:eastAsia="en-GB"/>
    </w:rPr>
  </w:style>
  <w:style w:type="character" w:customStyle="1" w:styleId="subparChar">
    <w:name w:val="subpar Char"/>
    <w:link w:val="subpar"/>
    <w:rsid w:val="00207F0D"/>
    <w:rPr>
      <w:rFonts w:ascii="Times New Roman" w:eastAsia="Times New Roman" w:hAnsi="Times New Roman" w:cs="Times New Roman"/>
      <w:sz w:val="24"/>
      <w:szCs w:val="20"/>
      <w:lang w:val="en-US" w:eastAsia="en-GB"/>
    </w:rPr>
  </w:style>
  <w:style w:type="character" w:customStyle="1" w:styleId="A8">
    <w:name w:val="A8"/>
    <w:uiPriority w:val="99"/>
    <w:rsid w:val="00207F0D"/>
    <w:rPr>
      <w:rFonts w:cs="GillSans Light"/>
      <w:color w:val="000000"/>
      <w:sz w:val="22"/>
      <w:szCs w:val="22"/>
    </w:rPr>
  </w:style>
  <w:style w:type="paragraph" w:customStyle="1" w:styleId="Fuentesyreferencias">
    <w:name w:val="Fuentes y referencias"/>
    <w:basedOn w:val="Normal"/>
    <w:link w:val="FuentesyreferenciasCar"/>
    <w:qFormat/>
    <w:rsid w:val="00207F0D"/>
    <w:pPr>
      <w:spacing w:after="0"/>
      <w:jc w:val="center"/>
    </w:pPr>
    <w:rPr>
      <w:rFonts w:ascii="Arial" w:eastAsia="Cambria" w:hAnsi="Arial" w:cs="Arial"/>
      <w:sz w:val="14"/>
      <w:szCs w:val="14"/>
      <w:lang w:val="es-MX" w:eastAsia="es-MX"/>
    </w:rPr>
  </w:style>
  <w:style w:type="character" w:customStyle="1" w:styleId="FuentesyreferenciasCar">
    <w:name w:val="Fuentes y referencias Car"/>
    <w:link w:val="Fuentesyreferencias"/>
    <w:rsid w:val="00207F0D"/>
    <w:rPr>
      <w:rFonts w:ascii="Arial" w:eastAsia="Cambria" w:hAnsi="Arial" w:cs="Arial"/>
      <w:sz w:val="14"/>
      <w:szCs w:val="14"/>
      <w:lang w:val="es-MX" w:eastAsia="es-MX"/>
    </w:rPr>
  </w:style>
  <w:style w:type="paragraph" w:customStyle="1" w:styleId="Graficas">
    <w:name w:val="Graficas"/>
    <w:basedOn w:val="Normal"/>
    <w:link w:val="GraficasCar"/>
    <w:qFormat/>
    <w:rsid w:val="00207F0D"/>
    <w:pPr>
      <w:spacing w:after="0"/>
      <w:jc w:val="center"/>
    </w:pPr>
    <w:rPr>
      <w:rFonts w:ascii="Arial" w:eastAsia="Cambria" w:hAnsi="Arial" w:cs="Arial"/>
      <w:b/>
      <w:sz w:val="16"/>
      <w:szCs w:val="16"/>
      <w:lang w:val="es-MX" w:eastAsia="en-US"/>
    </w:rPr>
  </w:style>
  <w:style w:type="character" w:customStyle="1" w:styleId="GraficasCar">
    <w:name w:val="Graficas Car"/>
    <w:link w:val="Graficas"/>
    <w:rsid w:val="00207F0D"/>
    <w:rPr>
      <w:rFonts w:ascii="Arial" w:eastAsia="Cambria" w:hAnsi="Arial" w:cs="Arial"/>
      <w:b/>
      <w:sz w:val="16"/>
      <w:szCs w:val="16"/>
      <w:lang w:val="es-MX"/>
    </w:rPr>
  </w:style>
  <w:style w:type="character" w:styleId="BookTitle">
    <w:name w:val="Book Title"/>
    <w:uiPriority w:val="33"/>
    <w:qFormat/>
    <w:rsid w:val="00BA11FB"/>
    <w:rPr>
      <w:b/>
      <w:bCs/>
      <w:smallCaps/>
      <w:spacing w:val="5"/>
    </w:rPr>
  </w:style>
  <w:style w:type="paragraph" w:customStyle="1" w:styleId="Default">
    <w:name w:val="Default"/>
    <w:rsid w:val="00BE78B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5537">
      <w:bodyDiv w:val="1"/>
      <w:marLeft w:val="0"/>
      <w:marRight w:val="0"/>
      <w:marTop w:val="0"/>
      <w:marBottom w:val="0"/>
      <w:divBdr>
        <w:top w:val="none" w:sz="0" w:space="0" w:color="auto"/>
        <w:left w:val="none" w:sz="0" w:space="0" w:color="auto"/>
        <w:bottom w:val="none" w:sz="0" w:space="0" w:color="auto"/>
        <w:right w:val="none" w:sz="0" w:space="0" w:color="auto"/>
      </w:divBdr>
    </w:div>
    <w:div w:id="13580096">
      <w:bodyDiv w:val="1"/>
      <w:marLeft w:val="0"/>
      <w:marRight w:val="0"/>
      <w:marTop w:val="0"/>
      <w:marBottom w:val="0"/>
      <w:divBdr>
        <w:top w:val="none" w:sz="0" w:space="0" w:color="auto"/>
        <w:left w:val="none" w:sz="0" w:space="0" w:color="auto"/>
        <w:bottom w:val="none" w:sz="0" w:space="0" w:color="auto"/>
        <w:right w:val="none" w:sz="0" w:space="0" w:color="auto"/>
      </w:divBdr>
    </w:div>
    <w:div w:id="196479212">
      <w:bodyDiv w:val="1"/>
      <w:marLeft w:val="0"/>
      <w:marRight w:val="0"/>
      <w:marTop w:val="0"/>
      <w:marBottom w:val="0"/>
      <w:divBdr>
        <w:top w:val="none" w:sz="0" w:space="0" w:color="auto"/>
        <w:left w:val="none" w:sz="0" w:space="0" w:color="auto"/>
        <w:bottom w:val="none" w:sz="0" w:space="0" w:color="auto"/>
        <w:right w:val="none" w:sz="0" w:space="0" w:color="auto"/>
      </w:divBdr>
    </w:div>
    <w:div w:id="301622739">
      <w:bodyDiv w:val="1"/>
      <w:marLeft w:val="0"/>
      <w:marRight w:val="0"/>
      <w:marTop w:val="0"/>
      <w:marBottom w:val="0"/>
      <w:divBdr>
        <w:top w:val="none" w:sz="0" w:space="0" w:color="auto"/>
        <w:left w:val="none" w:sz="0" w:space="0" w:color="auto"/>
        <w:bottom w:val="none" w:sz="0" w:space="0" w:color="auto"/>
        <w:right w:val="none" w:sz="0" w:space="0" w:color="auto"/>
      </w:divBdr>
    </w:div>
    <w:div w:id="420028931">
      <w:bodyDiv w:val="1"/>
      <w:marLeft w:val="0"/>
      <w:marRight w:val="0"/>
      <w:marTop w:val="0"/>
      <w:marBottom w:val="0"/>
      <w:divBdr>
        <w:top w:val="none" w:sz="0" w:space="0" w:color="auto"/>
        <w:left w:val="none" w:sz="0" w:space="0" w:color="auto"/>
        <w:bottom w:val="none" w:sz="0" w:space="0" w:color="auto"/>
        <w:right w:val="none" w:sz="0" w:space="0" w:color="auto"/>
      </w:divBdr>
    </w:div>
    <w:div w:id="451629743">
      <w:bodyDiv w:val="1"/>
      <w:marLeft w:val="0"/>
      <w:marRight w:val="0"/>
      <w:marTop w:val="0"/>
      <w:marBottom w:val="0"/>
      <w:divBdr>
        <w:top w:val="none" w:sz="0" w:space="0" w:color="auto"/>
        <w:left w:val="none" w:sz="0" w:space="0" w:color="auto"/>
        <w:bottom w:val="none" w:sz="0" w:space="0" w:color="auto"/>
        <w:right w:val="none" w:sz="0" w:space="0" w:color="auto"/>
      </w:divBdr>
    </w:div>
    <w:div w:id="572810918">
      <w:bodyDiv w:val="1"/>
      <w:marLeft w:val="0"/>
      <w:marRight w:val="0"/>
      <w:marTop w:val="0"/>
      <w:marBottom w:val="0"/>
      <w:divBdr>
        <w:top w:val="none" w:sz="0" w:space="0" w:color="auto"/>
        <w:left w:val="none" w:sz="0" w:space="0" w:color="auto"/>
        <w:bottom w:val="none" w:sz="0" w:space="0" w:color="auto"/>
        <w:right w:val="none" w:sz="0" w:space="0" w:color="auto"/>
      </w:divBdr>
    </w:div>
    <w:div w:id="625820566">
      <w:bodyDiv w:val="1"/>
      <w:marLeft w:val="0"/>
      <w:marRight w:val="0"/>
      <w:marTop w:val="0"/>
      <w:marBottom w:val="0"/>
      <w:divBdr>
        <w:top w:val="none" w:sz="0" w:space="0" w:color="auto"/>
        <w:left w:val="none" w:sz="0" w:space="0" w:color="auto"/>
        <w:bottom w:val="none" w:sz="0" w:space="0" w:color="auto"/>
        <w:right w:val="none" w:sz="0" w:space="0" w:color="auto"/>
      </w:divBdr>
    </w:div>
    <w:div w:id="757480745">
      <w:bodyDiv w:val="1"/>
      <w:marLeft w:val="0"/>
      <w:marRight w:val="0"/>
      <w:marTop w:val="0"/>
      <w:marBottom w:val="0"/>
      <w:divBdr>
        <w:top w:val="none" w:sz="0" w:space="0" w:color="auto"/>
        <w:left w:val="none" w:sz="0" w:space="0" w:color="auto"/>
        <w:bottom w:val="none" w:sz="0" w:space="0" w:color="auto"/>
        <w:right w:val="none" w:sz="0" w:space="0" w:color="auto"/>
      </w:divBdr>
    </w:div>
    <w:div w:id="792214594">
      <w:bodyDiv w:val="1"/>
      <w:marLeft w:val="0"/>
      <w:marRight w:val="0"/>
      <w:marTop w:val="0"/>
      <w:marBottom w:val="0"/>
      <w:divBdr>
        <w:top w:val="none" w:sz="0" w:space="0" w:color="auto"/>
        <w:left w:val="none" w:sz="0" w:space="0" w:color="auto"/>
        <w:bottom w:val="none" w:sz="0" w:space="0" w:color="auto"/>
        <w:right w:val="none" w:sz="0" w:space="0" w:color="auto"/>
      </w:divBdr>
    </w:div>
    <w:div w:id="833376007">
      <w:bodyDiv w:val="1"/>
      <w:marLeft w:val="0"/>
      <w:marRight w:val="0"/>
      <w:marTop w:val="0"/>
      <w:marBottom w:val="0"/>
      <w:divBdr>
        <w:top w:val="none" w:sz="0" w:space="0" w:color="auto"/>
        <w:left w:val="none" w:sz="0" w:space="0" w:color="auto"/>
        <w:bottom w:val="none" w:sz="0" w:space="0" w:color="auto"/>
        <w:right w:val="none" w:sz="0" w:space="0" w:color="auto"/>
      </w:divBdr>
    </w:div>
    <w:div w:id="878319596">
      <w:bodyDiv w:val="1"/>
      <w:marLeft w:val="0"/>
      <w:marRight w:val="0"/>
      <w:marTop w:val="0"/>
      <w:marBottom w:val="0"/>
      <w:divBdr>
        <w:top w:val="none" w:sz="0" w:space="0" w:color="auto"/>
        <w:left w:val="none" w:sz="0" w:space="0" w:color="auto"/>
        <w:bottom w:val="none" w:sz="0" w:space="0" w:color="auto"/>
        <w:right w:val="none" w:sz="0" w:space="0" w:color="auto"/>
      </w:divBdr>
    </w:div>
    <w:div w:id="1205949041">
      <w:bodyDiv w:val="1"/>
      <w:marLeft w:val="0"/>
      <w:marRight w:val="0"/>
      <w:marTop w:val="0"/>
      <w:marBottom w:val="0"/>
      <w:divBdr>
        <w:top w:val="none" w:sz="0" w:space="0" w:color="auto"/>
        <w:left w:val="none" w:sz="0" w:space="0" w:color="auto"/>
        <w:bottom w:val="none" w:sz="0" w:space="0" w:color="auto"/>
        <w:right w:val="none" w:sz="0" w:space="0" w:color="auto"/>
      </w:divBdr>
    </w:div>
    <w:div w:id="1314675111">
      <w:bodyDiv w:val="1"/>
      <w:marLeft w:val="0"/>
      <w:marRight w:val="0"/>
      <w:marTop w:val="0"/>
      <w:marBottom w:val="0"/>
      <w:divBdr>
        <w:top w:val="none" w:sz="0" w:space="0" w:color="auto"/>
        <w:left w:val="none" w:sz="0" w:space="0" w:color="auto"/>
        <w:bottom w:val="none" w:sz="0" w:space="0" w:color="auto"/>
        <w:right w:val="none" w:sz="0" w:space="0" w:color="auto"/>
      </w:divBdr>
    </w:div>
    <w:div w:id="1385638371">
      <w:bodyDiv w:val="1"/>
      <w:marLeft w:val="0"/>
      <w:marRight w:val="0"/>
      <w:marTop w:val="0"/>
      <w:marBottom w:val="0"/>
      <w:divBdr>
        <w:top w:val="none" w:sz="0" w:space="0" w:color="auto"/>
        <w:left w:val="none" w:sz="0" w:space="0" w:color="auto"/>
        <w:bottom w:val="none" w:sz="0" w:space="0" w:color="auto"/>
        <w:right w:val="none" w:sz="0" w:space="0" w:color="auto"/>
      </w:divBdr>
    </w:div>
    <w:div w:id="1525095694">
      <w:bodyDiv w:val="1"/>
      <w:marLeft w:val="0"/>
      <w:marRight w:val="0"/>
      <w:marTop w:val="0"/>
      <w:marBottom w:val="0"/>
      <w:divBdr>
        <w:top w:val="none" w:sz="0" w:space="0" w:color="auto"/>
        <w:left w:val="none" w:sz="0" w:space="0" w:color="auto"/>
        <w:bottom w:val="none" w:sz="0" w:space="0" w:color="auto"/>
        <w:right w:val="none" w:sz="0" w:space="0" w:color="auto"/>
      </w:divBdr>
    </w:div>
    <w:div w:id="1558466098">
      <w:bodyDiv w:val="1"/>
      <w:marLeft w:val="0"/>
      <w:marRight w:val="0"/>
      <w:marTop w:val="0"/>
      <w:marBottom w:val="0"/>
      <w:divBdr>
        <w:top w:val="none" w:sz="0" w:space="0" w:color="auto"/>
        <w:left w:val="none" w:sz="0" w:space="0" w:color="auto"/>
        <w:bottom w:val="none" w:sz="0" w:space="0" w:color="auto"/>
        <w:right w:val="none" w:sz="0" w:space="0" w:color="auto"/>
      </w:divBdr>
    </w:div>
    <w:div w:id="1668898713">
      <w:bodyDiv w:val="1"/>
      <w:marLeft w:val="0"/>
      <w:marRight w:val="0"/>
      <w:marTop w:val="0"/>
      <w:marBottom w:val="0"/>
      <w:divBdr>
        <w:top w:val="none" w:sz="0" w:space="0" w:color="auto"/>
        <w:left w:val="none" w:sz="0" w:space="0" w:color="auto"/>
        <w:bottom w:val="none" w:sz="0" w:space="0" w:color="auto"/>
        <w:right w:val="none" w:sz="0" w:space="0" w:color="auto"/>
      </w:divBdr>
    </w:div>
    <w:div w:id="1840079763">
      <w:bodyDiv w:val="1"/>
      <w:marLeft w:val="0"/>
      <w:marRight w:val="0"/>
      <w:marTop w:val="0"/>
      <w:marBottom w:val="0"/>
      <w:divBdr>
        <w:top w:val="none" w:sz="0" w:space="0" w:color="auto"/>
        <w:left w:val="none" w:sz="0" w:space="0" w:color="auto"/>
        <w:bottom w:val="none" w:sz="0" w:space="0" w:color="auto"/>
        <w:right w:val="none" w:sz="0" w:space="0" w:color="auto"/>
      </w:divBdr>
    </w:div>
    <w:div w:id="1893618722">
      <w:bodyDiv w:val="1"/>
      <w:marLeft w:val="0"/>
      <w:marRight w:val="0"/>
      <w:marTop w:val="0"/>
      <w:marBottom w:val="0"/>
      <w:divBdr>
        <w:top w:val="none" w:sz="0" w:space="0" w:color="auto"/>
        <w:left w:val="none" w:sz="0" w:space="0" w:color="auto"/>
        <w:bottom w:val="none" w:sz="0" w:space="0" w:color="auto"/>
        <w:right w:val="none" w:sz="0" w:space="0" w:color="auto"/>
      </w:divBdr>
    </w:div>
    <w:div w:id="1897663907">
      <w:bodyDiv w:val="1"/>
      <w:marLeft w:val="0"/>
      <w:marRight w:val="0"/>
      <w:marTop w:val="0"/>
      <w:marBottom w:val="0"/>
      <w:divBdr>
        <w:top w:val="none" w:sz="0" w:space="0" w:color="auto"/>
        <w:left w:val="none" w:sz="0" w:space="0" w:color="auto"/>
        <w:bottom w:val="none" w:sz="0" w:space="0" w:color="auto"/>
        <w:right w:val="none" w:sz="0" w:space="0" w:color="auto"/>
      </w:divBdr>
    </w:div>
    <w:div w:id="1942293753">
      <w:bodyDiv w:val="1"/>
      <w:marLeft w:val="0"/>
      <w:marRight w:val="0"/>
      <w:marTop w:val="0"/>
      <w:marBottom w:val="0"/>
      <w:divBdr>
        <w:top w:val="none" w:sz="0" w:space="0" w:color="auto"/>
        <w:left w:val="none" w:sz="0" w:space="0" w:color="auto"/>
        <w:bottom w:val="none" w:sz="0" w:space="0" w:color="auto"/>
        <w:right w:val="none" w:sz="0" w:space="0" w:color="auto"/>
      </w:divBdr>
    </w:div>
    <w:div w:id="200627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db.org/es/acerca-del-bid/estrategias,6185.html" TargetMode="External"/><Relationship Id="rId18" Type="http://schemas.openxmlformats.org/officeDocument/2006/relationships/image" Target="media/image4.emf"/><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customXml" Target="../customXml/item3.xml"/><Relationship Id="rId27"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3" Type="http://schemas.openxmlformats.org/officeDocument/2006/relationships/hyperlink" Target="http://www.banxico.org.mx/publicaciones-y-discursos/publicaciones/informes-periodicos/reporte-sf/%7B74B93C8B-DACE-1C73-B1B1-BF8EC23D1237%7D.pdf" TargetMode="External"/><Relationship Id="rId2" Type="http://schemas.openxmlformats.org/officeDocument/2006/relationships/hyperlink" Target="http://media.swissre.com/documents/Infrastructure_Investment_IIF.pdf" TargetMode="External"/><Relationship Id="rId1" Type="http://schemas.openxmlformats.org/officeDocument/2006/relationships/hyperlink" Target="http://www.banxico.org.mx/publicaciones-y-discursos/publicaciones/informes-periodicos/reporte-sf/%7B74B93C8B-DACE-1C73-B1B1-BF8EC23D1237%7D.pdf" TargetMode="External"/><Relationship Id="rId6" Type="http://schemas.openxmlformats.org/officeDocument/2006/relationships/hyperlink" Target="http://cfp.mit.edu/%20publications/CFP_Papers/Measuring_bb_econ_impact-final.pdf" TargetMode="External"/><Relationship Id="rId5" Type="http://schemas.openxmlformats.org/officeDocument/2006/relationships/hyperlink" Target="https://publications.iadb.org/bitstream/handle/11319/8717/La-gobernanza-de-las-telecomunicaciones-hacia-la-economia-digital.PDF" TargetMode="External"/><Relationship Id="rId4" Type="http://schemas.openxmlformats.org/officeDocument/2006/relationships/hyperlink" Target="http://www.ift.org.mx/sites/default/files/contenidogeneral/estadisticas/3ite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8F4431FAD7E1C4BAFD4DDB556DF6C2B" ma:contentTypeVersion="548" ma:contentTypeDescription="A content type to manage public (operations) IDB documents" ma:contentTypeScope="" ma:versionID="82624c13b7b2f12181ab32092802bfeb">
  <xsd:schema xmlns:xsd="http://www.w3.org/2001/XMLSchema" xmlns:xs="http://www.w3.org/2001/XMLSchema" xmlns:p="http://schemas.microsoft.com/office/2006/metadata/properties" xmlns:ns2="cdc7663a-08f0-4737-9e8c-148ce897a09c" targetNamespace="http://schemas.microsoft.com/office/2006/metadata/properties" ma:root="true" ma:fieldsID="edd7ad3921cf8b174e1fc3614f21c1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2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R0002334200</Record_x0020_Number>
    <Key_x0020_Document xmlns="cdc7663a-08f0-4737-9e8c-148ce897a09c">false</Key_x0020_Document>
    <Division_x0020_or_x0020_Unit xmlns="cdc7663a-08f0-4737-9e8c-148ce897a09c">IFD/CMF</Division_x0020_or_x0020_Unit>
    <Document_x0020_Author xmlns="cdc7663a-08f0-4737-9e8c-148ce897a09c">Prats Cabrera, Joan Oriol</Document_x0020_Author>
    <_dlc_DocId xmlns="cdc7663a-08f0-4737-9e8c-148ce897a09c">EZSHARE-1952932169-10</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19</Value>
      <Value>45</Value>
      <Value>24</Value>
      <Value>1</Value>
      <Value>43</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ME-L1284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English</Document_x0020_Language_x0020_IDB>
    <_dlc_DocIdUrl xmlns="cdc7663a-08f0-4737-9e8c-148ce897a09c">
      <Url>https://idbg.sharepoint.com/teams/EZ-ME-LON/ME-L1284/_layouts/15/DocIdRedir.aspx?ID=EZSHARE-1952932169-10</Url>
      <Description>EZSHARE-1952932169-10</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2BE2DAA-EAC8-4581-AC23-C07BDDB7BA59}">
  <ds:schemaRefs>
    <ds:schemaRef ds:uri="http://schemas.openxmlformats.org/officeDocument/2006/bibliography"/>
  </ds:schemaRefs>
</ds:datastoreItem>
</file>

<file path=customXml/itemProps2.xml><?xml version="1.0" encoding="utf-8"?>
<ds:datastoreItem xmlns:ds="http://schemas.openxmlformats.org/officeDocument/2006/customXml" ds:itemID="{8D9A6E46-9270-4471-902A-0942767F6E29}"/>
</file>

<file path=customXml/itemProps3.xml><?xml version="1.0" encoding="utf-8"?>
<ds:datastoreItem xmlns:ds="http://schemas.openxmlformats.org/officeDocument/2006/customXml" ds:itemID="{B2DA553B-A371-46FD-934F-2FBA37FF445A}"/>
</file>

<file path=customXml/itemProps4.xml><?xml version="1.0" encoding="utf-8"?>
<ds:datastoreItem xmlns:ds="http://schemas.openxmlformats.org/officeDocument/2006/customXml" ds:itemID="{8250102D-F94C-4ECD-8CF1-CF554B45B7A2}"/>
</file>

<file path=customXml/itemProps5.xml><?xml version="1.0" encoding="utf-8"?>
<ds:datastoreItem xmlns:ds="http://schemas.openxmlformats.org/officeDocument/2006/customXml" ds:itemID="{9C3EE666-A130-4D87-93FF-68CDD84B2BDF}"/>
</file>

<file path=customXml/itemProps6.xml><?xml version="1.0" encoding="utf-8"?>
<ds:datastoreItem xmlns:ds="http://schemas.openxmlformats.org/officeDocument/2006/customXml" ds:itemID="{6978DB54-BFB5-4419-BDBC-10BFBD875DCB}"/>
</file>

<file path=customXml/itemProps7.xml><?xml version="1.0" encoding="utf-8"?>
<ds:datastoreItem xmlns:ds="http://schemas.openxmlformats.org/officeDocument/2006/customXml" ds:itemID="{DD6D6107-B719-4030-A103-1194E1E37246}"/>
</file>

<file path=customXml/itemProps8.xml><?xml version="1.0" encoding="utf-8"?>
<ds:datastoreItem xmlns:ds="http://schemas.openxmlformats.org/officeDocument/2006/customXml" ds:itemID="{4DF5E492-EF22-47DE-A6B0-12D5DFE6BC24}"/>
</file>

<file path=docProps/app.xml><?xml version="1.0" encoding="utf-8"?>
<Properties xmlns="http://schemas.openxmlformats.org/officeDocument/2006/extended-properties" xmlns:vt="http://schemas.openxmlformats.org/officeDocument/2006/docPropsVTypes">
  <Template>Normal.dotm</Template>
  <TotalTime>0</TotalTime>
  <Pages>18</Pages>
  <Words>5577</Words>
  <Characters>30623</Characters>
  <Application>Microsoft Office Word</Application>
  <DocSecurity>0</DocSecurity>
  <Lines>612</Lines>
  <Paragraphs>173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2018-08-02T05:15:00Z</dcterms:created>
  <dcterms:modified xsi:type="dcterms:W3CDTF">2018-08-02T05:15:00Z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45;#BANKING MARKET DEVELOPMENT|5f08329b-f2bb-4342-ba75-eb4216b403d4</vt:lpwstr>
  </property>
  <property fmtid="{D5CDD505-2E9C-101B-9397-08002B2CF9AE}" pid="7" name="Country">
    <vt:lpwstr>19;#Mexico|0eba6470-e7ea-46fd-a959-d4c243acaf26</vt:lpwstr>
  </property>
  <property fmtid="{D5CDD505-2E9C-101B-9397-08002B2CF9AE}" pid="8" name="Fund IDB">
    <vt:lpwstr>24;#ORC|c028a4b2-ad8b-4cf4-9cac-a2ae6a778e23</vt:lpwstr>
  </property>
  <property fmtid="{D5CDD505-2E9C-101B-9397-08002B2CF9AE}" pid="9" name="_dlc_DocIdItemGuid">
    <vt:lpwstr>e531e4b4-a3c6-489e-bf55-f37baa0b4762</vt:lpwstr>
  </property>
  <property fmtid="{D5CDD505-2E9C-101B-9397-08002B2CF9AE}" pid="10" name="Sector IDB">
    <vt:lpwstr>43;#FINANCIAL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0x0101001A458A224826124E8B45B1D613300CFC0088F4431FAD7E1C4BAFD4DDB556DF6C2B</vt:lpwstr>
  </property>
</Properties>
</file>