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850449A" w:rsidP="48CCDC31" w:rsidRDefault="6850449A" w14:paraId="63B35A42" w14:textId="2C269454">
      <w:pPr>
        <w:spacing w:before="120" w:after="120" w:line="240" w:lineRule="auto"/>
        <w:jc w:val="center"/>
      </w:pPr>
      <w:r w:rsidRPr="48CCDC31">
        <w:rPr>
          <w:rFonts w:ascii="Arial" w:hAnsi="Arial" w:cs="Arial"/>
          <w:b/>
          <w:bCs/>
          <w:sz w:val="24"/>
          <w:szCs w:val="24"/>
          <w:lang w:val="es-ES"/>
        </w:rPr>
        <w:t>Documento TC PN-T1301</w:t>
      </w:r>
    </w:p>
    <w:p w:rsidRPr="00D97FAD" w:rsidR="0095711B" w:rsidP="48CCDC31" w:rsidRDefault="0095711B" w14:paraId="19EE7A50" w14:textId="107340E5">
      <w:pPr>
        <w:spacing w:before="120" w:after="120" w:line="240" w:lineRule="auto"/>
        <w:jc w:val="both"/>
        <w:rPr>
          <w:rFonts w:ascii="Arial" w:hAnsi="Arial" w:cs="Arial"/>
          <w:b/>
          <w:bCs/>
          <w:lang w:val="es-ES"/>
        </w:rPr>
      </w:pPr>
    </w:p>
    <w:p w:rsidR="0095711B" w:rsidP="48CCDC31" w:rsidRDefault="3553B541" w14:paraId="19EE7A51" w14:textId="487E1286">
      <w:pPr>
        <w:pStyle w:val="ListParagraph"/>
        <w:numPr>
          <w:ilvl w:val="0"/>
          <w:numId w:val="5"/>
        </w:numPr>
        <w:spacing w:before="120" w:after="120" w:line="240" w:lineRule="auto"/>
        <w:jc w:val="both"/>
        <w:rPr>
          <w:rFonts w:ascii="Arial" w:hAnsi="Arial" w:cs="Arial"/>
          <w:b/>
          <w:bCs/>
          <w:lang w:val="es-ES"/>
        </w:rPr>
      </w:pPr>
      <w:r w:rsidRPr="48CCDC31">
        <w:rPr>
          <w:rFonts w:ascii="Arial" w:hAnsi="Arial" w:cs="Arial"/>
          <w:b/>
          <w:bCs/>
          <w:lang w:val="es-ES"/>
        </w:rPr>
        <w:t>Información Básica de la C</w:t>
      </w:r>
      <w:r w:rsidRPr="48CCDC31" w:rsidR="3F654549">
        <w:rPr>
          <w:rFonts w:ascii="Arial" w:hAnsi="Arial" w:cs="Arial"/>
          <w:b/>
          <w:bCs/>
          <w:lang w:val="es-ES"/>
        </w:rPr>
        <w:t>ooperación Técnica (C</w:t>
      </w:r>
      <w:r w:rsidRPr="48CCDC31">
        <w:rPr>
          <w:rFonts w:ascii="Arial" w:hAnsi="Arial" w:cs="Arial"/>
          <w:b/>
          <w:bCs/>
          <w:lang w:val="es-ES"/>
        </w:rPr>
        <w:t>T</w:t>
      </w:r>
      <w:r w:rsidRPr="48CCDC31" w:rsidR="6438A281">
        <w:rPr>
          <w:rFonts w:ascii="Arial" w:hAnsi="Arial" w:cs="Arial"/>
          <w:b/>
          <w:bCs/>
          <w:lang w:val="es-ES"/>
        </w:rPr>
        <w:t>)</w:t>
      </w:r>
    </w:p>
    <w:p w:rsidRPr="00D97FAD" w:rsidR="00566FC3" w:rsidP="00566FC3" w:rsidRDefault="00566FC3" w14:paraId="47896E0B" w14:textId="77777777">
      <w:pPr>
        <w:pStyle w:val="ListParagraph"/>
        <w:spacing w:before="120" w:after="120" w:line="240" w:lineRule="auto"/>
        <w:ind w:left="360"/>
        <w:jc w:val="both"/>
        <w:rPr>
          <w:rFonts w:ascii="Arial" w:hAnsi="Arial" w:cs="Arial"/>
          <w:b/>
          <w:bCs/>
          <w:lang w:val="es-ES"/>
        </w:rPr>
      </w:pP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371BC11A"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DB49638EA2244039800AA88371818258"/>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PANAMA</w:t>
                </w:r>
              </w:p>
            </w:tc>
          </w:sdtContent>
        </w:sdt>
      </w:tr>
      <w:tr w:rsidRPr="00AB47D6" w:rsidR="00D30AE3" w:rsidTr="371BC11A"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F60A5A8084F940848B4C9C3288B35DC7"/>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al Programa de Fortalecimiento Fiscal y Gestión de Inversiones Públicas</w:t>
                </w:r>
              </w:p>
            </w:tc>
          </w:sdtContent>
        </w:sdt>
      </w:tr>
      <w:tr w:rsidRPr="003820CC" w:rsidR="00D30AE3" w:rsidTr="371BC11A"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983E179C78B411E952BE780B300C40C"/>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PN-T1301</w:t>
                </w:r>
              </w:p>
            </w:tc>
          </w:sdtContent>
        </w:sdt>
      </w:tr>
      <w:tr w:rsidRPr="00AB47D6" w:rsidR="00D30AE3" w:rsidTr="371BC11A"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dtPr>
          <w:sdtEndPr/>
          <w:sdtContent>
            <w:tc>
              <w:tcPr>
                <w:tcW w:w="5772" w:type="dxa"/>
              </w:tcPr>
              <w:p w:rsidRPr="00EB2B73" w:rsidR="00EB2B73" w:rsidP="007A6147" w:rsidRDefault="00E921F6" w14:paraId="01376BDF" w14:textId="37849213">
                <w:pPr>
                  <w:tabs>
                    <w:tab w:val="center" w:pos="2997"/>
                    <w:tab w:val="left" w:pos="3417"/>
                  </w:tabs>
                  <w:spacing w:after="60"/>
                  <w:rPr>
                    <w:rFonts w:ascii="Arial" w:hAnsi="Arial" w:eastAsia="Arial" w:cs="Arial"/>
                    <w:sz w:val="18"/>
                    <w:szCs w:val="18"/>
                    <w:lang w:val="es-ES"/>
                  </w:rPr>
                </w:pPr>
                <w:r w:rsidRPr="00E921F6">
                  <w:rPr>
                    <w:rFonts w:ascii="Arial" w:hAnsi="Arial" w:cs="Arial"/>
                    <w:sz w:val="18"/>
                    <w:szCs w:val="18"/>
                    <w:lang w:val="es-ES"/>
                  </w:rPr>
                  <w:t xml:space="preserve">Larios, Jose I. (IFD/FMM) Líder del Equipo; Astudillo, Karen (IFD/FMM) Jefe Alterno del Equipo de Proyecto; Valencia Arana, Oscar Mauricio (IFD/FMM) Jefe Alterno del Equipo de Proyecto; Carmen Montesinos Ibanez (IFD/FMM); Corriols Diaz, Leonor Odilie (VPC/FMP); Kevish, Maria Lorena (IFD/FMM); Keyla Waterman (IFD/FMM); Llempen Lopez, Zoila Cristina (IFD/FMM); Lugo Moreno, Monica Bibiana (LEG/SGO); Ochoa, David A. (VPC/FMP); Roman Sanchez, Susana (IFD/FMM); Wever Vargas, Anabelle Dafhne (CID/CPN) </w:t>
                </w:r>
                <w:proofErr w:type="spellStart"/>
              </w:p>
            </w:tc>
          </w:sdtContent>
        </w:sdt>
      </w:tr>
      <w:tr w:rsidRPr="003820CC" w:rsidR="00D30AE3" w:rsidTr="371BC11A"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45106199AF7F4D41AAE0E9360C227D48"/>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AB47D6" w:rsidR="00D30AE3" w:rsidTr="371BC11A"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00CC716E" w:rsidP="004A7024" w:rsidRDefault="00AB47D6" w14:paraId="6554A7BC" w14:textId="77777777">
            <w:pPr>
              <w:tabs>
                <w:tab w:val="center" w:pos="2997"/>
                <w:tab w:val="left" w:pos="3417"/>
              </w:tabs>
              <w:spacing w:after="60"/>
              <w:rPr>
                <w:rFonts w:ascii="Arial" w:hAnsi="Arial" w:eastAsia="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C99E9D6BAE345A7B365DC769F5B462D"/>
                </w:placeholder>
                <w:showingPlcHdr/>
              </w:sdtPr>
              <w:sdtEndPr/>
              <w:sdtContent>
                <w:r w:rsidR="004A7024">
                  <w:rPr>
                    <w:rFonts w:ascii="Arial" w:hAnsi="Arial" w:eastAsia="Arial" w:cs="Arial"/>
                    <w:sz w:val="18"/>
                    <w:szCs w:val="18"/>
                  </w:rPr>
                  <w:t>PN-L1161, PN-L1176</w:t>
                </w:r>
              </w:sdtContent>
            </w:sdt>
            <w:r w:rsidRPr="00800DD2" w:rsidR="00800DD2">
              <w:rPr>
                <w:rFonts w:ascii="Arial" w:hAnsi="Arial" w:eastAsia="Arial" w:cs="Arial"/>
                <w:sz w:val="18"/>
                <w:szCs w:val="18"/>
                <w:lang w:val="es-ES"/>
              </w:rPr>
              <w:t>. Programa de Fortalecimi</w:t>
            </w:r>
            <w:r w:rsidR="00EA3DFA">
              <w:rPr>
                <w:rFonts w:ascii="Arial" w:hAnsi="Arial" w:eastAsia="Arial" w:cs="Arial"/>
                <w:sz w:val="18"/>
                <w:szCs w:val="18"/>
                <w:lang w:val="es-ES"/>
              </w:rPr>
              <w:t>e</w:t>
            </w:r>
            <w:r w:rsidRPr="00800DD2" w:rsidR="00800DD2">
              <w:rPr>
                <w:rFonts w:ascii="Arial" w:hAnsi="Arial" w:eastAsia="Arial" w:cs="Arial"/>
                <w:sz w:val="18"/>
                <w:szCs w:val="18"/>
                <w:lang w:val="es-ES"/>
              </w:rPr>
              <w:t>nto Fiscal y Gestión de la Inversión Pú</w:t>
            </w:r>
            <w:r w:rsidR="00800DD2">
              <w:rPr>
                <w:rFonts w:ascii="Arial" w:hAnsi="Arial" w:eastAsia="Arial" w:cs="Arial"/>
                <w:sz w:val="18"/>
                <w:szCs w:val="18"/>
                <w:lang w:val="es-ES"/>
              </w:rPr>
              <w:t>blica</w:t>
            </w:r>
            <w:r w:rsidRPr="00B67A0B" w:rsidR="00370FB9">
              <w:rPr>
                <w:rFonts w:ascii="Arial" w:hAnsi="Arial" w:eastAsia="Arial" w:cs="Arial"/>
                <w:sz w:val="18"/>
                <w:szCs w:val="18"/>
                <w:lang w:val="es-ES"/>
              </w:rPr>
              <w:t>.</w:t>
            </w:r>
          </w:p>
          <w:p w:rsidRPr="003D6089" w:rsidR="003D6089" w:rsidP="003D6089" w:rsidRDefault="003D6089" w14:paraId="0077ABBA" w14:textId="0322FE2E">
            <w:pPr>
              <w:pStyle w:val="mainoperationname"/>
              <w:shd w:val="clear" w:color="auto" w:fill="FFFFFF"/>
              <w:spacing w:before="75" w:beforeAutospacing="0" w:after="75" w:afterAutospacing="0"/>
              <w:ind w:right="75"/>
              <w:rPr>
                <w:rFonts w:ascii="OpenSans-Semibold" w:hAnsi="OpenSans-Semibold"/>
                <w:b/>
                <w:bCs/>
                <w:color w:val="0C1320"/>
                <w:sz w:val="21"/>
                <w:szCs w:val="21"/>
                <w:lang w:val="es-ES"/>
              </w:rPr>
            </w:pPr>
            <w:r>
              <w:rPr>
                <w:rFonts w:ascii="Arial" w:hAnsi="Arial" w:eastAsia="Arial" w:cs="Arial"/>
                <w:sz w:val="18"/>
                <w:szCs w:val="18"/>
                <w:lang w:val="es-ES"/>
              </w:rPr>
              <w:t>P</w:t>
            </w:r>
            <w:r w:rsidR="005338ED">
              <w:rPr>
                <w:rFonts w:ascii="Arial" w:hAnsi="Arial" w:eastAsia="Arial" w:cs="Arial"/>
                <w:sz w:val="18"/>
                <w:szCs w:val="18"/>
                <w:lang w:val="es-ES"/>
              </w:rPr>
              <w:t>N-L1161.</w:t>
            </w:r>
            <w:r w:rsidRPr="003D6089">
              <w:rPr>
                <w:rFonts w:ascii="Arial" w:hAnsi="Arial" w:eastAsia="Arial" w:cs="Arial"/>
                <w:sz w:val="18"/>
                <w:szCs w:val="18"/>
                <w:lang w:val="es-ES"/>
              </w:rPr>
              <w:t xml:space="preserve"> Programa de Apoyo a la Transformaci</w:t>
            </w:r>
            <w:r>
              <w:rPr>
                <w:rFonts w:ascii="Arial" w:hAnsi="Arial" w:eastAsia="Arial" w:cs="Arial"/>
                <w:sz w:val="18"/>
                <w:szCs w:val="18"/>
                <w:lang w:val="es-ES"/>
              </w:rPr>
              <w:t>ó</w:t>
            </w:r>
            <w:r w:rsidRPr="003D6089">
              <w:rPr>
                <w:rFonts w:ascii="Arial" w:hAnsi="Arial" w:eastAsia="Arial" w:cs="Arial"/>
                <w:sz w:val="18"/>
                <w:szCs w:val="18"/>
                <w:lang w:val="es-ES"/>
              </w:rPr>
              <w:t>n Digital de la Administración Tributaria en Panamá</w:t>
            </w:r>
          </w:p>
          <w:p w:rsidRPr="00D97FAD" w:rsidR="005338ED" w:rsidP="004A7024" w:rsidRDefault="005338ED" w14:paraId="19EE7A62" w14:textId="0A03AF6D">
            <w:pPr>
              <w:tabs>
                <w:tab w:val="center" w:pos="2997"/>
                <w:tab w:val="left" w:pos="3417"/>
              </w:tabs>
              <w:spacing w:after="60"/>
              <w:rPr>
                <w:rFonts w:ascii="Arial" w:hAnsi="Arial" w:cs="Arial"/>
                <w:sz w:val="18"/>
                <w:szCs w:val="18"/>
                <w:lang w:val="es-ES"/>
              </w:rPr>
            </w:pPr>
          </w:p>
        </w:tc>
      </w:tr>
      <w:tr w:rsidRPr="003820CC" w:rsidR="00D30AE3" w:rsidTr="371BC11A"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AB47D6"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A02C7387BCB4403BAA6087D5827A40D"/>
                </w:placeholder>
                <w:showingPlcHdr/>
              </w:sdtPr>
              <w:sdtEndPr/>
              <w:sdtContent>
                <w:r w:rsidR="004A7024">
                  <w:rPr>
                    <w:rFonts w:ascii="Arial" w:hAnsi="Arial" w:eastAsia="Arial" w:cs="Arial"/>
                    <w:sz w:val="18"/>
                    <w:szCs w:val="18"/>
                  </w:rPr>
                  <w:t>27 Sep 2022</w:t>
                </w:r>
              </w:sdtContent>
            </w:sdt>
            <w:r w:rsidRPr="004A7024" w:rsidR="00370FB9">
              <w:rPr>
                <w:rFonts w:ascii="Arial" w:hAnsi="Arial" w:eastAsia="Arial" w:cs="Arial"/>
                <w:sz w:val="18"/>
                <w:szCs w:val="18"/>
              </w:rPr>
              <w:t>.</w:t>
            </w:r>
          </w:p>
        </w:tc>
      </w:tr>
      <w:tr w:rsidRPr="00AB47D6" w:rsidR="00D30AE3" w:rsidTr="371BC11A"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634BF5" w:rsidRDefault="008C04B7" w14:paraId="19EE7A68" w14:textId="1FC6C92D">
            <w:pPr>
              <w:tabs>
                <w:tab w:val="left" w:pos="3546"/>
              </w:tabs>
              <w:spacing w:after="60"/>
              <w:rPr>
                <w:rFonts w:ascii="Arial" w:hAnsi="Arial" w:cs="Arial"/>
                <w:sz w:val="18"/>
                <w:szCs w:val="18"/>
                <w:lang w:val="es-ES"/>
              </w:rPr>
            </w:pPr>
            <w:r>
              <w:rPr>
                <w:rFonts w:ascii="Arial" w:hAnsi="Arial" w:cs="Arial"/>
                <w:sz w:val="18"/>
                <w:szCs w:val="18"/>
                <w:lang w:val="es-ES"/>
              </w:rPr>
              <w:t xml:space="preserve">República de </w:t>
            </w:r>
            <w:r w:rsidR="00BC5767">
              <w:rPr>
                <w:rFonts w:ascii="Arial" w:hAnsi="Arial" w:cs="Arial"/>
                <w:sz w:val="18"/>
                <w:szCs w:val="18"/>
                <w:lang w:val="es-ES"/>
              </w:rPr>
              <w:t xml:space="preserve">Panamá </w:t>
            </w:r>
            <w:r>
              <w:rPr>
                <w:rFonts w:ascii="Arial" w:hAnsi="Arial" w:cs="Arial"/>
                <w:sz w:val="18"/>
                <w:szCs w:val="18"/>
                <w:lang w:val="es-ES"/>
              </w:rPr>
              <w:t xml:space="preserve">a través del Ministerio de </w:t>
            </w:r>
            <w:r w:rsidR="005401AC">
              <w:rPr>
                <w:rFonts w:ascii="Arial" w:hAnsi="Arial" w:cs="Arial"/>
                <w:sz w:val="18"/>
                <w:szCs w:val="18"/>
                <w:lang w:val="es-ES"/>
              </w:rPr>
              <w:t>Economía y Finanzas</w:t>
            </w:r>
          </w:p>
        </w:tc>
      </w:tr>
      <w:tr w:rsidRPr="003820CC" w:rsidR="00D30AE3" w:rsidTr="371BC11A"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AB47D6"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FEC49DA22EA241A6B7CB5F0097E963F6"/>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AB47D6" w:rsidR="000571B9" w:rsidTr="371BC11A"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BDDDBBBDAA6A4A5982E5562A7B202D2D"/>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OC SDP Ventanilla 2 - Instituciones(W2C)</w:t>
                </w:r>
              </w:p>
            </w:tc>
          </w:sdtContent>
        </w:sdt>
      </w:tr>
      <w:tr w:rsidRPr="003820CC" w:rsidR="00D30AE3" w:rsidTr="371BC11A"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EBC215654339498AAA61699B9B68227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sz w:val="18"/>
                  </w:rPr>
                  <w:t>US$200,000.00</w:t>
                  <w:br/>
                  <w:t/>
                </w:r>
              </w:p>
            </w:tc>
          </w:sdtContent>
        </w:sdt>
      </w:tr>
      <w:tr w:rsidRPr="003820CC" w:rsidR="00D30AE3" w:rsidTr="371BC11A"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37C1AC63F89B472D876FE28C41BE571D"/>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AB47D6" w:rsidR="00634BF5" w:rsidTr="371BC11A"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413B1B" w14:paraId="19EE7A77" w14:textId="175AA504">
            <w:pPr>
              <w:tabs>
                <w:tab w:val="left" w:pos="3491"/>
              </w:tabs>
              <w:spacing w:after="60"/>
              <w:rPr>
                <w:rFonts w:ascii="Arial" w:hAnsi="Arial" w:eastAsia="Arial" w:cs="Arial"/>
                <w:sz w:val="18"/>
                <w:szCs w:val="18"/>
                <w:lang w:val="es-ES"/>
              </w:rPr>
            </w:pPr>
            <w:r>
              <w:rPr>
                <w:rFonts w:ascii="Arial" w:hAnsi="Arial" w:eastAsia="Arial" w:cs="Arial"/>
                <w:sz w:val="18"/>
                <w:szCs w:val="18"/>
                <w:lang w:val="es-ES"/>
              </w:rPr>
              <w:t>El plazo único</w:t>
            </w:r>
            <w:r w:rsidR="0086557C">
              <w:rPr>
                <w:rFonts w:ascii="Arial" w:hAnsi="Arial" w:eastAsia="Arial" w:cs="Arial"/>
                <w:sz w:val="18"/>
                <w:szCs w:val="18"/>
                <w:lang w:val="es-ES"/>
              </w:rPr>
              <w:t xml:space="preserve"> de </w:t>
            </w:r>
            <w:r w:rsidR="00D65FA1">
              <w:rPr>
                <w:rFonts w:ascii="Arial" w:hAnsi="Arial" w:eastAsia="Arial" w:cs="Arial"/>
                <w:sz w:val="18"/>
                <w:szCs w:val="18"/>
                <w:lang w:val="es-ES"/>
              </w:rPr>
              <w:t>ejecución es</w:t>
            </w:r>
            <w:r>
              <w:rPr>
                <w:rFonts w:ascii="Arial" w:hAnsi="Arial" w:eastAsia="Arial" w:cs="Arial"/>
                <w:sz w:val="18"/>
                <w:szCs w:val="18"/>
                <w:lang w:val="es-ES"/>
              </w:rPr>
              <w:t xml:space="preserve"> </w:t>
            </w:r>
            <w:r w:rsidR="0086557C">
              <w:rPr>
                <w:rFonts w:ascii="Arial" w:hAnsi="Arial" w:eastAsia="Arial" w:cs="Arial"/>
                <w:sz w:val="18"/>
                <w:szCs w:val="18"/>
                <w:lang w:val="es-ES"/>
              </w:rPr>
              <w:t xml:space="preserve">de </w:t>
            </w:r>
            <w:r w:rsidR="00463500">
              <w:rPr>
                <w:rFonts w:ascii="Arial" w:hAnsi="Arial" w:eastAsia="Arial" w:cs="Arial"/>
                <w:sz w:val="18"/>
                <w:szCs w:val="18"/>
                <w:lang w:val="es-ES"/>
              </w:rPr>
              <w:t xml:space="preserve">24 </w:t>
            </w:r>
            <w:r w:rsidR="00D0028D">
              <w:rPr>
                <w:rFonts w:ascii="Arial" w:hAnsi="Arial" w:eastAsia="Arial" w:cs="Arial"/>
                <w:sz w:val="18"/>
                <w:szCs w:val="18"/>
                <w:lang w:val="es-ES"/>
              </w:rPr>
              <w:t>meses e</w:t>
            </w:r>
            <w:r w:rsidR="00381B24">
              <w:rPr>
                <w:rFonts w:ascii="Arial" w:hAnsi="Arial" w:eastAsia="Arial" w:cs="Arial"/>
                <w:sz w:val="18"/>
                <w:szCs w:val="18"/>
                <w:lang w:val="es-ES"/>
              </w:rPr>
              <w:t xml:space="preserve"> i</w:t>
            </w:r>
            <w:r w:rsidR="0086557C">
              <w:rPr>
                <w:rFonts w:ascii="Arial" w:hAnsi="Arial" w:eastAsia="Arial" w:cs="Arial"/>
                <w:sz w:val="18"/>
                <w:szCs w:val="18"/>
                <w:lang w:val="es-ES"/>
              </w:rPr>
              <w:t>ncluye desembolso y ejecución.</w:t>
            </w:r>
          </w:p>
        </w:tc>
      </w:tr>
      <w:tr w:rsidRPr="003820CC" w:rsidR="00634BF5" w:rsidTr="371BC11A"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1107CA" w14:paraId="19EE7A7A" w14:textId="7AA08D74">
            <w:pPr>
              <w:tabs>
                <w:tab w:val="left" w:pos="3793"/>
              </w:tabs>
              <w:spacing w:after="60"/>
              <w:rPr>
                <w:rFonts w:ascii="Arial" w:hAnsi="Arial" w:cs="Arial"/>
                <w:sz w:val="18"/>
                <w:szCs w:val="18"/>
                <w:lang w:val="es-ES"/>
              </w:rPr>
            </w:pPr>
            <w:r>
              <w:rPr>
                <w:rFonts w:ascii="Arial" w:hAnsi="Arial" w:cs="Arial"/>
                <w:sz w:val="18"/>
                <w:szCs w:val="18"/>
                <w:lang w:val="es-ES"/>
              </w:rPr>
              <w:t>10 diciembre 2022</w:t>
            </w:r>
          </w:p>
        </w:tc>
      </w:tr>
      <w:tr w:rsidRPr="001107CA" w:rsidR="00634BF5" w:rsidTr="371BC11A"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1107CA" w14:paraId="19EE7A7D" w14:textId="017B9987">
            <w:pPr>
              <w:tabs>
                <w:tab w:val="left" w:pos="3664"/>
              </w:tabs>
              <w:spacing w:after="60"/>
              <w:rPr>
                <w:rFonts w:ascii="Arial" w:hAnsi="Arial" w:eastAsia="Arial" w:cs="Arial"/>
                <w:sz w:val="18"/>
                <w:szCs w:val="18"/>
                <w:lang w:val="es-ES"/>
              </w:rPr>
            </w:pPr>
            <w:r>
              <w:rPr>
                <w:rFonts w:ascii="Arial" w:hAnsi="Arial" w:eastAsia="Arial" w:cs="Arial"/>
                <w:sz w:val="18"/>
                <w:szCs w:val="18"/>
                <w:lang w:val="es-ES"/>
              </w:rPr>
              <w:t>Consultores individuales</w:t>
            </w:r>
          </w:p>
        </w:tc>
      </w:tr>
      <w:tr w:rsidRPr="00AB47D6" w:rsidR="00634BF5" w:rsidTr="371BC11A"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634BF5" w:rsidP="004A7024" w:rsidRDefault="00AB47D6"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3CB1B52E1C764B38867B35BCDB26CA68"/>
                </w:placeholder>
                <w:showingPlcHdr/>
              </w:sdtPr>
              <w:sdtEndPr/>
              <w:sdtContent>
                <w:r w:rsidR="004A7024">
                  <w:rPr>
                    <w:rFonts w:ascii="Arial" w:hAnsi="Arial" w:eastAsia="Arial" w:cs="Arial"/>
                    <w:sz w:val="18"/>
                    <w:szCs w:val="18"/>
                  </w:rPr>
                  <w:t>IFD/FMM-División de Gestión Fiscal</w:t>
                </w:r>
              </w:sdtContent>
            </w:sdt>
            <w:r w:rsidRPr="00D35EEB" w:rsidR="003E44AA">
              <w:rPr>
                <w:rFonts w:ascii="Arial" w:hAnsi="Arial" w:eastAsia="Arial" w:cs="Arial"/>
                <w:sz w:val="18"/>
                <w:szCs w:val="18"/>
                <w:lang w:val="es-ES"/>
              </w:rPr>
              <w:t xml:space="preserve"> </w:t>
            </w:r>
          </w:p>
        </w:tc>
      </w:tr>
      <w:tr w:rsidRPr="003820CC" w:rsidR="00634BF5" w:rsidTr="371BC11A"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4A7B36A4E51A4196A8B1D69B13CEE716"/>
            </w:placeholder>
            <w:showingPlcHdr/>
          </w:sdtPr>
          <w:sdtEnd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CID/CPN-Representación Panamá</w:t>
                </w:r>
              </w:p>
            </w:tc>
          </w:sdtContent>
        </w:sdt>
      </w:tr>
      <w:tr w:rsidRPr="00306DD4" w:rsidR="00634BF5" w:rsidTr="371BC11A" w14:paraId="19EE7A87" w14:textId="77777777">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634BF5" w:rsidP="00634BF5" w:rsidRDefault="001107CA" w14:paraId="19EE7A86" w14:textId="2C0FE38B">
            <w:pPr>
              <w:tabs>
                <w:tab w:val="left" w:pos="3493"/>
              </w:tabs>
              <w:spacing w:after="60"/>
              <w:rPr>
                <w:rFonts w:ascii="Arial" w:hAnsi="Arial" w:eastAsia="Arial" w:cs="Arial"/>
                <w:sz w:val="18"/>
                <w:szCs w:val="18"/>
                <w:lang w:val="es-ES"/>
              </w:rPr>
            </w:pPr>
            <w:r>
              <w:rPr>
                <w:rFonts w:ascii="Arial" w:hAnsi="Arial" w:eastAsia="Arial" w:cs="Arial"/>
                <w:sz w:val="18"/>
                <w:szCs w:val="18"/>
                <w:lang w:val="es-ES"/>
              </w:rPr>
              <w:t>Sí</w:t>
            </w:r>
          </w:p>
        </w:tc>
      </w:tr>
      <w:tr w:rsidRPr="00306DD4" w:rsidR="00634BF5" w:rsidTr="371BC11A" w14:paraId="19EE7A8A" w14:textId="77777777">
        <w:tc>
          <w:tcPr>
            <w:tcW w:w="3768"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proofErr w:type="spellStart"/>
            <w:r>
              <w:rPr>
                <w:rFonts w:ascii="Arial" w:hAnsi="Arial" w:eastAsia="Arial" w:cs="Arial"/>
                <w:sz w:val="18"/>
                <w:szCs w:val="18"/>
                <w:lang w:val="pt-BR"/>
              </w:rPr>
              <w:t>inclui</w:t>
            </w:r>
            <w:r w:rsidRPr="6640F5AC">
              <w:rPr>
                <w:rFonts w:ascii="Arial" w:hAnsi="Arial" w:eastAsia="Arial" w:cs="Arial"/>
                <w:sz w:val="18"/>
                <w:szCs w:val="18"/>
                <w:lang w:val="pt-BR"/>
              </w:rPr>
              <w:t>da</w:t>
            </w:r>
            <w:proofErr w:type="spellEnd"/>
            <w:r w:rsidRPr="6640F5AC">
              <w:rPr>
                <w:rFonts w:ascii="Arial" w:hAnsi="Arial" w:eastAsia="Arial" w:cs="Arial"/>
                <w:sz w:val="18"/>
                <w:szCs w:val="18"/>
                <w:lang w:val="pt-BR"/>
              </w:rPr>
              <w:t xml:space="preserve"> en CPD (s/n):</w:t>
            </w:r>
          </w:p>
        </w:tc>
        <w:tc>
          <w:tcPr>
            <w:tcW w:w="5772" w:type="dxa"/>
          </w:tcPr>
          <w:p w:rsidRPr="003820CC" w:rsidR="00634BF5" w:rsidP="00634BF5" w:rsidRDefault="001107CA" w14:paraId="19EE7A89" w14:textId="211E40C2">
            <w:pPr>
              <w:tabs>
                <w:tab w:val="left" w:pos="3697"/>
              </w:tabs>
              <w:spacing w:after="60"/>
              <w:rPr>
                <w:rFonts w:ascii="Arial" w:hAnsi="Arial" w:eastAsia="Arial" w:cs="Arial"/>
                <w:sz w:val="18"/>
                <w:szCs w:val="18"/>
                <w:lang w:val="es-ES"/>
              </w:rPr>
            </w:pPr>
            <w:r>
              <w:rPr>
                <w:rFonts w:ascii="Arial" w:hAnsi="Arial" w:eastAsia="Arial" w:cs="Arial"/>
                <w:sz w:val="18"/>
                <w:szCs w:val="18"/>
                <w:lang w:val="es-ES"/>
              </w:rPr>
              <w:t>Sí</w:t>
            </w:r>
          </w:p>
        </w:tc>
      </w:tr>
      <w:tr w:rsidRPr="00AB47D6" w:rsidR="00A42037" w:rsidTr="371BC11A" w14:paraId="19EE7A8D" w14:textId="77777777">
        <w:tc>
          <w:tcPr>
            <w:tcW w:w="3768" w:type="dxa"/>
          </w:tcPr>
          <w:p w:rsidRPr="00B94294" w:rsidR="00A42037" w:rsidP="371BC11A" w:rsidRDefault="00A42037" w14:paraId="19EE7A8B" w14:textId="352EEAC8">
            <w:pPr>
              <w:pStyle w:val="ListParagraph"/>
              <w:numPr>
                <w:ilvl w:val="0"/>
                <w:numId w:val="2"/>
              </w:numPr>
              <w:spacing w:after="60"/>
              <w:ind w:left="180" w:hanging="180"/>
              <w:jc w:val="both"/>
              <w:rPr>
                <w:rFonts w:ascii="Arial" w:hAnsi="Arial" w:eastAsia="Arial" w:cs="Arial"/>
                <w:sz w:val="18"/>
                <w:szCs w:val="18"/>
                <w:lang w:val="es-CL"/>
              </w:rPr>
            </w:pPr>
            <w:proofErr w:type="spellStart"/>
            <w:r w:rsidRPr="371BC11A">
              <w:rPr>
                <w:rFonts w:ascii="Arial" w:hAnsi="Arial" w:eastAsia="Arial" w:cs="Arial"/>
                <w:sz w:val="18"/>
                <w:szCs w:val="18"/>
                <w:lang w:val="es-CL"/>
              </w:rPr>
              <w:t>Alineaci</w:t>
            </w:r>
            <w:r w:rsidRPr="371BC11A">
              <w:rPr>
                <w:rFonts w:ascii="Arial" w:hAnsi="Arial" w:eastAsia="Arial" w:cs="Arial"/>
                <w:sz w:val="18"/>
                <w:szCs w:val="18"/>
                <w:lang w:val="es-ES"/>
              </w:rPr>
              <w:t>ó</w:t>
            </w:r>
            <w:proofErr w:type="spellEnd"/>
            <w:r w:rsidRPr="371BC11A">
              <w:rPr>
                <w:rFonts w:ascii="Arial" w:hAnsi="Arial" w:eastAsia="Arial" w:cs="Arial"/>
                <w:sz w:val="18"/>
                <w:szCs w:val="18"/>
                <w:lang w:val="es-CL"/>
              </w:rPr>
              <w:t xml:space="preserve">n a la </w:t>
            </w:r>
            <w:proofErr w:type="spellStart"/>
            <w:r w:rsidRPr="371BC11A">
              <w:rPr>
                <w:rFonts w:ascii="Arial" w:hAnsi="Arial" w:eastAsia="Arial" w:cs="Arial"/>
                <w:sz w:val="18"/>
                <w:szCs w:val="18"/>
                <w:lang w:val="es-CL"/>
              </w:rPr>
              <w:t>Actualizaci</w:t>
            </w:r>
            <w:r w:rsidRPr="371BC11A">
              <w:rPr>
                <w:rFonts w:ascii="Arial" w:hAnsi="Arial" w:eastAsia="Arial" w:cs="Arial"/>
                <w:sz w:val="18"/>
                <w:szCs w:val="18"/>
                <w:lang w:val="es-ES"/>
              </w:rPr>
              <w:t>ó</w:t>
            </w:r>
            <w:proofErr w:type="spellEnd"/>
            <w:r w:rsidRPr="371BC11A">
              <w:rPr>
                <w:rFonts w:ascii="Arial" w:hAnsi="Arial" w:eastAsia="Arial" w:cs="Arial"/>
                <w:sz w:val="18"/>
                <w:szCs w:val="18"/>
                <w:lang w:val="es-CL"/>
              </w:rPr>
              <w:t>n de la Estrategia Institucional 20</w:t>
            </w:r>
            <w:r w:rsidRPr="371BC11A" w:rsidR="7D4E7B1D">
              <w:rPr>
                <w:rFonts w:ascii="Arial" w:hAnsi="Arial" w:eastAsia="Arial" w:cs="Arial"/>
                <w:sz w:val="18"/>
                <w:szCs w:val="18"/>
                <w:lang w:val="es-CL"/>
              </w:rPr>
              <w:t>2</w:t>
            </w:r>
            <w:r w:rsidRPr="371BC11A">
              <w:rPr>
                <w:rFonts w:ascii="Arial" w:hAnsi="Arial" w:eastAsia="Arial" w:cs="Arial"/>
                <w:sz w:val="18"/>
                <w:szCs w:val="18"/>
                <w:lang w:val="es-CL"/>
              </w:rPr>
              <w:t>0-202</w:t>
            </w:r>
            <w:r w:rsidRPr="371BC11A" w:rsidR="489E34A7">
              <w:rPr>
                <w:rFonts w:ascii="Arial" w:hAnsi="Arial" w:eastAsia="Arial" w:cs="Arial"/>
                <w:sz w:val="18"/>
                <w:szCs w:val="18"/>
                <w:lang w:val="es-CL"/>
              </w:rPr>
              <w:t>3</w:t>
            </w:r>
            <w:r w:rsidRPr="371BC11A">
              <w:rPr>
                <w:rFonts w:ascii="Arial" w:hAnsi="Arial" w:eastAsia="Arial" w:cs="Arial"/>
                <w:sz w:val="18"/>
                <w:szCs w:val="18"/>
                <w:lang w:val="es-CL"/>
              </w:rPr>
              <w:t>:</w:t>
            </w:r>
          </w:p>
        </w:tc>
        <w:sdt>
          <w:sdtPr>
            <w:rPr>
              <w:rFonts w:ascii="Arial" w:hAnsi="Arial" w:eastAsia="Arial" w:cs="Arial"/>
              <w:sz w:val="18"/>
              <w:szCs w:val="18"/>
            </w:rPr>
            <w:alias w:val="ALIGNMENT"/>
            <w:tag w:val="ALIGNMENT"/>
            <w:id w:val="268984685"/>
            <w:lock w:val="sdtContentLocked"/>
            <w:placeholder>
              <w:docPart w:val="B7015D69253648A88DDA2522AC3ED5D7"/>
            </w:placeholder>
            <w:showingPlcHdr/>
          </w:sdtPr>
          <w:sdtEnd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Capacidad institucional y estado de derecho</w:t>
                </w:r>
              </w:p>
            </w:tc>
          </w:sdtContent>
        </w:sdt>
      </w:tr>
    </w:tbl>
    <w:p w:rsidR="00254AE4" w:rsidP="00254AE4" w:rsidRDefault="00AF48FF" w14:paraId="33046F70" w14:textId="77777777">
      <w:pPr>
        <w:pStyle w:val="ListParagraph"/>
        <w:numPr>
          <w:ilvl w:val="0"/>
          <w:numId w:val="5"/>
        </w:numPr>
        <w:spacing w:before="120" w:after="120" w:line="240" w:lineRule="auto"/>
        <w:contextualSpacing w:val="0"/>
        <w:rPr>
          <w:rFonts w:ascii="Arial" w:hAnsi="Arial" w:eastAsia="Arial" w:cs="Arial"/>
          <w:b/>
          <w:bCs/>
          <w:lang w:val="es-ES"/>
        </w:rPr>
      </w:pPr>
      <w:r>
        <w:rPr>
          <w:rFonts w:ascii="Arial" w:hAnsi="Arial" w:eastAsia="Arial" w:cs="Arial"/>
          <w:b/>
          <w:bCs/>
          <w:lang w:val="es-ES"/>
        </w:rPr>
        <w:t xml:space="preserve">Descripción del </w:t>
      </w:r>
      <w:r w:rsidR="00356550">
        <w:rPr>
          <w:rFonts w:ascii="Arial" w:hAnsi="Arial" w:eastAsia="Arial" w:cs="Arial"/>
          <w:b/>
          <w:bCs/>
          <w:lang w:val="es-ES"/>
        </w:rPr>
        <w:t>P</w:t>
      </w:r>
      <w:r>
        <w:rPr>
          <w:rFonts w:ascii="Arial" w:hAnsi="Arial" w:eastAsia="Arial" w:cs="Arial"/>
          <w:b/>
          <w:bCs/>
          <w:lang w:val="es-ES"/>
        </w:rPr>
        <w:t>réstamo</w:t>
      </w:r>
      <w:r w:rsidR="00356550">
        <w:rPr>
          <w:rFonts w:ascii="Arial" w:hAnsi="Arial" w:eastAsia="Arial" w:cs="Arial"/>
          <w:b/>
          <w:bCs/>
          <w:lang w:val="es-ES"/>
        </w:rPr>
        <w:t xml:space="preserve"> Asociado</w:t>
      </w:r>
    </w:p>
    <w:p w:rsidRPr="008669BD" w:rsidR="00254AE4" w:rsidP="008669BD" w:rsidRDefault="00356550" w14:paraId="54CA0BE8" w14:textId="2048C025">
      <w:pPr>
        <w:pStyle w:val="ListParagraph"/>
        <w:numPr>
          <w:ilvl w:val="1"/>
          <w:numId w:val="5"/>
        </w:numPr>
        <w:spacing w:before="120" w:after="120" w:line="240" w:lineRule="auto"/>
        <w:contextualSpacing w:val="0"/>
        <w:jc w:val="both"/>
        <w:rPr>
          <w:rFonts w:ascii="Arial" w:hAnsi="Arial" w:eastAsia="Arial" w:cs="Arial"/>
          <w:lang w:val="es-ES"/>
        </w:rPr>
      </w:pPr>
      <w:r w:rsidRPr="008669BD">
        <w:rPr>
          <w:rFonts w:ascii="Arial" w:hAnsi="Arial" w:eastAsia="Arial" w:cs="Arial"/>
          <w:lang w:val="es-ES"/>
        </w:rPr>
        <w:t xml:space="preserve">El Programa de Apoyo </w:t>
      </w:r>
      <w:r w:rsidRPr="00950FF3" w:rsidR="00D17931">
        <w:rPr>
          <w:rFonts w:ascii="Arial" w:hAnsi="Arial" w:eastAsia="Arial" w:cs="Arial"/>
          <w:lang w:val="es-ES"/>
        </w:rPr>
        <w:t>a la Transformación Digital de la Administración Tributaria en Panamá. (PN-L1161</w:t>
      </w:r>
      <w:r w:rsidR="006613E5">
        <w:rPr>
          <w:rFonts w:ascii="Arial" w:hAnsi="Arial" w:eastAsia="Arial" w:cs="Arial"/>
          <w:lang w:val="es-ES"/>
        </w:rPr>
        <w:t>), tiene como objetivo general</w:t>
      </w:r>
      <w:r w:rsidRPr="00950FF3" w:rsidR="00D17931">
        <w:rPr>
          <w:rFonts w:ascii="Arial" w:hAnsi="Arial" w:eastAsia="Arial" w:cs="Arial"/>
          <w:lang w:val="es-ES"/>
        </w:rPr>
        <w:t xml:space="preserve"> aumentar la capacidad del estado por medio del incremento de la recaudación tributaria. Los objetivos específicos son: (i) incrementar la eficacia de los procesos de</w:t>
      </w:r>
      <w:r w:rsidRPr="00950FF3" w:rsidR="00D17931">
        <w:rPr>
          <w:rFonts w:ascii="Arial" w:hAnsi="Arial" w:eastAsia="Arial" w:cs="Arial"/>
          <w:lang w:val="es-ES"/>
        </w:rPr>
        <w:br/>
        <w:t>fiscalización y cobranza; y (</w:t>
      </w:r>
      <w:proofErr w:type="spellStart"/>
      <w:r w:rsidRPr="00950FF3" w:rsidR="00D17931">
        <w:rPr>
          <w:rFonts w:ascii="Arial" w:hAnsi="Arial" w:eastAsia="Arial" w:cs="Arial"/>
          <w:lang w:val="es-ES"/>
        </w:rPr>
        <w:t>ii</w:t>
      </w:r>
      <w:proofErr w:type="spellEnd"/>
      <w:r w:rsidRPr="00950FF3" w:rsidR="00D17931">
        <w:rPr>
          <w:rFonts w:ascii="Arial" w:hAnsi="Arial" w:eastAsia="Arial" w:cs="Arial"/>
          <w:lang w:val="es-ES"/>
        </w:rPr>
        <w:t>) reducir los costos de cumplimiento de las obligaciones tributarias.</w:t>
      </w:r>
      <w:r w:rsidRPr="008669BD">
        <w:rPr>
          <w:rFonts w:ascii="Arial" w:hAnsi="Arial" w:eastAsia="Arial" w:cs="Arial"/>
          <w:lang w:val="es-ES"/>
        </w:rPr>
        <w:t xml:space="preserve"> </w:t>
      </w:r>
    </w:p>
    <w:p w:rsidRPr="008669BD" w:rsidR="00356550" w:rsidP="008669BD" w:rsidRDefault="006613E5" w14:paraId="5C924458" w14:textId="28C5A7FB">
      <w:pPr>
        <w:pStyle w:val="ListParagraph"/>
        <w:numPr>
          <w:ilvl w:val="1"/>
          <w:numId w:val="5"/>
        </w:numPr>
        <w:spacing w:before="120" w:after="120" w:line="240" w:lineRule="auto"/>
        <w:contextualSpacing w:val="0"/>
        <w:jc w:val="both"/>
        <w:rPr>
          <w:rFonts w:ascii="Arial" w:hAnsi="Arial" w:eastAsia="Arial" w:cs="Arial"/>
          <w:lang w:val="es-ES"/>
        </w:rPr>
      </w:pPr>
      <w:r>
        <w:rPr>
          <w:rFonts w:ascii="Arial" w:hAnsi="Arial" w:eastAsia="Arial" w:cs="Arial"/>
          <w:lang w:val="es-ES"/>
        </w:rPr>
        <w:lastRenderedPageBreak/>
        <w:t>El P</w:t>
      </w:r>
      <w:r w:rsidRPr="006613E5">
        <w:rPr>
          <w:rFonts w:ascii="Arial" w:hAnsi="Arial" w:eastAsia="Arial" w:cs="Arial"/>
          <w:lang w:val="es-ES"/>
        </w:rPr>
        <w:t>rograma de Fortalecimiento Fiscal y Gestión de la Inversión Pública</w:t>
      </w:r>
      <w:r>
        <w:rPr>
          <w:rFonts w:ascii="Arial" w:hAnsi="Arial" w:eastAsia="Arial" w:cs="Arial"/>
          <w:lang w:val="es-ES"/>
        </w:rPr>
        <w:t xml:space="preserve"> (</w:t>
      </w:r>
      <w:r w:rsidRPr="002C7BB7">
        <w:rPr>
          <w:rFonts w:ascii="Arial" w:hAnsi="Arial" w:eastAsia="Arial" w:cs="Arial"/>
          <w:lang w:val="es-ES"/>
        </w:rPr>
        <w:t>PN</w:t>
      </w:r>
      <w:r w:rsidRPr="002C7BB7" w:rsidR="002C7BB7">
        <w:rPr>
          <w:rFonts w:ascii="Arial" w:hAnsi="Arial" w:eastAsia="Arial" w:cs="Arial"/>
          <w:lang w:val="es-ES"/>
        </w:rPr>
        <w:t xml:space="preserve"> </w:t>
      </w:r>
      <w:r w:rsidRPr="002C7BB7" w:rsidR="002C7BB7">
        <w:rPr>
          <w:rFonts w:ascii="Arial" w:hAnsi="Arial" w:eastAsia="Arial" w:cs="Arial"/>
          <w:lang w:val="es-ES"/>
        </w:rPr>
        <w:noBreakHyphen/>
      </w:r>
      <w:r w:rsidRPr="002C7BB7">
        <w:rPr>
          <w:rFonts w:ascii="Arial" w:hAnsi="Arial" w:eastAsia="Arial" w:cs="Arial"/>
          <w:lang w:val="es-ES"/>
        </w:rPr>
        <w:t>L1176)</w:t>
      </w:r>
      <w:r w:rsidR="002C7BB7">
        <w:rPr>
          <w:rFonts w:ascii="Arial" w:hAnsi="Arial" w:eastAsia="Arial" w:cs="Arial"/>
          <w:lang w:val="es-ES"/>
        </w:rPr>
        <w:t xml:space="preserve">, </w:t>
      </w:r>
      <w:r w:rsidRPr="002C7BB7">
        <w:rPr>
          <w:rFonts w:ascii="Arial" w:hAnsi="Arial" w:eastAsia="Arial" w:cs="Arial"/>
          <w:lang w:val="es-ES"/>
        </w:rPr>
        <w:t>tiene</w:t>
      </w:r>
      <w:r>
        <w:rPr>
          <w:rFonts w:ascii="Arial" w:hAnsi="Arial" w:eastAsia="Arial" w:cs="Arial"/>
          <w:lang w:val="es-ES"/>
        </w:rPr>
        <w:t xml:space="preserve"> como objetivo general de este</w:t>
      </w:r>
      <w:r w:rsidRPr="006613E5">
        <w:rPr>
          <w:rFonts w:ascii="Arial" w:hAnsi="Arial" w:eastAsia="Arial" w:cs="Arial"/>
          <w:lang w:val="es-ES"/>
        </w:rPr>
        <w:t xml:space="preserve"> proyecto e</w:t>
      </w:r>
      <w:r>
        <w:rPr>
          <w:rFonts w:ascii="Arial" w:hAnsi="Arial" w:eastAsia="Arial" w:cs="Arial"/>
          <w:lang w:val="es-ES"/>
        </w:rPr>
        <w:t>l</w:t>
      </w:r>
      <w:r w:rsidRPr="006613E5">
        <w:rPr>
          <w:rFonts w:ascii="Arial" w:hAnsi="Arial" w:eastAsia="Arial" w:cs="Arial"/>
          <w:lang w:val="es-ES"/>
        </w:rPr>
        <w:t xml:space="preserve"> apoyar la consolidación fiscal y el cumplimiento de las reglas fiscales. Este programa está para aprobación en el 2023.</w:t>
      </w:r>
    </w:p>
    <w:p w:rsidRPr="00D97FAD" w:rsidR="0095711B" w:rsidP="27396B44" w:rsidRDefault="27396B44" w14:paraId="19EE7A90" w14:textId="3BB1CC62">
      <w:pPr>
        <w:pStyle w:val="ListParagraph"/>
        <w:numPr>
          <w:ilvl w:val="0"/>
          <w:numId w:val="5"/>
        </w:numPr>
        <w:spacing w:before="120" w:after="120" w:line="240" w:lineRule="auto"/>
        <w:contextualSpacing w:val="0"/>
        <w:rPr>
          <w:rFonts w:ascii="Arial" w:hAnsi="Arial" w:eastAsia="Arial" w:cs="Arial"/>
          <w:b/>
          <w:bCs/>
          <w:lang w:val="es-ES"/>
        </w:rPr>
      </w:pPr>
      <w:r w:rsidRPr="27396B44">
        <w:rPr>
          <w:rFonts w:ascii="Arial" w:hAnsi="Arial" w:eastAsia="Arial" w:cs="Arial"/>
          <w:b/>
          <w:bCs/>
          <w:lang w:val="es-ES"/>
        </w:rPr>
        <w:t xml:space="preserve">Objetivos y Justificación de la CT </w:t>
      </w:r>
      <w:r w:rsidRPr="27396B44">
        <w:rPr>
          <w:rFonts w:ascii="Arial" w:hAnsi="Arial" w:eastAsia="Arial" w:cs="Arial"/>
          <w:lang w:val="es-ES"/>
        </w:rPr>
        <w:t xml:space="preserve"> </w:t>
      </w:r>
    </w:p>
    <w:p w:rsidR="002C7BB7" w:rsidP="6640F5AC" w:rsidRDefault="007020EB" w14:paraId="74D752D3"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254AE4">
        <w:rPr>
          <w:rFonts w:ascii="Arial" w:hAnsi="Arial" w:eastAsia="Arial" w:cs="Arial"/>
          <w:b/>
          <w:bCs/>
          <w:lang w:val="es-ES"/>
        </w:rPr>
        <w:t>Objetivo.</w:t>
      </w:r>
      <w:r w:rsidRPr="00254AE4">
        <w:rPr>
          <w:rFonts w:ascii="Arial" w:hAnsi="Arial" w:eastAsia="Arial" w:cs="Arial"/>
          <w:lang w:val="es-ES"/>
        </w:rPr>
        <w:t xml:space="preserve"> </w:t>
      </w:r>
      <w:r w:rsidRPr="00254AE4" w:rsidR="005445AD">
        <w:rPr>
          <w:rFonts w:ascii="Arial" w:hAnsi="Arial" w:eastAsia="Arial" w:cs="Arial"/>
          <w:lang w:val="es-ES"/>
        </w:rPr>
        <w:t xml:space="preserve">El objetivo de esta CT </w:t>
      </w:r>
      <w:r w:rsidRPr="00254AE4" w:rsidR="008773A1">
        <w:rPr>
          <w:rFonts w:ascii="Arial" w:hAnsi="Arial" w:eastAsia="Arial" w:cs="Arial"/>
          <w:lang w:val="es-ES"/>
        </w:rPr>
        <w:t>es</w:t>
      </w:r>
      <w:r w:rsidRPr="00254AE4" w:rsidR="0036E705">
        <w:rPr>
          <w:rFonts w:ascii="Arial" w:hAnsi="Arial" w:eastAsia="Arial" w:cs="Arial"/>
          <w:lang w:val="es-ES"/>
        </w:rPr>
        <w:t xml:space="preserve"> apoyar al Ministerio de Economía y Finanzas</w:t>
      </w:r>
      <w:r w:rsidRPr="00254AE4" w:rsidR="000254C3">
        <w:rPr>
          <w:rFonts w:ascii="Arial" w:hAnsi="Arial" w:eastAsia="Arial" w:cs="Arial"/>
          <w:lang w:val="es-ES"/>
        </w:rPr>
        <w:t xml:space="preserve"> (MEF)</w:t>
      </w:r>
      <w:r w:rsidRPr="00254AE4" w:rsidR="0036E705">
        <w:rPr>
          <w:rFonts w:ascii="Arial" w:hAnsi="Arial" w:eastAsia="Arial" w:cs="Arial"/>
          <w:lang w:val="es-ES"/>
        </w:rPr>
        <w:t xml:space="preserve"> de la República de Panamá </w:t>
      </w:r>
      <w:r w:rsidRPr="00254AE4" w:rsidR="7844FD7C">
        <w:rPr>
          <w:rFonts w:ascii="Arial" w:hAnsi="Arial" w:eastAsia="Arial" w:cs="Arial"/>
          <w:lang w:val="es-ES"/>
        </w:rPr>
        <w:t xml:space="preserve">a fortalecer la gestión fiscal a través de </w:t>
      </w:r>
      <w:r w:rsidRPr="00254AE4" w:rsidR="69C2BC8D">
        <w:rPr>
          <w:rFonts w:ascii="Arial" w:hAnsi="Arial" w:eastAsia="Arial" w:cs="Arial"/>
          <w:lang w:val="es-ES"/>
        </w:rPr>
        <w:t xml:space="preserve">la </w:t>
      </w:r>
      <w:r w:rsidRPr="00254AE4" w:rsidR="7844FD7C">
        <w:rPr>
          <w:rFonts w:ascii="Arial" w:hAnsi="Arial" w:eastAsia="Arial" w:cs="Arial"/>
          <w:lang w:val="es-ES"/>
        </w:rPr>
        <w:t>modernización</w:t>
      </w:r>
      <w:r w:rsidRPr="00254AE4" w:rsidR="548CD4DC">
        <w:rPr>
          <w:rFonts w:ascii="Arial" w:hAnsi="Arial" w:eastAsia="Arial" w:cs="Arial"/>
          <w:lang w:val="es-ES"/>
        </w:rPr>
        <w:t xml:space="preserve"> de sus procesos</w:t>
      </w:r>
      <w:r w:rsidRPr="00254AE4" w:rsidR="194BDFA7">
        <w:rPr>
          <w:rFonts w:ascii="Arial" w:hAnsi="Arial" w:eastAsia="Arial" w:cs="Arial"/>
          <w:lang w:val="es-ES"/>
        </w:rPr>
        <w:t xml:space="preserve"> y </w:t>
      </w:r>
      <w:r w:rsidRPr="00254AE4" w:rsidR="15E7EFAB">
        <w:rPr>
          <w:rFonts w:ascii="Arial" w:hAnsi="Arial" w:eastAsia="Arial" w:cs="Arial"/>
          <w:lang w:val="es-ES"/>
        </w:rPr>
        <w:t xml:space="preserve">una </w:t>
      </w:r>
      <w:r w:rsidRPr="00254AE4" w:rsidR="0CCB23AA">
        <w:rPr>
          <w:rFonts w:ascii="Arial" w:hAnsi="Arial" w:eastAsia="Arial" w:cs="Arial"/>
          <w:lang w:val="es-ES"/>
        </w:rPr>
        <w:t xml:space="preserve">mayor </w:t>
      </w:r>
      <w:r w:rsidRPr="00254AE4" w:rsidR="15E7EFAB">
        <w:rPr>
          <w:rFonts w:ascii="Arial" w:hAnsi="Arial" w:eastAsia="Arial" w:cs="Arial"/>
          <w:lang w:val="es-ES"/>
        </w:rPr>
        <w:t>eficiencia y equidad de</w:t>
      </w:r>
      <w:r w:rsidRPr="00254AE4" w:rsidR="33E3804D">
        <w:rPr>
          <w:rFonts w:ascii="Arial" w:hAnsi="Arial" w:eastAsia="Arial" w:cs="Arial"/>
          <w:lang w:val="es-ES"/>
        </w:rPr>
        <w:t>l</w:t>
      </w:r>
      <w:r w:rsidRPr="00254AE4" w:rsidR="15E7EFAB">
        <w:rPr>
          <w:rFonts w:ascii="Arial" w:hAnsi="Arial" w:eastAsia="Arial" w:cs="Arial"/>
          <w:lang w:val="es-ES"/>
        </w:rPr>
        <w:t xml:space="preserve"> gasto. </w:t>
      </w:r>
    </w:p>
    <w:p w:rsidR="00960497" w:rsidP="6640F5AC" w:rsidRDefault="007020EB" w14:paraId="6E1C8A62" w14:textId="53260695">
      <w:pPr>
        <w:pStyle w:val="ListParagraph"/>
        <w:numPr>
          <w:ilvl w:val="1"/>
          <w:numId w:val="5"/>
        </w:numPr>
        <w:spacing w:before="120" w:after="120" w:line="240" w:lineRule="auto"/>
        <w:ind w:hanging="540"/>
        <w:contextualSpacing w:val="0"/>
        <w:jc w:val="both"/>
        <w:rPr>
          <w:rFonts w:ascii="Arial" w:hAnsi="Arial" w:eastAsia="Arial" w:cs="Arial"/>
          <w:lang w:val="es-ES"/>
        </w:rPr>
      </w:pPr>
      <w:r w:rsidRPr="00B8264E">
        <w:rPr>
          <w:rFonts w:ascii="Arial" w:hAnsi="Arial" w:cs="Arial"/>
          <w:b/>
          <w:bCs/>
          <w:lang w:val="es-ES"/>
        </w:rPr>
        <w:t>Justificación</w:t>
      </w:r>
      <w:r w:rsidRPr="00D44FAB">
        <w:rPr>
          <w:rFonts w:ascii="Arial" w:hAnsi="Arial" w:cs="Arial"/>
          <w:b/>
          <w:bCs/>
          <w:lang w:val="es-ES"/>
        </w:rPr>
        <w:t>.</w:t>
      </w:r>
      <w:r w:rsidRPr="00D44FAB" w:rsidR="00D44FAB">
        <w:rPr>
          <w:rFonts w:ascii="Arial" w:hAnsi="Arial" w:cs="Arial"/>
          <w:lang w:val="es-ES"/>
        </w:rPr>
        <w:t xml:space="preserve"> La gestión de las finanzas públicas, en esencia, es una organización sistémica que incluye ingresos, gasto en donde se incluye la inversión p</w:t>
      </w:r>
      <w:r w:rsidR="004D56DB">
        <w:rPr>
          <w:rFonts w:ascii="Arial" w:hAnsi="Arial" w:cs="Arial"/>
          <w:lang w:val="es-ES"/>
        </w:rPr>
        <w:t>ú</w:t>
      </w:r>
      <w:r w:rsidRPr="00D44FAB" w:rsidR="00D44FAB">
        <w:rPr>
          <w:rFonts w:ascii="Arial" w:hAnsi="Arial" w:cs="Arial"/>
          <w:lang w:val="es-ES"/>
        </w:rPr>
        <w:t>blic</w:t>
      </w:r>
      <w:r w:rsidR="004D56DB">
        <w:rPr>
          <w:rFonts w:ascii="Arial" w:hAnsi="Arial" w:cs="Arial"/>
          <w:lang w:val="es-ES"/>
        </w:rPr>
        <w:t>a</w:t>
      </w:r>
      <w:r w:rsidRPr="00D44FAB" w:rsidR="00D44FAB">
        <w:rPr>
          <w:rFonts w:ascii="Arial" w:hAnsi="Arial" w:cs="Arial"/>
          <w:lang w:val="es-ES"/>
        </w:rPr>
        <w:t xml:space="preserve">, y gestión de la deuda. </w:t>
      </w:r>
      <w:r w:rsidR="004D56DB">
        <w:rPr>
          <w:rFonts w:ascii="Arial" w:hAnsi="Arial" w:cs="Arial"/>
          <w:lang w:val="es-ES"/>
        </w:rPr>
        <w:t>Las p</w:t>
      </w:r>
      <w:r w:rsidRPr="00D44FAB" w:rsidR="00D44FAB">
        <w:rPr>
          <w:rFonts w:ascii="Arial" w:hAnsi="Arial" w:cs="Arial"/>
          <w:lang w:val="es-ES"/>
        </w:rPr>
        <w:t>royecciones de ingreso que subestima</w:t>
      </w:r>
      <w:r w:rsidR="004D56DB">
        <w:rPr>
          <w:rFonts w:ascii="Arial" w:hAnsi="Arial" w:cs="Arial"/>
          <w:lang w:val="es-ES"/>
        </w:rPr>
        <w:t>n</w:t>
      </w:r>
      <w:r w:rsidRPr="00D44FAB" w:rsidR="00D44FAB">
        <w:rPr>
          <w:rFonts w:ascii="Arial" w:hAnsi="Arial" w:cs="Arial"/>
          <w:lang w:val="es-ES"/>
        </w:rPr>
        <w:t xml:space="preserve"> o sobreestiman ingresos, </w:t>
      </w:r>
      <w:r w:rsidR="004D56DB">
        <w:rPr>
          <w:rFonts w:ascii="Arial" w:hAnsi="Arial" w:cs="Arial"/>
          <w:lang w:val="es-ES"/>
        </w:rPr>
        <w:t xml:space="preserve">lo cual </w:t>
      </w:r>
      <w:r w:rsidRPr="00D44FAB" w:rsidR="00D44FAB">
        <w:rPr>
          <w:rFonts w:ascii="Arial" w:hAnsi="Arial" w:cs="Arial"/>
          <w:lang w:val="es-ES"/>
        </w:rPr>
        <w:t xml:space="preserve">afecta la planificación y </w:t>
      </w:r>
      <w:r w:rsidR="004D56DB">
        <w:rPr>
          <w:rFonts w:ascii="Arial" w:hAnsi="Arial" w:cs="Arial"/>
          <w:lang w:val="es-ES"/>
        </w:rPr>
        <w:t xml:space="preserve">la </w:t>
      </w:r>
      <w:r w:rsidRPr="00D44FAB" w:rsidR="00D44FAB">
        <w:rPr>
          <w:rFonts w:ascii="Arial" w:hAnsi="Arial" w:cs="Arial"/>
          <w:lang w:val="es-ES"/>
        </w:rPr>
        <w:t>ejecución de</w:t>
      </w:r>
      <w:r w:rsidR="004D56DB">
        <w:rPr>
          <w:rFonts w:ascii="Arial" w:hAnsi="Arial" w:cs="Arial"/>
          <w:lang w:val="es-ES"/>
        </w:rPr>
        <w:t>l</w:t>
      </w:r>
      <w:r w:rsidRPr="00D44FAB" w:rsidR="00D44FAB">
        <w:rPr>
          <w:rFonts w:ascii="Arial" w:hAnsi="Arial" w:cs="Arial"/>
          <w:lang w:val="es-ES"/>
        </w:rPr>
        <w:t xml:space="preserve"> presupuesto. Dentro del conjunto de gastos, </w:t>
      </w:r>
      <w:r w:rsidR="00B56F1A">
        <w:rPr>
          <w:rFonts w:ascii="Arial" w:hAnsi="Arial" w:cs="Arial"/>
          <w:lang w:val="es-ES"/>
        </w:rPr>
        <w:t xml:space="preserve">es importante que </w:t>
      </w:r>
      <w:r w:rsidR="004D56DB">
        <w:rPr>
          <w:rFonts w:ascii="Arial" w:hAnsi="Arial" w:cs="Arial"/>
          <w:lang w:val="es-ES"/>
        </w:rPr>
        <w:t>los</w:t>
      </w:r>
      <w:r w:rsidRPr="00D44FAB" w:rsidR="00D44FAB">
        <w:rPr>
          <w:rFonts w:ascii="Arial" w:hAnsi="Arial" w:cs="Arial"/>
          <w:lang w:val="es-ES"/>
        </w:rPr>
        <w:t xml:space="preserve"> gastos a subsidios y transferencias sociales</w:t>
      </w:r>
      <w:r w:rsidR="00B56F1A">
        <w:rPr>
          <w:rFonts w:ascii="Arial" w:hAnsi="Arial" w:cs="Arial"/>
          <w:lang w:val="es-ES"/>
        </w:rPr>
        <w:t xml:space="preserve"> </w:t>
      </w:r>
      <w:r w:rsidRPr="00D44FAB" w:rsidR="00D44FAB">
        <w:rPr>
          <w:rFonts w:ascii="Arial" w:hAnsi="Arial" w:cs="Arial"/>
          <w:lang w:val="es-ES"/>
        </w:rPr>
        <w:t>sean eficientes y equitativ</w:t>
      </w:r>
      <w:r w:rsidR="00B56F1A">
        <w:rPr>
          <w:rFonts w:ascii="Arial" w:hAnsi="Arial" w:cs="Arial"/>
          <w:lang w:val="es-ES"/>
        </w:rPr>
        <w:t>o</w:t>
      </w:r>
      <w:r w:rsidRPr="00D44FAB" w:rsidR="00D44FAB">
        <w:rPr>
          <w:rFonts w:ascii="Arial" w:hAnsi="Arial" w:cs="Arial"/>
          <w:lang w:val="es-ES"/>
        </w:rPr>
        <w:t>s.</w:t>
      </w:r>
      <w:r w:rsidRPr="00D44FAB" w:rsidR="00D44FAB">
        <w:rPr>
          <w:lang w:val="es-ES"/>
        </w:rPr>
        <w:t xml:space="preserve"> </w:t>
      </w:r>
      <w:r w:rsidRPr="00B8264E" w:rsidR="00A63720">
        <w:rPr>
          <w:rFonts w:ascii="Arial" w:hAnsi="Arial" w:cs="Arial"/>
          <w:lang w:val="es-419"/>
        </w:rPr>
        <w:t xml:space="preserve">La tendencia a hacer proyecciones de ingresos fiscales </w:t>
      </w:r>
      <w:r w:rsidRPr="00B8264E" w:rsidR="002C7BB7">
        <w:rPr>
          <w:rFonts w:ascii="Arial" w:hAnsi="Arial" w:cs="Arial"/>
          <w:lang w:val="es-419"/>
        </w:rPr>
        <w:t>sobre optimistas</w:t>
      </w:r>
      <w:r w:rsidRPr="00B8264E" w:rsidR="00A63720">
        <w:rPr>
          <w:rFonts w:ascii="Arial" w:hAnsi="Arial" w:cs="Arial"/>
          <w:lang w:val="es-419"/>
        </w:rPr>
        <w:t xml:space="preserve"> genera compromisos de gasto que no pueden ser cumplidos y son “drivers”</w:t>
      </w:r>
      <w:r w:rsidRPr="00597A80" w:rsidR="00A63720">
        <w:rPr>
          <w:rFonts w:ascii="Arial" w:hAnsi="Arial" w:cs="Arial"/>
          <w:lang w:val="es-419"/>
        </w:rPr>
        <w:t xml:space="preserve"> de deuda flotante. Por ejemplo, un estudio de rezago presupuestal realizado por el Banco que comprende los periodos 2015-2019, muestra que el rezago presupuestario durante ese periodo fue de un promedio de 8% del presupuesto</w:t>
      </w:r>
      <w:r w:rsidRPr="00597A80" w:rsidR="00A63720">
        <w:rPr>
          <w:rStyle w:val="FootnoteReference"/>
          <w:rFonts w:ascii="Arial" w:hAnsi="Arial" w:cs="Arial"/>
          <w:lang w:val="es-419"/>
        </w:rPr>
        <w:footnoteReference w:id="2"/>
      </w:r>
      <w:r w:rsidRPr="00597A80" w:rsidR="00A63720">
        <w:rPr>
          <w:rFonts w:ascii="Arial" w:hAnsi="Arial" w:cs="Arial"/>
          <w:lang w:val="es-419"/>
        </w:rPr>
        <w:t>. Este rezago presupuestario se concentra en obras y construcciones, y bienes y servicios, las cuales se convirtieron en deuda flotante en 2019. Alrededor del 80% del rezago presupuestal se concentra en vías de</w:t>
      </w:r>
      <w:r w:rsidRPr="00597A80" w:rsidR="00307376">
        <w:rPr>
          <w:rFonts w:ascii="Arial" w:hAnsi="Arial" w:cs="Arial"/>
          <w:lang w:val="es-419"/>
        </w:rPr>
        <w:t xml:space="preserve"> comunicación y edificaciones (Gestión Financiera P</w:t>
      </w:r>
      <w:r w:rsidR="00815D90">
        <w:rPr>
          <w:rFonts w:ascii="Arial" w:hAnsi="Arial" w:cs="Arial"/>
          <w:lang w:val="es-419"/>
        </w:rPr>
        <w:t>ú</w:t>
      </w:r>
      <w:r w:rsidRPr="00597A80" w:rsidR="00307376">
        <w:rPr>
          <w:rFonts w:ascii="Arial" w:hAnsi="Arial" w:cs="Arial"/>
          <w:lang w:val="es-419"/>
        </w:rPr>
        <w:t>blica y el Sistema Presupuestal de Panamá 2019). Es importante notar que la administración que tomó posesión en julio 2019, emitió un bono por US$1</w:t>
      </w:r>
      <w:r w:rsidRPr="00597A80" w:rsidR="00FE0BEA">
        <w:rPr>
          <w:rFonts w:ascii="Arial" w:hAnsi="Arial" w:cs="Arial"/>
          <w:lang w:val="es-419"/>
        </w:rPr>
        <w:t>,</w:t>
      </w:r>
      <w:r w:rsidRPr="00597A80" w:rsidR="00307376">
        <w:rPr>
          <w:rFonts w:ascii="Arial" w:hAnsi="Arial" w:cs="Arial"/>
          <w:lang w:val="es-419"/>
        </w:rPr>
        <w:t>5</w:t>
      </w:r>
      <w:r w:rsidR="00236469">
        <w:rPr>
          <w:rFonts w:ascii="Arial" w:hAnsi="Arial" w:cs="Arial"/>
          <w:lang w:val="es-419"/>
        </w:rPr>
        <w:t> </w:t>
      </w:r>
      <w:r w:rsidRPr="00236469" w:rsidR="00307376">
        <w:rPr>
          <w:rFonts w:ascii="Arial" w:hAnsi="Arial" w:cs="Arial"/>
          <w:lang w:val="es-419"/>
        </w:rPr>
        <w:t>billones para pagar deuda flotante, deudas asociadas a pensiones</w:t>
      </w:r>
      <w:r w:rsidRPr="00236469" w:rsidR="6640F5AC">
        <w:rPr>
          <w:rFonts w:ascii="Arial" w:hAnsi="Arial" w:eastAsia="Arial" w:cs="Arial"/>
          <w:lang w:val="es-ES"/>
        </w:rPr>
        <w:t>.</w:t>
      </w:r>
    </w:p>
    <w:p w:rsidRPr="00557507" w:rsidR="003078D5" w:rsidP="00557507" w:rsidRDefault="00277CBE" w14:paraId="68901CB3" w14:textId="160586E2">
      <w:pPr>
        <w:pStyle w:val="ListParagraph"/>
        <w:numPr>
          <w:ilvl w:val="1"/>
          <w:numId w:val="5"/>
        </w:numPr>
        <w:spacing w:before="120" w:after="120" w:line="240" w:lineRule="auto"/>
        <w:ind w:hanging="540"/>
        <w:contextualSpacing w:val="0"/>
        <w:jc w:val="both"/>
        <w:rPr>
          <w:rFonts w:ascii="Arial" w:hAnsi="Arial" w:eastAsia="Arial" w:cs="Arial"/>
          <w:lang w:val="es-ES"/>
        </w:rPr>
      </w:pPr>
      <w:r w:rsidRPr="00277CBE">
        <w:rPr>
          <w:rFonts w:ascii="Arial" w:hAnsi="Arial" w:cs="Arial"/>
          <w:lang w:val="es-ES"/>
        </w:rPr>
        <w:t>Además</w:t>
      </w:r>
      <w:r>
        <w:rPr>
          <w:rFonts w:ascii="Arial" w:hAnsi="Arial" w:cs="Arial"/>
          <w:lang w:val="es-ES"/>
        </w:rPr>
        <w:t>, el</w:t>
      </w:r>
      <w:r w:rsidRPr="00236469">
        <w:rPr>
          <w:rFonts w:ascii="Arial" w:hAnsi="Arial" w:cs="Arial"/>
          <w:lang w:val="es-419"/>
        </w:rPr>
        <w:t xml:space="preserve"> gasto de inversión pública se asigna de manera inequitativa</w:t>
      </w:r>
      <w:r w:rsidRPr="00236469">
        <w:rPr>
          <w:rStyle w:val="FootnoteReference"/>
          <w:rFonts w:ascii="Arial" w:hAnsi="Arial" w:cs="Arial"/>
          <w:lang w:val="es-419"/>
        </w:rPr>
        <w:footnoteReference w:id="3"/>
      </w:r>
      <w:r w:rsidRPr="00236469">
        <w:rPr>
          <w:rFonts w:ascii="Arial" w:hAnsi="Arial" w:cs="Arial"/>
          <w:lang w:val="es-419"/>
        </w:rPr>
        <w:t>. Las provincias ricas como la Ciudad de Panamá y área metropolitana se benefician más de los recursos de inversión que las provincias pobres. Si bien la desigualdad se ha reducido en este tiempo, lo ha hecho a un ritmo notablemente inferior al de otros países del entorno. Esta elevada desigualdad y su persistencia están estrechamente relacionadas con los fuertes desequilibrios territoriales que existen en el país, aunque, lógicamente, este factor no agota la explicación. Pese al reducido tamaño de Panamá y a carecer de grandes accidentes orográficos, estos desequilibrios territoriales son comparativamente más altos que en el resto de la región. Si comparamos el nivel recibido de inversión por habitante con el ingreso per cápita de cada territorio, lo primero que llama la atención es que existe una relación positiva entre ambas variables, excepto en Darién y la comarca de Guna Yala. Así, en promedio de 2013</w:t>
      </w:r>
      <w:r w:rsidR="00815D90">
        <w:rPr>
          <w:rFonts w:ascii="Arial" w:hAnsi="Arial" w:cs="Arial"/>
          <w:lang w:val="es-419"/>
        </w:rPr>
        <w:noBreakHyphen/>
        <w:t>20</w:t>
      </w:r>
      <w:r w:rsidRPr="00236469">
        <w:rPr>
          <w:rFonts w:ascii="Arial" w:hAnsi="Arial" w:cs="Arial"/>
          <w:lang w:val="es-419"/>
        </w:rPr>
        <w:t xml:space="preserve">17 la provincia de Panamá, la más rica del país, ha recibido un 28% más de inversión per cápita que la media (US$80.00). Por el contrario, la comarca de Ngäbe Buglé, con apenas un 26% de ingreso per cápita respecto al promedio nacional, ha recibido un 70% menos de inversión por habitante. Para Emberá las cifras son 40% y 14%, </w:t>
      </w:r>
      <w:r w:rsidRPr="00236469" w:rsidR="00BD4287">
        <w:rPr>
          <w:rFonts w:ascii="Arial" w:hAnsi="Arial" w:cs="Arial"/>
          <w:lang w:val="es-419"/>
        </w:rPr>
        <w:t>respectivamente</w:t>
      </w:r>
      <w:r w:rsidRPr="00557507" w:rsidR="00BD4287">
        <w:rPr>
          <w:rFonts w:ascii="Arial" w:hAnsi="Arial" w:cs="Arial"/>
          <w:lang w:val="es-419"/>
        </w:rPr>
        <w:t xml:space="preserve"> La</w:t>
      </w:r>
      <w:r w:rsidRPr="00557507" w:rsidR="00726434">
        <w:rPr>
          <w:rFonts w:ascii="Arial" w:hAnsi="Arial" w:cs="Arial"/>
          <w:lang w:val="es-419"/>
        </w:rPr>
        <w:t xml:space="preserve"> priorización basada en selección de inversiones para su incorporación en el Presupuesto General del Estado es un proceso débil desde el punto de vista técnico, pues no depende de los resultados de la evaluación ex ante ni de un análisis del riesgo del proyecto, ya que no son exigibles a pesar de que el marco legal lo establece. Si bien tienden a tener prioridad los proyectos que se encuentran en ejecución, también se observa que proyectos nuevos con importancia política </w:t>
      </w:r>
      <w:r w:rsidRPr="00557507" w:rsidR="00726434">
        <w:rPr>
          <w:rFonts w:ascii="Arial" w:hAnsi="Arial" w:cs="Arial"/>
          <w:lang w:val="es-419"/>
        </w:rPr>
        <w:lastRenderedPageBreak/>
        <w:t>ingresan al presupuesto, reduciendo de esta forma el presupuesto de los proyectos ya iniciados y ralentizando su ejecución. Esto se refleja en gastos corrientes que se etiquetan como gasto de capital; un sesgo expansivo del gasto de inversión (antes del 2017) ya que nuevos proyectos se incorporan sin considerar sus implicaciones futuras o recurrentes (mantenimiento); y planes de inversión preparados de abajo hacia arriba (impulsado por el proceso de selección de proyectos discrecional sin análisis económico-social) y no suficientemente restringidos por los límites de recursos de arriba hacia abajo.</w:t>
      </w:r>
    </w:p>
    <w:p w:rsidR="0095711B" w:rsidP="1D05E568" w:rsidRDefault="007302B2" w14:paraId="19EE7A94" w14:textId="6D1438AE">
      <w:pPr>
        <w:pStyle w:val="ListParagraph"/>
        <w:numPr>
          <w:ilvl w:val="1"/>
          <w:numId w:val="5"/>
        </w:numPr>
        <w:spacing w:before="120" w:after="120" w:line="240" w:lineRule="auto"/>
        <w:ind w:hanging="540"/>
        <w:jc w:val="both"/>
        <w:rPr>
          <w:rFonts w:ascii="Arial" w:hAnsi="Arial" w:eastAsia="Arial" w:cs="Arial"/>
          <w:lang w:val="es-ES"/>
        </w:rPr>
      </w:pPr>
      <w:r w:rsidRPr="007302B2">
        <w:rPr>
          <w:rFonts w:ascii="Arial" w:hAnsi="Arial" w:cs="Arial"/>
          <w:b/>
          <w:bCs/>
          <w:lang w:val="es-419"/>
        </w:rPr>
        <w:t>Alineación estratégica.</w:t>
      </w:r>
      <w:r>
        <w:rPr>
          <w:rFonts w:ascii="Arial" w:hAnsi="Arial" w:cs="Arial"/>
          <w:lang w:val="es-419"/>
        </w:rPr>
        <w:t xml:space="preserve"> </w:t>
      </w:r>
      <w:r w:rsidR="00C8793D">
        <w:rPr>
          <w:rFonts w:ascii="Arial" w:hAnsi="Arial" w:cs="Arial"/>
          <w:lang w:val="es-419"/>
        </w:rPr>
        <w:t xml:space="preserve">Esta CT se alinea con el tema transversal de capacidad institucional y estado de derecho de la </w:t>
      </w:r>
      <w:r w:rsidRPr="00106C2B" w:rsidR="00726434">
        <w:rPr>
          <w:rFonts w:ascii="Arial" w:hAnsi="Arial" w:cs="Arial"/>
          <w:lang w:val="es-419"/>
        </w:rPr>
        <w:t xml:space="preserve">Segunda Actualización de la Estrategia Institucional (AB-3190-2), </w:t>
      </w:r>
      <w:r w:rsidRPr="005717B9" w:rsidR="003727E8">
        <w:rPr>
          <w:rFonts w:ascii="Arial" w:hAnsi="Arial" w:cs="Arial"/>
          <w:lang w:val="es-419"/>
        </w:rPr>
        <w:t xml:space="preserve">mediante el fortalecimiento </w:t>
      </w:r>
      <w:r w:rsidRPr="005717B9" w:rsidR="00425507">
        <w:rPr>
          <w:rFonts w:ascii="Arial" w:hAnsi="Arial" w:cs="Arial"/>
          <w:lang w:val="es-419"/>
        </w:rPr>
        <w:t>de las capacidades institucionales y técnicas del Estado para una mejor gestión fiscal</w:t>
      </w:r>
      <w:r w:rsidR="00AC5F31">
        <w:rPr>
          <w:rFonts w:ascii="Arial" w:hAnsi="Arial" w:cs="Arial"/>
          <w:lang w:val="es-419"/>
        </w:rPr>
        <w:t xml:space="preserve"> en su conjunto, tanto en la recaudación, como en el gasto </w:t>
      </w:r>
      <w:r w:rsidR="005717B9">
        <w:rPr>
          <w:rFonts w:ascii="Arial" w:hAnsi="Arial" w:cs="Arial"/>
          <w:lang w:val="es-419"/>
        </w:rPr>
        <w:t>y en la eficiencia de la inversión pública</w:t>
      </w:r>
      <w:r w:rsidR="00425507">
        <w:rPr>
          <w:rFonts w:ascii="Arial" w:hAnsi="Arial" w:cs="Arial"/>
          <w:lang w:val="es-419"/>
        </w:rPr>
        <w:t xml:space="preserve">; adicionalmente contribuirá al </w:t>
      </w:r>
      <w:r w:rsidRPr="00106C2B" w:rsidR="00726434">
        <w:rPr>
          <w:rFonts w:ascii="Arial" w:hAnsi="Arial" w:cs="Arial"/>
          <w:lang w:val="es-419"/>
        </w:rPr>
        <w:t>Marco de Resultados Corporativos (GN-2727-12)</w:t>
      </w:r>
      <w:r w:rsidR="00664912">
        <w:rPr>
          <w:rFonts w:ascii="Arial" w:hAnsi="Arial" w:cs="Arial"/>
          <w:lang w:val="es-419"/>
        </w:rPr>
        <w:t>; y otros documentos estratégicos relevantes</w:t>
      </w:r>
      <w:r w:rsidR="00506BBC">
        <w:rPr>
          <w:rFonts w:ascii="Arial" w:hAnsi="Arial" w:cs="Arial"/>
          <w:lang w:val="es-419"/>
        </w:rPr>
        <w:t xml:space="preserve">. </w:t>
      </w:r>
      <w:r w:rsidR="00200980">
        <w:rPr>
          <w:rFonts w:ascii="Arial" w:hAnsi="Arial" w:cs="Arial"/>
          <w:lang w:val="es-419"/>
        </w:rPr>
        <w:t xml:space="preserve">Asimismo, </w:t>
      </w:r>
      <w:r w:rsidR="58CB8ACD">
        <w:rPr>
          <w:rFonts w:ascii="Arial" w:hAnsi="Arial" w:cs="Arial"/>
          <w:lang w:val="es-419"/>
        </w:rPr>
        <w:t>la CT</w:t>
      </w:r>
      <w:r w:rsidR="00200980">
        <w:rPr>
          <w:rFonts w:ascii="Arial" w:hAnsi="Arial" w:cs="Arial"/>
          <w:lang w:val="es-419"/>
        </w:rPr>
        <w:t xml:space="preserve"> se alinea con </w:t>
      </w:r>
      <w:r w:rsidR="1211C1FE">
        <w:rPr>
          <w:rFonts w:ascii="Arial" w:hAnsi="Arial" w:cs="Arial"/>
          <w:lang w:val="es-419"/>
        </w:rPr>
        <w:t xml:space="preserve">los objetivos del Área </w:t>
      </w:r>
      <w:r w:rsidR="00200980">
        <w:rPr>
          <w:rFonts w:ascii="Arial" w:hAnsi="Arial" w:cs="Arial"/>
          <w:lang w:val="es-419"/>
        </w:rPr>
        <w:t xml:space="preserve"> </w:t>
      </w:r>
      <w:r w:rsidRPr="00106C2B" w:rsidR="46A02BE5">
        <w:rPr>
          <w:rFonts w:ascii="Arial" w:hAnsi="Arial" w:cs="Arial"/>
          <w:lang w:val="es-419"/>
        </w:rPr>
        <w:t>P</w:t>
      </w:r>
      <w:r w:rsidRPr="00106C2B" w:rsidR="00726434">
        <w:rPr>
          <w:rFonts w:ascii="Arial" w:hAnsi="Arial" w:cs="Arial"/>
          <w:lang w:val="es-419"/>
        </w:rPr>
        <w:t>rioritaria</w:t>
      </w:r>
      <w:r w:rsidRPr="00106C2B" w:rsidR="11E26F8D">
        <w:rPr>
          <w:rFonts w:ascii="Arial" w:hAnsi="Arial" w:cs="Arial"/>
          <w:lang w:val="es-419"/>
        </w:rPr>
        <w:t xml:space="preserve"> 3:</w:t>
      </w:r>
      <w:r w:rsidRPr="00106C2B" w:rsidR="00726434">
        <w:rPr>
          <w:rFonts w:ascii="Arial" w:hAnsi="Arial" w:cs="Arial"/>
          <w:lang w:val="es-419"/>
        </w:rPr>
        <w:t xml:space="preserve">“Instituciones eficaces, eficientes y transparentes” del Programa Estratégico para el Desarrollo Financiado con Capital </w:t>
      </w:r>
      <w:r w:rsidRPr="00BD4287" w:rsidR="00726434">
        <w:rPr>
          <w:rFonts w:ascii="Arial" w:hAnsi="Arial" w:cs="Arial"/>
          <w:lang w:val="es-419"/>
        </w:rPr>
        <w:t>Ordinario (GN-2819-14),</w:t>
      </w:r>
      <w:r w:rsidRPr="00A54FB2" w:rsidR="00A54FB2">
        <w:rPr>
          <w:rFonts w:ascii="Arial" w:hAnsi="Arial" w:cs="Arial"/>
          <w:color w:val="000000"/>
          <w:bdr w:val="none" w:color="auto" w:sz="0" w:space="0" w:frame="1"/>
          <w:lang w:val="es-ES"/>
        </w:rPr>
        <w:t xml:space="preserve"> </w:t>
      </w:r>
      <w:r w:rsidR="006B5E14">
        <w:rPr>
          <w:rFonts w:ascii="Arial" w:hAnsi="Arial" w:cs="Arial"/>
          <w:color w:val="000000"/>
          <w:bdr w:val="none" w:color="auto" w:sz="0" w:space="0" w:frame="1"/>
          <w:lang w:val="es-ES"/>
        </w:rPr>
        <w:t xml:space="preserve">que tiene como resultados esperados: </w:t>
      </w:r>
      <w:r w:rsidRPr="00106C2B" w:rsidR="00726434">
        <w:rPr>
          <w:rFonts w:ascii="Arial" w:hAnsi="Arial" w:cs="Arial"/>
          <w:lang w:val="es-419"/>
        </w:rPr>
        <w:t xml:space="preserve">(i) fortalecer la calidad de instituciones y </w:t>
      </w:r>
      <w:r w:rsidRPr="00106C2B" w:rsidR="3D9198FE">
        <w:rPr>
          <w:rFonts w:ascii="Arial" w:hAnsi="Arial" w:cs="Arial"/>
          <w:lang w:val="es-419"/>
        </w:rPr>
        <w:t>políticas,</w:t>
      </w:r>
      <w:r w:rsidRPr="00106C2B" w:rsidR="00726434">
        <w:rPr>
          <w:rFonts w:ascii="Arial" w:hAnsi="Arial" w:cs="Arial"/>
          <w:lang w:val="es-419"/>
        </w:rPr>
        <w:t xml:space="preserve"> así como la provisión de servicios e implementación de políticas, para mejorar la gestión pública y promover el desarrollo del sector privado; y (</w:t>
      </w:r>
      <w:proofErr w:type="spellStart"/>
      <w:r w:rsidRPr="00106C2B" w:rsidR="00726434">
        <w:rPr>
          <w:rFonts w:ascii="Arial" w:hAnsi="Arial" w:cs="Arial"/>
          <w:lang w:val="es-419"/>
        </w:rPr>
        <w:t>ii</w:t>
      </w:r>
      <w:proofErr w:type="spellEnd"/>
      <w:r w:rsidRPr="00106C2B" w:rsidR="00726434">
        <w:rPr>
          <w:rFonts w:ascii="Arial" w:hAnsi="Arial" w:cs="Arial"/>
          <w:lang w:val="es-419"/>
        </w:rPr>
        <w:t>) apalancar la transformación digital para promover gobiernos más efectivos, eficientes y transparentes, mejores y más equitativas oportunidades para los ciudadanos, y empresas más productivas e innovadoras.</w:t>
      </w:r>
      <w:r w:rsidRPr="6640F5AC" w:rsidR="6640F5AC">
        <w:rPr>
          <w:rFonts w:ascii="Arial" w:hAnsi="Arial" w:eastAsia="Arial" w:cs="Arial"/>
          <w:lang w:val="es-ES"/>
        </w:rPr>
        <w:t xml:space="preserve"> </w:t>
      </w:r>
      <w:r w:rsidRPr="00B30018" w:rsidR="006B5E14">
        <w:rPr>
          <w:rFonts w:ascii="Arial" w:hAnsi="Arial" w:eastAsia="Arial" w:cs="Arial"/>
          <w:lang w:val="es-ES"/>
        </w:rPr>
        <w:t>Igualmente está acorde con la Estrategia de País del grupo BID con Panamá</w:t>
      </w:r>
      <w:r w:rsidR="006B5E14">
        <w:rPr>
          <w:rFonts w:ascii="Arial" w:hAnsi="Arial" w:eastAsia="Arial" w:cs="Arial"/>
          <w:lang w:val="es-ES"/>
        </w:rPr>
        <w:t xml:space="preserve"> 2021-2024 (GN-3055) en los siguientes componentes: </w:t>
      </w:r>
      <w:r w:rsidRPr="00B5423D" w:rsidR="00B5423D">
        <w:rPr>
          <w:rFonts w:ascii="Arial" w:hAnsi="Arial" w:eastAsia="Arial" w:cs="Arial"/>
          <w:lang w:val="es-ES"/>
        </w:rPr>
        <w:t xml:space="preserve">en el componente de </w:t>
      </w:r>
      <w:r w:rsidR="00B5423D">
        <w:rPr>
          <w:rFonts w:ascii="Arial" w:hAnsi="Arial" w:eastAsia="Arial" w:cs="Arial"/>
          <w:lang w:val="es-ES"/>
        </w:rPr>
        <w:t xml:space="preserve">(i) </w:t>
      </w:r>
      <w:r w:rsidRPr="00B5423D" w:rsidR="00B5423D">
        <w:rPr>
          <w:rFonts w:ascii="Arial" w:hAnsi="Arial" w:eastAsia="Arial" w:cs="Arial"/>
          <w:lang w:val="es-ES"/>
        </w:rPr>
        <w:t xml:space="preserve">modernización </w:t>
      </w:r>
      <w:r w:rsidR="006B34E7">
        <w:rPr>
          <w:rFonts w:ascii="Arial" w:hAnsi="Arial" w:eastAsia="Arial" w:cs="Arial"/>
          <w:lang w:val="es-ES"/>
        </w:rPr>
        <w:t xml:space="preserve">de la gestión </w:t>
      </w:r>
      <w:r w:rsidRPr="00B5423D" w:rsidR="006B34E7">
        <w:rPr>
          <w:rFonts w:ascii="Arial" w:hAnsi="Arial" w:eastAsia="Arial" w:cs="Arial"/>
          <w:lang w:val="es-ES"/>
        </w:rPr>
        <w:t>pública</w:t>
      </w:r>
      <w:r w:rsidR="00B5423D">
        <w:rPr>
          <w:rFonts w:ascii="Arial" w:hAnsi="Arial" w:eastAsia="Arial" w:cs="Arial"/>
          <w:lang w:val="es-ES"/>
        </w:rPr>
        <w:t>,</w:t>
      </w:r>
      <w:r w:rsidRPr="00B5423D" w:rsidR="00B5423D">
        <w:rPr>
          <w:rFonts w:ascii="Arial" w:hAnsi="Arial" w:eastAsia="Arial" w:cs="Arial"/>
          <w:lang w:val="es-ES"/>
        </w:rPr>
        <w:t xml:space="preserve"> que se centra tanto en materia de ingresos como de gasto, priorizando el aumento en la efectividad de la administración tributaria y de los órganos de fiscalización</w:t>
      </w:r>
      <w:r w:rsidR="00B5423D">
        <w:rPr>
          <w:rFonts w:ascii="Arial" w:hAnsi="Arial" w:eastAsia="Arial" w:cs="Arial"/>
          <w:lang w:val="es-ES"/>
        </w:rPr>
        <w:t xml:space="preserve">; </w:t>
      </w:r>
      <w:r w:rsidR="00E713E1">
        <w:rPr>
          <w:rFonts w:ascii="Arial" w:hAnsi="Arial" w:eastAsia="Arial" w:cs="Arial"/>
          <w:lang w:val="es-ES"/>
        </w:rPr>
        <w:t xml:space="preserve">y </w:t>
      </w:r>
      <w:r w:rsidR="00B5423D">
        <w:rPr>
          <w:rFonts w:ascii="Arial" w:hAnsi="Arial" w:eastAsia="Arial" w:cs="Arial"/>
          <w:lang w:val="es-ES"/>
        </w:rPr>
        <w:t>(</w:t>
      </w:r>
      <w:proofErr w:type="spellStart"/>
      <w:r w:rsidR="00B5423D">
        <w:rPr>
          <w:rFonts w:ascii="Arial" w:hAnsi="Arial" w:eastAsia="Arial" w:cs="Arial"/>
          <w:lang w:val="es-ES"/>
        </w:rPr>
        <w:t>ii</w:t>
      </w:r>
      <w:proofErr w:type="spellEnd"/>
      <w:r w:rsidR="00B5423D">
        <w:rPr>
          <w:rFonts w:ascii="Arial" w:hAnsi="Arial" w:eastAsia="Arial" w:cs="Arial"/>
          <w:lang w:val="es-ES"/>
        </w:rPr>
        <w:t>)</w:t>
      </w:r>
      <w:r w:rsidRPr="00B5423D" w:rsidR="00B5423D">
        <w:rPr>
          <w:rFonts w:ascii="Arial" w:hAnsi="Arial" w:eastAsia="Arial" w:cs="Arial"/>
          <w:lang w:val="es-ES"/>
        </w:rPr>
        <w:t xml:space="preserve"> la transformación digital de la administración pública en forma confiable</w:t>
      </w:r>
      <w:r w:rsidR="00B5423D">
        <w:rPr>
          <w:rFonts w:ascii="Arial" w:hAnsi="Arial" w:eastAsia="Arial" w:cs="Arial"/>
          <w:lang w:val="es-ES"/>
        </w:rPr>
        <w:t>.</w:t>
      </w:r>
    </w:p>
    <w:p w:rsidRPr="00D97FAD" w:rsidR="00BD4287" w:rsidP="00BD4287" w:rsidRDefault="00BD4287" w14:paraId="3BCF6E56" w14:textId="77777777">
      <w:pPr>
        <w:pStyle w:val="ListParagraph"/>
        <w:spacing w:before="120" w:after="120" w:line="240" w:lineRule="auto"/>
        <w:ind w:left="360"/>
        <w:jc w:val="both"/>
        <w:rPr>
          <w:rFonts w:ascii="Arial" w:hAnsi="Arial" w:eastAsia="Arial" w:cs="Arial"/>
          <w:lang w:val="es-ES"/>
        </w:rPr>
      </w:pPr>
    </w:p>
    <w:p w:rsidRPr="00D97FAD" w:rsidR="0095711B" w:rsidP="6640F5AC" w:rsidRDefault="6640F5AC" w14:paraId="19EE7A95" w14:textId="618C0811">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Descripción de las actividades/componentes y presupuesto </w:t>
      </w:r>
    </w:p>
    <w:p w:rsidRPr="0015166F" w:rsidR="00F6363D" w:rsidP="70B3091E" w:rsidRDefault="00DC0B77" w14:paraId="19EE7A96" w14:textId="257764D3">
      <w:pPr>
        <w:pStyle w:val="ListParagraph"/>
        <w:numPr>
          <w:ilvl w:val="1"/>
          <w:numId w:val="5"/>
        </w:numPr>
        <w:spacing w:before="120" w:after="120" w:line="240" w:lineRule="auto"/>
        <w:ind w:hanging="540"/>
        <w:jc w:val="both"/>
        <w:rPr>
          <w:rFonts w:ascii="Arial" w:hAnsi="Arial" w:eastAsia="Arial" w:cs="Arial"/>
          <w:lang w:val="es-ES"/>
        </w:rPr>
      </w:pPr>
      <w:r w:rsidRPr="00703511">
        <w:rPr>
          <w:rFonts w:ascii="Arial" w:hAnsi="Arial" w:eastAsia="Arial" w:cs="Arial"/>
          <w:b/>
          <w:bCs/>
          <w:lang w:val="es-ES"/>
        </w:rPr>
        <w:t>Componente I</w:t>
      </w:r>
      <w:r w:rsidR="00B11047">
        <w:rPr>
          <w:rFonts w:ascii="Arial" w:hAnsi="Arial" w:eastAsia="Arial" w:cs="Arial"/>
          <w:b/>
          <w:bCs/>
          <w:lang w:val="es-ES"/>
        </w:rPr>
        <w:t>.</w:t>
      </w:r>
      <w:r w:rsidRPr="00703511" w:rsidR="00C91A6A">
        <w:rPr>
          <w:rFonts w:ascii="Arial" w:hAnsi="Arial" w:eastAsia="Arial" w:cs="Arial"/>
          <w:b/>
          <w:bCs/>
          <w:lang w:val="es-ES"/>
        </w:rPr>
        <w:t xml:space="preserve"> Proyecciones de Ingreso y gestión de la ejecución presupuestaria</w:t>
      </w:r>
      <w:r w:rsidR="00B11047">
        <w:rPr>
          <w:rFonts w:ascii="Arial" w:hAnsi="Arial" w:eastAsia="Arial" w:cs="Arial"/>
          <w:b/>
          <w:bCs/>
          <w:lang w:val="es-ES"/>
        </w:rPr>
        <w:t xml:space="preserve"> (US$ </w:t>
      </w:r>
      <w:r w:rsidR="006E33B6">
        <w:rPr>
          <w:rFonts w:ascii="Arial" w:hAnsi="Arial" w:eastAsia="Arial" w:cs="Arial"/>
          <w:b/>
          <w:bCs/>
          <w:lang w:val="es-ES"/>
        </w:rPr>
        <w:t>75.000)</w:t>
      </w:r>
      <w:r w:rsidRPr="00703511" w:rsidR="00C91A6A">
        <w:rPr>
          <w:rFonts w:ascii="Arial" w:hAnsi="Arial" w:eastAsia="Arial" w:cs="Arial"/>
          <w:b/>
          <w:bCs/>
          <w:lang w:val="es-ES"/>
        </w:rPr>
        <w:t>.</w:t>
      </w:r>
      <w:r w:rsidR="00C91A6A">
        <w:rPr>
          <w:rFonts w:ascii="Arial" w:hAnsi="Arial" w:eastAsia="Arial" w:cs="Arial"/>
          <w:lang w:val="es-ES"/>
        </w:rPr>
        <w:t xml:space="preserve"> </w:t>
      </w:r>
      <w:r w:rsidR="00AE6918">
        <w:rPr>
          <w:rFonts w:ascii="Arial" w:hAnsi="Arial" w:eastAsia="Arial" w:cs="Arial"/>
          <w:lang w:val="es-ES"/>
        </w:rPr>
        <w:t xml:space="preserve">El objetivo de este </w:t>
      </w:r>
      <w:r w:rsidR="0010671D">
        <w:rPr>
          <w:rFonts w:ascii="Arial" w:hAnsi="Arial" w:eastAsia="Arial" w:cs="Arial"/>
          <w:lang w:val="es-ES"/>
        </w:rPr>
        <w:t xml:space="preserve">componente es </w:t>
      </w:r>
      <w:r w:rsidR="0010671D">
        <w:rPr>
          <w:rFonts w:ascii="Arial" w:hAnsi="Arial" w:cs="Arial"/>
          <w:lang w:val="es-419"/>
        </w:rPr>
        <w:t xml:space="preserve">la mejora de las </w:t>
      </w:r>
      <w:r w:rsidRPr="003955B3" w:rsidR="00703511">
        <w:rPr>
          <w:rFonts w:ascii="Arial" w:hAnsi="Arial" w:cs="Arial"/>
          <w:lang w:val="es-419"/>
        </w:rPr>
        <w:t>metodologías de proyecciones de ingreso y analítica de datos</w:t>
      </w:r>
      <w:r w:rsidR="00703511">
        <w:rPr>
          <w:rFonts w:ascii="Arial" w:hAnsi="Arial" w:cs="Arial"/>
          <w:lang w:val="es-419"/>
        </w:rPr>
        <w:t xml:space="preserve"> en la Dirección General de Ingresos (DGI)</w:t>
      </w:r>
      <w:r w:rsidR="00BE60F3">
        <w:rPr>
          <w:rFonts w:ascii="Arial" w:hAnsi="Arial" w:cs="Arial"/>
          <w:lang w:val="es-419"/>
        </w:rPr>
        <w:t>. Este componente financiará</w:t>
      </w:r>
      <w:r w:rsidR="00EE1358">
        <w:rPr>
          <w:rFonts w:ascii="Arial" w:hAnsi="Arial" w:cs="Arial"/>
          <w:lang w:val="es-419"/>
        </w:rPr>
        <w:t xml:space="preserve">: (i) </w:t>
      </w:r>
      <w:r w:rsidR="00BE60F3">
        <w:rPr>
          <w:rFonts w:ascii="Arial" w:hAnsi="Arial" w:cs="Arial"/>
          <w:lang w:val="es-419"/>
        </w:rPr>
        <w:t>la actualización</w:t>
      </w:r>
      <w:r w:rsidR="00987BA2">
        <w:rPr>
          <w:rFonts w:ascii="Arial" w:hAnsi="Arial" w:cs="Arial"/>
          <w:lang w:val="es-419"/>
        </w:rPr>
        <w:t xml:space="preserve"> d</w:t>
      </w:r>
      <w:r w:rsidRPr="003955B3" w:rsidR="00703511">
        <w:rPr>
          <w:rFonts w:ascii="Arial" w:hAnsi="Arial" w:cs="Arial"/>
          <w:lang w:val="es-419"/>
        </w:rPr>
        <w:t>el estudio de rezago presupuestario para medir el impacto de la pandemia en la ejecución del gasto e inversión pública</w:t>
      </w:r>
      <w:r w:rsidR="00703511">
        <w:rPr>
          <w:rFonts w:ascii="Arial" w:hAnsi="Arial" w:cs="Arial"/>
          <w:lang w:val="es-419"/>
        </w:rPr>
        <w:t xml:space="preserve">, y los sobrecostos o impagos de compras del estado de tal forma que se pueda estimar </w:t>
      </w:r>
      <w:r w:rsidRPr="003955B3" w:rsidR="00703511">
        <w:rPr>
          <w:rFonts w:ascii="Arial" w:hAnsi="Arial" w:cs="Arial"/>
          <w:lang w:val="es-419"/>
        </w:rPr>
        <w:t>la deuda flotante generada durante la pandemia</w:t>
      </w:r>
      <w:r w:rsidR="00703511">
        <w:rPr>
          <w:rFonts w:ascii="Arial" w:hAnsi="Arial" w:cs="Arial"/>
          <w:lang w:val="es-419"/>
        </w:rPr>
        <w:t xml:space="preserve"> en apoyo a la Dirección de Presupuesto Nacional (DIPRENA); </w:t>
      </w:r>
      <w:r w:rsidR="00EE1358">
        <w:rPr>
          <w:rFonts w:ascii="Arial" w:hAnsi="Arial" w:cs="Arial"/>
          <w:lang w:val="es-419"/>
        </w:rPr>
        <w:t>y (</w:t>
      </w:r>
      <w:proofErr w:type="spellStart"/>
      <w:r w:rsidR="00EE1358">
        <w:rPr>
          <w:rFonts w:ascii="Arial" w:hAnsi="Arial" w:cs="Arial"/>
          <w:lang w:val="es-419"/>
        </w:rPr>
        <w:t>ii</w:t>
      </w:r>
      <w:proofErr w:type="spellEnd"/>
      <w:r w:rsidR="00EE1358">
        <w:rPr>
          <w:rFonts w:ascii="Arial" w:hAnsi="Arial" w:cs="Arial"/>
          <w:lang w:val="es-419"/>
        </w:rPr>
        <w:t>)</w:t>
      </w:r>
      <w:r w:rsidR="00703511">
        <w:rPr>
          <w:rFonts w:ascii="Arial" w:hAnsi="Arial" w:cs="Arial"/>
          <w:lang w:val="es-419"/>
        </w:rPr>
        <w:t xml:space="preserve"> </w:t>
      </w:r>
      <w:r w:rsidR="000106A3">
        <w:rPr>
          <w:rFonts w:ascii="Arial" w:hAnsi="Arial" w:cs="Arial"/>
          <w:lang w:val="es-419"/>
        </w:rPr>
        <w:t xml:space="preserve">la propuesta de soluciones </w:t>
      </w:r>
      <w:r w:rsidR="00703511">
        <w:rPr>
          <w:rFonts w:ascii="Arial" w:hAnsi="Arial" w:cs="Arial"/>
          <w:lang w:val="es-419"/>
        </w:rPr>
        <w:t>sistemáticas que incluyan reformas en la metodología de proyección de ingresos, mejor manejo de la interacción entre presupuesto, tesorería y crédito público</w:t>
      </w:r>
      <w:r w:rsidRPr="003955B3" w:rsidR="00703511">
        <w:rPr>
          <w:rFonts w:ascii="Arial" w:hAnsi="Arial" w:cs="Arial"/>
          <w:lang w:val="es-419"/>
        </w:rPr>
        <w:t xml:space="preserve">. </w:t>
      </w:r>
    </w:p>
    <w:p w:rsidRPr="00D97FAD" w:rsidR="0015166F" w:rsidP="0015166F" w:rsidRDefault="0015166F" w14:paraId="1E813D00" w14:textId="77777777">
      <w:pPr>
        <w:pStyle w:val="ListParagraph"/>
        <w:spacing w:before="120" w:after="120" w:line="240" w:lineRule="auto"/>
        <w:ind w:left="360"/>
        <w:jc w:val="both"/>
        <w:rPr>
          <w:rFonts w:ascii="Arial" w:hAnsi="Arial" w:eastAsia="Arial" w:cs="Arial"/>
          <w:lang w:val="es-ES"/>
        </w:rPr>
      </w:pPr>
    </w:p>
    <w:p w:rsidR="001C18FD" w:rsidP="70B3091E" w:rsidRDefault="00A36510" w14:paraId="19EE7A97" w14:textId="44B783FF">
      <w:pPr>
        <w:pStyle w:val="ListParagraph"/>
        <w:numPr>
          <w:ilvl w:val="1"/>
          <w:numId w:val="5"/>
        </w:numPr>
        <w:spacing w:before="120" w:after="120" w:line="240" w:lineRule="auto"/>
        <w:ind w:hanging="540"/>
        <w:jc w:val="both"/>
        <w:rPr>
          <w:rFonts w:ascii="Arial" w:hAnsi="Arial" w:cs="Arial"/>
          <w:lang w:val="es-419"/>
        </w:rPr>
      </w:pPr>
      <w:r w:rsidRPr="006466BF">
        <w:rPr>
          <w:rFonts w:ascii="Arial" w:hAnsi="Arial" w:eastAsia="Arial" w:cs="Arial"/>
          <w:b/>
          <w:bCs/>
          <w:lang w:val="es-ES"/>
        </w:rPr>
        <w:t>Componente II. Modernización de la gestión de inversión pública (US$ 75.00</w:t>
      </w:r>
      <w:r w:rsidRPr="006466BF" w:rsidR="00D96781">
        <w:rPr>
          <w:rFonts w:ascii="Arial" w:hAnsi="Arial" w:eastAsia="Arial" w:cs="Arial"/>
          <w:b/>
          <w:bCs/>
          <w:lang w:val="es-ES"/>
        </w:rPr>
        <w:t>0)</w:t>
      </w:r>
      <w:r w:rsidRPr="006466BF" w:rsidR="006466BF">
        <w:rPr>
          <w:rFonts w:ascii="Arial" w:hAnsi="Arial" w:eastAsia="Arial" w:cs="Arial"/>
          <w:b/>
          <w:bCs/>
          <w:lang w:val="es-ES"/>
        </w:rPr>
        <w:t>.</w:t>
      </w:r>
      <w:r w:rsidR="00D96781">
        <w:rPr>
          <w:rFonts w:ascii="Arial" w:hAnsi="Arial" w:eastAsia="Arial" w:cs="Arial"/>
          <w:lang w:val="es-ES"/>
        </w:rPr>
        <w:t xml:space="preserve"> </w:t>
      </w:r>
      <w:r w:rsidR="001A76D5">
        <w:rPr>
          <w:rFonts w:ascii="Arial" w:hAnsi="Arial" w:eastAsia="Arial" w:cs="Arial"/>
          <w:lang w:val="es-ES"/>
        </w:rPr>
        <w:t>El objetivo de este componente es</w:t>
      </w:r>
      <w:r w:rsidR="00882E66">
        <w:rPr>
          <w:rFonts w:ascii="Arial" w:hAnsi="Arial" w:eastAsia="Arial" w:cs="Arial"/>
          <w:lang w:val="es-ES"/>
        </w:rPr>
        <w:t xml:space="preserve"> apoyar la modernización del sistema de inversión pública</w:t>
      </w:r>
      <w:r w:rsidR="006816EC">
        <w:rPr>
          <w:rFonts w:ascii="Arial" w:hAnsi="Arial" w:eastAsia="Arial" w:cs="Arial"/>
          <w:lang w:val="es-ES"/>
        </w:rPr>
        <w:t xml:space="preserve"> </w:t>
      </w:r>
      <w:r w:rsidR="006776CD">
        <w:rPr>
          <w:rFonts w:ascii="Arial" w:hAnsi="Arial" w:eastAsia="Arial" w:cs="Arial"/>
          <w:lang w:val="es-ES"/>
        </w:rPr>
        <w:t xml:space="preserve">para </w:t>
      </w:r>
      <w:r w:rsidR="006816EC">
        <w:rPr>
          <w:rFonts w:ascii="Arial" w:hAnsi="Arial" w:cs="Arial"/>
          <w:lang w:val="es-419"/>
        </w:rPr>
        <w:t xml:space="preserve">generar indicadores y criterios de selección de inversiones públicas que permitan cerrar las brechas de inversión básica y social en el territorio afuera de la cuenca de la ciudad de </w:t>
      </w:r>
      <w:r w:rsidR="00ED78FB">
        <w:rPr>
          <w:rFonts w:ascii="Arial" w:hAnsi="Arial" w:cs="Arial"/>
          <w:lang w:val="es-419"/>
        </w:rPr>
        <w:t>Panamá</w:t>
      </w:r>
      <w:r w:rsidR="006816EC">
        <w:rPr>
          <w:rFonts w:ascii="Arial" w:hAnsi="Arial" w:cs="Arial"/>
          <w:lang w:val="es-419"/>
        </w:rPr>
        <w:t xml:space="preserve"> y el Canal. </w:t>
      </w:r>
      <w:r w:rsidR="00A31B0E">
        <w:rPr>
          <w:rFonts w:ascii="Arial" w:hAnsi="Arial" w:cs="Arial"/>
          <w:lang w:val="es-419"/>
        </w:rPr>
        <w:t>La experiencia en otros países en la región ha demostrado que</w:t>
      </w:r>
      <w:r w:rsidR="00FD6BB4">
        <w:rPr>
          <w:rFonts w:ascii="Arial" w:hAnsi="Arial" w:cs="Arial"/>
          <w:lang w:val="es-419"/>
        </w:rPr>
        <w:t xml:space="preserve"> </w:t>
      </w:r>
      <w:r w:rsidR="00A31B0E">
        <w:rPr>
          <w:rFonts w:ascii="Arial" w:hAnsi="Arial" w:cs="Arial"/>
          <w:lang w:val="es-419"/>
        </w:rPr>
        <w:t xml:space="preserve">las operaciones de inversión pública </w:t>
      </w:r>
      <w:r w:rsidR="00AA2146">
        <w:rPr>
          <w:rFonts w:ascii="Arial" w:hAnsi="Arial" w:cs="Arial"/>
          <w:lang w:val="es-419"/>
        </w:rPr>
        <w:t xml:space="preserve">necesitan </w:t>
      </w:r>
      <w:r w:rsidR="00242FC5">
        <w:rPr>
          <w:rFonts w:ascii="Arial" w:hAnsi="Arial" w:cs="Arial"/>
          <w:lang w:val="es-419"/>
        </w:rPr>
        <w:t>apoyarse en</w:t>
      </w:r>
      <w:r w:rsidR="00AA2146">
        <w:rPr>
          <w:rFonts w:ascii="Arial" w:hAnsi="Arial" w:cs="Arial"/>
          <w:lang w:val="es-419"/>
        </w:rPr>
        <w:t xml:space="preserve"> </w:t>
      </w:r>
      <w:r w:rsidR="00FD6BB4">
        <w:rPr>
          <w:rFonts w:ascii="Arial" w:hAnsi="Arial" w:cs="Arial"/>
          <w:lang w:val="es-419"/>
        </w:rPr>
        <w:t xml:space="preserve">evidencia </w:t>
      </w:r>
      <w:r w:rsidR="00242FC5">
        <w:rPr>
          <w:rFonts w:ascii="Arial" w:hAnsi="Arial" w:cs="Arial"/>
          <w:lang w:val="es-419"/>
        </w:rPr>
        <w:t xml:space="preserve">y en </w:t>
      </w:r>
      <w:r w:rsidR="00AA2146">
        <w:rPr>
          <w:rFonts w:ascii="Arial" w:hAnsi="Arial" w:cs="Arial"/>
          <w:lang w:val="es-419"/>
        </w:rPr>
        <w:t>políticas públicas para ser eficientes</w:t>
      </w:r>
      <w:r w:rsidR="00AB4F63">
        <w:rPr>
          <w:rFonts w:ascii="Arial" w:hAnsi="Arial" w:cs="Arial"/>
          <w:lang w:val="es-419"/>
        </w:rPr>
        <w:t xml:space="preserve"> y sostenibles en el tiempo</w:t>
      </w:r>
      <w:r w:rsidR="00242FC5">
        <w:rPr>
          <w:rFonts w:ascii="Arial" w:hAnsi="Arial" w:cs="Arial"/>
          <w:lang w:val="es-419"/>
        </w:rPr>
        <w:t xml:space="preserve">. </w:t>
      </w:r>
      <w:r w:rsidR="00E749B4">
        <w:rPr>
          <w:rFonts w:ascii="Arial" w:hAnsi="Arial" w:cs="Arial"/>
          <w:lang w:val="es-419"/>
        </w:rPr>
        <w:t>De igual manera la ausencia de una tasa social de descuento</w:t>
      </w:r>
      <w:r w:rsidR="00413695">
        <w:rPr>
          <w:rFonts w:ascii="Arial" w:hAnsi="Arial" w:cs="Arial"/>
          <w:lang w:val="es-419"/>
        </w:rPr>
        <w:t xml:space="preserve">, </w:t>
      </w:r>
      <w:r w:rsidR="00E749B4">
        <w:rPr>
          <w:rFonts w:ascii="Arial" w:hAnsi="Arial" w:cs="Arial"/>
          <w:lang w:val="es-419"/>
        </w:rPr>
        <w:t xml:space="preserve">en el cálculo </w:t>
      </w:r>
      <w:r w:rsidRPr="00F06777" w:rsidR="00E749B4">
        <w:rPr>
          <w:rFonts w:ascii="Arial" w:hAnsi="Arial" w:cs="Arial"/>
          <w:lang w:val="es-419"/>
        </w:rPr>
        <w:t>costo</w:t>
      </w:r>
      <w:r w:rsidRPr="00F06777" w:rsidR="00F06777">
        <w:rPr>
          <w:rFonts w:ascii="Arial" w:hAnsi="Arial" w:cs="Arial"/>
          <w:lang w:val="es-419"/>
        </w:rPr>
        <w:noBreakHyphen/>
      </w:r>
      <w:r w:rsidRPr="00F06777" w:rsidR="00E749B4">
        <w:rPr>
          <w:rFonts w:ascii="Arial" w:hAnsi="Arial" w:cs="Arial"/>
          <w:lang w:val="es-419"/>
        </w:rPr>
        <w:t>beneficio</w:t>
      </w:r>
      <w:r w:rsidR="00E749B4">
        <w:rPr>
          <w:rFonts w:ascii="Arial" w:hAnsi="Arial" w:cs="Arial"/>
          <w:lang w:val="es-419"/>
        </w:rPr>
        <w:t xml:space="preserve"> de las inversiones pública</w:t>
      </w:r>
      <w:r w:rsidR="00413695">
        <w:rPr>
          <w:rFonts w:ascii="Arial" w:hAnsi="Arial" w:cs="Arial"/>
          <w:lang w:val="es-419"/>
        </w:rPr>
        <w:t>s,</w:t>
      </w:r>
      <w:r w:rsidR="00E749B4">
        <w:rPr>
          <w:rFonts w:ascii="Arial" w:hAnsi="Arial" w:cs="Arial"/>
          <w:lang w:val="es-419"/>
        </w:rPr>
        <w:t xml:space="preserve"> tienen un impacto en la selección óptima </w:t>
      </w:r>
      <w:r w:rsidR="00E749B4">
        <w:rPr>
          <w:rFonts w:ascii="Arial" w:hAnsi="Arial" w:cs="Arial"/>
          <w:lang w:val="es-419"/>
        </w:rPr>
        <w:lastRenderedPageBreak/>
        <w:t xml:space="preserve">de las inversiones públicas y en el fortalecimiento de las metodologías de evaluación de grandes proyectos. </w:t>
      </w:r>
      <w:r w:rsidR="005A4FE5">
        <w:rPr>
          <w:rFonts w:ascii="Arial" w:hAnsi="Arial" w:cs="Arial"/>
          <w:lang w:val="es-419"/>
        </w:rPr>
        <w:t>Este componente financiará: (i)</w:t>
      </w:r>
      <w:r w:rsidR="001A76D5">
        <w:rPr>
          <w:rFonts w:ascii="Arial" w:hAnsi="Arial" w:eastAsia="Arial" w:cs="Arial"/>
          <w:lang w:val="es-ES"/>
        </w:rPr>
        <w:t xml:space="preserve"> </w:t>
      </w:r>
      <w:r w:rsidRPr="1D05E568" w:rsidR="3FBE8AF5">
        <w:rPr>
          <w:rFonts w:ascii="Arial" w:hAnsi="Arial" w:eastAsia="Arial" w:cs="Arial"/>
          <w:lang w:val="es-ES"/>
        </w:rPr>
        <w:t xml:space="preserve">consultoría para </w:t>
      </w:r>
      <w:r w:rsidR="001A76D5">
        <w:rPr>
          <w:rFonts w:ascii="Arial" w:hAnsi="Arial" w:eastAsia="Arial" w:cs="Arial"/>
          <w:lang w:val="es-ES"/>
        </w:rPr>
        <w:t xml:space="preserve">el </w:t>
      </w:r>
      <w:r w:rsidRPr="003955B3" w:rsidR="00ED78FB">
        <w:rPr>
          <w:rFonts w:ascii="Arial" w:hAnsi="Arial" w:cs="Arial"/>
          <w:lang w:val="es-419"/>
        </w:rPr>
        <w:t>estudio</w:t>
      </w:r>
      <w:r w:rsidRPr="003955B3" w:rsidR="006466BF">
        <w:rPr>
          <w:rFonts w:ascii="Arial" w:hAnsi="Arial" w:cs="Arial"/>
          <w:lang w:val="es-419"/>
        </w:rPr>
        <w:t xml:space="preserve"> de brechas de inversión territorial</w:t>
      </w:r>
      <w:r w:rsidR="005A4FE5">
        <w:rPr>
          <w:rFonts w:ascii="Arial" w:hAnsi="Arial" w:cs="Arial"/>
          <w:lang w:val="es-419"/>
        </w:rPr>
        <w:t>; y el (</w:t>
      </w:r>
      <w:proofErr w:type="spellStart"/>
      <w:r w:rsidR="005A4FE5">
        <w:rPr>
          <w:rFonts w:ascii="Arial" w:hAnsi="Arial" w:cs="Arial"/>
          <w:lang w:val="es-419"/>
        </w:rPr>
        <w:t>ii</w:t>
      </w:r>
      <w:proofErr w:type="spellEnd"/>
      <w:r w:rsidR="00ED78FB">
        <w:rPr>
          <w:rFonts w:ascii="Arial" w:hAnsi="Arial" w:cs="Arial"/>
          <w:lang w:val="es-419"/>
        </w:rPr>
        <w:t xml:space="preserve">) </w:t>
      </w:r>
      <w:r w:rsidRPr="1D05E568" w:rsidR="04B094AC">
        <w:rPr>
          <w:rFonts w:ascii="Arial" w:hAnsi="Arial" w:cs="Arial"/>
          <w:lang w:val="es-419"/>
        </w:rPr>
        <w:t xml:space="preserve">consultoría para </w:t>
      </w:r>
      <w:r w:rsidR="00ED78FB">
        <w:rPr>
          <w:rFonts w:ascii="Arial" w:hAnsi="Arial" w:cs="Arial"/>
          <w:lang w:val="es-419"/>
        </w:rPr>
        <w:t>la</w:t>
      </w:r>
      <w:r w:rsidR="006B1180">
        <w:rPr>
          <w:rFonts w:ascii="Arial" w:hAnsi="Arial" w:cs="Arial"/>
          <w:lang w:val="es-419"/>
        </w:rPr>
        <w:t xml:space="preserve"> creación de una </w:t>
      </w:r>
      <w:r w:rsidRPr="003955B3" w:rsidR="006466BF">
        <w:rPr>
          <w:rFonts w:ascii="Arial" w:hAnsi="Arial" w:cs="Arial"/>
          <w:lang w:val="es-419"/>
        </w:rPr>
        <w:t xml:space="preserve">metodología </w:t>
      </w:r>
      <w:r w:rsidRPr="1D05E568" w:rsidR="0445D469">
        <w:rPr>
          <w:rFonts w:ascii="Arial" w:hAnsi="Arial" w:cs="Arial"/>
          <w:lang w:val="es-419"/>
        </w:rPr>
        <w:t>que</w:t>
      </w:r>
      <w:r w:rsidRPr="1D05E568" w:rsidR="006466BF">
        <w:rPr>
          <w:rFonts w:ascii="Arial" w:hAnsi="Arial" w:cs="Arial"/>
          <w:lang w:val="es-419"/>
        </w:rPr>
        <w:t xml:space="preserve"> determin</w:t>
      </w:r>
      <w:r w:rsidRPr="1D05E568" w:rsidR="34501155">
        <w:rPr>
          <w:rFonts w:ascii="Arial" w:hAnsi="Arial" w:cs="Arial"/>
          <w:lang w:val="es-419"/>
        </w:rPr>
        <w:t>e</w:t>
      </w:r>
      <w:r w:rsidRPr="1D05E568" w:rsidR="006466BF">
        <w:rPr>
          <w:rFonts w:ascii="Arial" w:hAnsi="Arial" w:cs="Arial"/>
          <w:lang w:val="es-419"/>
        </w:rPr>
        <w:t>/actuali</w:t>
      </w:r>
      <w:r w:rsidRPr="1D05E568" w:rsidR="53808095">
        <w:rPr>
          <w:rFonts w:ascii="Arial" w:hAnsi="Arial" w:cs="Arial"/>
          <w:lang w:val="es-419"/>
        </w:rPr>
        <w:t>ce</w:t>
      </w:r>
      <w:r w:rsidRPr="003955B3" w:rsidR="006466BF">
        <w:rPr>
          <w:rFonts w:ascii="Arial" w:hAnsi="Arial" w:cs="Arial"/>
          <w:lang w:val="es-419"/>
        </w:rPr>
        <w:t xml:space="preserve"> la tasa social de descuento a ser utilizado</w:t>
      </w:r>
      <w:r w:rsidR="005A4FE5">
        <w:rPr>
          <w:rFonts w:ascii="Arial" w:hAnsi="Arial" w:cs="Arial"/>
          <w:lang w:val="es-419"/>
        </w:rPr>
        <w:t>.</w:t>
      </w:r>
    </w:p>
    <w:p w:rsidRPr="00ED78FB" w:rsidR="0015166F" w:rsidP="0015166F" w:rsidRDefault="0015166F" w14:paraId="2A8AD4DD" w14:textId="77777777">
      <w:pPr>
        <w:pStyle w:val="ListParagraph"/>
        <w:spacing w:before="120" w:after="120" w:line="240" w:lineRule="auto"/>
        <w:ind w:left="360"/>
        <w:jc w:val="both"/>
        <w:rPr>
          <w:rFonts w:ascii="Arial" w:hAnsi="Arial" w:cs="Arial"/>
          <w:lang w:val="es-419"/>
        </w:rPr>
      </w:pPr>
    </w:p>
    <w:p w:rsidRPr="00FA3790" w:rsidR="00ED78FB" w:rsidP="70B3091E" w:rsidRDefault="00ED78FB" w14:paraId="08ECC3DE" w14:textId="5BB8DBC7">
      <w:pPr>
        <w:pStyle w:val="ListParagraph"/>
        <w:numPr>
          <w:ilvl w:val="1"/>
          <w:numId w:val="5"/>
        </w:numPr>
        <w:spacing w:before="120" w:after="120" w:line="240" w:lineRule="auto"/>
        <w:ind w:hanging="540"/>
        <w:jc w:val="both"/>
        <w:rPr>
          <w:rFonts w:ascii="Arial" w:hAnsi="Arial" w:eastAsia="Arial" w:cs="Arial"/>
          <w:lang w:val="es-ES"/>
        </w:rPr>
      </w:pPr>
      <w:r>
        <w:rPr>
          <w:rFonts w:ascii="Arial" w:hAnsi="Arial" w:eastAsia="Arial" w:cs="Arial"/>
          <w:b/>
          <w:bCs/>
          <w:lang w:val="es-ES"/>
        </w:rPr>
        <w:t>Componente III. Modernización digital</w:t>
      </w:r>
      <w:r w:rsidR="00A82D31">
        <w:rPr>
          <w:rFonts w:ascii="Arial" w:hAnsi="Arial" w:eastAsia="Arial" w:cs="Arial"/>
          <w:b/>
          <w:bCs/>
          <w:lang w:val="es-ES"/>
        </w:rPr>
        <w:t xml:space="preserve"> (US$40</w:t>
      </w:r>
      <w:r w:rsidR="00855CFA">
        <w:rPr>
          <w:rFonts w:ascii="Arial" w:hAnsi="Arial" w:eastAsia="Arial" w:cs="Arial"/>
          <w:b/>
          <w:bCs/>
          <w:lang w:val="es-ES"/>
        </w:rPr>
        <w:t>.</w:t>
      </w:r>
      <w:r w:rsidR="00A82D31">
        <w:rPr>
          <w:rFonts w:ascii="Arial" w:hAnsi="Arial" w:eastAsia="Arial" w:cs="Arial"/>
          <w:b/>
          <w:bCs/>
          <w:lang w:val="es-ES"/>
        </w:rPr>
        <w:t>000).</w:t>
      </w:r>
      <w:r w:rsidR="00006E58">
        <w:rPr>
          <w:rFonts w:ascii="Arial" w:hAnsi="Arial" w:eastAsia="Arial" w:cs="Arial"/>
          <w:b/>
          <w:bCs/>
          <w:lang w:val="es-ES"/>
        </w:rPr>
        <w:t xml:space="preserve"> </w:t>
      </w:r>
      <w:r w:rsidRPr="00006E58" w:rsidR="00006E58">
        <w:rPr>
          <w:rFonts w:ascii="Arial" w:hAnsi="Arial" w:eastAsia="Arial" w:cs="Arial"/>
          <w:lang w:val="es-ES"/>
        </w:rPr>
        <w:t xml:space="preserve">El objetivo de </w:t>
      </w:r>
      <w:r w:rsidRPr="00006E58" w:rsidR="00E713E1">
        <w:rPr>
          <w:rFonts w:ascii="Arial" w:hAnsi="Arial" w:eastAsia="Arial" w:cs="Arial"/>
          <w:lang w:val="es-ES"/>
        </w:rPr>
        <w:t>este</w:t>
      </w:r>
      <w:r w:rsidR="00E713E1">
        <w:rPr>
          <w:rFonts w:ascii="Arial" w:hAnsi="Arial" w:eastAsia="Arial" w:cs="Arial"/>
          <w:b/>
          <w:bCs/>
          <w:lang w:val="es-ES"/>
        </w:rPr>
        <w:t xml:space="preserve"> </w:t>
      </w:r>
      <w:r w:rsidRPr="00BA70B7" w:rsidR="00E713E1">
        <w:rPr>
          <w:rFonts w:ascii="Arial" w:hAnsi="Arial" w:cs="Arial"/>
          <w:bCs/>
          <w:lang w:val="es-419"/>
        </w:rPr>
        <w:t>componente</w:t>
      </w:r>
      <w:r w:rsidRPr="00BA70B7" w:rsidR="00006E58">
        <w:rPr>
          <w:rFonts w:ascii="Arial" w:hAnsi="Arial" w:cs="Arial"/>
          <w:bCs/>
          <w:lang w:val="es-419"/>
        </w:rPr>
        <w:t xml:space="preserve"> </w:t>
      </w:r>
      <w:r w:rsidR="00FD092B">
        <w:rPr>
          <w:rFonts w:ascii="Arial" w:hAnsi="Arial" w:cs="Arial"/>
          <w:bCs/>
          <w:lang w:val="es-419"/>
        </w:rPr>
        <w:t>es</w:t>
      </w:r>
      <w:r w:rsidR="006338BC">
        <w:rPr>
          <w:rFonts w:ascii="Arial" w:hAnsi="Arial" w:cs="Arial"/>
          <w:bCs/>
          <w:lang w:val="es-419"/>
        </w:rPr>
        <w:t xml:space="preserve"> </w:t>
      </w:r>
      <w:r w:rsidR="008A1E00">
        <w:rPr>
          <w:rFonts w:ascii="Arial" w:hAnsi="Arial" w:cs="Arial"/>
          <w:bCs/>
          <w:lang w:val="es-419"/>
        </w:rPr>
        <w:t>la mejora de la eficiencia del</w:t>
      </w:r>
      <w:r w:rsidR="00D2198A">
        <w:rPr>
          <w:rFonts w:ascii="Arial" w:hAnsi="Arial" w:cs="Arial"/>
          <w:bCs/>
          <w:lang w:val="es-419"/>
        </w:rPr>
        <w:t xml:space="preserve"> sistema</w:t>
      </w:r>
      <w:r w:rsidR="00EF5814">
        <w:rPr>
          <w:rFonts w:ascii="Arial" w:hAnsi="Arial" w:cs="Arial"/>
          <w:bCs/>
          <w:lang w:val="es-419"/>
        </w:rPr>
        <w:t xml:space="preserve"> de gestión digital</w:t>
      </w:r>
      <w:r w:rsidR="00D2198A">
        <w:rPr>
          <w:rFonts w:ascii="Arial" w:hAnsi="Arial" w:cs="Arial"/>
          <w:bCs/>
          <w:lang w:val="es-419"/>
        </w:rPr>
        <w:t xml:space="preserve"> d</w:t>
      </w:r>
      <w:r w:rsidR="00EF5814">
        <w:rPr>
          <w:rFonts w:ascii="Arial" w:hAnsi="Arial" w:cs="Arial"/>
          <w:bCs/>
          <w:lang w:val="es-419"/>
        </w:rPr>
        <w:t xml:space="preserve">e </w:t>
      </w:r>
      <w:r w:rsidR="00D2198A">
        <w:rPr>
          <w:rFonts w:ascii="Arial" w:hAnsi="Arial" w:cs="Arial"/>
          <w:bCs/>
          <w:lang w:val="es-419"/>
        </w:rPr>
        <w:t xml:space="preserve">la inversión pública en </w:t>
      </w:r>
      <w:r w:rsidR="00B30018">
        <w:rPr>
          <w:rFonts w:ascii="Arial" w:hAnsi="Arial" w:cs="Arial"/>
          <w:bCs/>
          <w:lang w:val="es-419"/>
        </w:rPr>
        <w:t>Panamá y</w:t>
      </w:r>
      <w:r w:rsidR="00C7321D">
        <w:rPr>
          <w:rFonts w:ascii="Arial" w:hAnsi="Arial" w:cs="Arial"/>
          <w:bCs/>
          <w:lang w:val="es-419"/>
        </w:rPr>
        <w:t xml:space="preserve"> apoyar el modelo conceptual </w:t>
      </w:r>
      <w:r w:rsidR="00A121C7">
        <w:rPr>
          <w:rFonts w:ascii="Arial" w:hAnsi="Arial" w:cs="Arial"/>
          <w:bCs/>
          <w:lang w:val="es-419"/>
        </w:rPr>
        <w:t xml:space="preserve">del Ecosistema Fiscal Inteligente a ser desarrollado en el </w:t>
      </w:r>
      <w:r w:rsidR="00421F3D">
        <w:rPr>
          <w:rFonts w:ascii="Arial" w:hAnsi="Arial" w:cs="Arial"/>
          <w:bCs/>
          <w:lang w:val="es-419"/>
        </w:rPr>
        <w:t>MEF, a través de la operación PN-L1172</w:t>
      </w:r>
      <w:r w:rsidRPr="70B3091E" w:rsidR="1632C248">
        <w:rPr>
          <w:rFonts w:ascii="Arial" w:hAnsi="Arial" w:cs="Arial"/>
          <w:lang w:val="es-419"/>
        </w:rPr>
        <w:t>.</w:t>
      </w:r>
      <w:r w:rsidR="009B45F2">
        <w:rPr>
          <w:rFonts w:ascii="Arial" w:hAnsi="Arial" w:cs="Arial"/>
          <w:bCs/>
          <w:lang w:val="es-419"/>
        </w:rPr>
        <w:t xml:space="preserve"> Para ello el </w:t>
      </w:r>
      <w:r w:rsidR="00D32ACA">
        <w:rPr>
          <w:rFonts w:ascii="Arial" w:hAnsi="Arial" w:cs="Arial"/>
          <w:bCs/>
          <w:lang w:val="es-419"/>
        </w:rPr>
        <w:t xml:space="preserve">componente financiará: (i) </w:t>
      </w:r>
      <w:r w:rsidRPr="1D05E568" w:rsidR="2E2AE23E">
        <w:rPr>
          <w:rFonts w:ascii="Arial" w:hAnsi="Arial" w:cs="Arial"/>
          <w:lang w:val="es-419"/>
        </w:rPr>
        <w:t xml:space="preserve">consultoría para el </w:t>
      </w:r>
      <w:r w:rsidR="0030337B">
        <w:rPr>
          <w:rFonts w:ascii="Arial" w:hAnsi="Arial" w:cs="Arial"/>
          <w:bCs/>
          <w:lang w:val="es-419"/>
        </w:rPr>
        <w:t>análisis de</w:t>
      </w:r>
      <w:r w:rsidR="000719C6">
        <w:rPr>
          <w:rFonts w:ascii="Arial" w:hAnsi="Arial" w:cs="Arial"/>
          <w:bCs/>
          <w:lang w:val="es-419"/>
        </w:rPr>
        <w:t>l estado actual del sistema de gestión de la inversión pública en Panamá: y (</w:t>
      </w:r>
      <w:proofErr w:type="spellStart"/>
      <w:r w:rsidR="000719C6">
        <w:rPr>
          <w:rFonts w:ascii="Arial" w:hAnsi="Arial" w:cs="Arial"/>
          <w:bCs/>
          <w:lang w:val="es-419"/>
        </w:rPr>
        <w:t>ii</w:t>
      </w:r>
      <w:proofErr w:type="spellEnd"/>
      <w:r w:rsidR="000719C6">
        <w:rPr>
          <w:rFonts w:ascii="Arial" w:hAnsi="Arial" w:cs="Arial"/>
          <w:bCs/>
          <w:lang w:val="es-419"/>
        </w:rPr>
        <w:t xml:space="preserve">) </w:t>
      </w:r>
      <w:r w:rsidRPr="1D05E568" w:rsidR="33DA0006">
        <w:rPr>
          <w:rFonts w:ascii="Arial" w:hAnsi="Arial" w:cs="Arial"/>
          <w:lang w:val="es-419"/>
        </w:rPr>
        <w:t xml:space="preserve">consultoría para el </w:t>
      </w:r>
      <w:r w:rsidR="000719C6">
        <w:rPr>
          <w:rFonts w:ascii="Arial" w:hAnsi="Arial" w:cs="Arial"/>
          <w:bCs/>
          <w:lang w:val="es-419"/>
        </w:rPr>
        <w:t>d</w:t>
      </w:r>
      <w:r w:rsidR="002D0201">
        <w:rPr>
          <w:rFonts w:ascii="Arial" w:hAnsi="Arial" w:cs="Arial"/>
          <w:bCs/>
          <w:lang w:val="es-419"/>
        </w:rPr>
        <w:t xml:space="preserve">iseño de </w:t>
      </w:r>
      <w:r w:rsidRPr="1D05E568" w:rsidR="63984701">
        <w:rPr>
          <w:rFonts w:ascii="Arial" w:hAnsi="Arial" w:cs="Arial"/>
          <w:lang w:val="es-419"/>
        </w:rPr>
        <w:t xml:space="preserve">una </w:t>
      </w:r>
      <w:r w:rsidR="002D0201">
        <w:rPr>
          <w:rFonts w:ascii="Arial" w:hAnsi="Arial" w:cs="Arial"/>
          <w:bCs/>
          <w:lang w:val="es-419"/>
        </w:rPr>
        <w:t>propuesta de modernización digital para gestionar el ciclo de inversión pública en Panamá</w:t>
      </w:r>
      <w:r w:rsidR="00FA3790">
        <w:rPr>
          <w:rFonts w:ascii="Arial" w:hAnsi="Arial" w:cs="Arial"/>
          <w:bCs/>
          <w:lang w:val="es-419"/>
        </w:rPr>
        <w:t xml:space="preserve">. </w:t>
      </w:r>
    </w:p>
    <w:p w:rsidRPr="00A74C19" w:rsidR="00FA3790" w:rsidP="00FA3790" w:rsidRDefault="00FA3790" w14:paraId="07243FDE" w14:textId="77777777">
      <w:pPr>
        <w:pStyle w:val="ListParagraph"/>
        <w:spacing w:before="120" w:after="120" w:line="240" w:lineRule="auto"/>
        <w:ind w:left="360"/>
        <w:jc w:val="both"/>
        <w:rPr>
          <w:rFonts w:ascii="Arial" w:hAnsi="Arial" w:eastAsia="Arial" w:cs="Arial"/>
          <w:lang w:val="es-ES"/>
        </w:rPr>
      </w:pPr>
    </w:p>
    <w:p w:rsidR="00A74C19" w:rsidP="1D05E568" w:rsidRDefault="00A74C19" w14:paraId="64B73E61" w14:textId="745249F3">
      <w:pPr>
        <w:pStyle w:val="ListParagraph"/>
        <w:numPr>
          <w:ilvl w:val="1"/>
          <w:numId w:val="5"/>
        </w:numPr>
        <w:spacing w:before="120" w:after="120" w:line="240" w:lineRule="auto"/>
        <w:ind w:hanging="540"/>
        <w:jc w:val="both"/>
        <w:rPr>
          <w:rFonts w:ascii="Arial" w:hAnsi="Arial" w:eastAsia="Arial" w:cs="Arial"/>
          <w:lang w:val="es-ES"/>
        </w:rPr>
      </w:pPr>
      <w:r>
        <w:rPr>
          <w:rFonts w:ascii="Arial" w:hAnsi="Arial" w:eastAsia="Arial" w:cs="Arial"/>
          <w:b/>
          <w:bCs/>
          <w:lang w:val="es-ES"/>
        </w:rPr>
        <w:t xml:space="preserve">Componente IV. </w:t>
      </w:r>
      <w:r w:rsidR="00FD092B">
        <w:rPr>
          <w:rFonts w:ascii="Arial" w:hAnsi="Arial" w:eastAsia="Arial" w:cs="Arial"/>
          <w:b/>
          <w:bCs/>
          <w:lang w:val="es-ES"/>
        </w:rPr>
        <w:t>Diseminación de</w:t>
      </w:r>
      <w:r w:rsidR="00291A4C">
        <w:rPr>
          <w:rFonts w:ascii="Arial" w:hAnsi="Arial" w:eastAsia="Arial" w:cs="Arial"/>
          <w:b/>
          <w:bCs/>
          <w:lang w:val="es-ES"/>
        </w:rPr>
        <w:t xml:space="preserve"> resultados (U$</w:t>
      </w:r>
      <w:r w:rsidR="00FD092B">
        <w:rPr>
          <w:rFonts w:ascii="Arial" w:hAnsi="Arial" w:eastAsia="Arial" w:cs="Arial"/>
          <w:b/>
          <w:bCs/>
          <w:lang w:val="es-ES"/>
        </w:rPr>
        <w:t>10</w:t>
      </w:r>
      <w:r w:rsidR="006E092F">
        <w:rPr>
          <w:rFonts w:ascii="Arial" w:hAnsi="Arial" w:eastAsia="Arial" w:cs="Arial"/>
          <w:b/>
          <w:bCs/>
          <w:lang w:val="es-ES"/>
        </w:rPr>
        <w:t>.</w:t>
      </w:r>
      <w:r w:rsidR="00FD092B">
        <w:rPr>
          <w:rFonts w:ascii="Arial" w:hAnsi="Arial" w:eastAsia="Arial" w:cs="Arial"/>
          <w:b/>
          <w:bCs/>
          <w:lang w:val="es-ES"/>
        </w:rPr>
        <w:t xml:space="preserve">000). </w:t>
      </w:r>
      <w:r w:rsidR="00FD092B">
        <w:rPr>
          <w:rFonts w:ascii="Arial" w:hAnsi="Arial" w:eastAsia="Arial" w:cs="Arial"/>
          <w:lang w:val="es-ES"/>
        </w:rPr>
        <w:t xml:space="preserve">El objetivo de este componente es </w:t>
      </w:r>
      <w:r w:rsidR="006E3EBC">
        <w:rPr>
          <w:rFonts w:ascii="Arial" w:hAnsi="Arial" w:eastAsia="Arial" w:cs="Arial"/>
          <w:lang w:val="es-ES"/>
        </w:rPr>
        <w:t xml:space="preserve">la diseminación de los resultados de los </w:t>
      </w:r>
      <w:r w:rsidR="00064DFD">
        <w:rPr>
          <w:rFonts w:ascii="Arial" w:hAnsi="Arial" w:eastAsia="Arial" w:cs="Arial"/>
          <w:lang w:val="es-ES"/>
        </w:rPr>
        <w:t xml:space="preserve">productos financiados en los componentes </w:t>
      </w:r>
      <w:r w:rsidR="00D172EA">
        <w:rPr>
          <w:rFonts w:ascii="Arial" w:hAnsi="Arial" w:eastAsia="Arial" w:cs="Arial"/>
          <w:lang w:val="es-ES"/>
        </w:rPr>
        <w:t>anteriores</w:t>
      </w:r>
      <w:r w:rsidR="00064DFD">
        <w:rPr>
          <w:rFonts w:ascii="Arial" w:hAnsi="Arial" w:eastAsia="Arial" w:cs="Arial"/>
          <w:lang w:val="es-ES"/>
        </w:rPr>
        <w:t xml:space="preserve">. Este componente financiará la siguiente actividad: </w:t>
      </w:r>
      <w:r w:rsidR="76D2F24C">
        <w:rPr>
          <w:rFonts w:ascii="Arial" w:hAnsi="Arial" w:eastAsia="Arial" w:cs="Arial"/>
          <w:lang w:val="es-ES"/>
        </w:rPr>
        <w:t xml:space="preserve">la realización de </w:t>
      </w:r>
      <w:r w:rsidR="00F06777">
        <w:rPr>
          <w:rFonts w:ascii="Arial" w:hAnsi="Arial" w:eastAsia="Arial" w:cs="Arial"/>
          <w:lang w:val="es-ES"/>
        </w:rPr>
        <w:t>un seminario</w:t>
      </w:r>
      <w:r w:rsidR="009E3ACA">
        <w:rPr>
          <w:rStyle w:val="FootnoteReference"/>
          <w:rFonts w:ascii="Arial" w:hAnsi="Arial" w:eastAsia="Arial" w:cs="Arial"/>
          <w:lang w:val="es-ES"/>
        </w:rPr>
        <w:footnoteReference w:id="4"/>
      </w:r>
      <w:r w:rsidR="009E3ACA">
        <w:rPr>
          <w:rFonts w:ascii="Arial" w:hAnsi="Arial" w:eastAsia="Arial" w:cs="Arial"/>
          <w:lang w:val="es-ES"/>
        </w:rPr>
        <w:t xml:space="preserve"> sobre </w:t>
      </w:r>
      <w:r w:rsidR="000A1F66">
        <w:rPr>
          <w:rFonts w:ascii="Arial" w:hAnsi="Arial" w:eastAsia="Arial" w:cs="Arial"/>
          <w:lang w:val="es-ES"/>
        </w:rPr>
        <w:t>los productos resultantes de los anteriores componentes</w:t>
      </w:r>
      <w:r w:rsidR="003A4E99">
        <w:rPr>
          <w:rFonts w:ascii="Arial" w:hAnsi="Arial" w:eastAsia="Arial" w:cs="Arial"/>
          <w:lang w:val="es-ES"/>
        </w:rPr>
        <w:t>.</w:t>
      </w:r>
      <w:r w:rsidR="00FD092B">
        <w:rPr>
          <w:rFonts w:ascii="Arial" w:hAnsi="Arial" w:eastAsia="Arial" w:cs="Arial"/>
          <w:lang w:val="es-ES"/>
        </w:rPr>
        <w:t xml:space="preserve"> </w:t>
      </w:r>
    </w:p>
    <w:p w:rsidR="00923B69" w:rsidP="6640F5AC" w:rsidRDefault="00923B69" w14:paraId="2F16B985" w14:textId="479118FE">
      <w:pPr>
        <w:pStyle w:val="ListParagraph"/>
        <w:numPr>
          <w:ilvl w:val="1"/>
          <w:numId w:val="5"/>
        </w:numPr>
        <w:spacing w:before="120" w:after="120" w:line="240" w:lineRule="auto"/>
        <w:ind w:hanging="540"/>
        <w:contextualSpacing w:val="0"/>
        <w:jc w:val="both"/>
        <w:rPr>
          <w:rFonts w:ascii="Arial" w:hAnsi="Arial" w:eastAsia="Arial" w:cs="Arial"/>
          <w:lang w:val="es-ES"/>
        </w:rPr>
      </w:pPr>
      <w:r w:rsidRPr="00C32F7D">
        <w:rPr>
          <w:rFonts w:ascii="Arial" w:hAnsi="Arial" w:eastAsia="Arial" w:cs="Arial"/>
          <w:lang w:val="es-ES"/>
        </w:rPr>
        <w:t xml:space="preserve">Todos los productos derivados de esta CT </w:t>
      </w:r>
      <w:r w:rsidRPr="00C32F7D" w:rsidR="00C32F7D">
        <w:rPr>
          <w:rFonts w:ascii="Arial" w:hAnsi="Arial" w:eastAsia="Arial" w:cs="Arial"/>
          <w:lang w:val="es-ES"/>
        </w:rPr>
        <w:t xml:space="preserve">serán propiedad intelectual del Banco. </w:t>
      </w:r>
    </w:p>
    <w:p w:rsidRPr="0086557C" w:rsidR="005A2AAC" w:rsidP="1D05E568" w:rsidRDefault="004330BB" w14:paraId="2A77885C" w14:textId="5FF1657F">
      <w:pPr>
        <w:pStyle w:val="ListParagraph"/>
        <w:numPr>
          <w:ilvl w:val="1"/>
          <w:numId w:val="5"/>
        </w:numPr>
        <w:spacing w:before="120" w:after="120" w:line="240" w:lineRule="auto"/>
        <w:ind w:hanging="540"/>
        <w:jc w:val="both"/>
        <w:rPr>
          <w:rFonts w:ascii="Arial" w:hAnsi="Arial" w:eastAsia="Arial" w:cs="Arial"/>
          <w:lang w:val="es-ES"/>
        </w:rPr>
      </w:pPr>
      <w:r w:rsidRPr="00B30018">
        <w:rPr>
          <w:rFonts w:ascii="Arial" w:hAnsi="Arial" w:eastAsia="Arial" w:cs="Arial"/>
          <w:lang w:val="es-ES"/>
        </w:rPr>
        <w:t>El coste total de esta CT será US$</w:t>
      </w:r>
      <w:r w:rsidRPr="00B30018" w:rsidR="00A80531">
        <w:rPr>
          <w:rFonts w:ascii="Arial" w:hAnsi="Arial" w:eastAsia="Arial" w:cs="Arial"/>
          <w:lang w:val="es-ES"/>
        </w:rPr>
        <w:t xml:space="preserve">200.000, siendo financiado por </w:t>
      </w:r>
      <w:r w:rsidRPr="00B30018" w:rsidR="00F06777">
        <w:rPr>
          <w:rFonts w:ascii="Arial" w:hAnsi="Arial" w:eastAsia="Arial" w:cs="Arial"/>
          <w:lang w:val="es-ES"/>
        </w:rPr>
        <w:t xml:space="preserve">el </w:t>
      </w:r>
      <w:r w:rsidRPr="00155D9A" w:rsidR="00F06777">
        <w:rPr>
          <w:rFonts w:ascii="Arial" w:hAnsi="Arial" w:eastAsia="Arial" w:cs="Arial"/>
          <w:lang w:val="es-CL"/>
        </w:rPr>
        <w:t>Programa</w:t>
      </w:r>
      <w:r w:rsidRPr="00155D9A" w:rsidR="5817815F">
        <w:rPr>
          <w:rFonts w:ascii="Arial" w:hAnsi="Arial" w:eastAsia="Arial" w:cs="Arial"/>
          <w:lang w:val="es-CL"/>
        </w:rPr>
        <w:t xml:space="preserve"> Estratégico para el Desarrollo Financiado con Capital </w:t>
      </w:r>
      <w:proofErr w:type="gramStart"/>
      <w:r w:rsidRPr="00155D9A" w:rsidR="5817815F">
        <w:rPr>
          <w:rFonts w:ascii="Arial" w:hAnsi="Arial" w:eastAsia="Arial" w:cs="Arial"/>
          <w:lang w:val="es-CL"/>
        </w:rPr>
        <w:t>Ordinario  Área</w:t>
      </w:r>
      <w:proofErr w:type="gramEnd"/>
      <w:r w:rsidRPr="00155D9A" w:rsidR="5817815F">
        <w:rPr>
          <w:rFonts w:ascii="Arial" w:hAnsi="Arial" w:eastAsia="Arial" w:cs="Arial"/>
          <w:lang w:val="es-CL"/>
        </w:rPr>
        <w:t xml:space="preserve"> prioritaria 3:</w:t>
      </w:r>
      <w:r w:rsidR="00F06777">
        <w:rPr>
          <w:rFonts w:ascii="Arial" w:hAnsi="Arial" w:eastAsia="Arial" w:cs="Arial"/>
          <w:lang w:val="es-CL"/>
        </w:rPr>
        <w:t> </w:t>
      </w:r>
      <w:r w:rsidRPr="00155D9A" w:rsidR="5817815F">
        <w:rPr>
          <w:rFonts w:ascii="Arial" w:hAnsi="Arial" w:eastAsia="Arial" w:cs="Arial"/>
          <w:lang w:val="es-CL"/>
        </w:rPr>
        <w:t>instituciones eficaces, eficientes y transparentes (W2C)</w:t>
      </w:r>
      <w:r w:rsidRPr="1D05E568" w:rsidR="00A80531">
        <w:rPr>
          <w:rFonts w:ascii="Arial" w:hAnsi="Arial" w:eastAsia="Arial" w:cs="Arial"/>
          <w:lang w:val="es-ES"/>
        </w:rPr>
        <w:t>.</w:t>
      </w:r>
      <w:r w:rsidRPr="00B30018" w:rsidR="00A80531">
        <w:rPr>
          <w:rFonts w:ascii="Arial" w:hAnsi="Arial" w:eastAsia="Arial" w:cs="Arial"/>
          <w:lang w:val="es-ES"/>
        </w:rPr>
        <w:t xml:space="preserve"> </w:t>
      </w:r>
      <w:r w:rsidR="0086557C">
        <w:rPr>
          <w:rFonts w:ascii="Arial" w:hAnsi="Arial" w:eastAsia="Arial" w:cs="Arial"/>
          <w:lang w:val="es-ES"/>
        </w:rPr>
        <w:t xml:space="preserve">El </w:t>
      </w:r>
      <w:r w:rsidRPr="0086557C" w:rsidR="0086557C">
        <w:rPr>
          <w:rFonts w:ascii="Arial" w:hAnsi="Arial" w:eastAsia="Arial" w:cs="Arial"/>
          <w:lang w:val="es-ES"/>
        </w:rPr>
        <w:t>plazo único de</w:t>
      </w:r>
      <w:r w:rsidR="0086557C">
        <w:rPr>
          <w:rFonts w:ascii="Arial" w:hAnsi="Arial" w:eastAsia="Arial" w:cs="Arial"/>
          <w:lang w:val="es-ES"/>
        </w:rPr>
        <w:t xml:space="preserve"> ejecución</w:t>
      </w:r>
      <w:r w:rsidR="00413B1B">
        <w:rPr>
          <w:rFonts w:ascii="Arial" w:hAnsi="Arial" w:eastAsia="Arial" w:cs="Arial"/>
          <w:lang w:val="es-ES"/>
        </w:rPr>
        <w:t xml:space="preserve"> es de</w:t>
      </w:r>
      <w:r w:rsidRPr="0086557C" w:rsidR="0086557C">
        <w:rPr>
          <w:rFonts w:ascii="Arial" w:hAnsi="Arial" w:eastAsia="Arial" w:cs="Arial"/>
          <w:lang w:val="es-ES"/>
        </w:rPr>
        <w:t xml:space="preserve"> 24 meses</w:t>
      </w:r>
      <w:r w:rsidR="00413B1B">
        <w:rPr>
          <w:rFonts w:ascii="Arial" w:hAnsi="Arial" w:eastAsia="Arial" w:cs="Arial"/>
          <w:lang w:val="es-ES"/>
        </w:rPr>
        <w:t xml:space="preserve">, que </w:t>
      </w:r>
      <w:r w:rsidRPr="0086557C" w:rsidR="0086557C">
        <w:rPr>
          <w:rFonts w:ascii="Arial" w:hAnsi="Arial" w:eastAsia="Arial" w:cs="Arial"/>
          <w:lang w:val="es-ES"/>
        </w:rPr>
        <w:t xml:space="preserve">incluye desembolso y </w:t>
      </w:r>
      <w:r w:rsidRPr="0086557C" w:rsidR="00F06777">
        <w:rPr>
          <w:rFonts w:ascii="Arial" w:hAnsi="Arial" w:eastAsia="Arial" w:cs="Arial"/>
          <w:lang w:val="es-ES"/>
        </w:rPr>
        <w:t>ejecución.</w:t>
      </w:r>
    </w:p>
    <w:p w:rsidRPr="005A2AAC" w:rsidR="005A2AAC" w:rsidP="005A2AAC" w:rsidRDefault="005A2AAC" w14:paraId="420ECF21" w14:textId="77777777">
      <w:pPr>
        <w:spacing w:before="120" w:after="120" w:line="240" w:lineRule="auto"/>
        <w:jc w:val="both"/>
        <w:rPr>
          <w:rFonts w:ascii="Arial" w:hAnsi="Arial" w:eastAsia="Arial" w:cs="Arial"/>
          <w:lang w:val="es-ES"/>
        </w:rPr>
      </w:pPr>
    </w:p>
    <w:p w:rsidRPr="00D97FAD" w:rsidR="0023302F" w:rsidP="0041610F" w:rsidRDefault="6640F5AC" w14:paraId="19EE7A98" w14:textId="77777777">
      <w:pPr>
        <w:spacing w:after="0"/>
        <w:jc w:val="center"/>
        <w:rPr>
          <w:rFonts w:ascii="Arial" w:hAnsi="Arial" w:eastAsia="Arial" w:cs="Arial"/>
          <w:b/>
          <w:bCs/>
          <w:lang w:val="es-ES"/>
        </w:rPr>
      </w:pPr>
      <w:r w:rsidRPr="6640F5AC">
        <w:rPr>
          <w:rFonts w:ascii="Arial" w:hAnsi="Arial" w:eastAsia="Arial" w:cs="Arial"/>
          <w:b/>
          <w:bCs/>
          <w:lang w:val="es-ES"/>
        </w:rPr>
        <w:t xml:space="preserve">Presupuesto Indicativo </w:t>
      </w:r>
    </w:p>
    <w:p w:rsidRPr="00D97FAD" w:rsidR="00F6363D" w:rsidP="00514E98" w:rsidRDefault="00F6363D" w14:paraId="19EE7A99" w14:textId="705797E0">
      <w:pPr>
        <w:pStyle w:val="ListParagraph"/>
        <w:spacing w:after="60" w:line="240" w:lineRule="auto"/>
        <w:ind w:left="360"/>
        <w:contextualSpacing w:val="0"/>
        <w:rPr>
          <w:rFonts w:ascii="Arial" w:hAnsi="Arial" w:eastAsia="Arial" w:cs="Arial"/>
          <w:lang w:val="es-ES"/>
        </w:rPr>
      </w:pPr>
    </w:p>
    <w:tbl>
      <w:tblPr>
        <w:tblStyle w:val="TableGrid"/>
        <w:tblW w:w="7424" w:type="dxa"/>
        <w:jc w:val="center"/>
        <w:tblLayout w:type="fixed"/>
        <w:tblLook w:val="04A0" w:firstRow="1" w:lastRow="0" w:firstColumn="1" w:lastColumn="0" w:noHBand="0" w:noVBand="1"/>
      </w:tblPr>
      <w:tblGrid>
        <w:gridCol w:w="1525"/>
        <w:gridCol w:w="3060"/>
        <w:gridCol w:w="1183"/>
        <w:gridCol w:w="1656"/>
      </w:tblGrid>
      <w:tr w:rsidRPr="00D97FAD" w:rsidR="00771915" w:rsidTr="00AC3145" w14:paraId="19EE7AA1" w14:textId="77777777">
        <w:trPr>
          <w:jc w:val="center"/>
        </w:trPr>
        <w:tc>
          <w:tcPr>
            <w:tcW w:w="1525" w:type="dxa"/>
          </w:tcPr>
          <w:p w:rsidRPr="00D97FAD" w:rsidR="00771915" w:rsidP="6640F5AC" w:rsidRDefault="00771915" w14:paraId="19EE7A9A"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Actividad / Componente</w:t>
            </w:r>
          </w:p>
        </w:tc>
        <w:tc>
          <w:tcPr>
            <w:tcW w:w="3060" w:type="dxa"/>
          </w:tcPr>
          <w:p w:rsidRPr="00D97FAD" w:rsidR="00771915" w:rsidP="6640F5AC" w:rsidRDefault="00771915" w14:paraId="19EE7A9B"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Descripción</w:t>
            </w:r>
          </w:p>
        </w:tc>
        <w:tc>
          <w:tcPr>
            <w:tcW w:w="1183" w:type="dxa"/>
          </w:tcPr>
          <w:p w:rsidR="005A2AAC" w:rsidP="6640F5AC" w:rsidRDefault="00771915" w14:paraId="149460E4"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BID/Financiamiento por Fondo</w:t>
            </w:r>
            <w:r w:rsidR="005A2AAC">
              <w:rPr>
                <w:rFonts w:ascii="Arial" w:hAnsi="Arial" w:eastAsia="Arial" w:cs="Arial"/>
                <w:b/>
                <w:bCs/>
                <w:sz w:val="18"/>
                <w:szCs w:val="18"/>
                <w:lang w:val="es-ES"/>
              </w:rPr>
              <w:t xml:space="preserve"> </w:t>
            </w:r>
          </w:p>
          <w:p w:rsidRPr="00D97FAD" w:rsidR="00771915" w:rsidP="6640F5AC" w:rsidRDefault="005A2AAC" w14:paraId="19EE7A9C" w14:textId="74BD1325">
            <w:pPr>
              <w:pStyle w:val="ListParagraph"/>
              <w:spacing w:before="60" w:after="60"/>
              <w:ind w:left="0"/>
              <w:contextualSpacing w:val="0"/>
              <w:jc w:val="center"/>
              <w:rPr>
                <w:rFonts w:ascii="Arial" w:hAnsi="Arial" w:eastAsia="Arial" w:cs="Arial"/>
                <w:b/>
                <w:bCs/>
                <w:sz w:val="18"/>
                <w:szCs w:val="18"/>
                <w:lang w:val="es-ES"/>
              </w:rPr>
            </w:pPr>
            <w:r>
              <w:rPr>
                <w:rFonts w:ascii="Arial" w:hAnsi="Arial" w:eastAsia="Arial" w:cs="Arial"/>
                <w:b/>
                <w:bCs/>
                <w:sz w:val="18"/>
                <w:szCs w:val="18"/>
                <w:lang w:val="es-ES"/>
              </w:rPr>
              <w:t>(US$)</w:t>
            </w:r>
          </w:p>
        </w:tc>
        <w:tc>
          <w:tcPr>
            <w:tcW w:w="1656" w:type="dxa"/>
          </w:tcPr>
          <w:p w:rsidRPr="00D97FAD" w:rsidR="00771915" w:rsidP="6640F5AC" w:rsidRDefault="00771915" w14:paraId="19EE7A9F"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Financiamiento</w:t>
            </w:r>
          </w:p>
          <w:p w:rsidR="005A2AAC" w:rsidP="6640F5AC" w:rsidRDefault="00771915" w14:paraId="41F71914"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Total</w:t>
            </w:r>
            <w:r>
              <w:rPr>
                <w:rFonts w:ascii="Arial" w:hAnsi="Arial" w:eastAsia="Arial" w:cs="Arial"/>
                <w:b/>
                <w:bCs/>
                <w:sz w:val="18"/>
                <w:szCs w:val="18"/>
                <w:lang w:val="es-ES"/>
              </w:rPr>
              <w:t xml:space="preserve"> </w:t>
            </w:r>
          </w:p>
          <w:p w:rsidRPr="00D97FAD" w:rsidR="00771915" w:rsidP="6640F5AC" w:rsidRDefault="00771915" w14:paraId="19EE7AA0" w14:textId="1B55B46A">
            <w:pPr>
              <w:pStyle w:val="ListParagraph"/>
              <w:spacing w:before="60" w:after="60"/>
              <w:ind w:left="0"/>
              <w:contextualSpacing w:val="0"/>
              <w:jc w:val="center"/>
              <w:rPr>
                <w:rFonts w:ascii="Arial" w:hAnsi="Arial" w:eastAsia="Arial" w:cs="Arial"/>
                <w:b/>
                <w:bCs/>
                <w:sz w:val="18"/>
                <w:szCs w:val="18"/>
                <w:lang w:val="es-ES"/>
              </w:rPr>
            </w:pPr>
            <w:r>
              <w:rPr>
                <w:rFonts w:ascii="Arial" w:hAnsi="Arial" w:eastAsia="Arial" w:cs="Arial"/>
                <w:b/>
                <w:bCs/>
                <w:sz w:val="18"/>
                <w:szCs w:val="18"/>
                <w:lang w:val="es-ES"/>
              </w:rPr>
              <w:t>(US$)</w:t>
            </w:r>
            <w:r w:rsidRPr="6640F5AC">
              <w:rPr>
                <w:rFonts w:ascii="Arial" w:hAnsi="Arial" w:eastAsia="Arial" w:cs="Arial"/>
                <w:b/>
                <w:bCs/>
                <w:sz w:val="18"/>
                <w:szCs w:val="18"/>
                <w:lang w:val="es-ES"/>
              </w:rPr>
              <w:t xml:space="preserve"> </w:t>
            </w:r>
          </w:p>
        </w:tc>
      </w:tr>
      <w:tr w:rsidRPr="0092774C" w:rsidR="00771915" w:rsidTr="00AC3145" w14:paraId="19EE7AA7" w14:textId="77777777">
        <w:trPr>
          <w:jc w:val="center"/>
        </w:trPr>
        <w:tc>
          <w:tcPr>
            <w:tcW w:w="1525" w:type="dxa"/>
          </w:tcPr>
          <w:p w:rsidRPr="0092774C" w:rsidR="00771915" w:rsidP="0092774C" w:rsidRDefault="00771915" w14:paraId="19EE7AA2" w14:textId="130395E5">
            <w:pPr>
              <w:pStyle w:val="ListParagraph"/>
              <w:spacing w:before="60" w:after="60"/>
              <w:ind w:left="0"/>
              <w:contextualSpacing w:val="0"/>
              <w:rPr>
                <w:rFonts w:ascii="Arial" w:hAnsi="Arial" w:cs="Arial"/>
                <w:b/>
                <w:sz w:val="18"/>
                <w:szCs w:val="18"/>
                <w:lang w:val="es-ES"/>
              </w:rPr>
            </w:pPr>
            <w:r w:rsidRPr="0092774C">
              <w:rPr>
                <w:rFonts w:ascii="Arial" w:hAnsi="Arial" w:cs="Arial"/>
                <w:b/>
                <w:sz w:val="18"/>
                <w:szCs w:val="18"/>
                <w:lang w:val="es-ES"/>
              </w:rPr>
              <w:t>Componente I.</w:t>
            </w:r>
            <w:r w:rsidRPr="0092774C" w:rsidR="0092774C">
              <w:rPr>
                <w:rFonts w:ascii="Arial" w:hAnsi="Arial" w:eastAsia="Arial" w:cs="Arial"/>
                <w:b/>
                <w:bCs/>
                <w:sz w:val="18"/>
                <w:szCs w:val="18"/>
                <w:lang w:val="es-ES"/>
              </w:rPr>
              <w:t xml:space="preserve"> Proyecciones de Ingreso y gestión de la ejecución presupuestaria</w:t>
            </w:r>
          </w:p>
        </w:tc>
        <w:tc>
          <w:tcPr>
            <w:tcW w:w="3060" w:type="dxa"/>
          </w:tcPr>
          <w:p w:rsidRPr="005A2AAC" w:rsidR="00771915" w:rsidP="005A2AAC" w:rsidRDefault="0092774C" w14:paraId="19EE7AA3" w14:textId="07DA4C84">
            <w:pPr>
              <w:pStyle w:val="ListParagraph"/>
              <w:spacing w:before="60" w:after="60"/>
              <w:ind w:left="0"/>
              <w:contextualSpacing w:val="0"/>
              <w:rPr>
                <w:rFonts w:ascii="Arial" w:hAnsi="Arial" w:cs="Arial"/>
                <w:b/>
                <w:sz w:val="18"/>
                <w:szCs w:val="18"/>
                <w:lang w:val="es-ES"/>
              </w:rPr>
            </w:pPr>
            <w:r w:rsidRPr="005A2AAC">
              <w:rPr>
                <w:rFonts w:ascii="Arial" w:hAnsi="Arial" w:eastAsia="Arial" w:cs="Arial"/>
                <w:sz w:val="18"/>
                <w:szCs w:val="18"/>
                <w:lang w:val="es-ES"/>
              </w:rPr>
              <w:t xml:space="preserve">El objetivo de este componente es </w:t>
            </w:r>
            <w:r w:rsidRPr="005A2AAC">
              <w:rPr>
                <w:rFonts w:ascii="Arial" w:hAnsi="Arial" w:cs="Arial"/>
                <w:sz w:val="18"/>
                <w:szCs w:val="18"/>
                <w:lang w:val="es-419"/>
              </w:rPr>
              <w:t>la mejora de las metodologías de proyecciones de ingreso y analítica de datos en la Dirección General de Ingresos (DGI).</w:t>
            </w:r>
          </w:p>
        </w:tc>
        <w:tc>
          <w:tcPr>
            <w:tcW w:w="1183" w:type="dxa"/>
          </w:tcPr>
          <w:p w:rsidRPr="00D97FAD" w:rsidR="00771915" w:rsidP="007C6B4B" w:rsidRDefault="00C1564C" w14:paraId="19EE7AA4" w14:textId="1211BBE5">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75.000,00</w:t>
            </w:r>
          </w:p>
        </w:tc>
        <w:tc>
          <w:tcPr>
            <w:tcW w:w="1656" w:type="dxa"/>
          </w:tcPr>
          <w:p w:rsidRPr="00D97FAD" w:rsidR="00771915" w:rsidP="007C6B4B" w:rsidRDefault="00C1564C" w14:paraId="19EE7AA6" w14:textId="0E7FAE2F">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75.000,00</w:t>
            </w:r>
          </w:p>
        </w:tc>
      </w:tr>
      <w:tr w:rsidRPr="009752F1" w:rsidR="00771915" w:rsidTr="00AC3145" w14:paraId="19EE7AAD" w14:textId="77777777">
        <w:trPr>
          <w:jc w:val="center"/>
        </w:trPr>
        <w:tc>
          <w:tcPr>
            <w:tcW w:w="1525" w:type="dxa"/>
          </w:tcPr>
          <w:p w:rsidRPr="009752F1" w:rsidR="00771915" w:rsidP="00C1564C" w:rsidRDefault="00771915" w14:paraId="19EE7AA8" w14:textId="11CF95AC">
            <w:pPr>
              <w:pStyle w:val="ListParagraph"/>
              <w:spacing w:before="60" w:after="60"/>
              <w:ind w:left="0"/>
              <w:contextualSpacing w:val="0"/>
              <w:rPr>
                <w:rFonts w:ascii="Arial" w:hAnsi="Arial" w:cs="Arial"/>
                <w:b/>
                <w:sz w:val="18"/>
                <w:szCs w:val="18"/>
                <w:lang w:val="es-ES"/>
              </w:rPr>
            </w:pPr>
            <w:r w:rsidRPr="009752F1">
              <w:rPr>
                <w:rFonts w:ascii="Arial" w:hAnsi="Arial" w:cs="Arial"/>
                <w:b/>
                <w:sz w:val="18"/>
                <w:szCs w:val="18"/>
                <w:lang w:val="es-ES"/>
              </w:rPr>
              <w:t>Componente II.</w:t>
            </w:r>
            <w:r w:rsidR="00C1564C">
              <w:rPr>
                <w:rFonts w:ascii="Arial" w:hAnsi="Arial" w:cs="Arial"/>
                <w:b/>
                <w:sz w:val="18"/>
                <w:szCs w:val="18"/>
                <w:lang w:val="es-ES"/>
              </w:rPr>
              <w:t xml:space="preserve"> Modernización de la gestión de inversión pública.</w:t>
            </w:r>
          </w:p>
        </w:tc>
        <w:tc>
          <w:tcPr>
            <w:tcW w:w="3060" w:type="dxa"/>
          </w:tcPr>
          <w:p w:rsidRPr="009752F1" w:rsidR="00771915" w:rsidP="00E8143A" w:rsidRDefault="009752F1" w14:paraId="19EE7AA9" w14:textId="22F8A318">
            <w:pPr>
              <w:pStyle w:val="ListParagraph"/>
              <w:spacing w:before="60" w:after="60"/>
              <w:ind w:left="0"/>
              <w:contextualSpacing w:val="0"/>
              <w:rPr>
                <w:rFonts w:ascii="Arial" w:hAnsi="Arial" w:cs="Arial"/>
                <w:b/>
                <w:sz w:val="18"/>
                <w:szCs w:val="18"/>
                <w:lang w:val="es-ES"/>
              </w:rPr>
            </w:pPr>
            <w:r w:rsidRPr="009752F1">
              <w:rPr>
                <w:rFonts w:ascii="Arial" w:hAnsi="Arial" w:eastAsia="Arial" w:cs="Arial"/>
                <w:sz w:val="18"/>
                <w:szCs w:val="18"/>
                <w:lang w:val="es-ES"/>
              </w:rPr>
              <w:t>El objetivo de este componente es apoyar la modernizaci</w:t>
            </w:r>
            <w:r w:rsidR="00E8143A">
              <w:rPr>
                <w:rFonts w:ascii="Arial" w:hAnsi="Arial" w:eastAsia="Arial" w:cs="Arial"/>
                <w:sz w:val="18"/>
                <w:szCs w:val="18"/>
                <w:lang w:val="es-ES"/>
              </w:rPr>
              <w:t>ó</w:t>
            </w:r>
            <w:r w:rsidRPr="009752F1">
              <w:rPr>
                <w:rFonts w:ascii="Arial" w:hAnsi="Arial" w:eastAsia="Arial" w:cs="Arial"/>
                <w:sz w:val="18"/>
                <w:szCs w:val="18"/>
                <w:lang w:val="es-ES"/>
              </w:rPr>
              <w:t xml:space="preserve">n del sistema de inversión pública </w:t>
            </w:r>
            <w:r w:rsidRPr="009752F1">
              <w:rPr>
                <w:rFonts w:ascii="Arial" w:hAnsi="Arial" w:cs="Arial"/>
                <w:sz w:val="18"/>
                <w:szCs w:val="18"/>
                <w:lang w:val="es-419"/>
              </w:rPr>
              <w:t>generar indicadores y criterios de selección de inversiones públicas que permitan cerrar las brechas de inversión básica y social en el territorio afuera de la cuenca de la ciudad de Panamá y el Canal.</w:t>
            </w:r>
          </w:p>
        </w:tc>
        <w:tc>
          <w:tcPr>
            <w:tcW w:w="1183" w:type="dxa"/>
          </w:tcPr>
          <w:p w:rsidRPr="00D97FAD" w:rsidR="00771915" w:rsidP="007C6B4B" w:rsidRDefault="00C1564C" w14:paraId="19EE7AAA" w14:textId="6F38321A">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75.000,00</w:t>
            </w:r>
          </w:p>
        </w:tc>
        <w:tc>
          <w:tcPr>
            <w:tcW w:w="1656" w:type="dxa"/>
          </w:tcPr>
          <w:p w:rsidRPr="00D97FAD" w:rsidR="00771915" w:rsidP="007C6B4B" w:rsidRDefault="00C1564C" w14:paraId="19EE7AAC" w14:textId="2EBAC3B9">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75.000,00</w:t>
            </w:r>
          </w:p>
        </w:tc>
      </w:tr>
      <w:tr w:rsidRPr="009752F1" w:rsidR="00771915" w:rsidTr="00AC3145" w14:paraId="19EE7AB3" w14:textId="77777777">
        <w:trPr>
          <w:jc w:val="center"/>
        </w:trPr>
        <w:tc>
          <w:tcPr>
            <w:tcW w:w="1525" w:type="dxa"/>
          </w:tcPr>
          <w:p w:rsidRPr="00D97FAD" w:rsidR="00771915" w:rsidP="00C1564C" w:rsidRDefault="00FC1442" w14:paraId="19EE7AAE" w14:textId="77C401A8">
            <w:pPr>
              <w:pStyle w:val="ListParagraph"/>
              <w:spacing w:before="60" w:after="60"/>
              <w:ind w:left="0"/>
              <w:contextualSpacing w:val="0"/>
              <w:rPr>
                <w:rFonts w:ascii="Arial" w:hAnsi="Arial" w:cs="Arial"/>
                <w:b/>
                <w:sz w:val="18"/>
                <w:szCs w:val="18"/>
                <w:lang w:val="es-ES"/>
              </w:rPr>
            </w:pPr>
            <w:r>
              <w:rPr>
                <w:rFonts w:ascii="Arial" w:hAnsi="Arial" w:cs="Arial"/>
                <w:b/>
                <w:sz w:val="18"/>
                <w:szCs w:val="18"/>
                <w:lang w:val="es-ES"/>
              </w:rPr>
              <w:t>Componente III.</w:t>
            </w:r>
            <w:r w:rsidR="00C1564C">
              <w:rPr>
                <w:rFonts w:ascii="Arial" w:hAnsi="Arial" w:cs="Arial"/>
                <w:b/>
                <w:sz w:val="18"/>
                <w:szCs w:val="18"/>
                <w:lang w:val="es-ES"/>
              </w:rPr>
              <w:t xml:space="preserve"> </w:t>
            </w:r>
            <w:r w:rsidR="00C1564C">
              <w:rPr>
                <w:rFonts w:ascii="Arial" w:hAnsi="Arial" w:cs="Arial"/>
                <w:b/>
                <w:sz w:val="18"/>
                <w:szCs w:val="18"/>
                <w:lang w:val="es-ES"/>
              </w:rPr>
              <w:lastRenderedPageBreak/>
              <w:t>Modernización digital.</w:t>
            </w:r>
          </w:p>
        </w:tc>
        <w:tc>
          <w:tcPr>
            <w:tcW w:w="3060" w:type="dxa"/>
          </w:tcPr>
          <w:p w:rsidRPr="00FA3790" w:rsidR="00771915" w:rsidP="70B3091E" w:rsidRDefault="00FA3790" w14:paraId="19EE7AAF" w14:textId="06CC5B76">
            <w:pPr>
              <w:pStyle w:val="ListParagraph"/>
              <w:spacing w:before="60" w:after="60"/>
              <w:ind w:left="0" w:right="-700"/>
              <w:rPr>
                <w:rFonts w:ascii="Arial" w:hAnsi="Arial" w:cs="Arial"/>
                <w:sz w:val="18"/>
                <w:szCs w:val="18"/>
                <w:lang w:val="es-419"/>
              </w:rPr>
            </w:pPr>
            <w:r w:rsidRPr="00FA3790">
              <w:rPr>
                <w:rFonts w:ascii="Arial" w:hAnsi="Arial" w:cs="Arial"/>
                <w:sz w:val="18"/>
                <w:szCs w:val="18"/>
                <w:lang w:val="es-419"/>
              </w:rPr>
              <w:lastRenderedPageBreak/>
              <w:t xml:space="preserve">El objetivo de </w:t>
            </w:r>
            <w:r w:rsidRPr="00FA3790" w:rsidR="00385951">
              <w:rPr>
                <w:rFonts w:ascii="Arial" w:hAnsi="Arial" w:cs="Arial"/>
                <w:sz w:val="18"/>
                <w:szCs w:val="18"/>
                <w:lang w:val="es-419"/>
              </w:rPr>
              <w:t>este componente</w:t>
            </w:r>
            <w:r w:rsidRPr="00FA3790">
              <w:rPr>
                <w:rFonts w:ascii="Arial" w:hAnsi="Arial" w:cs="Arial"/>
                <w:sz w:val="18"/>
                <w:szCs w:val="18"/>
                <w:lang w:val="es-419"/>
              </w:rPr>
              <w:t xml:space="preserve"> es la mejora de la eficiencia del sistema de gestión digital de la inversión pública en Panamá</w:t>
            </w:r>
            <w:r w:rsidR="00AC3145">
              <w:rPr>
                <w:rFonts w:ascii="Arial" w:hAnsi="Arial" w:cs="Arial"/>
                <w:sz w:val="18"/>
                <w:szCs w:val="18"/>
                <w:lang w:val="es-419"/>
              </w:rPr>
              <w:t xml:space="preserve"> </w:t>
            </w:r>
            <w:r w:rsidRPr="00AC3145" w:rsidR="00AC3145">
              <w:rPr>
                <w:rFonts w:ascii="Arial" w:hAnsi="Arial" w:cs="Arial"/>
                <w:sz w:val="18"/>
                <w:szCs w:val="18"/>
                <w:lang w:val="es-419"/>
              </w:rPr>
              <w:t xml:space="preserve">y </w:t>
            </w:r>
            <w:r w:rsidRPr="00AC3145" w:rsidR="00AC3145">
              <w:rPr>
                <w:rFonts w:ascii="Arial" w:hAnsi="Arial" w:cs="Arial"/>
                <w:sz w:val="18"/>
                <w:szCs w:val="18"/>
                <w:lang w:val="es-419"/>
              </w:rPr>
              <w:lastRenderedPageBreak/>
              <w:t>apoyar el modelo conceptual del Ecosistema Fiscal Inteligente a ser desarrollado en el MEF, a través de la operación PN-L1172</w:t>
            </w:r>
            <w:r w:rsidR="00AC3145">
              <w:rPr>
                <w:rFonts w:ascii="Arial" w:hAnsi="Arial" w:cs="Arial"/>
                <w:sz w:val="18"/>
                <w:szCs w:val="18"/>
                <w:lang w:val="es-419"/>
              </w:rPr>
              <w:t>.</w:t>
            </w:r>
          </w:p>
        </w:tc>
        <w:tc>
          <w:tcPr>
            <w:tcW w:w="1183" w:type="dxa"/>
          </w:tcPr>
          <w:p w:rsidRPr="00D97FAD" w:rsidR="00771915" w:rsidP="007C6B4B" w:rsidRDefault="00C1564C" w14:paraId="19EE7AB0" w14:textId="76A572B8">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lastRenderedPageBreak/>
              <w:t>40.000,00</w:t>
            </w:r>
          </w:p>
        </w:tc>
        <w:tc>
          <w:tcPr>
            <w:tcW w:w="1656" w:type="dxa"/>
          </w:tcPr>
          <w:p w:rsidRPr="00D97FAD" w:rsidR="00771915" w:rsidP="007C6B4B" w:rsidRDefault="00C1564C" w14:paraId="19EE7AB2" w14:textId="214AE527">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40.000,00</w:t>
            </w:r>
          </w:p>
        </w:tc>
      </w:tr>
      <w:tr w:rsidRPr="009752F1" w:rsidR="00FC1442" w:rsidTr="00AC3145" w14:paraId="4D1B9DA9" w14:textId="77777777">
        <w:trPr>
          <w:jc w:val="center"/>
        </w:trPr>
        <w:tc>
          <w:tcPr>
            <w:tcW w:w="1525" w:type="dxa"/>
          </w:tcPr>
          <w:p w:rsidRPr="00D97FAD" w:rsidR="00FC1442" w:rsidP="00C1564C" w:rsidRDefault="00FC1442" w14:paraId="1D909C8D" w14:textId="330FB0C7">
            <w:pPr>
              <w:pStyle w:val="ListParagraph"/>
              <w:spacing w:before="60" w:after="60"/>
              <w:ind w:left="0"/>
              <w:contextualSpacing w:val="0"/>
              <w:rPr>
                <w:rFonts w:ascii="Arial" w:hAnsi="Arial" w:cs="Arial"/>
                <w:b/>
                <w:sz w:val="18"/>
                <w:szCs w:val="18"/>
                <w:lang w:val="es-ES"/>
              </w:rPr>
            </w:pPr>
            <w:r>
              <w:rPr>
                <w:rFonts w:ascii="Arial" w:hAnsi="Arial" w:cs="Arial"/>
                <w:b/>
                <w:sz w:val="18"/>
                <w:szCs w:val="18"/>
                <w:lang w:val="es-ES"/>
              </w:rPr>
              <w:t>Componente IV.</w:t>
            </w:r>
            <w:r w:rsidR="00C1564C">
              <w:rPr>
                <w:rFonts w:ascii="Arial" w:hAnsi="Arial" w:cs="Arial"/>
                <w:b/>
                <w:sz w:val="18"/>
                <w:szCs w:val="18"/>
                <w:lang w:val="es-ES"/>
              </w:rPr>
              <w:t xml:space="preserve"> Diseminación.</w:t>
            </w:r>
          </w:p>
        </w:tc>
        <w:tc>
          <w:tcPr>
            <w:tcW w:w="3060" w:type="dxa"/>
          </w:tcPr>
          <w:p w:rsidRPr="00C1564C" w:rsidR="00FC1442" w:rsidP="00C1564C" w:rsidRDefault="00C1564C" w14:paraId="4FD29AC6" w14:textId="05C9971A">
            <w:pPr>
              <w:pStyle w:val="ListParagraph"/>
              <w:spacing w:before="60" w:after="60"/>
              <w:ind w:left="0"/>
              <w:contextualSpacing w:val="0"/>
              <w:rPr>
                <w:rFonts w:ascii="Arial" w:hAnsi="Arial" w:cs="Arial"/>
                <w:b/>
                <w:sz w:val="18"/>
                <w:szCs w:val="18"/>
                <w:lang w:val="es-ES"/>
              </w:rPr>
            </w:pPr>
            <w:r w:rsidRPr="00C1564C">
              <w:rPr>
                <w:rFonts w:ascii="Arial" w:hAnsi="Arial" w:eastAsia="Arial" w:cs="Arial"/>
                <w:sz w:val="18"/>
                <w:szCs w:val="18"/>
                <w:lang w:val="es-ES"/>
              </w:rPr>
              <w:t>El objetivo de este componente es la diseminación de los resultados de los productos financiados en los componentes anteriores.</w:t>
            </w:r>
          </w:p>
        </w:tc>
        <w:tc>
          <w:tcPr>
            <w:tcW w:w="1183" w:type="dxa"/>
          </w:tcPr>
          <w:p w:rsidRPr="00D97FAD" w:rsidR="00FC1442" w:rsidP="007C6B4B" w:rsidRDefault="00C1564C" w14:paraId="5D8877B1" w14:textId="5C66521A">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10.000,00</w:t>
            </w:r>
          </w:p>
        </w:tc>
        <w:tc>
          <w:tcPr>
            <w:tcW w:w="1656" w:type="dxa"/>
          </w:tcPr>
          <w:p w:rsidRPr="00D97FAD" w:rsidR="00FC1442" w:rsidP="007C6B4B" w:rsidRDefault="00C1564C" w14:paraId="5764B25E" w14:textId="363DE00E">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10.000,00</w:t>
            </w:r>
          </w:p>
        </w:tc>
      </w:tr>
      <w:tr w:rsidRPr="009752F1" w:rsidR="0041348D" w:rsidTr="00AC3145" w14:paraId="05B7E083" w14:textId="77777777">
        <w:trPr>
          <w:jc w:val="center"/>
        </w:trPr>
        <w:tc>
          <w:tcPr>
            <w:tcW w:w="4585" w:type="dxa"/>
            <w:gridSpan w:val="2"/>
          </w:tcPr>
          <w:p w:rsidRPr="00D97FAD" w:rsidR="0041348D" w:rsidP="007C6B4B" w:rsidRDefault="0041348D" w14:paraId="4C0C6985" w14:textId="7F8CE71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 xml:space="preserve">Total </w:t>
            </w:r>
          </w:p>
        </w:tc>
        <w:tc>
          <w:tcPr>
            <w:tcW w:w="1183" w:type="dxa"/>
          </w:tcPr>
          <w:p w:rsidRPr="00D97FAD" w:rsidR="0041348D" w:rsidP="007C6B4B" w:rsidRDefault="0041348D" w14:paraId="1338FB65" w14:textId="11522BDF">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200.000,00</w:t>
            </w:r>
          </w:p>
        </w:tc>
        <w:tc>
          <w:tcPr>
            <w:tcW w:w="1656" w:type="dxa"/>
          </w:tcPr>
          <w:p w:rsidRPr="00D97FAD" w:rsidR="0041348D" w:rsidP="007C6B4B" w:rsidRDefault="0041348D" w14:paraId="0C1110A2" w14:textId="4FAC9278">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200.000,00</w:t>
            </w:r>
          </w:p>
        </w:tc>
      </w:tr>
    </w:tbl>
    <w:p w:rsidRPr="00D97FAD" w:rsidR="0095711B" w:rsidP="6640F5AC" w:rsidRDefault="6640F5AC" w14:paraId="19EE7AB7" w14:textId="0D3B3D70">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Agencia Ejecutora y estructura de ejecución </w:t>
      </w:r>
    </w:p>
    <w:p w:rsidRPr="00743B46" w:rsidR="00743B46" w:rsidP="6640F5AC" w:rsidRDefault="000318AF" w14:paraId="17B369C7"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color w:val="000000" w:themeColor="text1"/>
          <w:lang w:val="es-ES"/>
        </w:rPr>
        <w:t>A petición del Gobierno de Panamá, l</w:t>
      </w:r>
      <w:r w:rsidRPr="00D761D4">
        <w:rPr>
          <w:rFonts w:ascii="Arial" w:hAnsi="Arial" w:eastAsia="Arial" w:cs="Arial"/>
          <w:color w:val="000000" w:themeColor="text1"/>
          <w:lang w:val="es-ES"/>
        </w:rPr>
        <w:t>a CT será ejecutada por el BID, a través de la División de Gestión Fiscal (IFD/FMM); y en estrecha colaboración con</w:t>
      </w:r>
      <w:r>
        <w:rPr>
          <w:rFonts w:ascii="Arial" w:hAnsi="Arial" w:eastAsia="Arial" w:cs="Arial"/>
          <w:color w:val="000000" w:themeColor="text1"/>
          <w:lang w:val="es-ES"/>
        </w:rPr>
        <w:t xml:space="preserve"> el país</w:t>
      </w:r>
      <w:r w:rsidRPr="00D761D4">
        <w:rPr>
          <w:rFonts w:ascii="Arial" w:hAnsi="Arial" w:eastAsia="Arial" w:cs="Arial"/>
          <w:color w:val="000000" w:themeColor="text1"/>
          <w:lang w:val="es-ES"/>
        </w:rPr>
        <w:t>. En línea con los criterios establecidos en el Anexo II de los Procedimientos para el Procesamiento de Operaciones de CT (OP</w:t>
      </w:r>
      <w:r>
        <w:rPr>
          <w:rFonts w:ascii="Arial" w:hAnsi="Arial" w:eastAsia="Arial" w:cs="Arial"/>
          <w:color w:val="000000" w:themeColor="text1"/>
          <w:lang w:val="es-ES"/>
        </w:rPr>
        <w:noBreakHyphen/>
      </w:r>
      <w:r w:rsidRPr="00D761D4">
        <w:rPr>
          <w:rFonts w:ascii="Arial" w:hAnsi="Arial" w:eastAsia="Arial" w:cs="Arial"/>
          <w:color w:val="000000" w:themeColor="text1"/>
          <w:lang w:val="es-ES"/>
        </w:rPr>
        <w:t>619-4),</w:t>
      </w:r>
      <w:r w:rsidRPr="10053287">
        <w:rPr>
          <w:rFonts w:ascii="Arial" w:hAnsi="Arial" w:eastAsia="Arial" w:cs="Arial"/>
          <w:color w:val="000000" w:themeColor="text1"/>
          <w:lang w:val="es-ES"/>
        </w:rPr>
        <w:t> la</w:t>
      </w:r>
      <w:r w:rsidRPr="00D761D4">
        <w:rPr>
          <w:rFonts w:ascii="Arial" w:hAnsi="Arial" w:eastAsia="Arial" w:cs="Arial"/>
          <w:color w:val="000000" w:themeColor="text1"/>
          <w:lang w:val="es-ES"/>
        </w:rPr>
        <w:t xml:space="preserve"> ejecución por parte del </w:t>
      </w:r>
      <w:r w:rsidRPr="10053287">
        <w:rPr>
          <w:rFonts w:ascii="Arial" w:hAnsi="Arial" w:eastAsia="Arial" w:cs="Arial"/>
          <w:color w:val="000000" w:themeColor="text1"/>
          <w:lang w:val="es-ES"/>
        </w:rPr>
        <w:t>Banco se</w:t>
      </w:r>
      <w:r w:rsidRPr="00D761D4">
        <w:rPr>
          <w:rFonts w:ascii="Arial" w:hAnsi="Arial" w:eastAsia="Arial" w:cs="Arial"/>
          <w:color w:val="000000" w:themeColor="text1"/>
          <w:lang w:val="es-ES"/>
        </w:rPr>
        <w:t xml:space="preserve"> justifica debido a que: </w:t>
      </w:r>
      <w:r w:rsidRPr="00A11BC4">
        <w:rPr>
          <w:rFonts w:ascii="Arial" w:hAnsi="Arial" w:eastAsia="Arial" w:cs="Arial"/>
          <w:color w:val="000000" w:themeColor="text1"/>
          <w:lang w:val="es-ES"/>
        </w:rPr>
        <w:t>(i)</w:t>
      </w:r>
      <w:r w:rsidRPr="10053287">
        <w:rPr>
          <w:rFonts w:ascii="Arial" w:hAnsi="Arial" w:eastAsia="Arial" w:cs="Arial"/>
          <w:color w:val="000000" w:themeColor="text1"/>
          <w:lang w:val="es-ES"/>
        </w:rPr>
        <w:t> </w:t>
      </w:r>
      <w:r w:rsidR="005F4165">
        <w:rPr>
          <w:rFonts w:ascii="Arial" w:hAnsi="Arial" w:eastAsia="Arial" w:cs="Arial"/>
          <w:color w:val="000000" w:themeColor="text1"/>
          <w:lang w:val="es-ES"/>
        </w:rPr>
        <w:t xml:space="preserve">el Gobierno de </w:t>
      </w:r>
      <w:r>
        <w:rPr>
          <w:rFonts w:ascii="Arial" w:hAnsi="Arial" w:eastAsia="Arial" w:cs="Arial"/>
          <w:color w:val="000000" w:themeColor="text1"/>
          <w:lang w:val="es-ES"/>
        </w:rPr>
        <w:t xml:space="preserve">Panamá </w:t>
      </w:r>
      <w:r w:rsidRPr="00A11BC4">
        <w:rPr>
          <w:rFonts w:ascii="Arial" w:hAnsi="Arial" w:eastAsia="Arial" w:cs="Arial"/>
          <w:color w:val="000000" w:themeColor="text1"/>
          <w:lang w:val="es-ES"/>
        </w:rPr>
        <w:t>solicit</w:t>
      </w:r>
      <w:r>
        <w:rPr>
          <w:rFonts w:ascii="Arial" w:hAnsi="Arial" w:eastAsia="Arial" w:cs="Arial"/>
          <w:color w:val="000000" w:themeColor="text1"/>
          <w:lang w:val="es-ES"/>
        </w:rPr>
        <w:t>ó</w:t>
      </w:r>
      <w:r w:rsidRPr="00A11BC4">
        <w:rPr>
          <w:rFonts w:ascii="Arial" w:hAnsi="Arial" w:eastAsia="Arial" w:cs="Arial"/>
          <w:color w:val="000000" w:themeColor="text1"/>
          <w:lang w:val="es-ES"/>
        </w:rPr>
        <w:t xml:space="preserve"> al Banco ser el ejecutor por la naturaleza </w:t>
      </w:r>
      <w:r>
        <w:rPr>
          <w:rFonts w:ascii="Arial" w:hAnsi="Arial" w:eastAsia="Arial" w:cs="Arial"/>
          <w:color w:val="000000" w:themeColor="text1"/>
          <w:lang w:val="es-ES"/>
        </w:rPr>
        <w:t xml:space="preserve">del trabajo </w:t>
      </w:r>
      <w:r w:rsidRPr="00A11BC4">
        <w:rPr>
          <w:rFonts w:ascii="Arial" w:hAnsi="Arial" w:eastAsia="Arial" w:cs="Arial"/>
          <w:color w:val="000000" w:themeColor="text1"/>
          <w:lang w:val="es-ES"/>
        </w:rPr>
        <w:t>que se desarrollará</w:t>
      </w:r>
      <w:r>
        <w:rPr>
          <w:rFonts w:ascii="Arial" w:hAnsi="Arial" w:eastAsia="Arial" w:cs="Arial"/>
          <w:color w:val="000000" w:themeColor="text1"/>
          <w:lang w:val="es-ES"/>
        </w:rPr>
        <w:t xml:space="preserve">; </w:t>
      </w:r>
      <w:r w:rsidRPr="00A11BC4">
        <w:rPr>
          <w:rFonts w:ascii="Arial" w:hAnsi="Arial" w:eastAsia="Arial" w:cs="Arial"/>
          <w:color w:val="000000" w:themeColor="text1"/>
          <w:lang w:val="es-ES"/>
        </w:rPr>
        <w:t>(</w:t>
      </w:r>
      <w:proofErr w:type="spellStart"/>
      <w:r w:rsidRPr="00A11BC4">
        <w:rPr>
          <w:rFonts w:ascii="Arial" w:hAnsi="Arial" w:eastAsia="Arial" w:cs="Arial"/>
          <w:color w:val="000000" w:themeColor="text1"/>
          <w:lang w:val="es-ES"/>
        </w:rPr>
        <w:t>ii</w:t>
      </w:r>
      <w:proofErr w:type="spellEnd"/>
      <w:r w:rsidRPr="00A11BC4">
        <w:rPr>
          <w:rFonts w:ascii="Arial" w:hAnsi="Arial" w:eastAsia="Arial" w:cs="Arial"/>
          <w:color w:val="000000" w:themeColor="text1"/>
          <w:lang w:val="es-ES"/>
        </w:rPr>
        <w:t>)</w:t>
      </w:r>
      <w:r>
        <w:rPr>
          <w:rFonts w:ascii="Arial" w:hAnsi="Arial" w:eastAsia="Arial" w:cs="Arial"/>
          <w:color w:val="000000" w:themeColor="text1"/>
          <w:lang w:val="es-ES"/>
        </w:rPr>
        <w:t> </w:t>
      </w:r>
      <w:r w:rsidRPr="00A11BC4">
        <w:rPr>
          <w:rFonts w:ascii="Arial" w:hAnsi="Arial" w:eastAsia="Arial" w:cs="Arial"/>
          <w:color w:val="000000" w:themeColor="text1"/>
          <w:lang w:val="es-ES"/>
        </w:rPr>
        <w:t>la</w:t>
      </w:r>
      <w:r>
        <w:rPr>
          <w:rFonts w:ascii="Arial" w:hAnsi="Arial" w:eastAsia="Arial" w:cs="Arial"/>
          <w:color w:val="000000" w:themeColor="text1"/>
          <w:lang w:val="es-ES"/>
        </w:rPr>
        <w:t xml:space="preserve"> </w:t>
      </w:r>
      <w:r w:rsidRPr="00A11BC4">
        <w:rPr>
          <w:rFonts w:ascii="Arial" w:hAnsi="Arial" w:eastAsia="Arial" w:cs="Arial"/>
          <w:color w:val="000000" w:themeColor="text1"/>
          <w:lang w:val="es-ES"/>
        </w:rPr>
        <w:t>División tiene liderazgo</w:t>
      </w:r>
      <w:r>
        <w:rPr>
          <w:rFonts w:ascii="Arial" w:hAnsi="Arial" w:eastAsia="Arial" w:cs="Arial"/>
          <w:color w:val="000000" w:themeColor="text1"/>
          <w:lang w:val="es-ES"/>
        </w:rPr>
        <w:t xml:space="preserve">, </w:t>
      </w:r>
      <w:r w:rsidRPr="00321B32">
        <w:rPr>
          <w:rFonts w:ascii="Arial" w:hAnsi="Arial" w:eastAsia="Arial" w:cs="Arial"/>
          <w:color w:val="000000" w:themeColor="text1"/>
          <w:lang w:val="es-ES"/>
        </w:rPr>
        <w:t>capacidades técnicas</w:t>
      </w:r>
      <w:r>
        <w:rPr>
          <w:rFonts w:ascii="Arial" w:hAnsi="Arial" w:eastAsia="Arial" w:cs="Arial"/>
          <w:color w:val="000000" w:themeColor="text1"/>
          <w:lang w:val="es-ES"/>
        </w:rPr>
        <w:t>;</w:t>
      </w:r>
      <w:r w:rsidRPr="00321B32">
        <w:rPr>
          <w:rFonts w:ascii="Arial" w:hAnsi="Arial" w:eastAsia="Arial" w:cs="Arial"/>
          <w:color w:val="000000" w:themeColor="text1"/>
          <w:lang w:val="es-ES"/>
        </w:rPr>
        <w:t xml:space="preserve"> y operativas </w:t>
      </w:r>
      <w:r w:rsidRPr="00A11BC4">
        <w:rPr>
          <w:rFonts w:ascii="Arial" w:hAnsi="Arial" w:eastAsia="Arial" w:cs="Arial"/>
          <w:color w:val="000000" w:themeColor="text1"/>
          <w:lang w:val="es-ES"/>
        </w:rPr>
        <w:t xml:space="preserve">apoyando a los países en </w:t>
      </w:r>
      <w:r>
        <w:rPr>
          <w:rFonts w:ascii="Arial" w:hAnsi="Arial" w:eastAsia="Arial" w:cs="Arial"/>
          <w:color w:val="000000" w:themeColor="text1"/>
          <w:lang w:val="es-ES"/>
        </w:rPr>
        <w:t>temas de</w:t>
      </w:r>
      <w:r w:rsidRPr="00A11BC4">
        <w:rPr>
          <w:rFonts w:ascii="Arial" w:hAnsi="Arial" w:eastAsia="Arial" w:cs="Arial"/>
          <w:color w:val="000000" w:themeColor="text1"/>
          <w:lang w:val="es-ES"/>
        </w:rPr>
        <w:t xml:space="preserve"> </w:t>
      </w:r>
      <w:r>
        <w:rPr>
          <w:rFonts w:ascii="Arial" w:hAnsi="Arial" w:eastAsia="Arial" w:cs="Arial"/>
          <w:color w:val="000000" w:themeColor="text1"/>
          <w:lang w:val="es-ES"/>
        </w:rPr>
        <w:t xml:space="preserve">diseño e implementación de medidas que </w:t>
      </w:r>
      <w:r w:rsidRPr="006B0357">
        <w:rPr>
          <w:rFonts w:ascii="Arial" w:hAnsi="Arial" w:eastAsia="Arial" w:cs="Arial"/>
          <w:color w:val="000000" w:themeColor="text1"/>
          <w:lang w:val="es-ES"/>
        </w:rPr>
        <w:t>contribuyan al fortalecimiento institucional; y (</w:t>
      </w:r>
      <w:proofErr w:type="spellStart"/>
      <w:r w:rsidRPr="006B0357">
        <w:rPr>
          <w:rFonts w:ascii="Arial" w:hAnsi="Arial" w:eastAsia="Arial" w:cs="Arial"/>
          <w:color w:val="000000" w:themeColor="text1"/>
          <w:lang w:val="es-ES"/>
        </w:rPr>
        <w:t>iii</w:t>
      </w:r>
      <w:proofErr w:type="spellEnd"/>
      <w:r w:rsidRPr="006B0357">
        <w:rPr>
          <w:rFonts w:ascii="Arial" w:hAnsi="Arial" w:eastAsia="Arial" w:cs="Arial"/>
          <w:color w:val="000000" w:themeColor="text1"/>
          <w:lang w:val="es-ES"/>
        </w:rPr>
        <w:t xml:space="preserve">) </w:t>
      </w:r>
      <w:r>
        <w:rPr>
          <w:rFonts w:ascii="Arial" w:hAnsi="Arial" w:eastAsia="Arial" w:cs="Arial"/>
          <w:color w:val="000000" w:themeColor="text1"/>
          <w:lang w:val="es-ES"/>
        </w:rPr>
        <w:t>la naturaleza de los</w:t>
      </w:r>
      <w:r w:rsidRPr="006B0357">
        <w:rPr>
          <w:rFonts w:ascii="Arial" w:hAnsi="Arial" w:eastAsia="Arial" w:cs="Arial"/>
          <w:color w:val="000000" w:themeColor="text1"/>
          <w:lang w:val="es-ES"/>
        </w:rPr>
        <w:t xml:space="preserve"> productos de la CT</w:t>
      </w:r>
      <w:r>
        <w:rPr>
          <w:rFonts w:ascii="Arial" w:hAnsi="Arial" w:eastAsia="Arial" w:cs="Arial"/>
          <w:color w:val="000000" w:themeColor="text1"/>
          <w:lang w:val="es-ES"/>
        </w:rPr>
        <w:t xml:space="preserve"> en la cual el </w:t>
      </w:r>
      <w:r w:rsidRPr="006B0357">
        <w:rPr>
          <w:rFonts w:ascii="Arial" w:hAnsi="Arial" w:eastAsia="Arial" w:cs="Arial"/>
          <w:color w:val="000000" w:themeColor="text1"/>
          <w:lang w:val="es-ES"/>
        </w:rPr>
        <w:t>Banco cuenta con una amplia experiencia en las temáticas</w:t>
      </w:r>
      <w:r w:rsidRPr="00A11BC4">
        <w:rPr>
          <w:rFonts w:ascii="Arial" w:hAnsi="Arial" w:eastAsia="Arial" w:cs="Arial"/>
          <w:color w:val="000000" w:themeColor="text1"/>
          <w:lang w:val="es-ES"/>
        </w:rPr>
        <w:t xml:space="preserve"> de esta CT, habiendo financiado préstamos y ejecutado cooperaciones técnicas en esta área en varios países de la región.</w:t>
      </w:r>
    </w:p>
    <w:p w:rsidRPr="00C81CE0" w:rsidR="00C81CE0" w:rsidP="6640F5AC" w:rsidRDefault="000318AF" w14:paraId="55C94D43"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725D587F">
        <w:rPr>
          <w:rFonts w:ascii="Arial" w:hAnsi="Arial" w:eastAsia="Arial" w:cs="Arial"/>
          <w:color w:val="000000" w:themeColor="text1"/>
          <w:lang w:val="es-ES"/>
        </w:rPr>
        <w:t>La responsabilidad del Banco como organismo ejecutor abarca la selección y contratación de consultores, los cuales tendrán términos de referencia bien definidos con entregables específicos y pagos por producto. Además, se contratarán servicios logísticos distintos de consultoría. Lo anterior en estricto cumplimiento de lo establecido en el Anexo II de la OP-619-4</w:t>
      </w:r>
      <w:r>
        <w:rPr>
          <w:rFonts w:ascii="Arial" w:hAnsi="Arial" w:eastAsia="Arial" w:cs="Arial"/>
          <w:color w:val="000000" w:themeColor="text1"/>
          <w:lang w:val="es-ES"/>
        </w:rPr>
        <w:t xml:space="preserve">. </w:t>
      </w:r>
      <w:r w:rsidRPr="725D587F">
        <w:rPr>
          <w:rFonts w:ascii="Arial" w:hAnsi="Arial" w:eastAsia="Arial" w:cs="Arial"/>
          <w:color w:val="000000" w:themeColor="text1"/>
          <w:lang w:val="es-ES"/>
        </w:rPr>
        <w:t>Criterios aplicados a la contratación por el Banco de las Directrices Operativas para Productos de Cooperación Técnica (GN</w:t>
      </w:r>
      <w:r>
        <w:rPr>
          <w:rFonts w:ascii="Arial" w:hAnsi="Arial" w:eastAsia="Arial" w:cs="Arial"/>
          <w:color w:val="000000" w:themeColor="text1"/>
          <w:lang w:val="es-ES"/>
        </w:rPr>
        <w:noBreakHyphen/>
      </w:r>
      <w:r w:rsidRPr="725D587F">
        <w:rPr>
          <w:rFonts w:ascii="Arial" w:hAnsi="Arial" w:eastAsia="Arial" w:cs="Arial"/>
          <w:color w:val="000000" w:themeColor="text1"/>
          <w:lang w:val="es-ES"/>
        </w:rPr>
        <w:t>2629-1)</w:t>
      </w:r>
      <w:r>
        <w:rPr>
          <w:rFonts w:ascii="Arial" w:hAnsi="Arial" w:eastAsia="Arial" w:cs="Arial"/>
          <w:color w:val="000000" w:themeColor="text1"/>
          <w:lang w:val="es-ES"/>
        </w:rPr>
        <w:t>.</w:t>
      </w:r>
      <w:r w:rsidRPr="00106C2B">
        <w:rPr>
          <w:rFonts w:ascii="Arial" w:hAnsi="Arial" w:eastAsia="Arial" w:cs="Arial"/>
          <w:color w:val="000000" w:themeColor="text1"/>
          <w:lang w:val="es-ES"/>
        </w:rPr>
        <w:t xml:space="preserve"> </w:t>
      </w:r>
    </w:p>
    <w:p w:rsidRPr="00D97FAD" w:rsidR="004E0EED" w:rsidP="1D05E568" w:rsidRDefault="00B5363A" w14:paraId="19EE7AB9" w14:textId="491DDA50">
      <w:pPr>
        <w:pStyle w:val="ListParagraph"/>
        <w:numPr>
          <w:ilvl w:val="1"/>
          <w:numId w:val="5"/>
        </w:numPr>
        <w:spacing w:before="120" w:after="120" w:line="240" w:lineRule="auto"/>
        <w:ind w:hanging="540"/>
        <w:jc w:val="both"/>
        <w:rPr>
          <w:rFonts w:ascii="Arial" w:hAnsi="Arial" w:eastAsia="Arial" w:cs="Arial"/>
          <w:lang w:val="es-ES"/>
        </w:rPr>
      </w:pPr>
      <w:r w:rsidRPr="009F4424">
        <w:rPr>
          <w:rFonts w:ascii="Arial" w:hAnsi="Arial" w:eastAsia="Arial" w:cs="Arial"/>
          <w:b/>
          <w:bCs/>
          <w:color w:val="000000" w:themeColor="text1"/>
          <w:lang w:val="es-ES"/>
        </w:rPr>
        <w:t>Adquisiciones.</w:t>
      </w:r>
      <w:r>
        <w:rPr>
          <w:rFonts w:ascii="Arial" w:hAnsi="Arial" w:eastAsia="Arial" w:cs="Arial"/>
          <w:color w:val="000000" w:themeColor="text1"/>
          <w:lang w:val="es-ES"/>
        </w:rPr>
        <w:t xml:space="preserve"> </w:t>
      </w:r>
      <w:r w:rsidRPr="1D05E568" w:rsidR="13E91965">
        <w:rPr>
          <w:rFonts w:ascii="Arial" w:hAnsi="Arial" w:eastAsia="Arial" w:cs="Arial"/>
          <w:sz w:val="20"/>
          <w:szCs w:val="20"/>
          <w:lang w:val="es-CL"/>
        </w:rPr>
        <w:t xml:space="preserve"> </w:t>
      </w:r>
      <w:r w:rsidRPr="00155D9A" w:rsidR="13E91965">
        <w:rPr>
          <w:rFonts w:ascii="Arial" w:hAnsi="Arial" w:eastAsia="Arial" w:cs="Arial"/>
          <w:lang w:val="es-CL"/>
        </w:rPr>
        <w:t>Las actividades a ejecutar bajo esta operación se han incluido en el Plan de Adquisiciones (Anexo IV) y serán ejecutadas de acuerdo con los métodos de adquisiciones establecidos del Banco, a saber: (a) Contratación de consultores individuales, según lo establecido en las normas AM-650; (b) Contratación de firmas consultoras para servicios de naturaleza intelectual según la GN-2765-4 y sus guías operativas asociadas (OP-1155-4) y (c) Contratación de servicios logísticos y otros servicios distintos a consultoría, de acuerdo a la política GN-2303-28</w:t>
      </w:r>
      <w:r w:rsidRPr="00155D9A" w:rsidR="00051B30">
        <w:rPr>
          <w:rStyle w:val="normaltextrun"/>
          <w:rFonts w:ascii="Arial" w:hAnsi="Arial" w:cs="Arial"/>
          <w:color w:val="000000"/>
          <w:shd w:val="clear" w:color="auto" w:fill="FFFFFF"/>
          <w:lang w:val="es-CO"/>
        </w:rPr>
        <w:t>.</w:t>
      </w:r>
      <w:r w:rsidR="00051B30">
        <w:rPr>
          <w:rStyle w:val="normaltextrun"/>
          <w:rFonts w:ascii="Arial" w:hAnsi="Arial" w:cs="Arial"/>
          <w:color w:val="000000"/>
          <w:shd w:val="clear" w:color="auto" w:fill="FFFFFF"/>
          <w:lang w:val="es-CO"/>
        </w:rPr>
        <w:t xml:space="preserve"> Asimismo, acorde a lo estipulado en el </w:t>
      </w:r>
      <w:r w:rsidR="00051B30">
        <w:rPr>
          <w:rStyle w:val="normaltextrun"/>
          <w:rFonts w:ascii="Arial" w:hAnsi="Arial" w:cs="Arial"/>
          <w:color w:val="000000"/>
          <w:shd w:val="clear" w:color="auto" w:fill="FFFFFF"/>
          <w:lang w:val="es-ES"/>
        </w:rPr>
        <w:t>Anexo II del documento OP6194, confirmamos que los consultores individuales (i) no realizarán funciones similares a las del personal del Banco o del Beneficiario; y (</w:t>
      </w:r>
      <w:proofErr w:type="spellStart"/>
      <w:r w:rsidR="00051B30">
        <w:rPr>
          <w:rStyle w:val="normaltextrun"/>
          <w:rFonts w:ascii="Arial" w:hAnsi="Arial" w:cs="Arial"/>
          <w:color w:val="000000"/>
          <w:shd w:val="clear" w:color="auto" w:fill="FFFFFF"/>
          <w:lang w:val="es-ES"/>
        </w:rPr>
        <w:t>ii</w:t>
      </w:r>
      <w:proofErr w:type="spellEnd"/>
      <w:r w:rsidR="00051B30">
        <w:rPr>
          <w:rStyle w:val="normaltextrun"/>
          <w:rFonts w:ascii="Arial" w:hAnsi="Arial" w:cs="Arial"/>
          <w:color w:val="000000"/>
          <w:shd w:val="clear" w:color="auto" w:fill="FFFFFF"/>
          <w:lang w:val="es-ES"/>
        </w:rPr>
        <w:t xml:space="preserve">) no serán contratados para que actúen como contraparte del Banco en nombre del Beneficiario. </w:t>
      </w:r>
    </w:p>
    <w:p w:rsidRPr="00D97FAD" w:rsidR="003F5F31" w:rsidP="008F4286" w:rsidRDefault="003F5F31" w14:paraId="19EE7ABE" w14:textId="77777777">
      <w:pPr>
        <w:pStyle w:val="ListParagraph"/>
        <w:spacing w:before="120" w:after="120" w:line="240" w:lineRule="auto"/>
        <w:ind w:left="1080"/>
        <w:rPr>
          <w:rFonts w:ascii="Arial" w:hAnsi="Arial" w:cs="Arial"/>
          <w:lang w:val="es-ES"/>
        </w:rPr>
      </w:pPr>
    </w:p>
    <w:p w:rsidRPr="00D97FAD" w:rsidR="0095711B" w:rsidP="6640F5AC" w:rsidRDefault="6640F5AC" w14:paraId="19EE7AC5" w14:textId="27BD2C0C">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Riesgos importantes </w:t>
      </w:r>
    </w:p>
    <w:p w:rsidRPr="00953088" w:rsidR="00953088" w:rsidP="00B45AB4" w:rsidRDefault="006307C4" w14:paraId="2FAB4725" w14:textId="170408D1">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Los</w:t>
      </w:r>
      <w:r w:rsidR="007F217F">
        <w:rPr>
          <w:rFonts w:ascii="Arial" w:hAnsi="Arial" w:eastAsia="Arial" w:cs="Arial"/>
          <w:lang w:val="es-ES"/>
        </w:rPr>
        <w:t xml:space="preserve"> riesgos que se contemplan </w:t>
      </w:r>
      <w:r>
        <w:rPr>
          <w:rFonts w:ascii="Arial" w:hAnsi="Arial" w:eastAsia="Arial" w:cs="Arial"/>
          <w:lang w:val="es-ES"/>
        </w:rPr>
        <w:t xml:space="preserve">están relacionados con la asignación del personal por parte </w:t>
      </w:r>
      <w:r w:rsidR="00E962D3">
        <w:rPr>
          <w:rFonts w:ascii="Arial" w:hAnsi="Arial" w:eastAsia="Arial" w:cs="Arial"/>
          <w:lang w:val="es-ES"/>
        </w:rPr>
        <w:t xml:space="preserve"> del Ministerio de Economía y Finanzas de Panamá (</w:t>
      </w:r>
      <w:r w:rsidRPr="003955B3" w:rsidR="00E962D3">
        <w:rPr>
          <w:rFonts w:ascii="Arial" w:hAnsi="Arial" w:cs="Arial"/>
          <w:lang w:val="es-419"/>
        </w:rPr>
        <w:t>MEF</w:t>
      </w:r>
      <w:r w:rsidR="00E962D3">
        <w:rPr>
          <w:rFonts w:ascii="Arial" w:hAnsi="Arial" w:cs="Arial"/>
          <w:lang w:val="es-419"/>
        </w:rPr>
        <w:t>)</w:t>
      </w:r>
      <w:r w:rsidR="00CA5319">
        <w:rPr>
          <w:rFonts w:ascii="Arial" w:hAnsi="Arial" w:cs="Arial"/>
          <w:lang w:val="es-419"/>
        </w:rPr>
        <w:t xml:space="preserve">, siendo los riesgos previstos: (i) </w:t>
      </w:r>
      <w:r w:rsidR="005845B0">
        <w:rPr>
          <w:rFonts w:ascii="Arial" w:hAnsi="Arial" w:cs="Arial"/>
          <w:lang w:val="es-419"/>
        </w:rPr>
        <w:t xml:space="preserve">asignación de </w:t>
      </w:r>
      <w:r w:rsidRPr="003955B3" w:rsidR="00F818D7">
        <w:rPr>
          <w:rFonts w:ascii="Arial" w:hAnsi="Arial" w:cs="Arial"/>
          <w:lang w:val="es-419"/>
        </w:rPr>
        <w:t>personal</w:t>
      </w:r>
      <w:r w:rsidRPr="003955B3" w:rsidR="00E962D3">
        <w:rPr>
          <w:rFonts w:ascii="Arial" w:hAnsi="Arial" w:cs="Arial"/>
          <w:lang w:val="es-419"/>
        </w:rPr>
        <w:t xml:space="preserve"> </w:t>
      </w:r>
      <w:r w:rsidR="005845B0">
        <w:rPr>
          <w:rFonts w:ascii="Arial" w:hAnsi="Arial" w:cs="Arial"/>
          <w:lang w:val="es-419"/>
        </w:rPr>
        <w:t xml:space="preserve">no </w:t>
      </w:r>
      <w:r w:rsidRPr="003955B3" w:rsidR="00E962D3">
        <w:rPr>
          <w:rFonts w:ascii="Arial" w:hAnsi="Arial" w:cs="Arial"/>
          <w:lang w:val="es-419"/>
        </w:rPr>
        <w:t>calificado como contraparte en el desarrollo de los análisis y desarrollo e implementación de nuevas metodologías analíticas y herramientas digitales</w:t>
      </w:r>
      <w:r w:rsidR="00953088">
        <w:rPr>
          <w:rFonts w:ascii="Arial" w:hAnsi="Arial" w:cs="Arial"/>
          <w:lang w:val="es-419"/>
        </w:rPr>
        <w:t>; (</w:t>
      </w:r>
      <w:proofErr w:type="spellStart"/>
      <w:r w:rsidR="00953088">
        <w:rPr>
          <w:rFonts w:ascii="Arial" w:hAnsi="Arial" w:cs="Arial"/>
          <w:lang w:val="es-419"/>
        </w:rPr>
        <w:t>ii</w:t>
      </w:r>
      <w:proofErr w:type="spellEnd"/>
      <w:r w:rsidR="00953088">
        <w:rPr>
          <w:rFonts w:ascii="Arial" w:hAnsi="Arial" w:cs="Arial"/>
          <w:lang w:val="es-419"/>
        </w:rPr>
        <w:t>) la no continuación del personal contratado para trabajar en los temas analíticos y metodológicos</w:t>
      </w:r>
      <w:r w:rsidR="00592AD3">
        <w:rPr>
          <w:rFonts w:ascii="Arial" w:hAnsi="Arial" w:cs="Arial"/>
          <w:lang w:val="es-419"/>
        </w:rPr>
        <w:t>,</w:t>
      </w:r>
      <w:r w:rsidRPr="00592AD3" w:rsidR="00592AD3">
        <w:rPr>
          <w:rFonts w:ascii="Arial" w:hAnsi="Arial" w:cs="Arial"/>
          <w:lang w:val="es-419"/>
        </w:rPr>
        <w:t xml:space="preserve"> </w:t>
      </w:r>
      <w:r w:rsidR="00592AD3">
        <w:rPr>
          <w:rFonts w:ascii="Arial" w:hAnsi="Arial" w:cs="Arial"/>
          <w:lang w:val="es-419"/>
        </w:rPr>
        <w:t>ya sea por cambio de gobierno que se llevará a cabo en el 2024 u otros temas relacionados a oportunidades en el sector privado</w:t>
      </w:r>
      <w:r w:rsidR="00953088">
        <w:rPr>
          <w:rFonts w:ascii="Arial" w:hAnsi="Arial" w:cs="Arial"/>
          <w:lang w:val="es-419"/>
        </w:rPr>
        <w:t xml:space="preserve"> </w:t>
      </w:r>
    </w:p>
    <w:p w:rsidRPr="00F9188B" w:rsidR="0023182E" w:rsidP="00B45AB4" w:rsidRDefault="00953088" w14:paraId="19EE7AC7" w14:textId="3B60F7B1">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ES"/>
        </w:rPr>
        <w:lastRenderedPageBreak/>
        <w:t xml:space="preserve">El primero de </w:t>
      </w:r>
      <w:r w:rsidR="00B30018">
        <w:rPr>
          <w:rFonts w:ascii="Arial" w:hAnsi="Arial" w:cs="Arial"/>
          <w:lang w:val="es-ES"/>
        </w:rPr>
        <w:t xml:space="preserve">los </w:t>
      </w:r>
      <w:r w:rsidR="00B30018">
        <w:rPr>
          <w:rFonts w:ascii="Arial" w:hAnsi="Arial" w:cs="Arial"/>
          <w:lang w:val="es-419"/>
        </w:rPr>
        <w:t>riesgos</w:t>
      </w:r>
      <w:r>
        <w:rPr>
          <w:rFonts w:ascii="Arial" w:hAnsi="Arial" w:cs="Arial"/>
          <w:lang w:val="es-419"/>
        </w:rPr>
        <w:t xml:space="preserve"> </w:t>
      </w:r>
      <w:r w:rsidR="00F818D7">
        <w:rPr>
          <w:rFonts w:ascii="Arial" w:hAnsi="Arial" w:cs="Arial"/>
          <w:lang w:val="es-419"/>
        </w:rPr>
        <w:t xml:space="preserve">será mitigado gracias a la labor </w:t>
      </w:r>
      <w:r w:rsidR="00A84007">
        <w:rPr>
          <w:rFonts w:ascii="Arial" w:hAnsi="Arial" w:cs="Arial"/>
          <w:lang w:val="es-419"/>
        </w:rPr>
        <w:t>que ha venido haciendo el</w:t>
      </w:r>
      <w:r w:rsidR="00E962D3">
        <w:rPr>
          <w:rFonts w:ascii="Arial" w:hAnsi="Arial" w:cs="Arial"/>
          <w:lang w:val="es-419"/>
        </w:rPr>
        <w:t xml:space="preserve"> Banco </w:t>
      </w:r>
      <w:r w:rsidR="00A84007">
        <w:rPr>
          <w:rFonts w:ascii="Arial" w:hAnsi="Arial" w:cs="Arial"/>
          <w:lang w:val="es-419"/>
        </w:rPr>
        <w:t>con el apoyo</w:t>
      </w:r>
      <w:r w:rsidR="00E962D3">
        <w:rPr>
          <w:rFonts w:ascii="Arial" w:hAnsi="Arial" w:cs="Arial"/>
          <w:lang w:val="es-419"/>
        </w:rPr>
        <w:t xml:space="preserve"> a la DGI y MEF a construir perfiles técnicos adecuados a fin de poder construir las bases para una transferencia de conocimiento efectiva</w:t>
      </w:r>
      <w:r w:rsidR="005845B0">
        <w:rPr>
          <w:rFonts w:ascii="Arial" w:hAnsi="Arial" w:cs="Arial"/>
          <w:lang w:val="es-419"/>
        </w:rPr>
        <w:t xml:space="preserve">. </w:t>
      </w:r>
    </w:p>
    <w:p w:rsidRPr="00D97FAD" w:rsidR="00F9188B" w:rsidP="00B45AB4" w:rsidRDefault="00A84007" w14:paraId="649C66DB" w14:textId="11F0062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La mitigación del segundo de los</w:t>
      </w:r>
      <w:r w:rsidR="00A61B21">
        <w:rPr>
          <w:rFonts w:ascii="Arial" w:hAnsi="Arial" w:eastAsia="Arial" w:cs="Arial"/>
          <w:lang w:val="es-ES"/>
        </w:rPr>
        <w:t xml:space="preserve"> </w:t>
      </w:r>
      <w:r w:rsidR="005334FF">
        <w:rPr>
          <w:rFonts w:ascii="Arial" w:hAnsi="Arial" w:eastAsia="Arial" w:cs="Arial"/>
          <w:lang w:val="es-ES"/>
        </w:rPr>
        <w:t>riesgos</w:t>
      </w:r>
      <w:r w:rsidR="0079185F">
        <w:rPr>
          <w:rFonts w:ascii="Arial" w:hAnsi="Arial" w:eastAsia="Arial" w:cs="Arial"/>
          <w:lang w:val="es-ES"/>
        </w:rPr>
        <w:t xml:space="preserve"> </w:t>
      </w:r>
      <w:r w:rsidR="00D263AB">
        <w:rPr>
          <w:rFonts w:ascii="Arial" w:hAnsi="Arial" w:eastAsia="Arial" w:cs="Arial"/>
          <w:lang w:val="es-ES"/>
        </w:rPr>
        <w:t xml:space="preserve">será la contratación </w:t>
      </w:r>
      <w:r w:rsidR="005334FF">
        <w:rPr>
          <w:rFonts w:ascii="Arial" w:hAnsi="Arial" w:eastAsia="Arial" w:cs="Arial"/>
          <w:lang w:val="es-ES"/>
        </w:rPr>
        <w:t xml:space="preserve">de los miembros con fondos presupuestarios nacionales. </w:t>
      </w:r>
      <w:r w:rsidR="007C2618">
        <w:rPr>
          <w:rFonts w:ascii="Arial" w:hAnsi="Arial" w:eastAsia="Arial" w:cs="Arial"/>
          <w:lang w:val="es-ES"/>
        </w:rPr>
        <w:t xml:space="preserve">Siendo esto una lección </w:t>
      </w:r>
      <w:r w:rsidR="00552482">
        <w:rPr>
          <w:rFonts w:ascii="Arial" w:hAnsi="Arial" w:eastAsia="Arial" w:cs="Arial"/>
          <w:lang w:val="es-ES"/>
        </w:rPr>
        <w:t>aprendida,</w:t>
      </w:r>
      <w:r w:rsidR="007C2618">
        <w:rPr>
          <w:rFonts w:ascii="Arial" w:hAnsi="Arial" w:eastAsia="Arial" w:cs="Arial"/>
          <w:lang w:val="es-ES"/>
        </w:rPr>
        <w:t xml:space="preserve"> por</w:t>
      </w:r>
      <w:r w:rsidR="004E1D87">
        <w:rPr>
          <w:rFonts w:ascii="Arial" w:hAnsi="Arial" w:eastAsia="Arial" w:cs="Arial"/>
          <w:lang w:val="es-ES"/>
        </w:rPr>
        <w:t xml:space="preserve"> un lado, por</w:t>
      </w:r>
      <w:r w:rsidR="0079185F">
        <w:rPr>
          <w:rFonts w:ascii="Arial" w:hAnsi="Arial" w:cs="Arial"/>
          <w:lang w:val="es-419"/>
        </w:rPr>
        <w:t xml:space="preserve"> la experiencia observada en el proceso de modernización de la Unidad de Monitoreo y Evaluación y Calidad del Gasto de la Dirección Nacional de Presupuesto (DIPRENA), los miembros contratados para trabajar en esa Unidad fueron contratados con fondos del presupuesto nacional, los perfiles fueron desarrollado por el Banco, la búsqueda de talento se llevó a cabo con apoyo del PNUD, y la contratación se hizo con fondos presupuestarios nacionales. </w:t>
      </w:r>
      <w:proofErr w:type="gramStart"/>
      <w:r w:rsidR="004E1D87">
        <w:rPr>
          <w:rFonts w:ascii="Arial" w:hAnsi="Arial" w:cs="Arial"/>
          <w:lang w:val="es-419"/>
        </w:rPr>
        <w:t>Y</w:t>
      </w:r>
      <w:proofErr w:type="gramEnd"/>
      <w:r w:rsidR="004E1D87">
        <w:rPr>
          <w:rFonts w:ascii="Arial" w:hAnsi="Arial" w:cs="Arial"/>
          <w:lang w:val="es-419"/>
        </w:rPr>
        <w:t xml:space="preserve"> por otro lado, por la </w:t>
      </w:r>
      <w:r w:rsidR="0079185F">
        <w:rPr>
          <w:rFonts w:ascii="Arial" w:hAnsi="Arial" w:cs="Arial"/>
          <w:lang w:val="es-419"/>
        </w:rPr>
        <w:t xml:space="preserve">experiencia </w:t>
      </w:r>
      <w:r w:rsidR="004E1D87">
        <w:rPr>
          <w:rFonts w:ascii="Arial" w:hAnsi="Arial" w:cs="Arial"/>
          <w:lang w:val="es-419"/>
        </w:rPr>
        <w:t xml:space="preserve">sucedida </w:t>
      </w:r>
      <w:r w:rsidR="0079185F">
        <w:rPr>
          <w:rFonts w:ascii="Arial" w:hAnsi="Arial" w:cs="Arial"/>
          <w:lang w:val="es-419"/>
        </w:rPr>
        <w:t>en la ejecución de la operación PN-L1161 con la Dirección General de Ingresos del MEF de Panamá.</w:t>
      </w:r>
    </w:p>
    <w:p w:rsidRPr="00D97FAD" w:rsidR="00F72899" w:rsidP="6640F5AC" w:rsidRDefault="6640F5AC" w14:paraId="19EE7AC8"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D97FAD" w:rsidR="00F72899" w:rsidP="6640F5AC" w:rsidRDefault="0032194A" w14:paraId="19EE7AC9" w14:textId="2A8C6681">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No se prevé ninguna excepción</w:t>
      </w:r>
      <w:r w:rsidRPr="6640F5AC" w:rsidR="6640F5AC">
        <w:rPr>
          <w:rFonts w:ascii="Arial" w:hAnsi="Arial" w:eastAsia="Arial" w:cs="Arial"/>
          <w:lang w:val="es-ES"/>
        </w:rPr>
        <w:t xml:space="preserve"> a las políticas del Banco. </w:t>
      </w:r>
    </w:p>
    <w:p w:rsidRPr="00D97FAD" w:rsidR="0095711B" w:rsidP="6640F5AC" w:rsidRDefault="6640F5AC" w14:paraId="19EE7ACA"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Salvaguardias Ambientales </w:t>
      </w:r>
    </w:p>
    <w:p w:rsidR="00B56CDC" w:rsidP="6640F5AC" w:rsidRDefault="0032194A" w14:paraId="19EE7ACB" w14:textId="703AF70A">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 xml:space="preserve">Esta CT no financiará </w:t>
      </w:r>
      <w:r w:rsidR="00AA3B76">
        <w:rPr>
          <w:rStyle w:val="normaltextrun"/>
          <w:rFonts w:ascii="Arial" w:hAnsi="Arial" w:cs="Arial"/>
          <w:color w:val="000000"/>
          <w:bdr w:val="none" w:color="auto" w:sz="0" w:space="0" w:frame="1"/>
          <w:lang w:val="es-US"/>
        </w:rPr>
        <w:t>estudios de factibilidad o prefactibilidad de proyectos de inversión con estudios ambientales y sociales asociados; por lo tanto, está excluida del alcance del Marco de Política Ambiental y Social (GN-2965-23) del Banco.</w:t>
      </w:r>
    </w:p>
    <w:p w:rsidRPr="00D97FAD" w:rsidR="00AA3B76" w:rsidP="00AA3B76" w:rsidRDefault="00AA3B76" w14:paraId="05EF15B2" w14:textId="77777777">
      <w:pPr>
        <w:pStyle w:val="ListParagraph"/>
        <w:spacing w:before="120" w:after="120" w:line="240" w:lineRule="auto"/>
        <w:ind w:left="360"/>
        <w:contextualSpacing w:val="0"/>
        <w:jc w:val="both"/>
        <w:rPr>
          <w:rFonts w:ascii="Arial" w:hAnsi="Arial" w:eastAsia="Arial" w:cs="Arial"/>
          <w:lang w:val="es-ES"/>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hyperlink w:history="true" r:id="Rc248e6a0805e4407">
            <w:proofErr w:type="gramStart"/>
            <w:r>
              <w:rPr>
                <w:u w:val="single"/>
                <w:color w:themeColor="hyperlink"/>
              </w:rPr>
              <w:t>Matriz de Resultados - PN-T1301</w:t>
            </w:r>
          </w:hyperlink>
        </w:p>
        <w:p>
          <w:hyperlink w:history="true" r:id="R09b23b05e3d440a8">
            <w:proofErr w:type="gramStart"/>
            <w:r>
              <w:rPr>
                <w:u w:val="single"/>
                <w:color w:themeColor="hyperlink"/>
              </w:rPr>
              <w:t>Términos de Referencia - PN-T1301</w:t>
            </w:r>
          </w:hyperlink>
        </w:p>
        <w:p>
          <w:hyperlink w:history="true" r:id="Rf234d1aef0a64041">
            <w:proofErr w:type="gramStart"/>
            <w:r>
              <w:rPr>
                <w:u w:val="single"/>
                <w:color w:themeColor="hyperlink"/>
              </w:rPr>
              <w:t>Plan de Adquisiciones - PN-T1301</w:t>
            </w:r>
          </w:hyperlink>
        </w:p>
      </w:sdtContent>
    </w:sdt>
    <w:p w:rsidRPr="00782D33" w:rsidR="000F2091" w:rsidP="00955395" w:rsidRDefault="000F2091" w14:paraId="7E8FC80A" w14:textId="276A4582">
      <w:pPr>
        <w:spacing w:before="120" w:after="120" w:line="240" w:lineRule="auto"/>
        <w:ind w:left="360" w:hanging="360"/>
        <w:jc w:val="both"/>
        <w:rPr>
          <w:rFonts w:ascii="Arial" w:hAnsi="Arial" w:eastAsia="Arial" w:cs="Arial"/>
          <w:lang w:val="es-ES"/>
        </w:rPr>
      </w:pPr>
    </w:p>
    <w:sectPr w:rsidRPr="00782D33" w:rsidR="000F2091" w:rsidSect="0041610F">
      <w:headerReference w:type="default" r:id="rId14"/>
      <w:footerReference w:type="defaul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7CB8" w:rsidP="0095711B" w:rsidRDefault="00287CB8" w14:paraId="345ED143" w14:textId="77777777">
      <w:pPr>
        <w:spacing w:after="0" w:line="240" w:lineRule="auto"/>
      </w:pPr>
      <w:r>
        <w:separator/>
      </w:r>
    </w:p>
  </w:endnote>
  <w:endnote w:type="continuationSeparator" w:id="0">
    <w:p w:rsidR="00287CB8" w:rsidP="0095711B" w:rsidRDefault="00287CB8" w14:paraId="626C6C61" w14:textId="77777777">
      <w:pPr>
        <w:spacing w:after="0" w:line="240" w:lineRule="auto"/>
      </w:pPr>
      <w:r>
        <w:continuationSeparator/>
      </w:r>
    </w:p>
  </w:endnote>
  <w:endnote w:type="continuationNotice" w:id="1">
    <w:p w:rsidR="00287CB8" w:rsidRDefault="00287CB8" w14:paraId="6BCDF13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Sans-Semi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7CB8" w:rsidP="0095711B" w:rsidRDefault="00287CB8" w14:paraId="7262215C" w14:textId="77777777">
      <w:pPr>
        <w:spacing w:after="0" w:line="240" w:lineRule="auto"/>
      </w:pPr>
      <w:r>
        <w:separator/>
      </w:r>
    </w:p>
  </w:footnote>
  <w:footnote w:type="continuationSeparator" w:id="0">
    <w:p w:rsidR="00287CB8" w:rsidP="0095711B" w:rsidRDefault="00287CB8" w14:paraId="4EBFB2A1" w14:textId="77777777">
      <w:pPr>
        <w:spacing w:after="0" w:line="240" w:lineRule="auto"/>
      </w:pPr>
      <w:r>
        <w:continuationSeparator/>
      </w:r>
    </w:p>
  </w:footnote>
  <w:footnote w:type="continuationNotice" w:id="1">
    <w:p w:rsidR="00287CB8" w:rsidRDefault="00287CB8" w14:paraId="1E7411F9" w14:textId="77777777">
      <w:pPr>
        <w:spacing w:after="0" w:line="240" w:lineRule="auto"/>
      </w:pPr>
    </w:p>
  </w:footnote>
  <w:footnote w:id="2">
    <w:p w:rsidRPr="00106C2B" w:rsidR="00A63720" w:rsidP="00A63720" w:rsidRDefault="00A63720" w14:paraId="202176FC" w14:textId="792CB8BC">
      <w:pPr>
        <w:pStyle w:val="FootnoteText"/>
        <w:rPr>
          <w:lang w:val="es-ES"/>
        </w:rPr>
      </w:pPr>
      <w:r>
        <w:rPr>
          <w:rStyle w:val="FootnoteReference"/>
        </w:rPr>
        <w:footnoteRef/>
      </w:r>
      <w:r w:rsidRPr="00106C2B">
        <w:rPr>
          <w:lang w:val="es-ES"/>
        </w:rPr>
        <w:t xml:space="preserve"> </w:t>
      </w:r>
      <w:r w:rsidRPr="00064215">
        <w:rPr>
          <w:rFonts w:ascii="Arial" w:hAnsi="Arial" w:cs="Arial"/>
          <w:sz w:val="18"/>
          <w:szCs w:val="18"/>
          <w:lang w:val="es-ES"/>
        </w:rPr>
        <w:t>Gesti</w:t>
      </w:r>
      <w:r w:rsidR="00064215">
        <w:rPr>
          <w:rFonts w:ascii="Arial" w:hAnsi="Arial" w:cs="Arial"/>
          <w:sz w:val="18"/>
          <w:szCs w:val="18"/>
          <w:lang w:val="es-ES"/>
        </w:rPr>
        <w:t>ó</w:t>
      </w:r>
      <w:r w:rsidRPr="00064215">
        <w:rPr>
          <w:rFonts w:ascii="Arial" w:hAnsi="Arial" w:cs="Arial"/>
          <w:sz w:val="18"/>
          <w:szCs w:val="18"/>
          <w:lang w:val="es-ES"/>
        </w:rPr>
        <w:t>n Financiera Publica y Sistema Presupuestario de Panam</w:t>
      </w:r>
      <w:r w:rsidR="00064215">
        <w:rPr>
          <w:rFonts w:ascii="Arial" w:hAnsi="Arial" w:cs="Arial"/>
          <w:sz w:val="18"/>
          <w:szCs w:val="18"/>
          <w:lang w:val="es-ES"/>
        </w:rPr>
        <w:t>á</w:t>
      </w:r>
      <w:r w:rsidRPr="00064215">
        <w:rPr>
          <w:rFonts w:ascii="Arial" w:hAnsi="Arial" w:cs="Arial"/>
          <w:sz w:val="18"/>
          <w:szCs w:val="18"/>
          <w:lang w:val="es-ES"/>
        </w:rPr>
        <w:t>. FMM Panam</w:t>
      </w:r>
      <w:r w:rsidR="00064215">
        <w:rPr>
          <w:rFonts w:ascii="Arial" w:hAnsi="Arial" w:cs="Arial"/>
          <w:sz w:val="18"/>
          <w:szCs w:val="18"/>
          <w:lang w:val="es-ES"/>
        </w:rPr>
        <w:t>á</w:t>
      </w:r>
      <w:r w:rsidR="00E2753A">
        <w:rPr>
          <w:rFonts w:ascii="Arial" w:hAnsi="Arial" w:cs="Arial"/>
          <w:sz w:val="18"/>
          <w:szCs w:val="18"/>
          <w:lang w:val="es-ES"/>
        </w:rPr>
        <w:t>, d</w:t>
      </w:r>
      <w:r w:rsidRPr="00064215">
        <w:rPr>
          <w:rFonts w:ascii="Arial" w:hAnsi="Arial" w:cs="Arial"/>
          <w:sz w:val="18"/>
          <w:szCs w:val="18"/>
          <w:lang w:val="es-ES"/>
        </w:rPr>
        <w:t>iciembre 2019.</w:t>
      </w:r>
    </w:p>
  </w:footnote>
  <w:footnote w:id="3">
    <w:p w:rsidRPr="00E447CB" w:rsidR="00277CBE" w:rsidP="00277CBE" w:rsidRDefault="00277CBE" w14:paraId="31BD3DF2" w14:textId="77777777">
      <w:pPr>
        <w:pStyle w:val="FootnoteText"/>
        <w:rPr>
          <w:lang w:val="es-ES"/>
        </w:rPr>
      </w:pPr>
      <w:r>
        <w:rPr>
          <w:rStyle w:val="FootnoteReference"/>
        </w:rPr>
        <w:footnoteRef/>
      </w:r>
      <w:r w:rsidRPr="00E447CB">
        <w:rPr>
          <w:lang w:val="es-ES"/>
        </w:rPr>
        <w:t xml:space="preserve"> </w:t>
      </w:r>
      <w:r w:rsidRPr="00555D6C">
        <w:rPr>
          <w:rFonts w:ascii="Arial" w:hAnsi="Arial" w:cs="Arial"/>
          <w:sz w:val="18"/>
          <w:szCs w:val="18"/>
          <w:lang w:val="es-ES"/>
        </w:rPr>
        <w:t>La Desigualdad en Panam</w:t>
      </w:r>
      <w:r>
        <w:rPr>
          <w:rFonts w:ascii="Arial" w:hAnsi="Arial" w:cs="Arial"/>
          <w:sz w:val="18"/>
          <w:szCs w:val="18"/>
          <w:lang w:val="es-ES"/>
        </w:rPr>
        <w:t>á</w:t>
      </w:r>
      <w:r w:rsidRPr="00555D6C">
        <w:rPr>
          <w:rFonts w:ascii="Arial" w:hAnsi="Arial" w:cs="Arial"/>
          <w:sz w:val="18"/>
          <w:szCs w:val="18"/>
          <w:lang w:val="es-ES"/>
        </w:rPr>
        <w:t xml:space="preserve">: su carácter territorial y el papel de las inversiones públicas. </w:t>
      </w:r>
      <w:r w:rsidRPr="00555D6C">
        <w:rPr>
          <w:rFonts w:ascii="Arial" w:hAnsi="Arial" w:cs="Arial"/>
          <w:sz w:val="18"/>
          <w:szCs w:val="18"/>
          <w:lang w:val="es-ES"/>
        </w:rPr>
        <w:t>Garcimartin, Carlos; Astudillo, Jhonatan, Fernandez, Marco. BID. Julio 2019.</w:t>
      </w:r>
    </w:p>
  </w:footnote>
  <w:footnote w:id="4">
    <w:p w:rsidRPr="00E55860" w:rsidR="009E3ACA" w:rsidRDefault="009E3ACA" w14:paraId="1B7F60A6" w14:textId="204266A3">
      <w:pPr>
        <w:pStyle w:val="FootnoteText"/>
        <w:rPr>
          <w:lang w:val="es-ES"/>
        </w:rPr>
      </w:pPr>
      <w:r>
        <w:rPr>
          <w:rStyle w:val="FootnoteReference"/>
        </w:rPr>
        <w:footnoteRef/>
      </w:r>
      <w:r w:rsidRPr="00E55860">
        <w:rPr>
          <w:lang w:val="es-ES"/>
        </w:rPr>
        <w:t xml:space="preserve"> </w:t>
      </w:r>
      <w:r w:rsidRPr="00E55860">
        <w:rPr>
          <w:rFonts w:ascii="Arial" w:hAnsi="Arial" w:cs="Arial"/>
          <w:sz w:val="18"/>
          <w:szCs w:val="18"/>
          <w:lang w:val="es-ES"/>
        </w:rPr>
        <w:t xml:space="preserve">El seminario podrá ser </w:t>
      </w:r>
      <w:r w:rsidRPr="00E55860" w:rsidR="00E55860">
        <w:rPr>
          <w:rFonts w:ascii="Arial" w:hAnsi="Arial" w:cs="Arial"/>
          <w:sz w:val="18"/>
          <w:szCs w:val="18"/>
          <w:lang w:val="es-ES"/>
        </w:rPr>
        <w:t>en formato virtual, híbrido o en persona.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4BB34903"/>
    <w:multiLevelType w:val="multilevel"/>
    <w:tmpl w:val="8BE8B1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73DA472B"/>
    <w:multiLevelType w:val="multilevel"/>
    <w:tmpl w:val="959ACA7C"/>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u w:val="non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1"/>
  </w:num>
  <w:num w:numId="4">
    <w:abstractNumId w:val="18"/>
  </w:num>
  <w:num w:numId="5">
    <w:abstractNumId w:val="17"/>
  </w:num>
  <w:num w:numId="6">
    <w:abstractNumId w:val="4"/>
  </w:num>
  <w:num w:numId="7">
    <w:abstractNumId w:val="5"/>
  </w:num>
  <w:num w:numId="8">
    <w:abstractNumId w:val="7"/>
  </w:num>
  <w:num w:numId="9">
    <w:abstractNumId w:val="13"/>
  </w:num>
  <w:num w:numId="10">
    <w:abstractNumId w:val="14"/>
  </w:num>
  <w:num w:numId="11">
    <w:abstractNumId w:val="2"/>
  </w:num>
  <w:num w:numId="12">
    <w:abstractNumId w:val="6"/>
  </w:num>
  <w:num w:numId="13">
    <w:abstractNumId w:val="12"/>
  </w:num>
  <w:num w:numId="14">
    <w:abstractNumId w:val="1"/>
  </w:num>
  <w:num w:numId="15">
    <w:abstractNumId w:val="0"/>
  </w:num>
  <w:num w:numId="16">
    <w:abstractNumId w:val="3"/>
  </w:num>
  <w:num w:numId="17">
    <w:abstractNumId w:val="16"/>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s-CL" w:vendorID="64" w:dllVersion="4096" w:nlCheck="1" w:checkStyle="0" w:appName="MSWord"/>
  <w:activeWritingStyle w:lang="es-ES" w:vendorID="64" w:dllVersion="0" w:nlCheck="1" w:checkStyle="0" w:appName="MSWord"/>
  <w:activeWritingStyle w:lang="en-US" w:vendorID="64" w:dllVersion="0" w:nlCheck="1" w:checkStyle="0" w:appName="MSWord"/>
  <w:activeWritingStyle w:lang="pt-BR" w:vendorID="64" w:dllVersion="0" w:nlCheck="1" w:checkStyle="0" w:appName="MSWord"/>
  <w:activeWritingStyle w:lang="es-CL" w:vendorID="64" w:dllVersion="0" w:nlCheck="1" w:checkStyle="0" w:appName="MSWord"/>
  <w:activeWritingStyle w:lang="es-419" w:vendorID="64" w:dllVersion="0" w:nlCheck="1" w:checkStyle="0" w:appName="MSWord"/>
  <w:activeWritingStyle w:lang="es-CO" w:vendorID="64" w:dllVersion="0" w:nlCheck="1" w:checkStyle="0" w:appName="MSWord"/>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06E58"/>
    <w:rsid w:val="000106A3"/>
    <w:rsid w:val="00015CA7"/>
    <w:rsid w:val="00017B41"/>
    <w:rsid w:val="0002206D"/>
    <w:rsid w:val="000254C3"/>
    <w:rsid w:val="000269F9"/>
    <w:rsid w:val="000318AF"/>
    <w:rsid w:val="000366C0"/>
    <w:rsid w:val="00051B30"/>
    <w:rsid w:val="000571B9"/>
    <w:rsid w:val="00062086"/>
    <w:rsid w:val="00062DA3"/>
    <w:rsid w:val="00064215"/>
    <w:rsid w:val="00064DFD"/>
    <w:rsid w:val="000719C6"/>
    <w:rsid w:val="00075F42"/>
    <w:rsid w:val="00086CFF"/>
    <w:rsid w:val="0008789C"/>
    <w:rsid w:val="0009759A"/>
    <w:rsid w:val="000A1F66"/>
    <w:rsid w:val="000A461E"/>
    <w:rsid w:val="000C16F9"/>
    <w:rsid w:val="000C2C21"/>
    <w:rsid w:val="000D15D5"/>
    <w:rsid w:val="000E3271"/>
    <w:rsid w:val="000F2091"/>
    <w:rsid w:val="000F39D2"/>
    <w:rsid w:val="000F4979"/>
    <w:rsid w:val="00102DAE"/>
    <w:rsid w:val="0010671D"/>
    <w:rsid w:val="001107CA"/>
    <w:rsid w:val="00124040"/>
    <w:rsid w:val="001262B4"/>
    <w:rsid w:val="0012709F"/>
    <w:rsid w:val="001316E2"/>
    <w:rsid w:val="0013350E"/>
    <w:rsid w:val="00134BD8"/>
    <w:rsid w:val="00143233"/>
    <w:rsid w:val="00147817"/>
    <w:rsid w:val="0015166F"/>
    <w:rsid w:val="00155D9A"/>
    <w:rsid w:val="0017216B"/>
    <w:rsid w:val="001A2C3E"/>
    <w:rsid w:val="001A76D5"/>
    <w:rsid w:val="001B4081"/>
    <w:rsid w:val="001B4FB6"/>
    <w:rsid w:val="001C1143"/>
    <w:rsid w:val="001C18FD"/>
    <w:rsid w:val="001C41B9"/>
    <w:rsid w:val="001D0EB4"/>
    <w:rsid w:val="001D3ECA"/>
    <w:rsid w:val="001D4915"/>
    <w:rsid w:val="001E6F32"/>
    <w:rsid w:val="001E7981"/>
    <w:rsid w:val="001F41E2"/>
    <w:rsid w:val="001F4339"/>
    <w:rsid w:val="001F7559"/>
    <w:rsid w:val="001F7A33"/>
    <w:rsid w:val="00200980"/>
    <w:rsid w:val="00210317"/>
    <w:rsid w:val="002150E9"/>
    <w:rsid w:val="002159EC"/>
    <w:rsid w:val="0022106D"/>
    <w:rsid w:val="00225B5A"/>
    <w:rsid w:val="002303E3"/>
    <w:rsid w:val="00231773"/>
    <w:rsid w:val="0023182E"/>
    <w:rsid w:val="0023302F"/>
    <w:rsid w:val="00236249"/>
    <w:rsid w:val="00236469"/>
    <w:rsid w:val="0024127D"/>
    <w:rsid w:val="00242FC5"/>
    <w:rsid w:val="00244A9D"/>
    <w:rsid w:val="00254AE4"/>
    <w:rsid w:val="00254BCB"/>
    <w:rsid w:val="00255791"/>
    <w:rsid w:val="002567AE"/>
    <w:rsid w:val="00257CAA"/>
    <w:rsid w:val="0026156E"/>
    <w:rsid w:val="00277CBE"/>
    <w:rsid w:val="0028127C"/>
    <w:rsid w:val="00283316"/>
    <w:rsid w:val="00287CB8"/>
    <w:rsid w:val="00291A4C"/>
    <w:rsid w:val="00293838"/>
    <w:rsid w:val="00294BD8"/>
    <w:rsid w:val="002B0F93"/>
    <w:rsid w:val="002B1513"/>
    <w:rsid w:val="002C4342"/>
    <w:rsid w:val="002C57F4"/>
    <w:rsid w:val="002C7BB7"/>
    <w:rsid w:val="002D0201"/>
    <w:rsid w:val="002D1B71"/>
    <w:rsid w:val="002D4A22"/>
    <w:rsid w:val="002D4B50"/>
    <w:rsid w:val="002E0AA5"/>
    <w:rsid w:val="002F46F2"/>
    <w:rsid w:val="002F6324"/>
    <w:rsid w:val="002F6C10"/>
    <w:rsid w:val="00302426"/>
    <w:rsid w:val="0030337B"/>
    <w:rsid w:val="00306DD4"/>
    <w:rsid w:val="00307376"/>
    <w:rsid w:val="003078D5"/>
    <w:rsid w:val="0031673A"/>
    <w:rsid w:val="0032117B"/>
    <w:rsid w:val="0032194A"/>
    <w:rsid w:val="003222D6"/>
    <w:rsid w:val="00335B4C"/>
    <w:rsid w:val="00340BC1"/>
    <w:rsid w:val="00340DDA"/>
    <w:rsid w:val="0034679F"/>
    <w:rsid w:val="00346E79"/>
    <w:rsid w:val="00355449"/>
    <w:rsid w:val="00356550"/>
    <w:rsid w:val="003622D9"/>
    <w:rsid w:val="0036E705"/>
    <w:rsid w:val="00370FB9"/>
    <w:rsid w:val="00371F74"/>
    <w:rsid w:val="003727E8"/>
    <w:rsid w:val="00381B24"/>
    <w:rsid w:val="003820CC"/>
    <w:rsid w:val="003835F0"/>
    <w:rsid w:val="00385951"/>
    <w:rsid w:val="003920E0"/>
    <w:rsid w:val="003941D0"/>
    <w:rsid w:val="00394DAB"/>
    <w:rsid w:val="00395A99"/>
    <w:rsid w:val="003A4E99"/>
    <w:rsid w:val="003C43A0"/>
    <w:rsid w:val="003D23E0"/>
    <w:rsid w:val="003D2892"/>
    <w:rsid w:val="003D6089"/>
    <w:rsid w:val="003D609D"/>
    <w:rsid w:val="003E27E2"/>
    <w:rsid w:val="003E39A1"/>
    <w:rsid w:val="003E44AA"/>
    <w:rsid w:val="003E6C9E"/>
    <w:rsid w:val="003F5F31"/>
    <w:rsid w:val="00401DB5"/>
    <w:rsid w:val="0041348D"/>
    <w:rsid w:val="00413695"/>
    <w:rsid w:val="00413B1B"/>
    <w:rsid w:val="0041610F"/>
    <w:rsid w:val="00416432"/>
    <w:rsid w:val="0041682E"/>
    <w:rsid w:val="00417FB9"/>
    <w:rsid w:val="00421F3D"/>
    <w:rsid w:val="00423F38"/>
    <w:rsid w:val="004247BC"/>
    <w:rsid w:val="00425507"/>
    <w:rsid w:val="00426123"/>
    <w:rsid w:val="004311D4"/>
    <w:rsid w:val="004330BB"/>
    <w:rsid w:val="00433246"/>
    <w:rsid w:val="00435E0E"/>
    <w:rsid w:val="004474F0"/>
    <w:rsid w:val="00452151"/>
    <w:rsid w:val="0045509F"/>
    <w:rsid w:val="00463500"/>
    <w:rsid w:val="004659F0"/>
    <w:rsid w:val="00466C7E"/>
    <w:rsid w:val="00472A44"/>
    <w:rsid w:val="00476061"/>
    <w:rsid w:val="00477A47"/>
    <w:rsid w:val="00482240"/>
    <w:rsid w:val="00484F74"/>
    <w:rsid w:val="00487494"/>
    <w:rsid w:val="004969C3"/>
    <w:rsid w:val="004979FF"/>
    <w:rsid w:val="004A6B5B"/>
    <w:rsid w:val="004A7024"/>
    <w:rsid w:val="004C01AA"/>
    <w:rsid w:val="004C4292"/>
    <w:rsid w:val="004D56DB"/>
    <w:rsid w:val="004D5823"/>
    <w:rsid w:val="004D7049"/>
    <w:rsid w:val="004E0EED"/>
    <w:rsid w:val="004E1D87"/>
    <w:rsid w:val="004E4C3D"/>
    <w:rsid w:val="004F386F"/>
    <w:rsid w:val="004F53A2"/>
    <w:rsid w:val="0050104A"/>
    <w:rsid w:val="00506BBC"/>
    <w:rsid w:val="00512024"/>
    <w:rsid w:val="005140D4"/>
    <w:rsid w:val="00514E98"/>
    <w:rsid w:val="00515C71"/>
    <w:rsid w:val="0051618B"/>
    <w:rsid w:val="00520F58"/>
    <w:rsid w:val="005210A1"/>
    <w:rsid w:val="00531E51"/>
    <w:rsid w:val="005334FF"/>
    <w:rsid w:val="005338ED"/>
    <w:rsid w:val="00534511"/>
    <w:rsid w:val="005364CE"/>
    <w:rsid w:val="005401AC"/>
    <w:rsid w:val="005445AD"/>
    <w:rsid w:val="00544613"/>
    <w:rsid w:val="00546DC1"/>
    <w:rsid w:val="00552482"/>
    <w:rsid w:val="00555D6C"/>
    <w:rsid w:val="00557029"/>
    <w:rsid w:val="00557507"/>
    <w:rsid w:val="00566FC3"/>
    <w:rsid w:val="005717B9"/>
    <w:rsid w:val="005750E6"/>
    <w:rsid w:val="00580B8E"/>
    <w:rsid w:val="0058137A"/>
    <w:rsid w:val="005833C9"/>
    <w:rsid w:val="005845B0"/>
    <w:rsid w:val="00590599"/>
    <w:rsid w:val="00592AD3"/>
    <w:rsid w:val="00597A80"/>
    <w:rsid w:val="005A0521"/>
    <w:rsid w:val="005A1056"/>
    <w:rsid w:val="005A2AAC"/>
    <w:rsid w:val="005A4FE5"/>
    <w:rsid w:val="005B6D3A"/>
    <w:rsid w:val="005C43F4"/>
    <w:rsid w:val="005D330B"/>
    <w:rsid w:val="005E0B71"/>
    <w:rsid w:val="005E2AAE"/>
    <w:rsid w:val="005F4165"/>
    <w:rsid w:val="006025A8"/>
    <w:rsid w:val="00625FB0"/>
    <w:rsid w:val="0062725A"/>
    <w:rsid w:val="006307C4"/>
    <w:rsid w:val="00633759"/>
    <w:rsid w:val="006338BC"/>
    <w:rsid w:val="00634BF5"/>
    <w:rsid w:val="00641782"/>
    <w:rsid w:val="00641ED4"/>
    <w:rsid w:val="00643FFD"/>
    <w:rsid w:val="006466BF"/>
    <w:rsid w:val="00651A13"/>
    <w:rsid w:val="00653058"/>
    <w:rsid w:val="006613E5"/>
    <w:rsid w:val="00664912"/>
    <w:rsid w:val="00670741"/>
    <w:rsid w:val="00675E7A"/>
    <w:rsid w:val="006776CD"/>
    <w:rsid w:val="00677B34"/>
    <w:rsid w:val="006816EC"/>
    <w:rsid w:val="006855FD"/>
    <w:rsid w:val="00685F25"/>
    <w:rsid w:val="0069101A"/>
    <w:rsid w:val="006957C8"/>
    <w:rsid w:val="006A1798"/>
    <w:rsid w:val="006A5521"/>
    <w:rsid w:val="006B1180"/>
    <w:rsid w:val="006B34E7"/>
    <w:rsid w:val="006B5E14"/>
    <w:rsid w:val="006C6059"/>
    <w:rsid w:val="006D2C44"/>
    <w:rsid w:val="006E092F"/>
    <w:rsid w:val="006E33B6"/>
    <w:rsid w:val="006E3EBC"/>
    <w:rsid w:val="006F0176"/>
    <w:rsid w:val="007020EB"/>
    <w:rsid w:val="00702A56"/>
    <w:rsid w:val="00703511"/>
    <w:rsid w:val="007045E5"/>
    <w:rsid w:val="00706560"/>
    <w:rsid w:val="007104DA"/>
    <w:rsid w:val="00717F8D"/>
    <w:rsid w:val="00725899"/>
    <w:rsid w:val="00726434"/>
    <w:rsid w:val="007302B2"/>
    <w:rsid w:val="00743B46"/>
    <w:rsid w:val="00746260"/>
    <w:rsid w:val="00771915"/>
    <w:rsid w:val="00782D33"/>
    <w:rsid w:val="0079185F"/>
    <w:rsid w:val="007974CD"/>
    <w:rsid w:val="007A1FC9"/>
    <w:rsid w:val="007A47FC"/>
    <w:rsid w:val="007A6147"/>
    <w:rsid w:val="007B0420"/>
    <w:rsid w:val="007B500B"/>
    <w:rsid w:val="007B6B61"/>
    <w:rsid w:val="007C2618"/>
    <w:rsid w:val="007C3374"/>
    <w:rsid w:val="007C6B4B"/>
    <w:rsid w:val="007F217F"/>
    <w:rsid w:val="007F3C47"/>
    <w:rsid w:val="007F53C0"/>
    <w:rsid w:val="00800DD2"/>
    <w:rsid w:val="00800FB2"/>
    <w:rsid w:val="00801D9C"/>
    <w:rsid w:val="008052A0"/>
    <w:rsid w:val="00807C07"/>
    <w:rsid w:val="00813F81"/>
    <w:rsid w:val="00815D90"/>
    <w:rsid w:val="00822671"/>
    <w:rsid w:val="00830D70"/>
    <w:rsid w:val="00836372"/>
    <w:rsid w:val="00841608"/>
    <w:rsid w:val="00841EB0"/>
    <w:rsid w:val="00854C60"/>
    <w:rsid w:val="00855CFA"/>
    <w:rsid w:val="0086557C"/>
    <w:rsid w:val="00865A6F"/>
    <w:rsid w:val="008669BD"/>
    <w:rsid w:val="0087190C"/>
    <w:rsid w:val="008739E3"/>
    <w:rsid w:val="008773A1"/>
    <w:rsid w:val="008813B9"/>
    <w:rsid w:val="00882E66"/>
    <w:rsid w:val="00885819"/>
    <w:rsid w:val="008902BA"/>
    <w:rsid w:val="008A05EB"/>
    <w:rsid w:val="008A1E00"/>
    <w:rsid w:val="008C04B7"/>
    <w:rsid w:val="008D2C2A"/>
    <w:rsid w:val="008E0EA3"/>
    <w:rsid w:val="008E334C"/>
    <w:rsid w:val="008F2CD2"/>
    <w:rsid w:val="008F4286"/>
    <w:rsid w:val="0091508A"/>
    <w:rsid w:val="00915206"/>
    <w:rsid w:val="00922C85"/>
    <w:rsid w:val="00922FFC"/>
    <w:rsid w:val="00923B69"/>
    <w:rsid w:val="00925C27"/>
    <w:rsid w:val="0092774C"/>
    <w:rsid w:val="00933A84"/>
    <w:rsid w:val="00936CFC"/>
    <w:rsid w:val="009404AD"/>
    <w:rsid w:val="00944D7A"/>
    <w:rsid w:val="00950FF3"/>
    <w:rsid w:val="0095122E"/>
    <w:rsid w:val="00953088"/>
    <w:rsid w:val="00953879"/>
    <w:rsid w:val="00955395"/>
    <w:rsid w:val="0095711B"/>
    <w:rsid w:val="00960497"/>
    <w:rsid w:val="00971283"/>
    <w:rsid w:val="009752F1"/>
    <w:rsid w:val="00975A97"/>
    <w:rsid w:val="00977B60"/>
    <w:rsid w:val="00987BA2"/>
    <w:rsid w:val="00996158"/>
    <w:rsid w:val="009A3BC7"/>
    <w:rsid w:val="009B45D1"/>
    <w:rsid w:val="009B45F2"/>
    <w:rsid w:val="009C4066"/>
    <w:rsid w:val="009C5C06"/>
    <w:rsid w:val="009D69A6"/>
    <w:rsid w:val="009E3ACA"/>
    <w:rsid w:val="009E790F"/>
    <w:rsid w:val="009F33FF"/>
    <w:rsid w:val="009F3CA2"/>
    <w:rsid w:val="009F4424"/>
    <w:rsid w:val="00A01AF3"/>
    <w:rsid w:val="00A0231C"/>
    <w:rsid w:val="00A04D96"/>
    <w:rsid w:val="00A067E6"/>
    <w:rsid w:val="00A10CD5"/>
    <w:rsid w:val="00A11498"/>
    <w:rsid w:val="00A121C7"/>
    <w:rsid w:val="00A12C27"/>
    <w:rsid w:val="00A139E6"/>
    <w:rsid w:val="00A13EE1"/>
    <w:rsid w:val="00A20379"/>
    <w:rsid w:val="00A2474F"/>
    <w:rsid w:val="00A317CB"/>
    <w:rsid w:val="00A31B0E"/>
    <w:rsid w:val="00A357F7"/>
    <w:rsid w:val="00A36510"/>
    <w:rsid w:val="00A37C9C"/>
    <w:rsid w:val="00A42037"/>
    <w:rsid w:val="00A50C02"/>
    <w:rsid w:val="00A54404"/>
    <w:rsid w:val="00A54FB2"/>
    <w:rsid w:val="00A56FFD"/>
    <w:rsid w:val="00A57185"/>
    <w:rsid w:val="00A60A2A"/>
    <w:rsid w:val="00A61B21"/>
    <w:rsid w:val="00A63720"/>
    <w:rsid w:val="00A66E6B"/>
    <w:rsid w:val="00A6701B"/>
    <w:rsid w:val="00A74C19"/>
    <w:rsid w:val="00A80531"/>
    <w:rsid w:val="00A82D31"/>
    <w:rsid w:val="00A84007"/>
    <w:rsid w:val="00A876E7"/>
    <w:rsid w:val="00A9761C"/>
    <w:rsid w:val="00AA2146"/>
    <w:rsid w:val="00AA3B76"/>
    <w:rsid w:val="00AB47D6"/>
    <w:rsid w:val="00AB4F63"/>
    <w:rsid w:val="00AB68E0"/>
    <w:rsid w:val="00AC081B"/>
    <w:rsid w:val="00AC3145"/>
    <w:rsid w:val="00AC5F31"/>
    <w:rsid w:val="00AD3653"/>
    <w:rsid w:val="00AE6918"/>
    <w:rsid w:val="00AF2F55"/>
    <w:rsid w:val="00AF48FF"/>
    <w:rsid w:val="00AF5C75"/>
    <w:rsid w:val="00B026BA"/>
    <w:rsid w:val="00B11047"/>
    <w:rsid w:val="00B13125"/>
    <w:rsid w:val="00B155A5"/>
    <w:rsid w:val="00B30018"/>
    <w:rsid w:val="00B307EC"/>
    <w:rsid w:val="00B31379"/>
    <w:rsid w:val="00B33130"/>
    <w:rsid w:val="00B347ED"/>
    <w:rsid w:val="00B45AB4"/>
    <w:rsid w:val="00B50AC9"/>
    <w:rsid w:val="00B527CE"/>
    <w:rsid w:val="00B5363A"/>
    <w:rsid w:val="00B5423D"/>
    <w:rsid w:val="00B56CDC"/>
    <w:rsid w:val="00B56F1A"/>
    <w:rsid w:val="00B627E0"/>
    <w:rsid w:val="00B67A0B"/>
    <w:rsid w:val="00B8264E"/>
    <w:rsid w:val="00B909B3"/>
    <w:rsid w:val="00B94294"/>
    <w:rsid w:val="00BB2778"/>
    <w:rsid w:val="00BB612A"/>
    <w:rsid w:val="00BC1687"/>
    <w:rsid w:val="00BC2776"/>
    <w:rsid w:val="00BC5767"/>
    <w:rsid w:val="00BD4287"/>
    <w:rsid w:val="00BE0249"/>
    <w:rsid w:val="00BE60F3"/>
    <w:rsid w:val="00C1564C"/>
    <w:rsid w:val="00C259DB"/>
    <w:rsid w:val="00C32F7D"/>
    <w:rsid w:val="00C3492D"/>
    <w:rsid w:val="00C37C80"/>
    <w:rsid w:val="00C43E24"/>
    <w:rsid w:val="00C5184A"/>
    <w:rsid w:val="00C53D00"/>
    <w:rsid w:val="00C5730B"/>
    <w:rsid w:val="00C70294"/>
    <w:rsid w:val="00C70B2E"/>
    <w:rsid w:val="00C7321D"/>
    <w:rsid w:val="00C81CE0"/>
    <w:rsid w:val="00C81DBF"/>
    <w:rsid w:val="00C82FD7"/>
    <w:rsid w:val="00C86C51"/>
    <w:rsid w:val="00C8793D"/>
    <w:rsid w:val="00C91A6A"/>
    <w:rsid w:val="00CA5319"/>
    <w:rsid w:val="00CB218F"/>
    <w:rsid w:val="00CB4911"/>
    <w:rsid w:val="00CB6B75"/>
    <w:rsid w:val="00CC716E"/>
    <w:rsid w:val="00CD109E"/>
    <w:rsid w:val="00CE014F"/>
    <w:rsid w:val="00CE0643"/>
    <w:rsid w:val="00CE5066"/>
    <w:rsid w:val="00D0028D"/>
    <w:rsid w:val="00D04930"/>
    <w:rsid w:val="00D06787"/>
    <w:rsid w:val="00D07EB4"/>
    <w:rsid w:val="00D172EA"/>
    <w:rsid w:val="00D17931"/>
    <w:rsid w:val="00D2198A"/>
    <w:rsid w:val="00D2491C"/>
    <w:rsid w:val="00D263AB"/>
    <w:rsid w:val="00D30AE3"/>
    <w:rsid w:val="00D32ACA"/>
    <w:rsid w:val="00D35EEB"/>
    <w:rsid w:val="00D44FAB"/>
    <w:rsid w:val="00D4703E"/>
    <w:rsid w:val="00D55EA9"/>
    <w:rsid w:val="00D65FA1"/>
    <w:rsid w:val="00D707BB"/>
    <w:rsid w:val="00D850A4"/>
    <w:rsid w:val="00D864C5"/>
    <w:rsid w:val="00D93016"/>
    <w:rsid w:val="00D95606"/>
    <w:rsid w:val="00D9644B"/>
    <w:rsid w:val="00D96781"/>
    <w:rsid w:val="00D97FAD"/>
    <w:rsid w:val="00DA0911"/>
    <w:rsid w:val="00DA79A1"/>
    <w:rsid w:val="00DB195A"/>
    <w:rsid w:val="00DC0B77"/>
    <w:rsid w:val="00DC16F5"/>
    <w:rsid w:val="00DC1E68"/>
    <w:rsid w:val="00DD68D2"/>
    <w:rsid w:val="00DE4249"/>
    <w:rsid w:val="00DF05C2"/>
    <w:rsid w:val="00DF10FB"/>
    <w:rsid w:val="00DF475D"/>
    <w:rsid w:val="00E20EBD"/>
    <w:rsid w:val="00E2541C"/>
    <w:rsid w:val="00E2644E"/>
    <w:rsid w:val="00E2753A"/>
    <w:rsid w:val="00E30E4D"/>
    <w:rsid w:val="00E31196"/>
    <w:rsid w:val="00E33333"/>
    <w:rsid w:val="00E34811"/>
    <w:rsid w:val="00E447CB"/>
    <w:rsid w:val="00E52408"/>
    <w:rsid w:val="00E5259A"/>
    <w:rsid w:val="00E55860"/>
    <w:rsid w:val="00E57C04"/>
    <w:rsid w:val="00E65098"/>
    <w:rsid w:val="00E6675A"/>
    <w:rsid w:val="00E66823"/>
    <w:rsid w:val="00E713E1"/>
    <w:rsid w:val="00E749B4"/>
    <w:rsid w:val="00E75CB3"/>
    <w:rsid w:val="00E80759"/>
    <w:rsid w:val="00E8143A"/>
    <w:rsid w:val="00E825D5"/>
    <w:rsid w:val="00E8306B"/>
    <w:rsid w:val="00E86DE0"/>
    <w:rsid w:val="00E90852"/>
    <w:rsid w:val="00E90A0E"/>
    <w:rsid w:val="00E921F6"/>
    <w:rsid w:val="00E93353"/>
    <w:rsid w:val="00E962D3"/>
    <w:rsid w:val="00EA3919"/>
    <w:rsid w:val="00EA3DFA"/>
    <w:rsid w:val="00EB2B73"/>
    <w:rsid w:val="00EB435F"/>
    <w:rsid w:val="00EC197C"/>
    <w:rsid w:val="00EC4075"/>
    <w:rsid w:val="00ED39F3"/>
    <w:rsid w:val="00ED70D1"/>
    <w:rsid w:val="00ED78FB"/>
    <w:rsid w:val="00EE0122"/>
    <w:rsid w:val="00EE1358"/>
    <w:rsid w:val="00EF34C2"/>
    <w:rsid w:val="00EF41CE"/>
    <w:rsid w:val="00EF5814"/>
    <w:rsid w:val="00F00960"/>
    <w:rsid w:val="00F0232F"/>
    <w:rsid w:val="00F03FF5"/>
    <w:rsid w:val="00F06777"/>
    <w:rsid w:val="00F16677"/>
    <w:rsid w:val="00F257D6"/>
    <w:rsid w:val="00F32759"/>
    <w:rsid w:val="00F373D0"/>
    <w:rsid w:val="00F4126C"/>
    <w:rsid w:val="00F455F8"/>
    <w:rsid w:val="00F50742"/>
    <w:rsid w:val="00F6363D"/>
    <w:rsid w:val="00F70750"/>
    <w:rsid w:val="00F71BFE"/>
    <w:rsid w:val="00F72899"/>
    <w:rsid w:val="00F747DC"/>
    <w:rsid w:val="00F818D7"/>
    <w:rsid w:val="00F9188B"/>
    <w:rsid w:val="00FA2DF8"/>
    <w:rsid w:val="00FA3790"/>
    <w:rsid w:val="00FA6D90"/>
    <w:rsid w:val="00FB1E22"/>
    <w:rsid w:val="00FB40B9"/>
    <w:rsid w:val="00FC1442"/>
    <w:rsid w:val="00FC3F76"/>
    <w:rsid w:val="00FD092B"/>
    <w:rsid w:val="00FD4F7F"/>
    <w:rsid w:val="00FD6BB4"/>
    <w:rsid w:val="00FE0BEA"/>
    <w:rsid w:val="00FE1499"/>
    <w:rsid w:val="00FE1B76"/>
    <w:rsid w:val="00FF1374"/>
    <w:rsid w:val="00FF7FC3"/>
    <w:rsid w:val="03385EA1"/>
    <w:rsid w:val="0445D469"/>
    <w:rsid w:val="04B094AC"/>
    <w:rsid w:val="0CCB23AA"/>
    <w:rsid w:val="10980616"/>
    <w:rsid w:val="11E26F8D"/>
    <w:rsid w:val="1211C1FE"/>
    <w:rsid w:val="13E91965"/>
    <w:rsid w:val="159DC805"/>
    <w:rsid w:val="15E7EFAB"/>
    <w:rsid w:val="1632C248"/>
    <w:rsid w:val="194BDFA7"/>
    <w:rsid w:val="1A026565"/>
    <w:rsid w:val="1B2CD8CD"/>
    <w:rsid w:val="1D05E568"/>
    <w:rsid w:val="23E5EC08"/>
    <w:rsid w:val="25C559CB"/>
    <w:rsid w:val="272053C7"/>
    <w:rsid w:val="27396B44"/>
    <w:rsid w:val="2BD9CF2E"/>
    <w:rsid w:val="2E2AE23E"/>
    <w:rsid w:val="327B6AF5"/>
    <w:rsid w:val="33DA0006"/>
    <w:rsid w:val="33E3804D"/>
    <w:rsid w:val="34501155"/>
    <w:rsid w:val="3553B541"/>
    <w:rsid w:val="36910228"/>
    <w:rsid w:val="371BC11A"/>
    <w:rsid w:val="38C7D2D4"/>
    <w:rsid w:val="3B18BCF9"/>
    <w:rsid w:val="3B2A5D72"/>
    <w:rsid w:val="3CB48D5A"/>
    <w:rsid w:val="3CE3B5EB"/>
    <w:rsid w:val="3D9198FE"/>
    <w:rsid w:val="3F654549"/>
    <w:rsid w:val="3FBE8AF5"/>
    <w:rsid w:val="4244B22D"/>
    <w:rsid w:val="46A02BE5"/>
    <w:rsid w:val="489E34A7"/>
    <w:rsid w:val="48BBDA63"/>
    <w:rsid w:val="48CCDC31"/>
    <w:rsid w:val="4D699CDF"/>
    <w:rsid w:val="4F2B1BE7"/>
    <w:rsid w:val="53808095"/>
    <w:rsid w:val="548CD4DC"/>
    <w:rsid w:val="5817815F"/>
    <w:rsid w:val="58CB8ACD"/>
    <w:rsid w:val="59FED1EF"/>
    <w:rsid w:val="624FE4D9"/>
    <w:rsid w:val="628D7068"/>
    <w:rsid w:val="63984701"/>
    <w:rsid w:val="641F523A"/>
    <w:rsid w:val="6438A281"/>
    <w:rsid w:val="6640F5AC"/>
    <w:rsid w:val="668B1BCB"/>
    <w:rsid w:val="6850449A"/>
    <w:rsid w:val="69C2BC8D"/>
    <w:rsid w:val="6FA7ACF7"/>
    <w:rsid w:val="70B3091E"/>
    <w:rsid w:val="719F9BC8"/>
    <w:rsid w:val="71A53F22"/>
    <w:rsid w:val="7293C99A"/>
    <w:rsid w:val="76D2F24C"/>
    <w:rsid w:val="78064EB1"/>
    <w:rsid w:val="7844FD7C"/>
    <w:rsid w:val="786690E8"/>
    <w:rsid w:val="79E0CDDD"/>
    <w:rsid w:val="7AF0EB47"/>
    <w:rsid w:val="7D4E7B1D"/>
    <w:rsid w:val="7F2D2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basedOn w:val="Normal"/>
    <w:link w:val="FootnoteTextChar"/>
    <w:uiPriority w:val="99"/>
    <w:semiHidden/>
    <w:unhideWhenUsed/>
    <w:rsid w:val="00A63720"/>
    <w:pPr>
      <w:spacing w:after="0" w:line="240" w:lineRule="auto"/>
    </w:pPr>
    <w:rPr>
      <w:rFonts w:eastAsiaTheme="minorHAnsi"/>
      <w:sz w:val="20"/>
      <w:szCs w:val="20"/>
    </w:rPr>
  </w:style>
  <w:style w:type="character" w:styleId="FootnoteTextChar" w:customStyle="1">
    <w:name w:val="Footnote Text Char"/>
    <w:basedOn w:val="DefaultParagraphFont"/>
    <w:link w:val="FootnoteText"/>
    <w:uiPriority w:val="99"/>
    <w:semiHidden/>
    <w:rsid w:val="00A63720"/>
    <w:rPr>
      <w:rFonts w:eastAsiaTheme="minorHAnsi"/>
      <w:sz w:val="20"/>
      <w:szCs w:val="20"/>
    </w:rPr>
  </w:style>
  <w:style w:type="character" w:styleId="FootnoteReference">
    <w:name w:val="footnote reference"/>
    <w:basedOn w:val="DefaultParagraphFont"/>
    <w:uiPriority w:val="99"/>
    <w:semiHidden/>
    <w:unhideWhenUsed/>
    <w:rsid w:val="00A63720"/>
    <w:rPr>
      <w:vertAlign w:val="superscript"/>
    </w:rPr>
  </w:style>
  <w:style w:type="character" w:styleId="normaltextrun" w:customStyle="1">
    <w:name w:val="normaltextrun"/>
    <w:basedOn w:val="DefaultParagraphFont"/>
    <w:rsid w:val="00A54FB2"/>
  </w:style>
  <w:style w:type="character" w:styleId="Mention">
    <w:name w:val="Mention"/>
    <w:basedOn w:val="DefaultParagraphFont"/>
    <w:uiPriority w:val="99"/>
    <w:unhideWhenUsed/>
    <w:rsid w:val="006B5E14"/>
    <w:rPr>
      <w:color w:val="2B579A"/>
      <w:shd w:val="clear" w:color="auto" w:fill="E1DFDD"/>
    </w:rPr>
  </w:style>
  <w:style w:type="character" w:styleId="Hyperlink">
    <w:name w:val="Hyperlink"/>
    <w:basedOn w:val="DefaultParagraphFont"/>
    <w:uiPriority w:val="99"/>
    <w:unhideWhenUsed/>
    <w:rsid w:val="00C81DBF"/>
    <w:rPr>
      <w:color w:val="0000FF" w:themeColor="hyperlink"/>
      <w:u w:val="single"/>
    </w:rPr>
  </w:style>
  <w:style w:type="character" w:styleId="UnresolvedMention">
    <w:name w:val="Unresolved Mention"/>
    <w:basedOn w:val="DefaultParagraphFont"/>
    <w:uiPriority w:val="99"/>
    <w:semiHidden/>
    <w:unhideWhenUsed/>
    <w:rsid w:val="00C81DBF"/>
    <w:rPr>
      <w:color w:val="605E5C"/>
      <w:shd w:val="clear" w:color="auto" w:fill="E1DFDD"/>
    </w:rPr>
  </w:style>
  <w:style w:type="paragraph" w:styleId="mainoperationname" w:customStyle="1">
    <w:name w:val="mainoperationname"/>
    <w:basedOn w:val="Normal"/>
    <w:rsid w:val="003D6089"/>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68230273">
      <w:bodyDiv w:val="1"/>
      <w:marLeft w:val="0"/>
      <w:marRight w:val="0"/>
      <w:marTop w:val="0"/>
      <w:marBottom w:val="0"/>
      <w:divBdr>
        <w:top w:val="none" w:color="auto" w:sz="0" w:space="0"/>
        <w:left w:val="none" w:color="auto" w:sz="0" w:space="0"/>
        <w:bottom w:val="none" w:color="auto" w:sz="0" w:space="0"/>
        <w:right w:val="none" w:color="auto" w:sz="0" w:space="0"/>
      </w:divBdr>
    </w:div>
    <w:div w:id="178777270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21"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glossaryDocument" Target="glossary/document.xml"/><Relationship Id="rId16" Type="http://schemas.openxmlformats.org/officeDocument/2006/relationships/fontTable" Target="fontTable.xml"/><Relationship Id="rId20" Type="http://schemas.openxmlformats.org/officeDocument/2006/relationships/customXml" Target="../customXml/item2.xml"/><Relationship Id="rId11" Type="http://schemas.openxmlformats.org/officeDocument/2006/relationships/webSettings" Target="webSettings.xml"/><Relationship Id="R09b23b05e3d440a8" Type="http://schemas.openxmlformats.org/officeDocument/2006/relationships/hyperlink" Target="https://idbdocs.iadb.org/wsdocs/getDocument.aspx?DOCNUM=EZSHARE-1963835366-6" TargetMode="External"/><Relationship Id="rId24" Type="http://schemas.openxmlformats.org/officeDocument/2006/relationships/customXml" Target="../customXml/item6.xml"/><Relationship Id="rId15" Type="http://schemas.openxmlformats.org/officeDocument/2006/relationships/footer" Target="footer1.xml"/><Relationship Id="Rc248e6a0805e4407" Type="http://schemas.openxmlformats.org/officeDocument/2006/relationships/hyperlink" Target="https://idbdocs.iadb.org/wsdocs/getDocument.aspx?DOCNUM=EZSHARE-1963835366-7" TargetMode="External"/><Relationship Id="rId23" Type="http://schemas.openxmlformats.org/officeDocument/2006/relationships/customXml" Target="../customXml/item5.xml"/><Relationship Id="rId10" Type="http://schemas.openxmlformats.org/officeDocument/2006/relationships/settings" Target="settings.xml"/><Relationship Id="rId19" Type="http://schemas.openxmlformats.org/officeDocument/2006/relationships/customXml" Target="../customXml/item1.xml"/><Relationship Id="rId9" Type="http://schemas.openxmlformats.org/officeDocument/2006/relationships/styles" Target="styles.xml"/><Relationship Id="rId14" Type="http://schemas.openxmlformats.org/officeDocument/2006/relationships/header" Target="header1.xml"/><Relationship Id="Rf234d1aef0a64041" Type="http://schemas.openxmlformats.org/officeDocument/2006/relationships/hyperlink" Target="https://idbdocs.iadb.org/wsdocs/getDocument.aspx?DOCNUM=EZSHARE-1963835366-5" TargetMode="External"/><Relationship Id="rId22"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2303E3" w:rsidRDefault="002303E3">
          <w:pPr>
            <w:pStyle w:val="CCD660B516A04E8B88E3C7A5081A1BEB8"/>
          </w:pPr>
          <w:r>
            <w:rPr>
              <w:rFonts w:ascii="Arial" w:hAnsi="Arial" w:eastAsia="Arial" w:cs="Arial"/>
              <w:sz w:val="18"/>
              <w:szCs w:val="18"/>
            </w:rPr>
            <w:t xml:space="preserve"> </w:t>
          </w:r>
        </w:p>
      </w:docPartBody>
    </w:docPart>
    <w:docPart>
      <w:docPartPr>
        <w:name w:val="B7015D69253648A88DDA2522AC3ED5D7"/>
        <w:category>
          <w:name w:val="General"/>
          <w:gallery w:val="placeholder"/>
        </w:category>
        <w:types>
          <w:type w:val="bbPlcHdr"/>
        </w:types>
        <w:behaviors>
          <w:behavior w:val="content"/>
        </w:behaviors>
        <w:guid w:val="{2E558326-25BB-4ED5-8D0A-259CB42AAA10}"/>
      </w:docPartPr>
      <w:docPartBody>
        <w:p w:rsidR="00D8565F" w:rsidP="00800FB2" w:rsidRDefault="00800FB2">
          <w:pPr>
            <w:pStyle w:val="B7015D69253648A88DDA2522AC3ED5D7"/>
          </w:pPr>
          <w:r w:rsidRPr="004A7024">
            <w:rPr>
              <w:rFonts w:ascii="Arial" w:hAnsi="Arial" w:eastAsia="Arial" w:cs="Arial"/>
              <w:sz w:val="18"/>
              <w:szCs w:val="18"/>
            </w:rPr>
            <w:t xml:space="preserve"> </w:t>
          </w:r>
        </w:p>
      </w:docPartBody>
    </w:docPart>
    <w:docPart>
      <w:docPartPr>
        <w:name w:val="FEC49DA22EA241A6B7CB5F0097E963F6"/>
        <w:category>
          <w:name w:val="General"/>
          <w:gallery w:val="placeholder"/>
        </w:category>
        <w:types>
          <w:type w:val="bbPlcHdr"/>
        </w:types>
        <w:behaviors>
          <w:behavior w:val="content"/>
        </w:behaviors>
        <w:guid w:val="{4675465E-7049-4682-9A74-E4B7694A9D23}"/>
      </w:docPartPr>
      <w:docPartBody>
        <w:p w:rsidR="00D8565F" w:rsidP="00800FB2" w:rsidRDefault="00800FB2">
          <w:pPr>
            <w:pStyle w:val="FEC49DA22EA241A6B7CB5F0097E963F6"/>
          </w:pPr>
          <w:r>
            <w:rPr>
              <w:rFonts w:ascii="Arial" w:hAnsi="Arial" w:eastAsia="Arial" w:cs="Arial"/>
              <w:sz w:val="18"/>
              <w:szCs w:val="18"/>
            </w:rPr>
            <w:t xml:space="preserve"> </w:t>
          </w:r>
        </w:p>
      </w:docPartBody>
    </w:docPart>
    <w:docPart>
      <w:docPartPr>
        <w:name w:val="0983E179C78B411E952BE780B300C40C"/>
        <w:category>
          <w:name w:val="General"/>
          <w:gallery w:val="placeholder"/>
        </w:category>
        <w:types>
          <w:type w:val="bbPlcHdr"/>
        </w:types>
        <w:behaviors>
          <w:behavior w:val="content"/>
        </w:behaviors>
        <w:guid w:val="{6B2497D9-31EB-4440-95C9-32BF16AADCDC}"/>
      </w:docPartPr>
      <w:docPartBody>
        <w:p w:rsidR="00D8565F" w:rsidP="00800FB2" w:rsidRDefault="00800FB2">
          <w:pPr>
            <w:pStyle w:val="0983E179C78B411E952BE780B300C40C"/>
          </w:pPr>
          <w:r w:rsidRPr="004A7024">
            <w:rPr>
              <w:rFonts w:ascii="Arial" w:hAnsi="Arial" w:eastAsia="Arial" w:cs="Arial"/>
              <w:sz w:val="18"/>
              <w:szCs w:val="18"/>
            </w:rPr>
            <w:t xml:space="preserve"> </w:t>
          </w:r>
        </w:p>
      </w:docPartBody>
    </w:docPart>
    <w:docPart>
      <w:docPartPr>
        <w:name w:val="0A02C7387BCB4403BAA6087D5827A40D"/>
        <w:category>
          <w:name w:val="General"/>
          <w:gallery w:val="placeholder"/>
        </w:category>
        <w:types>
          <w:type w:val="bbPlcHdr"/>
        </w:types>
        <w:behaviors>
          <w:behavior w:val="content"/>
        </w:behaviors>
        <w:guid w:val="{A06E599E-EF87-4351-B4CE-99AF3DA7FA9F}"/>
      </w:docPartPr>
      <w:docPartBody>
        <w:p w:rsidR="00D8565F" w:rsidP="00800FB2" w:rsidRDefault="00800FB2">
          <w:pPr>
            <w:pStyle w:val="0A02C7387BCB4403BAA6087D5827A40D"/>
          </w:pPr>
          <w:r>
            <w:rPr>
              <w:rFonts w:ascii="Arial" w:hAnsi="Arial" w:eastAsia="Arial" w:cs="Arial"/>
              <w:sz w:val="18"/>
              <w:szCs w:val="18"/>
            </w:rPr>
            <w:t xml:space="preserve"> </w:t>
          </w:r>
        </w:p>
      </w:docPartBody>
    </w:docPart>
    <w:docPart>
      <w:docPartPr>
        <w:name w:val="BDDDBBBDAA6A4A5982E5562A7B202D2D"/>
        <w:category>
          <w:name w:val="General"/>
          <w:gallery w:val="placeholder"/>
        </w:category>
        <w:types>
          <w:type w:val="bbPlcHdr"/>
        </w:types>
        <w:behaviors>
          <w:behavior w:val="content"/>
        </w:behaviors>
        <w:guid w:val="{4F61830A-D1D6-4C27-A85A-9864BDFE13F3}"/>
      </w:docPartPr>
      <w:docPartBody>
        <w:p w:rsidR="00D8565F" w:rsidP="00800FB2" w:rsidRDefault="00800FB2">
          <w:pPr>
            <w:pStyle w:val="BDDDBBBDAA6A4A5982E5562A7B202D2D"/>
          </w:pPr>
          <w:r w:rsidRPr="004A7024">
            <w:rPr>
              <w:rFonts w:ascii="Arial" w:hAnsi="Arial" w:eastAsia="Arial" w:cs="Arial"/>
              <w:sz w:val="18"/>
              <w:szCs w:val="18"/>
            </w:rPr>
            <w:t xml:space="preserve"> </w:t>
          </w:r>
        </w:p>
      </w:docPartBody>
    </w:docPart>
    <w:docPart>
      <w:docPartPr>
        <w:name w:val="4A7B36A4E51A4196A8B1D69B13CEE716"/>
        <w:category>
          <w:name w:val="General"/>
          <w:gallery w:val="placeholder"/>
        </w:category>
        <w:types>
          <w:type w:val="bbPlcHdr"/>
        </w:types>
        <w:behaviors>
          <w:behavior w:val="content"/>
        </w:behaviors>
        <w:guid w:val="{503A2573-0265-4F29-A080-3FCD5E113C7D}"/>
      </w:docPartPr>
      <w:docPartBody>
        <w:p w:rsidR="00D8565F" w:rsidP="00800FB2" w:rsidRDefault="00800FB2">
          <w:pPr>
            <w:pStyle w:val="4A7B36A4E51A4196A8B1D69B13CEE716"/>
          </w:pPr>
          <w:r w:rsidRPr="004A7024">
            <w:rPr>
              <w:rFonts w:ascii="Arial" w:hAnsi="Arial" w:eastAsia="Arial" w:cs="Arial"/>
              <w:sz w:val="18"/>
              <w:szCs w:val="18"/>
            </w:rPr>
            <w:t xml:space="preserve"> </w:t>
          </w:r>
        </w:p>
      </w:docPartBody>
    </w:docPart>
    <w:docPart>
      <w:docPartPr>
        <w:name w:val="3CB1B52E1C764B38867B35BCDB26CA68"/>
        <w:category>
          <w:name w:val="General"/>
          <w:gallery w:val="placeholder"/>
        </w:category>
        <w:types>
          <w:type w:val="bbPlcHdr"/>
        </w:types>
        <w:behaviors>
          <w:behavior w:val="content"/>
        </w:behaviors>
        <w:guid w:val="{E884E070-D376-4253-8EAD-B6ADA408172D}"/>
      </w:docPartPr>
      <w:docPartBody>
        <w:p w:rsidR="00D8565F" w:rsidP="00800FB2" w:rsidRDefault="00800FB2">
          <w:pPr>
            <w:pStyle w:val="3CB1B52E1C764B38867B35BCDB26CA68"/>
          </w:pPr>
          <w:r>
            <w:rPr>
              <w:rFonts w:ascii="Arial" w:hAnsi="Arial" w:eastAsia="Arial" w:cs="Arial"/>
              <w:sz w:val="18"/>
              <w:szCs w:val="18"/>
            </w:rPr>
            <w:t xml:space="preserve"> </w:t>
          </w:r>
        </w:p>
      </w:docPartBody>
    </w:docPart>
    <w:docPart>
      <w:docPartPr>
        <w:name w:val="37C1AC63F89B472D876FE28C41BE571D"/>
        <w:category>
          <w:name w:val="General"/>
          <w:gallery w:val="placeholder"/>
        </w:category>
        <w:types>
          <w:type w:val="bbPlcHdr"/>
        </w:types>
        <w:behaviors>
          <w:behavior w:val="content"/>
        </w:behaviors>
        <w:guid w:val="{58DA0455-B733-4EB3-A122-DE8304996D67}"/>
      </w:docPartPr>
      <w:docPartBody>
        <w:p w:rsidR="00D8565F" w:rsidP="00800FB2" w:rsidRDefault="00800FB2">
          <w:pPr>
            <w:pStyle w:val="37C1AC63F89B472D876FE28C41BE571D"/>
          </w:pPr>
          <w:r>
            <w:rPr>
              <w:rFonts w:ascii="Arial" w:hAnsi="Arial" w:eastAsia="Arial" w:cs="Arial"/>
              <w:sz w:val="18"/>
              <w:szCs w:val="18"/>
            </w:rPr>
            <w:t xml:space="preserve"> </w:t>
          </w:r>
        </w:p>
      </w:docPartBody>
    </w:docPart>
    <w:docPart>
      <w:docPartPr>
        <w:name w:val="3C99E9D6BAE345A7B365DC769F5B462D"/>
        <w:category>
          <w:name w:val="General"/>
          <w:gallery w:val="placeholder"/>
        </w:category>
        <w:types>
          <w:type w:val="bbPlcHdr"/>
        </w:types>
        <w:behaviors>
          <w:behavior w:val="content"/>
        </w:behaviors>
        <w:guid w:val="{94C411F3-FAA8-4D23-9794-5FDE142C5DDB}"/>
      </w:docPartPr>
      <w:docPartBody>
        <w:p w:rsidR="00D8565F" w:rsidP="00800FB2" w:rsidRDefault="00800FB2">
          <w:pPr>
            <w:pStyle w:val="3C99E9D6BAE345A7B365DC769F5B462D"/>
          </w:pPr>
          <w:r>
            <w:rPr>
              <w:rFonts w:ascii="Arial" w:hAnsi="Arial" w:eastAsia="Arial" w:cs="Arial"/>
              <w:sz w:val="18"/>
              <w:szCs w:val="18"/>
            </w:rPr>
            <w:t xml:space="preserve"> </w:t>
          </w:r>
        </w:p>
      </w:docPartBody>
    </w:docPart>
    <w:docPart>
      <w:docPartPr>
        <w:name w:val="EBC215654339498AAA61699B9B682271"/>
        <w:category>
          <w:name w:val="General"/>
          <w:gallery w:val="placeholder"/>
        </w:category>
        <w:types>
          <w:type w:val="bbPlcHdr"/>
        </w:types>
        <w:behaviors>
          <w:behavior w:val="content"/>
        </w:behaviors>
        <w:guid w:val="{01B39A96-E1B1-453B-BE7E-CCF89F2929D8}"/>
      </w:docPartPr>
      <w:docPartBody>
        <w:p w:rsidR="00D8565F" w:rsidP="00800FB2" w:rsidRDefault="00800FB2">
          <w:pPr>
            <w:pStyle w:val="EBC215654339498AAA61699B9B682271"/>
          </w:pPr>
          <w:r>
            <w:rPr>
              <w:rFonts w:ascii="Arial" w:hAnsi="Arial" w:eastAsia="Arial" w:cs="Arial"/>
              <w:sz w:val="18"/>
              <w:szCs w:val="18"/>
            </w:rPr>
            <w:t xml:space="preserve"> </w:t>
          </w:r>
        </w:p>
      </w:docPartBody>
    </w:docPart>
    <w:docPart>
      <w:docPartPr>
        <w:name w:val="F60A5A8084F940848B4C9C3288B35DC7"/>
        <w:category>
          <w:name w:val="General"/>
          <w:gallery w:val="placeholder"/>
        </w:category>
        <w:types>
          <w:type w:val="bbPlcHdr"/>
        </w:types>
        <w:behaviors>
          <w:behavior w:val="content"/>
        </w:behaviors>
        <w:guid w:val="{C91180B8-F547-473D-BCB6-FCD405DC0E72}"/>
      </w:docPartPr>
      <w:docPartBody>
        <w:p w:rsidR="00D8565F" w:rsidP="00800FB2" w:rsidRDefault="00800FB2">
          <w:pPr>
            <w:pStyle w:val="F60A5A8084F940848B4C9C3288B35DC7"/>
          </w:pPr>
          <w:r>
            <w:rPr>
              <w:rFonts w:ascii="Arial" w:hAnsi="Arial" w:eastAsia="Arial" w:cs="Arial"/>
              <w:sz w:val="18"/>
              <w:szCs w:val="18"/>
            </w:rPr>
            <w:t xml:space="preserve"> </w:t>
          </w:r>
        </w:p>
      </w:docPartBody>
    </w:docPart>
    <w:docPart>
      <w:docPartPr>
        <w:name w:val="45106199AF7F4D41AAE0E9360C227D48"/>
        <w:category>
          <w:name w:val="General"/>
          <w:gallery w:val="placeholder"/>
        </w:category>
        <w:types>
          <w:type w:val="bbPlcHdr"/>
        </w:types>
        <w:behaviors>
          <w:behavior w:val="content"/>
        </w:behaviors>
        <w:guid w:val="{27A5C731-5B79-4C50-8495-E55533220F49}"/>
      </w:docPartPr>
      <w:docPartBody>
        <w:p w:rsidR="00D8565F" w:rsidP="00800FB2" w:rsidRDefault="00800FB2">
          <w:pPr>
            <w:pStyle w:val="45106199AF7F4D41AAE0E9360C227D48"/>
          </w:pPr>
          <w:r>
            <w:rPr>
              <w:rFonts w:ascii="Arial" w:hAnsi="Arial" w:eastAsia="Arial" w:cs="Arial"/>
              <w:sz w:val="18"/>
              <w:szCs w:val="18"/>
            </w:rPr>
            <w:t xml:space="preserve"> </w:t>
          </w:r>
        </w:p>
      </w:docPartBody>
    </w:docPart>
    <w:docPart>
      <w:docPartPr>
        <w:name w:val="DB49638EA2244039800AA88371818258"/>
        <w:category>
          <w:name w:val="General"/>
          <w:gallery w:val="placeholder"/>
        </w:category>
        <w:types>
          <w:type w:val="bbPlcHdr"/>
        </w:types>
        <w:behaviors>
          <w:behavior w:val="content"/>
        </w:behaviors>
        <w:guid w:val="{13206A8B-0AC6-4B13-A908-45E2BE7801C8}"/>
      </w:docPartPr>
      <w:docPartBody>
        <w:p w:rsidR="00D8565F" w:rsidP="00800FB2" w:rsidRDefault="00800FB2">
          <w:pPr>
            <w:pStyle w:val="DB49638EA2244039800AA88371818258"/>
          </w:pPr>
          <w:r>
            <w:rPr>
              <w:rFonts w:ascii="Arial" w:hAnsi="Arial" w:eastAsia="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Sans-Semi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81AE1"/>
    <w:rsid w:val="001D4648"/>
    <w:rsid w:val="00223B32"/>
    <w:rsid w:val="002253D2"/>
    <w:rsid w:val="00227104"/>
    <w:rsid w:val="002303E3"/>
    <w:rsid w:val="002A23C0"/>
    <w:rsid w:val="002D146C"/>
    <w:rsid w:val="002F4869"/>
    <w:rsid w:val="00326606"/>
    <w:rsid w:val="00342EB6"/>
    <w:rsid w:val="003434AB"/>
    <w:rsid w:val="003521AF"/>
    <w:rsid w:val="003E6CAD"/>
    <w:rsid w:val="00443C38"/>
    <w:rsid w:val="00490646"/>
    <w:rsid w:val="004A1FFE"/>
    <w:rsid w:val="004D3896"/>
    <w:rsid w:val="00530888"/>
    <w:rsid w:val="00543320"/>
    <w:rsid w:val="00551044"/>
    <w:rsid w:val="00580C97"/>
    <w:rsid w:val="0064336D"/>
    <w:rsid w:val="00667045"/>
    <w:rsid w:val="00696B4C"/>
    <w:rsid w:val="006D0A62"/>
    <w:rsid w:val="0077600D"/>
    <w:rsid w:val="007941BA"/>
    <w:rsid w:val="007A78D4"/>
    <w:rsid w:val="007F005E"/>
    <w:rsid w:val="00800FB2"/>
    <w:rsid w:val="00824A47"/>
    <w:rsid w:val="00934578"/>
    <w:rsid w:val="0096270C"/>
    <w:rsid w:val="009C5957"/>
    <w:rsid w:val="009E50D5"/>
    <w:rsid w:val="009F6E93"/>
    <w:rsid w:val="00A02524"/>
    <w:rsid w:val="00A0698B"/>
    <w:rsid w:val="00A33067"/>
    <w:rsid w:val="00A541A3"/>
    <w:rsid w:val="00A83540"/>
    <w:rsid w:val="00B07709"/>
    <w:rsid w:val="00B31379"/>
    <w:rsid w:val="00B5555D"/>
    <w:rsid w:val="00BE6FF9"/>
    <w:rsid w:val="00C262DB"/>
    <w:rsid w:val="00C572E2"/>
    <w:rsid w:val="00C90AA9"/>
    <w:rsid w:val="00C979D4"/>
    <w:rsid w:val="00CC7780"/>
    <w:rsid w:val="00D8565F"/>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A5E444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800FB2"/>
    <w:rPr>
      <w:color w:val="808080"/>
    </w:rPr>
  </w:style>
  <w:style w:type="paragraph" w:styleId="B7015D69253648A88DDA2522AC3ED5D7" w:customStyle="1">
    <w:name w:val="B7015D69253648A88DDA2522AC3ED5D7"/>
    <w:rsid w:val="00800FB2"/>
    <w:pPr>
      <w:spacing w:after="160" w:line="259" w:lineRule="auto"/>
    </w:pPr>
    <w:rPr>
      <w:lang w:val="en-US" w:eastAsia="en-US"/>
    </w:rPr>
  </w:style>
  <w:style w:type="paragraph" w:styleId="FEC49DA22EA241A6B7CB5F0097E963F6" w:customStyle="1">
    <w:name w:val="FEC49DA22EA241A6B7CB5F0097E963F6"/>
    <w:rsid w:val="00800FB2"/>
    <w:pPr>
      <w:spacing w:after="160" w:line="259" w:lineRule="auto"/>
    </w:pPr>
    <w:rPr>
      <w:lang w:val="en-US" w:eastAsia="en-US"/>
    </w:rPr>
  </w:style>
  <w:style w:type="paragraph" w:styleId="0983E179C78B411E952BE780B300C40C" w:customStyle="1">
    <w:name w:val="0983E179C78B411E952BE780B300C40C"/>
    <w:rsid w:val="00800FB2"/>
    <w:pPr>
      <w:spacing w:after="160" w:line="259" w:lineRule="auto"/>
    </w:pPr>
    <w:rPr>
      <w:lang w:val="en-US" w:eastAsia="en-US"/>
    </w:rPr>
  </w:style>
  <w:style w:type="paragraph" w:styleId="0A02C7387BCB4403BAA6087D5827A40D" w:customStyle="1">
    <w:name w:val="0A02C7387BCB4403BAA6087D5827A40D"/>
    <w:rsid w:val="00800FB2"/>
    <w:pPr>
      <w:spacing w:after="160" w:line="259" w:lineRule="auto"/>
    </w:pPr>
    <w:rPr>
      <w:lang w:val="en-US" w:eastAsia="en-US"/>
    </w:rPr>
  </w:style>
  <w:style w:type="paragraph" w:styleId="BDDDBBBDAA6A4A5982E5562A7B202D2D" w:customStyle="1">
    <w:name w:val="BDDDBBBDAA6A4A5982E5562A7B202D2D"/>
    <w:rsid w:val="00800FB2"/>
    <w:pPr>
      <w:spacing w:after="160" w:line="259" w:lineRule="auto"/>
    </w:pPr>
    <w:rPr>
      <w:lang w:val="en-US" w:eastAsia="en-US"/>
    </w:rPr>
  </w:style>
  <w:style w:type="paragraph" w:styleId="4A7B36A4E51A4196A8B1D69B13CEE716" w:customStyle="1">
    <w:name w:val="4A7B36A4E51A4196A8B1D69B13CEE716"/>
    <w:rsid w:val="00800FB2"/>
    <w:pPr>
      <w:spacing w:after="160" w:line="259" w:lineRule="auto"/>
    </w:pPr>
    <w:rPr>
      <w:lang w:val="en-US" w:eastAsia="en-US"/>
    </w:rPr>
  </w:style>
  <w:style w:type="paragraph" w:styleId="3CB1B52E1C764B38867B35BCDB26CA68" w:customStyle="1">
    <w:name w:val="3CB1B52E1C764B38867B35BCDB26CA68"/>
    <w:rsid w:val="00800FB2"/>
    <w:pPr>
      <w:spacing w:after="160" w:line="259" w:lineRule="auto"/>
    </w:pPr>
    <w:rPr>
      <w:lang w:val="en-US" w:eastAsia="en-US"/>
    </w:rPr>
  </w:style>
  <w:style w:type="paragraph" w:styleId="37C1AC63F89B472D876FE28C41BE571D" w:customStyle="1">
    <w:name w:val="37C1AC63F89B472D876FE28C41BE571D"/>
    <w:rsid w:val="00800FB2"/>
    <w:pPr>
      <w:spacing w:after="160" w:line="259" w:lineRule="auto"/>
    </w:pPr>
    <w:rPr>
      <w:lang w:val="en-US" w:eastAsia="en-US"/>
    </w:rPr>
  </w:style>
  <w:style w:type="paragraph" w:styleId="3C99E9D6BAE345A7B365DC769F5B462D" w:customStyle="1">
    <w:name w:val="3C99E9D6BAE345A7B365DC769F5B462D"/>
    <w:rsid w:val="00800FB2"/>
    <w:pPr>
      <w:spacing w:after="160" w:line="259" w:lineRule="auto"/>
    </w:pPr>
    <w:rPr>
      <w:lang w:val="en-US" w:eastAsia="en-US"/>
    </w:rPr>
  </w:style>
  <w:style w:type="paragraph" w:styleId="EBC215654339498AAA61699B9B682271" w:customStyle="1">
    <w:name w:val="EBC215654339498AAA61699B9B682271"/>
    <w:rsid w:val="00800FB2"/>
    <w:pPr>
      <w:spacing w:after="160" w:line="259" w:lineRule="auto"/>
    </w:pPr>
    <w:rPr>
      <w:lang w:val="en-US" w:eastAsia="en-US"/>
    </w:rPr>
  </w:style>
  <w:style w:type="paragraph" w:styleId="F60A5A8084F940848B4C9C3288B35DC7" w:customStyle="1">
    <w:name w:val="F60A5A8084F940848B4C9C3288B35DC7"/>
    <w:rsid w:val="00800FB2"/>
    <w:pPr>
      <w:spacing w:after="160" w:line="259" w:lineRule="auto"/>
    </w:pPr>
    <w:rPr>
      <w:lang w:val="en-US" w:eastAsia="en-US"/>
    </w:rPr>
  </w:style>
  <w:style w:type="paragraph" w:styleId="45106199AF7F4D41AAE0E9360C227D48" w:customStyle="1">
    <w:name w:val="45106199AF7F4D41AAE0E9360C227D48"/>
    <w:rsid w:val="00800FB2"/>
    <w:pPr>
      <w:spacing w:after="160" w:line="259" w:lineRule="auto"/>
    </w:pPr>
    <w:rPr>
      <w:lang w:val="en-US" w:eastAsia="en-US"/>
    </w:rPr>
  </w:style>
  <w:style w:type="paragraph" w:styleId="DB49638EA2244039800AA88371818258" w:customStyle="1">
    <w:name w:val="DB49638EA2244039800AA88371818258"/>
    <w:rsid w:val="00800FB2"/>
    <w:pPr>
      <w:spacing w:after="160" w:line="259" w:lineRule="auto"/>
    </w:pPr>
    <w:rPr>
      <w:lang w:val="en-US" w:eastAsia="en-US"/>
    </w:rPr>
  </w:style>
  <w:style w:type="paragraph" w:styleId="CCD660B516A04E8B88E3C7A5081A1BEB8" w:customStyle="1">
    <w:name w:val="CCD660B516A04E8B88E3C7A5081A1BEB8"/>
    <w:rsid w:val="002303E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7CFEEC6802D294FBFDDAB1093E472FE" ma:contentTypeVersion="5263" ma:contentTypeDescription="The base project type from which other project content types inherit their information." ma:contentTypeScope="" ma:versionID="617ad088f34dca5f159601e7c41897ca">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IFD/FMM</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ATN/OC-19773-PN</Approval_x0020_Number>
    <Phase xmlns="cdc7663a-08f0-4737-9e8c-148ce897a09c">PHASE_PREPARATION</Phase>
    <Document_x0020_Author xmlns="cdc7663a-08f0-4737-9e8c-148ce897a09c">Montesinos Ibanez, Carmen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155</Value>
      <Value>25</Value>
      <Value>59</Value>
      <Value>2</Value>
      <Value>31</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PN-T1301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EZSHARE-1963835366-16</_dlc_DocId>
    <_dlc_DocIdUrl xmlns="cdc7663a-08f0-4737-9e8c-148ce897a09c">
      <Url>https://idbg.sharepoint.com/teams/EZ-PN-TCP/PN-T1301/_layouts/15/DocIdRedir.aspx?ID=EZSHARE-1963835366-16</Url>
      <Description>EZSHARE-1963835366-16</Description>
    </_dlc_DocIdUrl>
  </documentManagement>
</p:properties>
</file>

<file path=customXml/itemProps1.xml><?xml version="1.0" encoding="utf-8"?>
<ds:datastoreItem xmlns:ds="http://schemas.openxmlformats.org/officeDocument/2006/customXml" ds:itemID="{CC54F4F7-0AF9-4EDF-A788-BF125F31AE13}"/>
</file>

<file path=customXml/itemProps2.xml><?xml version="1.0" encoding="utf-8"?>
<ds:datastoreItem xmlns:ds="http://schemas.openxmlformats.org/officeDocument/2006/customXml" ds:itemID="{178FDD15-CB51-41E4-B6F6-1EC1D5CCA804}"/>
</file>

<file path=customXml/itemProps3.xml><?xml version="1.0" encoding="utf-8"?>
<ds:datastoreItem xmlns:ds="http://schemas.openxmlformats.org/officeDocument/2006/customXml" ds:itemID="{7014ED46-B31B-4A9E-BCFF-0CDC8B74FB76}"/>
</file>

<file path=customXml/itemProps4.xml><?xml version="1.0" encoding="utf-8"?>
<ds:datastoreItem xmlns:ds="http://schemas.openxmlformats.org/officeDocument/2006/customXml" ds:itemID="{0DAF38B2-B99A-47CE-B1EC-1A56F83187F4}"/>
</file>

<file path=customXml/itemProps5.xml><?xml version="1.0" encoding="utf-8"?>
<ds:datastoreItem xmlns:ds="http://schemas.openxmlformats.org/officeDocument/2006/customXml" ds:itemID="{645598A4-8834-4452-AFED-9089241F50BD}"/>
</file>

<file path=customXml/itemProps6.xml><?xml version="1.0" encoding="utf-8"?>
<ds:datastoreItem xmlns:ds="http://schemas.openxmlformats.org/officeDocument/2006/customXml" ds:itemID="{AC3D9D7D-74A0-4CBB-9C68-0DAAB2AA7C6C}"/>
</file>

<file path=docProps/app.xml><?xml version="1.0" encoding="utf-8"?>
<ap:Properties xmlns:vt="http://schemas.openxmlformats.org/officeDocument/2006/docPropsVTypes" xmlns:ap="http://schemas.openxmlformats.org/officeDocument/2006/extended-properties">
  <ap:Template>Normal</ap:Template>
  <ap:TotalTime>709</ap:TotalTime>
  <ap:Pages>6</ap:Pages>
  <ap:Words>2568</ap:Words>
  <ap:Characters>14640</ap:Characters>
  <ap:Application>Microsoft Office Word</ap:Application>
  <ap:DocSecurity>0</ap:DocSecurity>
  <ap:Lines>122</ap:Lines>
  <ap:Paragraphs>34</ap:Paragraphs>
  <ap:ScaleCrop>false</ap:ScaleCrop>
  <ap:Company>Inter-American Development Bank</ap:Company>
  <ap:LinksUpToDate>false</ap:LinksUpToDate>
  <ap:CharactersWithSpaces>17174</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Carmen</cp:lastModifiedBy>
  <cp:revision>281</cp:revision>
  <cp:lastPrinted>2012-08-24T17:26:00Z</cp:lastPrinted>
  <dcterms:created xsi:type="dcterms:W3CDTF">2022-10-24T19:01:00Z</dcterms:created>
  <dcterms:modified xsi:type="dcterms:W3CDTF">2022-12-07T15:28:00Z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0x010100ACF722E9F6B0B149B0CD8BE2560A66720057CFEEC6802D294FBFDDAB1093E472FE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155;#FISCAL POLICY FOR SUSTAINABILITY AND GROWTH|6e15b5e0-ae82-4b06-920a-eef6dd27cc8b</vt:lpwstr>
  </property>
  <property fmtid="{D5CDD505-2E9C-101B-9397-08002B2CF9AE}" pid="13" name="Fund IDB">
    <vt:lpwstr>59;#TBD|d62f6e05-3e80-4abd-9bb4-5f10b4906ff6</vt:lpwstr>
  </property>
  <property fmtid="{D5CDD505-2E9C-101B-9397-08002B2CF9AE}" pid="14" name="Sector IDB">
    <vt:lpwstr>31;#REFORM / MODERNIZATION OF THE STATE|c8fda4a7-691a-4c65-b227-9825197b5cd2</vt:lpwstr>
  </property>
  <property fmtid="{D5CDD505-2E9C-101B-9397-08002B2CF9AE}" pid="15" name="_dlc_DocIdItemGuid">
    <vt:lpwstr>0062b47e-2cce-473d-84ea-f1d1304bffd3</vt:lpwstr>
  </property>
  <property fmtid="{D5CDD505-2E9C-101B-9397-08002B2CF9AE}" pid="16" name="Disclosure Activity">
    <vt:lpwstr>TC Document</vt:lpwstr>
  </property>
  <property fmtid="{D5CDD505-2E9C-101B-9397-08002B2CF9AE}" pid="17" name="Webtopic">
    <vt:lpwstr/>
  </property>
  <property fmtid="{D5CDD505-2E9C-101B-9397-08002B2CF9AE}" pid="18" name="Series Operations IDB">
    <vt:lpwstr/>
  </property>
</Properties>
</file>