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Override2.xml" ContentType="application/vnd.openxmlformats-officedocument.themeOverride+xml"/>
  <Override PartName="/word/charts/chart2.xml" ContentType="application/vnd.openxmlformats-officedocument.drawingml.chart+xml"/>
  <Override PartName="/word/theme/theme1.xml" ContentType="application/vnd.openxmlformats-officedocument.theme+xml"/>
  <Override PartName="/word/theme/themeOverride1.xml" ContentType="application/vnd.openxmlformats-officedocument.themeOverrid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E4B" w:rsidRPr="00C9535C" w:rsidRDefault="007E1BE2" w:rsidP="00902E4B">
      <w:pPr>
        <w:tabs>
          <w:tab w:val="left" w:pos="1440"/>
          <w:tab w:val="left" w:pos="3060"/>
        </w:tabs>
        <w:spacing w:line="240" w:lineRule="auto"/>
        <w:jc w:val="center"/>
        <w:outlineLvl w:val="0"/>
        <w:rPr>
          <w:rFonts w:ascii="Times New Roman" w:hAnsi="Times New Roman"/>
          <w:b/>
          <w:bCs/>
          <w:smallCaps/>
          <w:sz w:val="24"/>
          <w:szCs w:val="24"/>
          <w:lang w:val="es-ES"/>
        </w:rPr>
      </w:pPr>
      <w:r w:rsidRPr="00C9535C">
        <w:rPr>
          <w:rFonts w:ascii="Times New Roman" w:hAnsi="Times New Roman"/>
          <w:b/>
          <w:bCs/>
          <w:smallCaps/>
          <w:sz w:val="24"/>
          <w:szCs w:val="24"/>
          <w:lang w:val="es-ES"/>
        </w:rPr>
        <w:t>Análisis Económico</w:t>
      </w:r>
    </w:p>
    <w:p w:rsidR="007545D8" w:rsidRPr="00C9535C" w:rsidRDefault="007545D8" w:rsidP="00902E4B">
      <w:pPr>
        <w:tabs>
          <w:tab w:val="left" w:pos="1440"/>
          <w:tab w:val="left" w:pos="3060"/>
        </w:tabs>
        <w:spacing w:line="240" w:lineRule="auto"/>
        <w:outlineLvl w:val="0"/>
        <w:rPr>
          <w:rFonts w:ascii="Times New Roman" w:hAnsi="Times New Roman"/>
          <w:b/>
          <w:bCs/>
          <w:iCs/>
          <w:sz w:val="24"/>
          <w:szCs w:val="24"/>
          <w:lang w:val="es-ES"/>
        </w:rPr>
      </w:pPr>
      <w:r w:rsidRPr="00C9535C">
        <w:rPr>
          <w:rFonts w:ascii="Times New Roman" w:hAnsi="Times New Roman"/>
          <w:b/>
          <w:bCs/>
          <w:iCs/>
          <w:sz w:val="24"/>
          <w:szCs w:val="24"/>
          <w:lang w:val="es-ES"/>
        </w:rPr>
        <w:t>Introducción</w:t>
      </w:r>
    </w:p>
    <w:p w:rsidR="007545D8" w:rsidRPr="00C9535C" w:rsidRDefault="00E96C79" w:rsidP="00902E4B">
      <w:p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 xml:space="preserve">Al momento de la preparación de este proyecto, </w:t>
      </w:r>
      <w:r w:rsidR="00FF5780" w:rsidRPr="00C9535C">
        <w:rPr>
          <w:rFonts w:ascii="Times New Roman" w:hAnsi="Times New Roman"/>
          <w:bCs/>
          <w:iCs/>
          <w:sz w:val="24"/>
          <w:szCs w:val="24"/>
          <w:lang w:val="es-ES"/>
        </w:rPr>
        <w:t xml:space="preserve">se encuentran todavía en análisis y desarrollo </w:t>
      </w:r>
      <w:r w:rsidRPr="00C9535C">
        <w:rPr>
          <w:rFonts w:ascii="Times New Roman" w:hAnsi="Times New Roman"/>
          <w:bCs/>
          <w:iCs/>
          <w:sz w:val="24"/>
          <w:szCs w:val="24"/>
          <w:lang w:val="es-ES"/>
        </w:rPr>
        <w:t xml:space="preserve">los parámetros de las </w:t>
      </w:r>
      <w:r w:rsidR="0075030E" w:rsidRPr="00C9535C">
        <w:rPr>
          <w:rFonts w:ascii="Times New Roman" w:hAnsi="Times New Roman"/>
          <w:bCs/>
          <w:iCs/>
          <w:sz w:val="24"/>
          <w:szCs w:val="24"/>
          <w:lang w:val="es-ES"/>
        </w:rPr>
        <w:t xml:space="preserve">reformas </w:t>
      </w:r>
      <w:r w:rsidRPr="00C9535C">
        <w:rPr>
          <w:rFonts w:ascii="Times New Roman" w:hAnsi="Times New Roman"/>
          <w:bCs/>
          <w:iCs/>
          <w:sz w:val="24"/>
          <w:szCs w:val="24"/>
          <w:lang w:val="es-ES"/>
        </w:rPr>
        <w:t>qu</w:t>
      </w:r>
      <w:r w:rsidR="0075030E" w:rsidRPr="00C9535C">
        <w:rPr>
          <w:rFonts w:ascii="Times New Roman" w:hAnsi="Times New Roman"/>
          <w:bCs/>
          <w:iCs/>
          <w:sz w:val="24"/>
          <w:szCs w:val="24"/>
          <w:lang w:val="es-ES"/>
        </w:rPr>
        <w:t xml:space="preserve">e </w:t>
      </w:r>
      <w:r w:rsidRPr="00C9535C">
        <w:rPr>
          <w:rFonts w:ascii="Times New Roman" w:hAnsi="Times New Roman"/>
          <w:bCs/>
          <w:iCs/>
          <w:sz w:val="24"/>
          <w:szCs w:val="24"/>
          <w:lang w:val="es-ES"/>
        </w:rPr>
        <w:t>serán parte del rediseñ</w:t>
      </w:r>
      <w:r w:rsidR="00B0273A" w:rsidRPr="00C9535C">
        <w:rPr>
          <w:rFonts w:ascii="Times New Roman" w:hAnsi="Times New Roman"/>
          <w:bCs/>
          <w:iCs/>
          <w:sz w:val="24"/>
          <w:szCs w:val="24"/>
          <w:lang w:val="es-ES"/>
        </w:rPr>
        <w:t>o</w:t>
      </w:r>
      <w:r w:rsidRPr="00C9535C">
        <w:rPr>
          <w:rFonts w:ascii="Times New Roman" w:hAnsi="Times New Roman"/>
          <w:bCs/>
          <w:iCs/>
          <w:sz w:val="24"/>
          <w:szCs w:val="24"/>
          <w:lang w:val="es-ES"/>
        </w:rPr>
        <w:t xml:space="preserve"> de</w:t>
      </w:r>
      <w:r w:rsidR="00B0273A" w:rsidRPr="00C9535C">
        <w:rPr>
          <w:rFonts w:ascii="Times New Roman" w:hAnsi="Times New Roman"/>
          <w:bCs/>
          <w:iCs/>
          <w:sz w:val="24"/>
          <w:szCs w:val="24"/>
          <w:lang w:val="es-ES"/>
        </w:rPr>
        <w:t>l Programa de Desarrollo Humano Oportunidades (PDHO)</w:t>
      </w:r>
      <w:r w:rsidRPr="00C9535C">
        <w:rPr>
          <w:rFonts w:ascii="Times New Roman" w:hAnsi="Times New Roman"/>
          <w:bCs/>
          <w:iCs/>
          <w:sz w:val="24"/>
          <w:szCs w:val="24"/>
          <w:lang w:val="es-ES"/>
        </w:rPr>
        <w:t xml:space="preserve"> </w:t>
      </w:r>
      <w:r w:rsidR="00FF5780" w:rsidRPr="00C9535C">
        <w:rPr>
          <w:rFonts w:ascii="Times New Roman" w:hAnsi="Times New Roman"/>
          <w:bCs/>
          <w:iCs/>
          <w:sz w:val="24"/>
          <w:szCs w:val="24"/>
          <w:lang w:val="es-ES"/>
        </w:rPr>
        <w:t>apoyado</w:t>
      </w:r>
      <w:r w:rsidR="0075030E" w:rsidRPr="00C9535C">
        <w:rPr>
          <w:rFonts w:ascii="Times New Roman" w:hAnsi="Times New Roman"/>
          <w:bCs/>
          <w:iCs/>
          <w:sz w:val="24"/>
          <w:szCs w:val="24"/>
          <w:lang w:val="es-ES"/>
        </w:rPr>
        <w:t xml:space="preserve"> por este préstamo</w:t>
      </w:r>
      <w:r w:rsidR="00B0273A" w:rsidRPr="00C9535C">
        <w:rPr>
          <w:rFonts w:ascii="Times New Roman" w:hAnsi="Times New Roman"/>
          <w:bCs/>
          <w:iCs/>
          <w:sz w:val="24"/>
          <w:szCs w:val="24"/>
          <w:lang w:val="es-ES"/>
        </w:rPr>
        <w:t xml:space="preserve">. No obstante, </w:t>
      </w:r>
      <w:r w:rsidR="00FF5780" w:rsidRPr="00C9535C">
        <w:rPr>
          <w:rFonts w:ascii="Times New Roman" w:hAnsi="Times New Roman"/>
          <w:bCs/>
          <w:iCs/>
          <w:sz w:val="24"/>
          <w:szCs w:val="24"/>
          <w:lang w:val="es-ES"/>
        </w:rPr>
        <w:t xml:space="preserve">con la mejor información disponible y tomando en cuenta esa incertidumbre, </w:t>
      </w:r>
      <w:r w:rsidR="0075030E" w:rsidRPr="00C9535C">
        <w:rPr>
          <w:rFonts w:ascii="Times New Roman" w:hAnsi="Times New Roman"/>
          <w:bCs/>
          <w:iCs/>
          <w:sz w:val="24"/>
          <w:szCs w:val="24"/>
          <w:lang w:val="es-ES"/>
        </w:rPr>
        <w:t xml:space="preserve">el presente Análisis Económico presenta y discute la evidencia existente que sugiere tanto </w:t>
      </w:r>
      <w:r w:rsidR="00FF5780" w:rsidRPr="00C9535C">
        <w:rPr>
          <w:rFonts w:ascii="Times New Roman" w:hAnsi="Times New Roman"/>
          <w:bCs/>
          <w:iCs/>
          <w:sz w:val="24"/>
          <w:szCs w:val="24"/>
          <w:lang w:val="es-ES"/>
        </w:rPr>
        <w:t xml:space="preserve">la magnitud de </w:t>
      </w:r>
      <w:r w:rsidR="0075030E" w:rsidRPr="00C9535C">
        <w:rPr>
          <w:rFonts w:ascii="Times New Roman" w:hAnsi="Times New Roman"/>
          <w:bCs/>
          <w:iCs/>
          <w:sz w:val="24"/>
          <w:szCs w:val="24"/>
          <w:lang w:val="es-ES"/>
        </w:rPr>
        <w:t xml:space="preserve">los costos como </w:t>
      </w:r>
      <w:r w:rsidR="00FF5780" w:rsidRPr="00C9535C">
        <w:rPr>
          <w:rFonts w:ascii="Times New Roman" w:hAnsi="Times New Roman"/>
          <w:bCs/>
          <w:iCs/>
          <w:sz w:val="24"/>
          <w:szCs w:val="24"/>
          <w:lang w:val="es-ES"/>
        </w:rPr>
        <w:t xml:space="preserve">la </w:t>
      </w:r>
      <w:r w:rsidR="00AD2DE2">
        <w:rPr>
          <w:rFonts w:ascii="Times New Roman" w:hAnsi="Times New Roman"/>
          <w:bCs/>
          <w:iCs/>
          <w:sz w:val="24"/>
          <w:szCs w:val="24"/>
          <w:lang w:val="es-ES"/>
        </w:rPr>
        <w:t xml:space="preserve">efectividad </w:t>
      </w:r>
      <w:r w:rsidR="00215114" w:rsidRPr="00C9535C">
        <w:rPr>
          <w:rFonts w:ascii="Times New Roman" w:hAnsi="Times New Roman"/>
          <w:bCs/>
          <w:iCs/>
          <w:sz w:val="24"/>
          <w:szCs w:val="24"/>
          <w:lang w:val="es-ES"/>
        </w:rPr>
        <w:t xml:space="preserve">de las </w:t>
      </w:r>
      <w:r w:rsidR="00FF5780" w:rsidRPr="00C9535C">
        <w:rPr>
          <w:rFonts w:ascii="Times New Roman" w:hAnsi="Times New Roman"/>
          <w:bCs/>
          <w:iCs/>
          <w:sz w:val="24"/>
          <w:szCs w:val="24"/>
          <w:lang w:val="es-ES"/>
        </w:rPr>
        <w:t xml:space="preserve">principales </w:t>
      </w:r>
      <w:r w:rsidR="00215114" w:rsidRPr="00C9535C">
        <w:rPr>
          <w:rFonts w:ascii="Times New Roman" w:hAnsi="Times New Roman"/>
          <w:bCs/>
          <w:iCs/>
          <w:sz w:val="24"/>
          <w:szCs w:val="24"/>
          <w:lang w:val="es-ES"/>
        </w:rPr>
        <w:t>áreas de apoyo de la operación</w:t>
      </w:r>
      <w:r w:rsidR="00F91D17" w:rsidRPr="00C9535C">
        <w:rPr>
          <w:rFonts w:ascii="Times New Roman" w:hAnsi="Times New Roman"/>
          <w:bCs/>
          <w:iCs/>
          <w:sz w:val="24"/>
          <w:szCs w:val="24"/>
          <w:lang w:val="es-ES"/>
        </w:rPr>
        <w:t>. Además</w:t>
      </w:r>
      <w:r w:rsidR="005C2188">
        <w:rPr>
          <w:rFonts w:ascii="Times New Roman" w:hAnsi="Times New Roman"/>
          <w:bCs/>
          <w:iCs/>
          <w:sz w:val="24"/>
          <w:szCs w:val="24"/>
          <w:lang w:val="es-ES"/>
        </w:rPr>
        <w:t>, este documento</w:t>
      </w:r>
      <w:r w:rsidR="00F91D17" w:rsidRPr="00C9535C">
        <w:rPr>
          <w:rFonts w:ascii="Times New Roman" w:hAnsi="Times New Roman"/>
          <w:bCs/>
          <w:iCs/>
          <w:sz w:val="24"/>
          <w:szCs w:val="24"/>
          <w:lang w:val="es-ES"/>
        </w:rPr>
        <w:t xml:space="preserve"> contempla que, dada la existencia de vacíos de conocimiento en ciertas áreas, algunos elementos de análisis costo-</w:t>
      </w:r>
      <w:r w:rsidR="00AD2DE2">
        <w:rPr>
          <w:rFonts w:ascii="Times New Roman" w:hAnsi="Times New Roman"/>
          <w:bCs/>
          <w:iCs/>
          <w:sz w:val="24"/>
          <w:szCs w:val="24"/>
          <w:lang w:val="es-ES"/>
        </w:rPr>
        <w:t>efectividad</w:t>
      </w:r>
      <w:r w:rsidR="00AD2DE2" w:rsidRPr="00C9535C">
        <w:rPr>
          <w:rFonts w:ascii="Times New Roman" w:hAnsi="Times New Roman"/>
          <w:bCs/>
          <w:iCs/>
          <w:sz w:val="24"/>
          <w:szCs w:val="24"/>
          <w:lang w:val="es-ES"/>
        </w:rPr>
        <w:t xml:space="preserve"> </w:t>
      </w:r>
      <w:r w:rsidR="00F91D17" w:rsidRPr="00C9535C">
        <w:rPr>
          <w:rFonts w:ascii="Times New Roman" w:hAnsi="Times New Roman"/>
          <w:bCs/>
          <w:iCs/>
          <w:sz w:val="24"/>
          <w:szCs w:val="24"/>
          <w:lang w:val="es-ES"/>
        </w:rPr>
        <w:t>se tendrán que complementar durante la ejecución del préstamo. Las tres áreas temáticas de la operación y que se revisan en este documento son</w:t>
      </w:r>
      <w:r w:rsidR="0075030E" w:rsidRPr="00C9535C">
        <w:rPr>
          <w:rFonts w:ascii="Times New Roman" w:hAnsi="Times New Roman"/>
          <w:bCs/>
          <w:iCs/>
          <w:sz w:val="24"/>
          <w:szCs w:val="24"/>
          <w:lang w:val="es-ES"/>
        </w:rPr>
        <w:t>:</w:t>
      </w:r>
    </w:p>
    <w:p w:rsidR="00BA565A" w:rsidRPr="00C9535C" w:rsidRDefault="00BA565A" w:rsidP="00902E4B">
      <w:pPr>
        <w:autoSpaceDE w:val="0"/>
        <w:autoSpaceDN w:val="0"/>
        <w:adjustRightInd w:val="0"/>
        <w:spacing w:after="0" w:line="240" w:lineRule="auto"/>
        <w:jc w:val="both"/>
        <w:rPr>
          <w:rFonts w:ascii="Times New Roman" w:hAnsi="Times New Roman"/>
          <w:bCs/>
          <w:iCs/>
          <w:sz w:val="24"/>
          <w:szCs w:val="24"/>
          <w:lang w:val="es-ES"/>
        </w:rPr>
      </w:pPr>
    </w:p>
    <w:p w:rsidR="0075030E" w:rsidRPr="00C9535C" w:rsidRDefault="00FF5780" w:rsidP="00902E4B">
      <w:pPr>
        <w:numPr>
          <w:ilvl w:val="0"/>
          <w:numId w:val="18"/>
        </w:numPr>
        <w:spacing w:after="0" w:line="240" w:lineRule="auto"/>
        <w:rPr>
          <w:rFonts w:ascii="Times New Roman" w:hAnsi="Times New Roman"/>
          <w:sz w:val="24"/>
          <w:szCs w:val="24"/>
          <w:lang w:val="es-ES"/>
        </w:rPr>
      </w:pPr>
      <w:r w:rsidRPr="00C9535C">
        <w:rPr>
          <w:rFonts w:ascii="Times New Roman" w:hAnsi="Times New Roman"/>
          <w:sz w:val="24"/>
          <w:szCs w:val="24"/>
          <w:lang w:val="es-ES"/>
        </w:rPr>
        <w:t>R</w:t>
      </w:r>
      <w:r w:rsidR="00B0273A" w:rsidRPr="00C9535C">
        <w:rPr>
          <w:rFonts w:ascii="Times New Roman" w:hAnsi="Times New Roman"/>
          <w:sz w:val="24"/>
          <w:szCs w:val="24"/>
          <w:lang w:val="es-ES"/>
        </w:rPr>
        <w:t>eforma al esquema de becas del PDHO</w:t>
      </w:r>
      <w:r w:rsidR="0075030E" w:rsidRPr="00C9535C">
        <w:rPr>
          <w:rFonts w:ascii="Times New Roman" w:hAnsi="Times New Roman"/>
          <w:sz w:val="24"/>
          <w:szCs w:val="24"/>
          <w:lang w:val="es-ES"/>
        </w:rPr>
        <w:t>;</w:t>
      </w:r>
    </w:p>
    <w:p w:rsidR="0075030E" w:rsidRPr="00C9535C" w:rsidRDefault="00B0273A" w:rsidP="00902E4B">
      <w:pPr>
        <w:numPr>
          <w:ilvl w:val="0"/>
          <w:numId w:val="18"/>
        </w:num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C</w:t>
      </w:r>
      <w:r w:rsidR="0075030E" w:rsidRPr="00C9535C">
        <w:rPr>
          <w:rFonts w:ascii="Times New Roman" w:hAnsi="Times New Roman"/>
          <w:bCs/>
          <w:iCs/>
          <w:sz w:val="24"/>
          <w:szCs w:val="24"/>
          <w:lang w:val="es-ES"/>
        </w:rPr>
        <w:t>onsolidación y expansión de la Estrategia Integral de Atención de la Nutrición (EsIAN); y</w:t>
      </w:r>
    </w:p>
    <w:p w:rsidR="00215114" w:rsidRPr="00C9535C" w:rsidRDefault="00FF5780" w:rsidP="00902E4B">
      <w:pPr>
        <w:numPr>
          <w:ilvl w:val="0"/>
          <w:numId w:val="18"/>
        </w:num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 xml:space="preserve">Incorporación de un componente de </w:t>
      </w:r>
      <w:r w:rsidR="00B0273A" w:rsidRPr="00C9535C">
        <w:rPr>
          <w:rFonts w:ascii="Times New Roman" w:hAnsi="Times New Roman"/>
          <w:bCs/>
          <w:iCs/>
          <w:sz w:val="24"/>
          <w:szCs w:val="24"/>
          <w:lang w:val="es-ES"/>
        </w:rPr>
        <w:t xml:space="preserve">desarrollo </w:t>
      </w:r>
      <w:r w:rsidRPr="00C9535C">
        <w:rPr>
          <w:rFonts w:ascii="Times New Roman" w:hAnsi="Times New Roman"/>
          <w:bCs/>
          <w:iCs/>
          <w:sz w:val="24"/>
          <w:szCs w:val="24"/>
          <w:lang w:val="es-ES"/>
        </w:rPr>
        <w:t xml:space="preserve">infantil temprano en </w:t>
      </w:r>
      <w:r w:rsidR="0075030E" w:rsidRPr="00C9535C">
        <w:rPr>
          <w:rFonts w:ascii="Times New Roman" w:hAnsi="Times New Roman"/>
          <w:bCs/>
          <w:iCs/>
          <w:sz w:val="24"/>
          <w:szCs w:val="24"/>
          <w:lang w:val="es-ES"/>
        </w:rPr>
        <w:t>el PDHO</w:t>
      </w:r>
      <w:r w:rsidR="00215114" w:rsidRPr="00C9535C">
        <w:rPr>
          <w:rFonts w:ascii="Times New Roman" w:hAnsi="Times New Roman"/>
          <w:bCs/>
          <w:iCs/>
          <w:sz w:val="24"/>
          <w:szCs w:val="24"/>
          <w:lang w:val="es-ES"/>
        </w:rPr>
        <w:t>.</w:t>
      </w:r>
    </w:p>
    <w:p w:rsidR="00215114" w:rsidRPr="00C9535C" w:rsidRDefault="00215114" w:rsidP="00902E4B">
      <w:pPr>
        <w:autoSpaceDE w:val="0"/>
        <w:autoSpaceDN w:val="0"/>
        <w:adjustRightInd w:val="0"/>
        <w:spacing w:after="0" w:line="240" w:lineRule="auto"/>
        <w:jc w:val="both"/>
        <w:rPr>
          <w:rFonts w:ascii="Times New Roman" w:hAnsi="Times New Roman"/>
          <w:bCs/>
          <w:iCs/>
          <w:sz w:val="24"/>
          <w:szCs w:val="24"/>
          <w:lang w:val="es-ES"/>
        </w:rPr>
      </w:pPr>
    </w:p>
    <w:p w:rsidR="00A60074" w:rsidRPr="00C9535C" w:rsidRDefault="00A60074" w:rsidP="00902E4B">
      <w:p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 xml:space="preserve">El propósito de este </w:t>
      </w:r>
      <w:r w:rsidR="00F91D17" w:rsidRPr="00C9535C">
        <w:rPr>
          <w:rFonts w:ascii="Times New Roman" w:hAnsi="Times New Roman"/>
          <w:bCs/>
          <w:iCs/>
          <w:sz w:val="24"/>
          <w:szCs w:val="24"/>
          <w:lang w:val="es-ES"/>
        </w:rPr>
        <w:t>análisis</w:t>
      </w:r>
      <w:r w:rsidRPr="00C9535C">
        <w:rPr>
          <w:rFonts w:ascii="Times New Roman" w:hAnsi="Times New Roman"/>
          <w:bCs/>
          <w:iCs/>
          <w:sz w:val="24"/>
          <w:szCs w:val="24"/>
          <w:lang w:val="es-ES"/>
        </w:rPr>
        <w:t xml:space="preserve"> es doble: (i) documentar los elementos de análisis económico que se tuvieron en cuenta para definir las áreas y la forma en que el Banco acompañará la reforma del PDHO en los próximos tres años; y, (ii) presentar las líneas de trabajo que serán financiadas por la operación </w:t>
      </w:r>
      <w:r w:rsidR="00F91D17" w:rsidRPr="00C9535C">
        <w:rPr>
          <w:rFonts w:ascii="Times New Roman" w:hAnsi="Times New Roman"/>
          <w:bCs/>
          <w:iCs/>
          <w:sz w:val="24"/>
          <w:szCs w:val="24"/>
          <w:lang w:val="es-ES"/>
        </w:rPr>
        <w:t xml:space="preserve">y </w:t>
      </w:r>
      <w:r w:rsidRPr="00C9535C">
        <w:rPr>
          <w:rFonts w:ascii="Times New Roman" w:hAnsi="Times New Roman"/>
          <w:bCs/>
          <w:iCs/>
          <w:sz w:val="24"/>
          <w:szCs w:val="24"/>
          <w:lang w:val="es-ES"/>
        </w:rPr>
        <w:t>que complementarán dicho análisis previo.</w:t>
      </w:r>
    </w:p>
    <w:p w:rsidR="00A60074" w:rsidRPr="00C9535C" w:rsidRDefault="00A60074" w:rsidP="00902E4B">
      <w:pPr>
        <w:autoSpaceDE w:val="0"/>
        <w:autoSpaceDN w:val="0"/>
        <w:adjustRightInd w:val="0"/>
        <w:spacing w:after="0" w:line="240" w:lineRule="auto"/>
        <w:jc w:val="both"/>
        <w:rPr>
          <w:rFonts w:ascii="Times New Roman" w:hAnsi="Times New Roman"/>
          <w:bCs/>
          <w:iCs/>
          <w:sz w:val="24"/>
          <w:szCs w:val="24"/>
          <w:lang w:val="es-ES"/>
        </w:rPr>
      </w:pPr>
    </w:p>
    <w:p w:rsidR="00A1474F" w:rsidRPr="00C9535C" w:rsidRDefault="00F91D17" w:rsidP="00902E4B">
      <w:p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L</w:t>
      </w:r>
      <w:r w:rsidR="00C96AF4" w:rsidRPr="00C9535C">
        <w:rPr>
          <w:rFonts w:ascii="Times New Roman" w:hAnsi="Times New Roman"/>
          <w:bCs/>
          <w:iCs/>
          <w:sz w:val="24"/>
          <w:szCs w:val="24"/>
          <w:lang w:val="es-ES"/>
        </w:rPr>
        <w:t xml:space="preserve">a </w:t>
      </w:r>
      <w:r w:rsidR="00A1474F" w:rsidRPr="00C9535C">
        <w:rPr>
          <w:rFonts w:ascii="Times New Roman" w:hAnsi="Times New Roman"/>
          <w:bCs/>
          <w:iCs/>
          <w:sz w:val="24"/>
          <w:szCs w:val="24"/>
          <w:lang w:val="es-ES"/>
        </w:rPr>
        <w:t xml:space="preserve">principal </w:t>
      </w:r>
      <w:r w:rsidR="00C96AF4" w:rsidRPr="00C9535C">
        <w:rPr>
          <w:rFonts w:ascii="Times New Roman" w:hAnsi="Times New Roman"/>
          <w:bCs/>
          <w:iCs/>
          <w:sz w:val="24"/>
          <w:szCs w:val="24"/>
          <w:lang w:val="es-ES"/>
        </w:rPr>
        <w:t xml:space="preserve">evidencia </w:t>
      </w:r>
      <w:r w:rsidR="00A1474F" w:rsidRPr="00C9535C">
        <w:rPr>
          <w:rFonts w:ascii="Times New Roman" w:hAnsi="Times New Roman"/>
          <w:bCs/>
          <w:iCs/>
          <w:sz w:val="24"/>
          <w:szCs w:val="24"/>
          <w:lang w:val="es-ES"/>
        </w:rPr>
        <w:t xml:space="preserve">usada en este </w:t>
      </w:r>
      <w:r w:rsidR="00C96AF4" w:rsidRPr="00C9535C">
        <w:rPr>
          <w:rFonts w:ascii="Times New Roman" w:hAnsi="Times New Roman"/>
          <w:bCs/>
          <w:iCs/>
          <w:sz w:val="24"/>
          <w:szCs w:val="24"/>
          <w:lang w:val="es-ES"/>
        </w:rPr>
        <w:t xml:space="preserve">documento consiste en: </w:t>
      </w:r>
    </w:p>
    <w:p w:rsidR="00BF70A2" w:rsidRPr="00C9535C" w:rsidRDefault="00F91D17" w:rsidP="00902E4B">
      <w:pPr>
        <w:numPr>
          <w:ilvl w:val="0"/>
          <w:numId w:val="21"/>
        </w:num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sz w:val="24"/>
          <w:szCs w:val="24"/>
          <w:lang w:val="es-ES"/>
        </w:rPr>
        <w:t>Reforma al esquema de becas del PDHO:</w:t>
      </w:r>
      <w:r w:rsidRPr="00C9535C">
        <w:rPr>
          <w:rFonts w:ascii="Times New Roman" w:hAnsi="Times New Roman"/>
          <w:bCs/>
          <w:iCs/>
          <w:sz w:val="24"/>
          <w:szCs w:val="24"/>
          <w:lang w:val="es-ES"/>
        </w:rPr>
        <w:t xml:space="preserve"> </w:t>
      </w:r>
      <w:r w:rsidR="00A1474F" w:rsidRPr="00C9535C">
        <w:rPr>
          <w:rFonts w:ascii="Times New Roman" w:hAnsi="Times New Roman"/>
          <w:bCs/>
          <w:iCs/>
          <w:sz w:val="24"/>
          <w:szCs w:val="24"/>
          <w:lang w:val="es-ES"/>
        </w:rPr>
        <w:t>P</w:t>
      </w:r>
      <w:r w:rsidR="00C96AF4" w:rsidRPr="00C9535C">
        <w:rPr>
          <w:rFonts w:ascii="Times New Roman" w:hAnsi="Times New Roman"/>
          <w:bCs/>
          <w:iCs/>
          <w:sz w:val="24"/>
          <w:szCs w:val="24"/>
          <w:lang w:val="es-ES"/>
        </w:rPr>
        <w:t xml:space="preserve">ara </w:t>
      </w:r>
      <w:r w:rsidRPr="00C9535C">
        <w:rPr>
          <w:rFonts w:ascii="Times New Roman" w:hAnsi="Times New Roman"/>
          <w:bCs/>
          <w:iCs/>
          <w:sz w:val="24"/>
          <w:szCs w:val="24"/>
          <w:lang w:val="es-ES"/>
        </w:rPr>
        <w:t>este componente,</w:t>
      </w:r>
      <w:r w:rsidR="00BF70A2" w:rsidRPr="00C9535C">
        <w:rPr>
          <w:rFonts w:ascii="Times New Roman" w:hAnsi="Times New Roman"/>
          <w:bCs/>
          <w:iCs/>
          <w:sz w:val="24"/>
          <w:szCs w:val="24"/>
          <w:lang w:val="es-ES"/>
        </w:rPr>
        <w:t xml:space="preserve"> un documento fundamental es</w:t>
      </w:r>
      <w:r w:rsidR="00C96AF4" w:rsidRPr="00C9535C">
        <w:rPr>
          <w:rFonts w:ascii="Times New Roman" w:hAnsi="Times New Roman"/>
          <w:bCs/>
          <w:iCs/>
          <w:sz w:val="24"/>
          <w:szCs w:val="24"/>
          <w:lang w:val="es-ES"/>
        </w:rPr>
        <w:t xml:space="preserve"> la evaluación </w:t>
      </w:r>
      <w:r w:rsidR="00BF70A2" w:rsidRPr="00C9535C">
        <w:rPr>
          <w:rFonts w:ascii="Times New Roman" w:hAnsi="Times New Roman"/>
          <w:bCs/>
          <w:iCs/>
          <w:sz w:val="24"/>
          <w:szCs w:val="24"/>
          <w:lang w:val="es-ES"/>
        </w:rPr>
        <w:t>de l</w:t>
      </w:r>
      <w:r w:rsidR="00C96AF4" w:rsidRPr="00C9535C">
        <w:rPr>
          <w:rFonts w:ascii="Times New Roman" w:hAnsi="Times New Roman"/>
          <w:bCs/>
          <w:iCs/>
          <w:sz w:val="24"/>
          <w:szCs w:val="24"/>
          <w:lang w:val="es-ES"/>
        </w:rPr>
        <w:t xml:space="preserve">a prueba piloto en Ecatepec y Puebla, realizada por Attanasio y Espinosa (2010), en la cual se aplicó una reforma fiscalmente neutra que </w:t>
      </w:r>
      <w:r w:rsidRPr="00C9535C">
        <w:rPr>
          <w:rFonts w:ascii="Times New Roman" w:hAnsi="Times New Roman"/>
          <w:bCs/>
          <w:iCs/>
          <w:sz w:val="24"/>
          <w:szCs w:val="24"/>
          <w:lang w:val="es-ES"/>
        </w:rPr>
        <w:t xml:space="preserve">aumenta las becas de secundaria y elimina las de primaria. Esta reforma </w:t>
      </w:r>
      <w:r w:rsidR="00BF70A2" w:rsidRPr="00C9535C">
        <w:rPr>
          <w:rFonts w:ascii="Times New Roman" w:hAnsi="Times New Roman"/>
          <w:bCs/>
          <w:iCs/>
          <w:sz w:val="24"/>
          <w:szCs w:val="24"/>
          <w:lang w:val="es-ES"/>
        </w:rPr>
        <w:t>p</w:t>
      </w:r>
      <w:r w:rsidR="00C96AF4" w:rsidRPr="00C9535C">
        <w:rPr>
          <w:rFonts w:ascii="Times New Roman" w:hAnsi="Times New Roman"/>
          <w:bCs/>
          <w:iCs/>
          <w:sz w:val="24"/>
          <w:szCs w:val="24"/>
          <w:lang w:val="es-ES"/>
        </w:rPr>
        <w:t>arece</w:t>
      </w:r>
      <w:r w:rsidR="00BF70A2" w:rsidRPr="00C9535C">
        <w:rPr>
          <w:rFonts w:ascii="Times New Roman" w:hAnsi="Times New Roman"/>
          <w:bCs/>
          <w:iCs/>
          <w:sz w:val="24"/>
          <w:szCs w:val="24"/>
          <w:lang w:val="es-ES"/>
        </w:rPr>
        <w:t xml:space="preserve"> no</w:t>
      </w:r>
      <w:r w:rsidR="00C96AF4" w:rsidRPr="00C9535C">
        <w:rPr>
          <w:rFonts w:ascii="Times New Roman" w:hAnsi="Times New Roman"/>
          <w:bCs/>
          <w:iCs/>
          <w:sz w:val="24"/>
          <w:szCs w:val="24"/>
          <w:lang w:val="es-ES"/>
        </w:rPr>
        <w:t xml:space="preserve"> afectar </w:t>
      </w:r>
      <w:r w:rsidRPr="00C9535C">
        <w:rPr>
          <w:rFonts w:ascii="Times New Roman" w:hAnsi="Times New Roman"/>
          <w:bCs/>
          <w:iCs/>
          <w:sz w:val="24"/>
          <w:szCs w:val="24"/>
          <w:lang w:val="es-ES"/>
        </w:rPr>
        <w:t xml:space="preserve">negativamente </w:t>
      </w:r>
      <w:r w:rsidR="00C96AF4" w:rsidRPr="00C9535C">
        <w:rPr>
          <w:rFonts w:ascii="Times New Roman" w:hAnsi="Times New Roman"/>
          <w:bCs/>
          <w:iCs/>
          <w:sz w:val="24"/>
          <w:szCs w:val="24"/>
          <w:lang w:val="es-ES"/>
        </w:rPr>
        <w:t xml:space="preserve">el consumo ni </w:t>
      </w:r>
      <w:r w:rsidRPr="00C9535C">
        <w:rPr>
          <w:rFonts w:ascii="Times New Roman" w:hAnsi="Times New Roman"/>
          <w:bCs/>
          <w:iCs/>
          <w:sz w:val="24"/>
          <w:szCs w:val="24"/>
          <w:lang w:val="es-ES"/>
        </w:rPr>
        <w:t>la matrícula de primaria. P</w:t>
      </w:r>
      <w:r w:rsidR="00E56540" w:rsidRPr="00C9535C">
        <w:rPr>
          <w:rFonts w:ascii="Times New Roman" w:hAnsi="Times New Roman"/>
          <w:bCs/>
          <w:iCs/>
          <w:sz w:val="24"/>
          <w:szCs w:val="24"/>
          <w:lang w:val="es-ES"/>
        </w:rPr>
        <w:t>or tanto</w:t>
      </w:r>
      <w:r w:rsidRPr="00C9535C">
        <w:rPr>
          <w:rFonts w:ascii="Times New Roman" w:hAnsi="Times New Roman"/>
          <w:bCs/>
          <w:iCs/>
          <w:sz w:val="24"/>
          <w:szCs w:val="24"/>
          <w:lang w:val="es-ES"/>
        </w:rPr>
        <w:t>,</w:t>
      </w:r>
      <w:r w:rsidR="00E56540" w:rsidRPr="00C9535C">
        <w:rPr>
          <w:rFonts w:ascii="Times New Roman" w:hAnsi="Times New Roman"/>
          <w:bCs/>
          <w:iCs/>
          <w:sz w:val="24"/>
          <w:szCs w:val="24"/>
          <w:lang w:val="es-ES"/>
        </w:rPr>
        <w:t xml:space="preserve"> permite </w:t>
      </w:r>
      <w:r w:rsidRPr="00C9535C">
        <w:rPr>
          <w:rFonts w:ascii="Times New Roman" w:hAnsi="Times New Roman"/>
          <w:bCs/>
          <w:iCs/>
          <w:sz w:val="24"/>
          <w:szCs w:val="24"/>
          <w:lang w:val="es-ES"/>
        </w:rPr>
        <w:t xml:space="preserve">cuantificar los </w:t>
      </w:r>
      <w:r w:rsidR="00BF70A2" w:rsidRPr="00C9535C">
        <w:rPr>
          <w:rFonts w:ascii="Times New Roman" w:hAnsi="Times New Roman"/>
          <w:bCs/>
          <w:iCs/>
          <w:sz w:val="24"/>
          <w:szCs w:val="24"/>
          <w:lang w:val="es-ES"/>
        </w:rPr>
        <w:t>beneficios</w:t>
      </w:r>
      <w:r w:rsidRPr="00C9535C">
        <w:rPr>
          <w:rFonts w:ascii="Times New Roman" w:hAnsi="Times New Roman"/>
          <w:bCs/>
          <w:iCs/>
          <w:sz w:val="24"/>
          <w:szCs w:val="24"/>
          <w:lang w:val="es-ES"/>
        </w:rPr>
        <w:t xml:space="preserve"> de esta reforma</w:t>
      </w:r>
      <w:r w:rsidR="00BF70A2" w:rsidRPr="00C9535C">
        <w:rPr>
          <w:rFonts w:ascii="Times New Roman" w:hAnsi="Times New Roman"/>
          <w:bCs/>
          <w:iCs/>
          <w:sz w:val="24"/>
          <w:szCs w:val="24"/>
          <w:lang w:val="es-ES"/>
        </w:rPr>
        <w:t xml:space="preserve">. </w:t>
      </w:r>
      <w:r w:rsidRPr="00C9535C">
        <w:rPr>
          <w:rFonts w:ascii="Times New Roman" w:hAnsi="Times New Roman"/>
          <w:bCs/>
          <w:iCs/>
          <w:sz w:val="24"/>
          <w:szCs w:val="24"/>
          <w:lang w:val="es-ES"/>
        </w:rPr>
        <w:t>Como parte del rediseño del PDHO, s</w:t>
      </w:r>
      <w:r w:rsidR="00BF70A2" w:rsidRPr="00C9535C">
        <w:rPr>
          <w:rFonts w:ascii="Times New Roman" w:hAnsi="Times New Roman"/>
          <w:bCs/>
          <w:iCs/>
          <w:sz w:val="24"/>
          <w:szCs w:val="24"/>
          <w:lang w:val="es-ES"/>
        </w:rPr>
        <w:t xml:space="preserve">e planea </w:t>
      </w:r>
      <w:r w:rsidR="00C96AF4" w:rsidRPr="00C9535C">
        <w:rPr>
          <w:rFonts w:ascii="Times New Roman" w:hAnsi="Times New Roman"/>
          <w:bCs/>
          <w:iCs/>
          <w:sz w:val="24"/>
          <w:szCs w:val="24"/>
          <w:lang w:val="es-ES"/>
        </w:rPr>
        <w:t>un nuevo esquema piloto</w:t>
      </w:r>
      <w:r w:rsidRPr="00C9535C">
        <w:rPr>
          <w:rFonts w:ascii="Times New Roman" w:hAnsi="Times New Roman"/>
          <w:bCs/>
          <w:iCs/>
          <w:sz w:val="24"/>
          <w:szCs w:val="24"/>
          <w:lang w:val="es-ES"/>
        </w:rPr>
        <w:t xml:space="preserve"> que informe la reforma al esquema de becas en curso</w:t>
      </w:r>
      <w:r w:rsidR="00BF70A2" w:rsidRPr="00C9535C">
        <w:rPr>
          <w:rFonts w:ascii="Times New Roman" w:hAnsi="Times New Roman"/>
          <w:bCs/>
          <w:iCs/>
          <w:sz w:val="24"/>
          <w:szCs w:val="24"/>
          <w:lang w:val="es-ES"/>
        </w:rPr>
        <w:t>.</w:t>
      </w:r>
    </w:p>
    <w:p w:rsidR="00BF70A2" w:rsidRPr="00C9535C" w:rsidRDefault="00F91D17" w:rsidP="00902E4B">
      <w:pPr>
        <w:numPr>
          <w:ilvl w:val="0"/>
          <w:numId w:val="21"/>
        </w:num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Consolidación y expansión de la EsIAN</w:t>
      </w:r>
      <w:r w:rsidR="00BF70A2" w:rsidRPr="00C9535C">
        <w:rPr>
          <w:rFonts w:ascii="Times New Roman" w:hAnsi="Times New Roman"/>
          <w:bCs/>
          <w:iCs/>
          <w:sz w:val="24"/>
          <w:szCs w:val="24"/>
          <w:lang w:val="es-ES"/>
        </w:rPr>
        <w:t xml:space="preserve">: se cuenta con un estudio aleatorio en </w:t>
      </w:r>
      <w:r w:rsidRPr="00C9535C">
        <w:rPr>
          <w:rFonts w:ascii="Times New Roman" w:hAnsi="Times New Roman"/>
          <w:bCs/>
          <w:iCs/>
          <w:sz w:val="24"/>
          <w:szCs w:val="24"/>
          <w:lang w:val="es-ES"/>
        </w:rPr>
        <w:t xml:space="preserve">condiciones controladas, implementado en zonas urbanas de México y </w:t>
      </w:r>
      <w:r w:rsidR="00BF70A2" w:rsidRPr="00C9535C">
        <w:rPr>
          <w:rFonts w:ascii="Times New Roman" w:hAnsi="Times New Roman"/>
          <w:bCs/>
          <w:iCs/>
          <w:sz w:val="24"/>
          <w:szCs w:val="24"/>
          <w:lang w:val="es-ES"/>
        </w:rPr>
        <w:t>realizado entre 2005 y 2007, que permite distinguir los beneficios del consumo de distintos suplementos nutricionales en niños y mujeres embarazadas. Así también se cuenta con una evaluación de</w:t>
      </w:r>
      <w:r w:rsidRPr="00C9535C">
        <w:rPr>
          <w:rFonts w:ascii="Times New Roman" w:hAnsi="Times New Roman"/>
          <w:bCs/>
          <w:iCs/>
          <w:sz w:val="24"/>
          <w:szCs w:val="24"/>
          <w:lang w:val="es-ES"/>
        </w:rPr>
        <w:t xml:space="preserve"> </w:t>
      </w:r>
      <w:r w:rsidR="00BF70A2" w:rsidRPr="00C9535C">
        <w:rPr>
          <w:rFonts w:ascii="Times New Roman" w:hAnsi="Times New Roman"/>
          <w:bCs/>
          <w:iCs/>
          <w:sz w:val="24"/>
          <w:szCs w:val="24"/>
          <w:lang w:val="es-ES"/>
        </w:rPr>
        <w:t>l</w:t>
      </w:r>
      <w:r w:rsidRPr="00C9535C">
        <w:rPr>
          <w:rFonts w:ascii="Times New Roman" w:hAnsi="Times New Roman"/>
          <w:bCs/>
          <w:iCs/>
          <w:sz w:val="24"/>
          <w:szCs w:val="24"/>
          <w:lang w:val="es-ES"/>
        </w:rPr>
        <w:t>a implementación a escala</w:t>
      </w:r>
      <w:r w:rsidR="00BF70A2" w:rsidRPr="00C9535C">
        <w:rPr>
          <w:rFonts w:ascii="Times New Roman" w:hAnsi="Times New Roman"/>
          <w:bCs/>
          <w:iCs/>
          <w:sz w:val="24"/>
          <w:szCs w:val="24"/>
          <w:lang w:val="es-ES"/>
        </w:rPr>
        <w:t xml:space="preserve"> piloto de la EsIAN que permite distinguir </w:t>
      </w:r>
      <w:r w:rsidRPr="00C9535C">
        <w:rPr>
          <w:rFonts w:ascii="Times New Roman" w:hAnsi="Times New Roman"/>
          <w:bCs/>
          <w:iCs/>
          <w:sz w:val="24"/>
          <w:szCs w:val="24"/>
          <w:lang w:val="es-ES"/>
        </w:rPr>
        <w:t xml:space="preserve">además </w:t>
      </w:r>
      <w:r w:rsidR="00BF70A2" w:rsidRPr="00C9535C">
        <w:rPr>
          <w:rFonts w:ascii="Times New Roman" w:hAnsi="Times New Roman"/>
          <w:bCs/>
          <w:iCs/>
          <w:sz w:val="24"/>
          <w:szCs w:val="24"/>
          <w:lang w:val="es-ES"/>
        </w:rPr>
        <w:t xml:space="preserve">los efectos de la capacitación e información. </w:t>
      </w:r>
    </w:p>
    <w:p w:rsidR="00FD3957" w:rsidRPr="00C9535C" w:rsidRDefault="00F91D17" w:rsidP="00902E4B">
      <w:pPr>
        <w:numPr>
          <w:ilvl w:val="0"/>
          <w:numId w:val="21"/>
        </w:num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Incorporación de un componente de desarrollo infantil temprano en el PDHO</w:t>
      </w:r>
      <w:r w:rsidR="00A26BA4" w:rsidRPr="00C9535C">
        <w:rPr>
          <w:rFonts w:ascii="Times New Roman" w:hAnsi="Times New Roman"/>
          <w:bCs/>
          <w:iCs/>
          <w:sz w:val="24"/>
          <w:szCs w:val="24"/>
          <w:lang w:val="es-ES"/>
        </w:rPr>
        <w:t>: se cuenta con</w:t>
      </w:r>
      <w:r w:rsidR="00BF70A2" w:rsidRPr="00C9535C">
        <w:rPr>
          <w:rFonts w:ascii="Times New Roman" w:hAnsi="Times New Roman"/>
          <w:bCs/>
          <w:iCs/>
          <w:sz w:val="24"/>
          <w:szCs w:val="24"/>
          <w:lang w:val="es-ES"/>
        </w:rPr>
        <w:t xml:space="preserve"> evidencia de</w:t>
      </w:r>
      <w:r w:rsidR="00A26BA4" w:rsidRPr="00C9535C">
        <w:rPr>
          <w:rFonts w:ascii="Times New Roman" w:hAnsi="Times New Roman"/>
          <w:bCs/>
          <w:iCs/>
          <w:sz w:val="24"/>
          <w:szCs w:val="24"/>
          <w:lang w:val="es-ES"/>
        </w:rPr>
        <w:t xml:space="preserve"> los costos unitarios, servicios ofrecidos y beneficios logrados de diversos</w:t>
      </w:r>
      <w:r w:rsidR="00BF70A2" w:rsidRPr="00C9535C">
        <w:rPr>
          <w:rFonts w:ascii="Times New Roman" w:hAnsi="Times New Roman"/>
          <w:bCs/>
          <w:iCs/>
          <w:sz w:val="24"/>
          <w:szCs w:val="24"/>
          <w:lang w:val="es-ES"/>
        </w:rPr>
        <w:t xml:space="preserve"> </w:t>
      </w:r>
      <w:r w:rsidR="00A26BA4" w:rsidRPr="00C9535C">
        <w:rPr>
          <w:rFonts w:ascii="Times New Roman" w:hAnsi="Times New Roman"/>
          <w:bCs/>
          <w:iCs/>
          <w:sz w:val="24"/>
          <w:szCs w:val="24"/>
          <w:lang w:val="es-ES"/>
        </w:rPr>
        <w:t xml:space="preserve">programas de </w:t>
      </w:r>
      <w:r w:rsidRPr="00C9535C">
        <w:rPr>
          <w:rFonts w:ascii="Times New Roman" w:hAnsi="Times New Roman"/>
          <w:bCs/>
          <w:iCs/>
          <w:sz w:val="24"/>
          <w:szCs w:val="24"/>
          <w:lang w:val="es-ES"/>
        </w:rPr>
        <w:t>apoyo parental que operan</w:t>
      </w:r>
      <w:r w:rsidR="00A26BA4" w:rsidRPr="00C9535C">
        <w:rPr>
          <w:rFonts w:ascii="Times New Roman" w:hAnsi="Times New Roman"/>
          <w:bCs/>
          <w:iCs/>
          <w:sz w:val="24"/>
          <w:szCs w:val="24"/>
          <w:lang w:val="es-ES"/>
        </w:rPr>
        <w:t xml:space="preserve"> en la región</w:t>
      </w:r>
      <w:r w:rsidR="00C96AF4" w:rsidRPr="00C9535C">
        <w:rPr>
          <w:rFonts w:ascii="Times New Roman" w:hAnsi="Times New Roman"/>
          <w:bCs/>
          <w:iCs/>
          <w:sz w:val="24"/>
          <w:szCs w:val="24"/>
          <w:lang w:val="es-ES"/>
        </w:rPr>
        <w:t>.</w:t>
      </w:r>
    </w:p>
    <w:p w:rsidR="00FD3957" w:rsidRPr="00C9535C" w:rsidRDefault="00FD3957" w:rsidP="00902E4B">
      <w:pPr>
        <w:autoSpaceDE w:val="0"/>
        <w:autoSpaceDN w:val="0"/>
        <w:adjustRightInd w:val="0"/>
        <w:spacing w:after="0" w:line="240" w:lineRule="auto"/>
        <w:jc w:val="both"/>
        <w:rPr>
          <w:rFonts w:ascii="Times New Roman" w:hAnsi="Times New Roman"/>
          <w:bCs/>
          <w:iCs/>
          <w:sz w:val="24"/>
          <w:szCs w:val="24"/>
          <w:lang w:val="es-ES"/>
        </w:rPr>
      </w:pPr>
    </w:p>
    <w:p w:rsidR="00A60074" w:rsidRPr="00C9535C" w:rsidRDefault="00A60074" w:rsidP="00902E4B">
      <w:pPr>
        <w:autoSpaceDE w:val="0"/>
        <w:autoSpaceDN w:val="0"/>
        <w:adjustRightInd w:val="0"/>
        <w:spacing w:after="0" w:line="240" w:lineRule="auto"/>
        <w:jc w:val="both"/>
        <w:rPr>
          <w:rFonts w:ascii="Times New Roman" w:hAnsi="Times New Roman"/>
          <w:bCs/>
          <w:iCs/>
          <w:sz w:val="24"/>
          <w:szCs w:val="24"/>
          <w:lang w:val="es-ES"/>
        </w:rPr>
      </w:pPr>
      <w:r w:rsidRPr="00C9535C">
        <w:rPr>
          <w:rFonts w:ascii="Times New Roman" w:hAnsi="Times New Roman"/>
          <w:bCs/>
          <w:iCs/>
          <w:sz w:val="24"/>
          <w:szCs w:val="24"/>
          <w:lang w:val="es-ES"/>
        </w:rPr>
        <w:t>Respecto al segundo propósito, e</w:t>
      </w:r>
      <w:r w:rsidR="00F91D17" w:rsidRPr="00C9535C">
        <w:rPr>
          <w:rFonts w:ascii="Times New Roman" w:hAnsi="Times New Roman"/>
          <w:bCs/>
          <w:iCs/>
          <w:sz w:val="24"/>
          <w:szCs w:val="24"/>
          <w:lang w:val="es-ES"/>
        </w:rPr>
        <w:t xml:space="preserve">ste análisis económico describe las </w:t>
      </w:r>
      <w:r w:rsidRPr="00C9535C">
        <w:rPr>
          <w:rFonts w:ascii="Times New Roman" w:hAnsi="Times New Roman"/>
          <w:bCs/>
          <w:iCs/>
          <w:sz w:val="24"/>
          <w:szCs w:val="24"/>
          <w:lang w:val="es-ES"/>
        </w:rPr>
        <w:t xml:space="preserve">acciones que la operación </w:t>
      </w:r>
      <w:r w:rsidR="00F91D17" w:rsidRPr="00C9535C">
        <w:rPr>
          <w:rFonts w:ascii="Times New Roman" w:hAnsi="Times New Roman"/>
          <w:bCs/>
          <w:iCs/>
          <w:sz w:val="24"/>
          <w:szCs w:val="24"/>
          <w:lang w:val="es-ES"/>
        </w:rPr>
        <w:t>apoyará</w:t>
      </w:r>
      <w:r w:rsidRPr="00C9535C">
        <w:rPr>
          <w:rFonts w:ascii="Times New Roman" w:hAnsi="Times New Roman"/>
          <w:bCs/>
          <w:iCs/>
          <w:sz w:val="24"/>
          <w:szCs w:val="24"/>
          <w:lang w:val="es-ES"/>
        </w:rPr>
        <w:t xml:space="preserve"> con el fin de informar </w:t>
      </w:r>
      <w:r w:rsidR="00F91D17" w:rsidRPr="00C9535C">
        <w:rPr>
          <w:rFonts w:ascii="Times New Roman" w:hAnsi="Times New Roman"/>
          <w:bCs/>
          <w:iCs/>
          <w:sz w:val="24"/>
          <w:szCs w:val="24"/>
          <w:lang w:val="es-ES"/>
        </w:rPr>
        <w:t xml:space="preserve">los aspectos específicos del rediseño del PDHO. </w:t>
      </w:r>
      <w:r w:rsidR="00007DDA" w:rsidRPr="00C9535C">
        <w:rPr>
          <w:rFonts w:ascii="Times New Roman" w:hAnsi="Times New Roman"/>
          <w:bCs/>
          <w:iCs/>
          <w:sz w:val="24"/>
          <w:szCs w:val="24"/>
          <w:lang w:val="es-ES"/>
        </w:rPr>
        <w:t xml:space="preserve">En particular, se plantea: (a) realizar pruebas pilotos que permitan evaluar los impactos del nuevo esquema de becas; (b) evaluar costo-efectividad de dos modelos de capacitación para la implementación </w:t>
      </w:r>
      <w:r w:rsidR="00007DDA" w:rsidRPr="00C9535C">
        <w:rPr>
          <w:rFonts w:ascii="Times New Roman" w:hAnsi="Times New Roman"/>
          <w:bCs/>
          <w:iCs/>
          <w:sz w:val="24"/>
          <w:szCs w:val="24"/>
          <w:lang w:val="es-ES"/>
        </w:rPr>
        <w:lastRenderedPageBreak/>
        <w:t>de la EsIAN; y, (c) evaluar el impacto de dos modelos de programa de apoyo parental implementados a escala piloto.</w:t>
      </w:r>
    </w:p>
    <w:p w:rsidR="00A60074" w:rsidRPr="00C9535C" w:rsidRDefault="00A60074" w:rsidP="00902E4B">
      <w:pPr>
        <w:autoSpaceDE w:val="0"/>
        <w:autoSpaceDN w:val="0"/>
        <w:adjustRightInd w:val="0"/>
        <w:spacing w:after="0" w:line="240" w:lineRule="auto"/>
        <w:jc w:val="both"/>
        <w:rPr>
          <w:rFonts w:ascii="Times New Roman" w:hAnsi="Times New Roman"/>
          <w:bCs/>
          <w:iCs/>
          <w:sz w:val="24"/>
          <w:szCs w:val="24"/>
          <w:lang w:val="es-ES"/>
        </w:rPr>
      </w:pPr>
    </w:p>
    <w:p w:rsidR="00AD1F84" w:rsidRPr="00C9535C" w:rsidRDefault="00DB696F" w:rsidP="00902E4B">
      <w:pPr>
        <w:numPr>
          <w:ilvl w:val="0"/>
          <w:numId w:val="22"/>
        </w:numPr>
        <w:autoSpaceDE w:val="0"/>
        <w:autoSpaceDN w:val="0"/>
        <w:adjustRightInd w:val="0"/>
        <w:spacing w:after="0" w:line="240" w:lineRule="auto"/>
        <w:jc w:val="both"/>
        <w:rPr>
          <w:rFonts w:ascii="Times New Roman Bold" w:hAnsi="Times New Roman Bold"/>
          <w:smallCaps/>
          <w:sz w:val="24"/>
          <w:szCs w:val="24"/>
          <w:lang w:val="es-ES"/>
        </w:rPr>
      </w:pPr>
      <w:r w:rsidRPr="00C9535C">
        <w:rPr>
          <w:rFonts w:ascii="Times New Roman Bold" w:hAnsi="Times New Roman Bold"/>
          <w:b/>
          <w:smallCaps/>
          <w:sz w:val="24"/>
          <w:szCs w:val="24"/>
          <w:lang w:val="es-ES"/>
        </w:rPr>
        <w:t>Reforma al esquema de becas del pdho</w:t>
      </w:r>
    </w:p>
    <w:p w:rsidR="00AD1F84" w:rsidRPr="00C9535C" w:rsidRDefault="00AD1F84" w:rsidP="00902E4B">
      <w:pPr>
        <w:spacing w:after="0" w:line="240" w:lineRule="auto"/>
        <w:rPr>
          <w:rFonts w:ascii="Times New Roman" w:hAnsi="Times New Roman"/>
          <w:sz w:val="24"/>
          <w:szCs w:val="24"/>
          <w:lang w:val="es-ES"/>
        </w:rPr>
      </w:pPr>
    </w:p>
    <w:p w:rsidR="00AD1F84" w:rsidRPr="00C9535C" w:rsidRDefault="00DB696F"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presente operación </w:t>
      </w:r>
      <w:r w:rsidR="00AD1F84" w:rsidRPr="00C9535C">
        <w:rPr>
          <w:rFonts w:ascii="Times New Roman" w:hAnsi="Times New Roman"/>
          <w:sz w:val="24"/>
          <w:szCs w:val="24"/>
          <w:lang w:val="es-ES"/>
        </w:rPr>
        <w:t xml:space="preserve">busca </w:t>
      </w:r>
      <w:r w:rsidR="002312B1" w:rsidRPr="00C9535C">
        <w:rPr>
          <w:rFonts w:ascii="Times New Roman" w:hAnsi="Times New Roman"/>
          <w:sz w:val="24"/>
          <w:szCs w:val="24"/>
          <w:lang w:val="es-ES"/>
        </w:rPr>
        <w:t>promover</w:t>
      </w:r>
      <w:r w:rsidR="00AD1F84" w:rsidRPr="00C9535C">
        <w:rPr>
          <w:rFonts w:ascii="Times New Roman" w:hAnsi="Times New Roman"/>
          <w:sz w:val="24"/>
          <w:szCs w:val="24"/>
          <w:lang w:val="es-ES"/>
        </w:rPr>
        <w:t xml:space="preserve"> </w:t>
      </w:r>
      <w:r w:rsidR="00B0273A" w:rsidRPr="00C9535C">
        <w:rPr>
          <w:rFonts w:ascii="Times New Roman" w:hAnsi="Times New Roman"/>
          <w:sz w:val="24"/>
          <w:szCs w:val="24"/>
          <w:lang w:val="es-ES"/>
        </w:rPr>
        <w:t>e</w:t>
      </w:r>
      <w:r w:rsidR="00AD1F84" w:rsidRPr="00C9535C">
        <w:rPr>
          <w:rFonts w:ascii="Times New Roman" w:hAnsi="Times New Roman"/>
          <w:sz w:val="24"/>
          <w:szCs w:val="24"/>
          <w:lang w:val="es-ES"/>
        </w:rPr>
        <w:t>l aumento de la matrícula a nivel de educación Secundaria y Media Superior (EMS) mediante una revisión del esquema de becas</w:t>
      </w:r>
      <w:r w:rsidR="00B0273A" w:rsidRPr="00C9535C">
        <w:rPr>
          <w:rFonts w:ascii="Times New Roman" w:hAnsi="Times New Roman"/>
          <w:sz w:val="24"/>
          <w:szCs w:val="24"/>
          <w:lang w:val="es-ES"/>
        </w:rPr>
        <w:t xml:space="preserve"> que otorga el PDHO a sus beneficiarios</w:t>
      </w:r>
      <w:r w:rsidR="00AD1F84" w:rsidRPr="00C9535C">
        <w:rPr>
          <w:rFonts w:ascii="Times New Roman" w:hAnsi="Times New Roman"/>
          <w:sz w:val="24"/>
          <w:szCs w:val="24"/>
          <w:lang w:val="es-ES"/>
        </w:rPr>
        <w:t>.</w:t>
      </w:r>
    </w:p>
    <w:p w:rsidR="00BA565A" w:rsidRPr="00C9535C" w:rsidRDefault="00BA565A"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Las líneas generales </w:t>
      </w:r>
      <w:r w:rsidR="00DB696F" w:rsidRPr="00C9535C">
        <w:rPr>
          <w:rFonts w:ascii="Times New Roman" w:hAnsi="Times New Roman"/>
          <w:sz w:val="24"/>
          <w:szCs w:val="24"/>
          <w:lang w:val="es-ES"/>
        </w:rPr>
        <w:t xml:space="preserve">que ha esbozado el PDHO para esta reforma </w:t>
      </w:r>
      <w:r w:rsidRPr="00C9535C">
        <w:rPr>
          <w:rFonts w:ascii="Times New Roman" w:hAnsi="Times New Roman"/>
          <w:sz w:val="24"/>
          <w:szCs w:val="24"/>
          <w:lang w:val="es-ES"/>
        </w:rPr>
        <w:t>apuntan a: (i) eliminar las becas de Primaria en zonas urbanas (de 3ro a 5to grado) y rurales (de 1ro a 4to grado); (ii) aumentar el monto de las becas a nivel de EMS; e, (iii) incentivar la terminación de Secundaria y el tránsito hacia EMS</w:t>
      </w:r>
      <w:r w:rsidR="00B0273A" w:rsidRPr="00C9535C">
        <w:rPr>
          <w:rFonts w:ascii="Times New Roman" w:hAnsi="Times New Roman"/>
          <w:sz w:val="24"/>
          <w:szCs w:val="24"/>
          <w:lang w:val="es-ES"/>
        </w:rPr>
        <w:t xml:space="preserve"> a través del pago de apoyos por la culminación de un grado o nivel</w:t>
      </w:r>
      <w:r w:rsidRPr="00C9535C">
        <w:rPr>
          <w:rFonts w:ascii="Times New Roman" w:hAnsi="Times New Roman"/>
          <w:sz w:val="24"/>
          <w:szCs w:val="24"/>
          <w:lang w:val="es-ES"/>
        </w:rPr>
        <w:t xml:space="preserve">. </w:t>
      </w:r>
    </w:p>
    <w:p w:rsidR="00BA565A" w:rsidRPr="00C9535C" w:rsidRDefault="00BA565A" w:rsidP="00902E4B">
      <w:pPr>
        <w:spacing w:after="0" w:line="240" w:lineRule="auto"/>
        <w:jc w:val="both"/>
        <w:rPr>
          <w:rFonts w:ascii="Times New Roman" w:hAnsi="Times New Roman"/>
          <w:b/>
          <w:sz w:val="24"/>
          <w:szCs w:val="24"/>
          <w:highlight w:val="yellow"/>
          <w:lang w:val="es-ES"/>
        </w:rPr>
      </w:pPr>
    </w:p>
    <w:p w:rsidR="00AD1F84" w:rsidRPr="00C9535C" w:rsidRDefault="00696875" w:rsidP="00902E4B">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Motivación</w:t>
      </w:r>
    </w:p>
    <w:p w:rsidR="00DB696F" w:rsidRPr="00C9535C" w:rsidRDefault="00DB696F" w:rsidP="00902E4B">
      <w:pPr>
        <w:spacing w:after="0" w:line="240" w:lineRule="auto"/>
        <w:jc w:val="both"/>
        <w:rPr>
          <w:rFonts w:ascii="Times New Roman" w:hAnsi="Times New Roman"/>
          <w:b/>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Las tasas de matrícula entre los distintos grupos de edad reflejan marcadas diferencias entre niveles de educación. Mientras que la matrícula de aquellos estudiantes en edad de asistir a Primaria es prácticamente universal, existe una importante caída en la de aquellos en edad de asistir a Secundaria y principalmente a EMS. Además</w:t>
      </w:r>
      <w:r w:rsidR="00696875" w:rsidRPr="00C9535C">
        <w:rPr>
          <w:rFonts w:ascii="Times New Roman" w:hAnsi="Times New Roman"/>
          <w:sz w:val="24"/>
          <w:szCs w:val="24"/>
          <w:lang w:val="es-ES"/>
        </w:rPr>
        <w:t>,</w:t>
      </w:r>
      <w:r w:rsidRPr="00C9535C">
        <w:rPr>
          <w:rFonts w:ascii="Times New Roman" w:hAnsi="Times New Roman"/>
          <w:sz w:val="24"/>
          <w:szCs w:val="24"/>
          <w:lang w:val="es-ES"/>
        </w:rPr>
        <w:t xml:space="preserve"> como lo muestra la Figura 1, </w:t>
      </w:r>
      <w:r w:rsidR="008664EA" w:rsidRPr="00C9535C">
        <w:rPr>
          <w:rFonts w:ascii="Times New Roman" w:hAnsi="Times New Roman"/>
          <w:sz w:val="24"/>
          <w:szCs w:val="24"/>
          <w:lang w:val="es-ES"/>
        </w:rPr>
        <w:t>existen brechas entre estudiantes localizados en poblaciones grandes (urbanas) y aquellos en poblaciones pequeña</w:t>
      </w:r>
      <w:r w:rsidR="00696875" w:rsidRPr="00C9535C">
        <w:rPr>
          <w:rFonts w:ascii="Times New Roman" w:hAnsi="Times New Roman"/>
          <w:sz w:val="24"/>
          <w:szCs w:val="24"/>
          <w:lang w:val="es-ES"/>
        </w:rPr>
        <w:t>s (rurales): la matrícula es mayor en el ámbito urbano.</w:t>
      </w:r>
      <w:r w:rsidR="008664EA" w:rsidRPr="00C9535C">
        <w:rPr>
          <w:rFonts w:ascii="Times New Roman" w:hAnsi="Times New Roman"/>
          <w:sz w:val="24"/>
          <w:szCs w:val="24"/>
          <w:lang w:val="es-ES"/>
        </w:rPr>
        <w:t xml:space="preserve"> Por otra parte, se puede apreciar que e</w:t>
      </w:r>
      <w:r w:rsidRPr="00C9535C">
        <w:rPr>
          <w:rFonts w:ascii="Times New Roman" w:hAnsi="Times New Roman"/>
          <w:sz w:val="24"/>
          <w:szCs w:val="24"/>
          <w:lang w:val="es-ES"/>
        </w:rPr>
        <w:t>stas diferencias no se han podido reducir en el tiempo.</w:t>
      </w:r>
    </w:p>
    <w:p w:rsidR="00AD1F84" w:rsidRPr="00C9535C" w:rsidRDefault="00AD1F84" w:rsidP="00902E4B">
      <w:pPr>
        <w:spacing w:after="0" w:line="240" w:lineRule="auto"/>
        <w:rPr>
          <w:rFonts w:ascii="Times New Roman" w:hAnsi="Times New Roman"/>
          <w:sz w:val="24"/>
          <w:szCs w:val="24"/>
          <w:highlight w:val="yellow"/>
          <w:lang w:val="es-ES"/>
        </w:rPr>
      </w:pPr>
    </w:p>
    <w:p w:rsidR="001B32A0" w:rsidRPr="00C9535C" w:rsidRDefault="00696875"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M</w:t>
      </w:r>
      <w:r w:rsidR="001B32A0" w:rsidRPr="00C9535C">
        <w:rPr>
          <w:rFonts w:ascii="Times New Roman" w:hAnsi="Times New Roman"/>
          <w:sz w:val="24"/>
          <w:szCs w:val="24"/>
          <w:lang w:val="es-ES"/>
        </w:rPr>
        <w:t>ientras que en amb</w:t>
      </w:r>
      <w:r w:rsidR="005C2188">
        <w:rPr>
          <w:rFonts w:ascii="Times New Roman" w:hAnsi="Times New Roman"/>
          <w:sz w:val="24"/>
          <w:szCs w:val="24"/>
          <w:lang w:val="es-ES"/>
        </w:rPr>
        <w:t>o</w:t>
      </w:r>
      <w:r w:rsidR="001B32A0" w:rsidRPr="00C9535C">
        <w:rPr>
          <w:rFonts w:ascii="Times New Roman" w:hAnsi="Times New Roman"/>
          <w:sz w:val="24"/>
          <w:szCs w:val="24"/>
          <w:lang w:val="es-ES"/>
        </w:rPr>
        <w:t xml:space="preserve">s </w:t>
      </w:r>
      <w:r w:rsidR="005C2188">
        <w:rPr>
          <w:rFonts w:ascii="Times New Roman" w:hAnsi="Times New Roman"/>
          <w:sz w:val="24"/>
          <w:szCs w:val="24"/>
          <w:lang w:val="es-ES"/>
        </w:rPr>
        <w:t>tipos de poblaciones</w:t>
      </w:r>
      <w:r w:rsidR="001B32A0" w:rsidRPr="00C9535C">
        <w:rPr>
          <w:rFonts w:ascii="Times New Roman" w:hAnsi="Times New Roman"/>
          <w:sz w:val="24"/>
          <w:szCs w:val="24"/>
          <w:lang w:val="es-ES"/>
        </w:rPr>
        <w:t xml:space="preserve"> casi todos los niños en edad de atender Primaria (10 años) están matriculados, se puede apreciar que aquellos en edad de asistir a Secundaria o EMS </w:t>
      </w:r>
      <w:r w:rsidR="003B04EC" w:rsidRPr="00C9535C">
        <w:rPr>
          <w:rFonts w:ascii="Times New Roman" w:hAnsi="Times New Roman"/>
          <w:sz w:val="24"/>
          <w:szCs w:val="24"/>
          <w:lang w:val="es-ES"/>
        </w:rPr>
        <w:t xml:space="preserve">(15 y 20 años) </w:t>
      </w:r>
      <w:r w:rsidR="001B32A0" w:rsidRPr="00C9535C">
        <w:rPr>
          <w:rFonts w:ascii="Times New Roman" w:hAnsi="Times New Roman"/>
          <w:sz w:val="24"/>
          <w:szCs w:val="24"/>
          <w:lang w:val="es-ES"/>
        </w:rPr>
        <w:t xml:space="preserve">y que viven en poblaciones grandes </w:t>
      </w:r>
      <w:r w:rsidRPr="00C9535C">
        <w:rPr>
          <w:rFonts w:ascii="Times New Roman" w:hAnsi="Times New Roman"/>
          <w:sz w:val="24"/>
          <w:szCs w:val="24"/>
          <w:lang w:val="es-ES"/>
        </w:rPr>
        <w:t xml:space="preserve">es </w:t>
      </w:r>
      <w:r w:rsidR="001B32A0" w:rsidRPr="00C9535C">
        <w:rPr>
          <w:rFonts w:ascii="Times New Roman" w:hAnsi="Times New Roman"/>
          <w:sz w:val="24"/>
          <w:szCs w:val="24"/>
          <w:lang w:val="es-ES"/>
        </w:rPr>
        <w:t xml:space="preserve">más </w:t>
      </w:r>
      <w:r w:rsidRPr="00C9535C">
        <w:rPr>
          <w:rFonts w:ascii="Times New Roman" w:hAnsi="Times New Roman"/>
          <w:sz w:val="24"/>
          <w:szCs w:val="24"/>
          <w:lang w:val="es-ES"/>
        </w:rPr>
        <w:t>probable que se encuentren</w:t>
      </w:r>
      <w:r w:rsidR="003B04EC" w:rsidRPr="00C9535C">
        <w:rPr>
          <w:rFonts w:ascii="Times New Roman" w:hAnsi="Times New Roman"/>
          <w:sz w:val="24"/>
          <w:szCs w:val="24"/>
          <w:lang w:val="es-ES"/>
        </w:rPr>
        <w:t xml:space="preserve"> matriculados </w:t>
      </w:r>
      <w:r w:rsidRPr="00C9535C">
        <w:rPr>
          <w:rFonts w:ascii="Times New Roman" w:hAnsi="Times New Roman"/>
          <w:sz w:val="24"/>
          <w:szCs w:val="24"/>
          <w:lang w:val="es-ES"/>
        </w:rPr>
        <w:t xml:space="preserve">en la escuela </w:t>
      </w:r>
      <w:r w:rsidR="003B04EC" w:rsidRPr="00C9535C">
        <w:rPr>
          <w:rFonts w:ascii="Times New Roman" w:hAnsi="Times New Roman"/>
          <w:sz w:val="24"/>
          <w:szCs w:val="24"/>
          <w:lang w:val="es-ES"/>
        </w:rPr>
        <w:t xml:space="preserve">que aquellos viviendo en poblaciones pequeñas. Para el grupo de individuos en edad de asistir Secundaria, las diferencias promedio a lo largo del tiempo entre la probabilidad de estar matriculado para aquellos en poblaciones grandes y aquellos en poblaciones pequeñas, es de alrededor de 20 puntos porcentuales (80-90% en poblaciones grandes versus 60-70% en poblaciones pequeñas). Sin embargo, las diferencias son aún más marcadas para los individuos de 20 años: mientras aquellos viviendo en poblaciones grandes tienen 40-50% de probabilidades de estar matriculados, aquellos viviendo en poblaciones pequeñas tienen una probabilidad de 10-20%. </w:t>
      </w: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902E4B" w:rsidRPr="00C9535C" w:rsidRDefault="00902E4B" w:rsidP="00902E4B">
      <w:pPr>
        <w:spacing w:after="0" w:line="240" w:lineRule="auto"/>
        <w:jc w:val="both"/>
        <w:rPr>
          <w:rFonts w:ascii="Times New Roman" w:hAnsi="Times New Roman"/>
          <w:sz w:val="24"/>
          <w:szCs w:val="24"/>
          <w:lang w:val="es-ES"/>
        </w:rPr>
      </w:pPr>
    </w:p>
    <w:p w:rsidR="001B32A0" w:rsidRPr="00C9535C" w:rsidRDefault="001B32A0" w:rsidP="00126F06">
      <w:pPr>
        <w:spacing w:after="0" w:line="360" w:lineRule="auto"/>
        <w:rPr>
          <w:rFonts w:ascii="Times New Roman" w:hAnsi="Times New Roman"/>
          <w:sz w:val="24"/>
          <w:szCs w:val="24"/>
          <w:highlight w:val="yellow"/>
          <w:lang w:val="es-ES"/>
        </w:rPr>
      </w:pPr>
    </w:p>
    <w:p w:rsidR="003B04EC" w:rsidRPr="00C9535C" w:rsidRDefault="00AD1F84" w:rsidP="00902E4B">
      <w:pPr>
        <w:spacing w:after="0" w:line="240" w:lineRule="auto"/>
        <w:jc w:val="center"/>
        <w:rPr>
          <w:rFonts w:ascii="Times New Roman" w:hAnsi="Times New Roman"/>
          <w:b/>
          <w:sz w:val="24"/>
          <w:szCs w:val="24"/>
          <w:lang w:val="es-ES"/>
        </w:rPr>
      </w:pPr>
      <w:r w:rsidRPr="00C9535C">
        <w:rPr>
          <w:rFonts w:ascii="Times New Roman" w:hAnsi="Times New Roman"/>
          <w:b/>
          <w:sz w:val="24"/>
          <w:szCs w:val="24"/>
          <w:lang w:val="es-ES"/>
        </w:rPr>
        <w:lastRenderedPageBreak/>
        <w:t xml:space="preserve">Figura 1. Evolución de Matrícula, </w:t>
      </w:r>
      <w:r w:rsidR="003B04EC" w:rsidRPr="00C9535C">
        <w:rPr>
          <w:rFonts w:ascii="Times New Roman" w:hAnsi="Times New Roman"/>
          <w:b/>
          <w:sz w:val="24"/>
          <w:szCs w:val="24"/>
          <w:lang w:val="es-ES"/>
        </w:rPr>
        <w:t xml:space="preserve">por tipo de Población y </w:t>
      </w:r>
    </w:p>
    <w:p w:rsidR="00AD1F84" w:rsidRPr="00C9535C" w:rsidRDefault="003B04EC" w:rsidP="00902E4B">
      <w:pPr>
        <w:spacing w:after="0" w:line="240" w:lineRule="auto"/>
        <w:jc w:val="center"/>
        <w:rPr>
          <w:rFonts w:ascii="Times New Roman" w:hAnsi="Times New Roman"/>
          <w:b/>
          <w:sz w:val="24"/>
          <w:szCs w:val="24"/>
          <w:lang w:val="es-ES"/>
        </w:rPr>
      </w:pPr>
      <w:r w:rsidRPr="00C9535C">
        <w:rPr>
          <w:rFonts w:ascii="Times New Roman" w:hAnsi="Times New Roman"/>
          <w:b/>
          <w:sz w:val="24"/>
          <w:szCs w:val="24"/>
          <w:lang w:val="es-ES"/>
        </w:rPr>
        <w:t xml:space="preserve">Para </w:t>
      </w:r>
      <w:r w:rsidR="00AD1F84" w:rsidRPr="00C9535C">
        <w:rPr>
          <w:rFonts w:ascii="Times New Roman" w:hAnsi="Times New Roman"/>
          <w:b/>
          <w:sz w:val="24"/>
          <w:szCs w:val="24"/>
          <w:lang w:val="es-ES"/>
        </w:rPr>
        <w:t>Edades seleccionadas (2005-2012)</w:t>
      </w:r>
    </w:p>
    <w:p w:rsidR="009F096D" w:rsidRPr="00C9535C" w:rsidRDefault="00DB696F" w:rsidP="009F096D">
      <w:pPr>
        <w:spacing w:after="0" w:line="360" w:lineRule="auto"/>
        <w:jc w:val="center"/>
        <w:rPr>
          <w:noProof/>
          <w:lang w:val="es-ES"/>
        </w:rPr>
      </w:pPr>
      <w:r w:rsidRPr="00C9535C">
        <w:rPr>
          <w:noProof/>
        </w:rPr>
        <w:drawing>
          <wp:inline distT="0" distB="0" distL="0" distR="0" wp14:anchorId="21792051" wp14:editId="3ED97999">
            <wp:extent cx="4648200" cy="2886075"/>
            <wp:effectExtent l="0" t="0" r="19050" b="952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F096D" w:rsidRPr="00C9535C" w:rsidRDefault="009F096D" w:rsidP="009F096D">
      <w:pPr>
        <w:spacing w:after="0" w:line="360" w:lineRule="auto"/>
        <w:jc w:val="center"/>
        <w:rPr>
          <w:noProof/>
          <w:lang w:val="es-ES"/>
        </w:rPr>
      </w:pPr>
    </w:p>
    <w:p w:rsidR="009F096D" w:rsidRPr="00C9535C" w:rsidRDefault="00DB696F" w:rsidP="009F096D">
      <w:pPr>
        <w:spacing w:after="0" w:line="360" w:lineRule="auto"/>
        <w:jc w:val="center"/>
        <w:rPr>
          <w:rFonts w:ascii="Times New Roman" w:hAnsi="Times New Roman"/>
          <w:sz w:val="24"/>
          <w:szCs w:val="24"/>
          <w:highlight w:val="yellow"/>
          <w:lang w:val="es-ES"/>
        </w:rPr>
      </w:pPr>
      <w:r w:rsidRPr="00C9535C">
        <w:rPr>
          <w:noProof/>
        </w:rPr>
        <w:drawing>
          <wp:inline distT="0" distB="0" distL="0" distR="0" wp14:anchorId="381AC8EF" wp14:editId="769B574E">
            <wp:extent cx="4648200" cy="2872740"/>
            <wp:effectExtent l="0" t="0" r="19050" b="2286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E2CA9" w:rsidRPr="00C9535C" w:rsidRDefault="00AE2CA9" w:rsidP="00AE2CA9">
      <w:pPr>
        <w:spacing w:after="0" w:line="360" w:lineRule="auto"/>
        <w:ind w:left="900"/>
        <w:jc w:val="both"/>
        <w:rPr>
          <w:rFonts w:ascii="Times New Roman" w:hAnsi="Times New Roman"/>
          <w:sz w:val="20"/>
          <w:szCs w:val="20"/>
          <w:lang w:val="es-ES"/>
        </w:rPr>
      </w:pPr>
      <w:r w:rsidRPr="00C9535C">
        <w:rPr>
          <w:rFonts w:ascii="Times New Roman" w:hAnsi="Times New Roman"/>
          <w:sz w:val="20"/>
          <w:szCs w:val="20"/>
          <w:lang w:val="es-ES"/>
        </w:rPr>
        <w:t>Fuente: Cálculos propios.</w:t>
      </w:r>
    </w:p>
    <w:p w:rsidR="003B04EC" w:rsidRPr="00C9535C" w:rsidRDefault="003B04EC" w:rsidP="00126F06">
      <w:pPr>
        <w:spacing w:after="0" w:line="360" w:lineRule="auto"/>
        <w:jc w:val="both"/>
        <w:rPr>
          <w:rFonts w:ascii="Times New Roman" w:hAnsi="Times New Roman"/>
          <w:sz w:val="24"/>
          <w:szCs w:val="24"/>
          <w:highlight w:val="yellow"/>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Desde un punto de vista de efectividad de las políticas públicas</w:t>
      </w:r>
      <w:r w:rsidR="00696875" w:rsidRPr="00C9535C">
        <w:rPr>
          <w:rFonts w:ascii="Times New Roman" w:hAnsi="Times New Roman"/>
          <w:sz w:val="24"/>
          <w:szCs w:val="24"/>
          <w:lang w:val="es-ES"/>
        </w:rPr>
        <w:t>,</w:t>
      </w:r>
      <w:r w:rsidRPr="00C9535C">
        <w:rPr>
          <w:rFonts w:ascii="Times New Roman" w:hAnsi="Times New Roman"/>
          <w:sz w:val="24"/>
          <w:szCs w:val="24"/>
          <w:lang w:val="es-ES"/>
        </w:rPr>
        <w:t xml:space="preserve"> es preocupante que la tasa de matrícula se haya</w:t>
      </w:r>
      <w:r w:rsidR="00B0273A" w:rsidRPr="00C9535C">
        <w:rPr>
          <w:rFonts w:ascii="Times New Roman" w:hAnsi="Times New Roman"/>
          <w:sz w:val="24"/>
          <w:szCs w:val="24"/>
          <w:lang w:val="es-ES"/>
        </w:rPr>
        <w:t xml:space="preserve"> mantenido</w:t>
      </w:r>
      <w:r w:rsidRPr="00C9535C">
        <w:rPr>
          <w:rFonts w:ascii="Times New Roman" w:hAnsi="Times New Roman"/>
          <w:sz w:val="24"/>
          <w:szCs w:val="24"/>
          <w:lang w:val="es-ES"/>
        </w:rPr>
        <w:t xml:space="preserve"> relativamente estable a lo largo del tiempo</w:t>
      </w:r>
      <w:r w:rsidR="00B0273A" w:rsidRPr="00C9535C">
        <w:rPr>
          <w:rFonts w:ascii="Times New Roman" w:hAnsi="Times New Roman"/>
          <w:sz w:val="24"/>
          <w:szCs w:val="24"/>
          <w:lang w:val="es-ES"/>
        </w:rPr>
        <w:t>. Esto</w:t>
      </w:r>
      <w:r w:rsidRPr="00C9535C">
        <w:rPr>
          <w:rFonts w:ascii="Times New Roman" w:hAnsi="Times New Roman"/>
          <w:sz w:val="24"/>
          <w:szCs w:val="24"/>
          <w:lang w:val="es-ES"/>
        </w:rPr>
        <w:t xml:space="preserve"> fundamenta la búsqueda de medidas </w:t>
      </w:r>
      <w:r w:rsidR="00B0273A" w:rsidRPr="00C9535C">
        <w:rPr>
          <w:rFonts w:ascii="Times New Roman" w:hAnsi="Times New Roman"/>
          <w:sz w:val="24"/>
          <w:szCs w:val="24"/>
          <w:lang w:val="es-ES"/>
        </w:rPr>
        <w:t>alternativas</w:t>
      </w:r>
      <w:r w:rsidRPr="00C9535C">
        <w:rPr>
          <w:rFonts w:ascii="Times New Roman" w:hAnsi="Times New Roman"/>
          <w:sz w:val="24"/>
          <w:szCs w:val="24"/>
          <w:lang w:val="es-ES"/>
        </w:rPr>
        <w:t xml:space="preserve"> para </w:t>
      </w:r>
      <w:r w:rsidR="00B0273A" w:rsidRPr="00C9535C">
        <w:rPr>
          <w:rFonts w:ascii="Times New Roman" w:hAnsi="Times New Roman"/>
          <w:sz w:val="24"/>
          <w:szCs w:val="24"/>
          <w:lang w:val="es-ES"/>
        </w:rPr>
        <w:t>lograr un cambio de esta tendencia</w:t>
      </w:r>
      <w:r w:rsidRPr="00C9535C">
        <w:rPr>
          <w:rFonts w:ascii="Times New Roman" w:hAnsi="Times New Roman"/>
          <w:sz w:val="24"/>
          <w:szCs w:val="24"/>
          <w:lang w:val="es-ES"/>
        </w:rPr>
        <w:t xml:space="preserve">. </w:t>
      </w:r>
    </w:p>
    <w:p w:rsidR="00AD1F84" w:rsidRPr="00C9535C" w:rsidRDefault="00AD1F84" w:rsidP="00902E4B">
      <w:pPr>
        <w:spacing w:after="0" w:line="240" w:lineRule="auto"/>
        <w:jc w:val="both"/>
        <w:rPr>
          <w:rFonts w:ascii="Times New Roman" w:hAnsi="Times New Roman"/>
          <w:sz w:val="24"/>
          <w:szCs w:val="24"/>
          <w:highlight w:val="yellow"/>
          <w:lang w:val="es-ES"/>
        </w:rPr>
      </w:pPr>
    </w:p>
    <w:p w:rsidR="00902E4B" w:rsidRPr="00C9535C" w:rsidRDefault="00902E4B" w:rsidP="00902E4B">
      <w:pPr>
        <w:spacing w:after="0" w:line="240" w:lineRule="auto"/>
        <w:jc w:val="both"/>
        <w:rPr>
          <w:rFonts w:ascii="Times New Roman" w:hAnsi="Times New Roman"/>
          <w:b/>
          <w:sz w:val="24"/>
          <w:szCs w:val="24"/>
          <w:lang w:val="es-ES"/>
        </w:rPr>
      </w:pPr>
    </w:p>
    <w:p w:rsidR="00902E4B" w:rsidRPr="00C9535C" w:rsidRDefault="00902E4B" w:rsidP="00902E4B">
      <w:pPr>
        <w:spacing w:after="0" w:line="240" w:lineRule="auto"/>
        <w:jc w:val="both"/>
        <w:rPr>
          <w:rFonts w:ascii="Times New Roman" w:hAnsi="Times New Roman"/>
          <w:b/>
          <w:sz w:val="24"/>
          <w:szCs w:val="24"/>
          <w:lang w:val="es-ES"/>
        </w:rPr>
      </w:pPr>
    </w:p>
    <w:p w:rsidR="002C15C1" w:rsidRPr="00C9535C" w:rsidRDefault="002C15C1" w:rsidP="00E34F2A">
      <w:pPr>
        <w:spacing w:line="240" w:lineRule="auto"/>
        <w:jc w:val="both"/>
        <w:rPr>
          <w:rFonts w:ascii="Times New Roman" w:hAnsi="Times New Roman"/>
          <w:sz w:val="24"/>
          <w:szCs w:val="24"/>
          <w:lang w:val="es-ES"/>
        </w:rPr>
      </w:pPr>
      <w:r w:rsidRPr="00C9535C">
        <w:rPr>
          <w:rFonts w:ascii="Times New Roman" w:hAnsi="Times New Roman"/>
          <w:sz w:val="24"/>
          <w:szCs w:val="24"/>
          <w:lang w:val="es-ES"/>
        </w:rPr>
        <w:t>Las evaluaciones del PDHO (en áreas rurales y urbanas) muestran que los impactos del PDHO sobre asistencia escolar en Primaria son menores a aquel</w:t>
      </w:r>
      <w:r w:rsidR="00E34F2A" w:rsidRPr="00C9535C">
        <w:rPr>
          <w:rFonts w:ascii="Times New Roman" w:hAnsi="Times New Roman"/>
          <w:sz w:val="24"/>
          <w:szCs w:val="24"/>
          <w:lang w:val="es-ES"/>
        </w:rPr>
        <w:t>los sobre Secundaria (</w:t>
      </w:r>
      <w:r w:rsidR="005C2188">
        <w:rPr>
          <w:rFonts w:ascii="Times New Roman" w:hAnsi="Times New Roman"/>
          <w:sz w:val="24"/>
          <w:szCs w:val="24"/>
          <w:lang w:val="es-ES"/>
        </w:rPr>
        <w:t>Behrman et al. 2009</w:t>
      </w:r>
      <w:r w:rsidR="00E34F2A" w:rsidRPr="00C9535C">
        <w:rPr>
          <w:rFonts w:ascii="Times New Roman" w:hAnsi="Times New Roman"/>
          <w:sz w:val="24"/>
          <w:szCs w:val="24"/>
          <w:lang w:val="es-ES"/>
        </w:rPr>
        <w:t>)</w:t>
      </w:r>
      <w:r w:rsidRPr="00C9535C">
        <w:rPr>
          <w:rFonts w:ascii="Times New Roman" w:hAnsi="Times New Roman"/>
          <w:sz w:val="24"/>
          <w:szCs w:val="24"/>
          <w:lang w:val="es-ES"/>
        </w:rPr>
        <w:t xml:space="preserve">. Esto se debe a que hay menos margen para mejorar la asistencia escolar en Primaria que, en promedio, supera el 90%, mientras que existe una marcada caída en la matrícula de estudiantes mayores. Esta evidencia sugiere que el impacto de los apoyos educativos sobre el número de becarios que asisten a la escuela puede ser mayor si se destinan más recursos a las becas de Secundaria y EMS y se recortan las becas de Primaria. </w:t>
      </w: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En esta línea, las simulaciones realizadas en Attanasio et al. (2011) muestran que un cambio en la </w:t>
      </w:r>
      <w:r w:rsidR="00902E4B" w:rsidRPr="00C9535C">
        <w:rPr>
          <w:rFonts w:ascii="Times New Roman" w:hAnsi="Times New Roman"/>
          <w:sz w:val="24"/>
          <w:szCs w:val="24"/>
          <w:lang w:val="es-ES"/>
        </w:rPr>
        <w:t>estructura del sistema de becas</w:t>
      </w:r>
      <w:r w:rsidRPr="00C9535C">
        <w:rPr>
          <w:rFonts w:ascii="Times New Roman" w:hAnsi="Times New Roman"/>
          <w:sz w:val="24"/>
          <w:szCs w:val="24"/>
          <w:lang w:val="es-ES"/>
        </w:rPr>
        <w:t xml:space="preserve"> que no altera el presupuesto total</w:t>
      </w:r>
      <w:r w:rsidR="00B0273A" w:rsidRPr="00C9535C">
        <w:rPr>
          <w:rFonts w:ascii="Times New Roman" w:hAnsi="Times New Roman"/>
          <w:sz w:val="24"/>
          <w:szCs w:val="24"/>
          <w:lang w:val="es-ES"/>
        </w:rPr>
        <w:t xml:space="preserve"> del Programa</w:t>
      </w:r>
      <w:r w:rsidRPr="00C9535C">
        <w:rPr>
          <w:rFonts w:ascii="Times New Roman" w:hAnsi="Times New Roman"/>
          <w:sz w:val="24"/>
          <w:szCs w:val="24"/>
          <w:lang w:val="es-ES"/>
        </w:rPr>
        <w:t>, pero que sí redistribuye los fondos de becas para Primaria hacia becas para Secundaria, aumentaría considerablemente (casi duplicando) el impacto del PDHO sobre la asistencia escolar en Secundaria y EMS, sin reducir la asistencia en Primaria. Esta redistribución de recursos sería considerable ya que los apoyos educativos para niños matriculados en Primaria demandan un porcentaje grande de recursos presupuestales, dado el elevado porcentaje de niños en esa edad escolar que asisten a la escuela</w:t>
      </w:r>
      <w:r w:rsidR="00AC754A" w:rsidRPr="00C9535C">
        <w:rPr>
          <w:rFonts w:ascii="Times New Roman" w:hAnsi="Times New Roman"/>
          <w:sz w:val="24"/>
          <w:szCs w:val="24"/>
          <w:lang w:val="es-ES"/>
        </w:rPr>
        <w:t xml:space="preserve"> (comparado con el porcentaje de niños que asisten al nivel de Secundaria o EMS)</w:t>
      </w:r>
      <w:r w:rsidRPr="00C9535C">
        <w:rPr>
          <w:rFonts w:ascii="Times New Roman" w:hAnsi="Times New Roman"/>
          <w:sz w:val="24"/>
          <w:szCs w:val="24"/>
          <w:lang w:val="es-ES"/>
        </w:rPr>
        <w:t xml:space="preserve">.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Durante los años 2009-2010, el PDHO evaluó un piloto de modificación del esquema de becas en zonas urbanas en dos ciudades, Puebla y Ecatepec. La modificación consistía en eliminar las becas de Primaria y en aumentar el monto de las de Secundaria y EMS en un 25%. Los cambios en los montos de las becas se establecieron pensando en que éstos fueran fiscalmente neutros. La evaluación de corto plazo, realizada por Attanasio y Espinosa (2010), muestra que tras 18 meses de implementación, este esquema de becas tuvo impactos importantes (entre 5-7 puntos porcentuales), positivos y significativos sobre la matrícula escolar de las mujeres de 13-18 años de la ciudad de Ecatepec. Sin embargo, no tuvo impactos sobre los hombres de ninguna de las dos ciudades ni </w:t>
      </w:r>
      <w:r w:rsidR="00AC754A" w:rsidRPr="00C9535C">
        <w:rPr>
          <w:rFonts w:ascii="Times New Roman" w:hAnsi="Times New Roman"/>
          <w:sz w:val="24"/>
          <w:szCs w:val="24"/>
          <w:lang w:val="es-ES"/>
        </w:rPr>
        <w:t xml:space="preserve">sobre </w:t>
      </w:r>
      <w:r w:rsidRPr="00C9535C">
        <w:rPr>
          <w:rFonts w:ascii="Times New Roman" w:hAnsi="Times New Roman"/>
          <w:sz w:val="24"/>
          <w:szCs w:val="24"/>
          <w:lang w:val="es-ES"/>
        </w:rPr>
        <w:t xml:space="preserve">las mujeres de Puebla. Además, la ausencia de la beca de Primaria no tuvo efectos negativos sobre la matrícula escolar en ninguna de las dos ciudades. De acuerdo a la evaluación, el nuevo esquema de becas no altera ni el gasto en alimentos, ni la oferta laboral de los hogares.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902E4B"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L</w:t>
      </w:r>
      <w:r w:rsidR="00AD1F84" w:rsidRPr="00C9535C">
        <w:rPr>
          <w:rFonts w:ascii="Times New Roman" w:hAnsi="Times New Roman"/>
          <w:sz w:val="24"/>
          <w:szCs w:val="24"/>
          <w:lang w:val="es-ES"/>
        </w:rPr>
        <w:t>a evidencia descriptiva present</w:t>
      </w:r>
      <w:r w:rsidRPr="00C9535C">
        <w:rPr>
          <w:rFonts w:ascii="Times New Roman" w:hAnsi="Times New Roman"/>
          <w:sz w:val="24"/>
          <w:szCs w:val="24"/>
          <w:lang w:val="es-ES"/>
        </w:rPr>
        <w:t>ada en Araujo y Sandoval (2012) sugiere que</w:t>
      </w:r>
      <w:r w:rsidR="00AD1F84" w:rsidRPr="00C9535C">
        <w:rPr>
          <w:rFonts w:ascii="Times New Roman" w:hAnsi="Times New Roman"/>
          <w:sz w:val="24"/>
          <w:szCs w:val="24"/>
          <w:lang w:val="es-ES"/>
        </w:rPr>
        <w:t xml:space="preserve"> los impactos diferenciados </w:t>
      </w:r>
      <w:r w:rsidRPr="00C9535C">
        <w:rPr>
          <w:rFonts w:ascii="Times New Roman" w:hAnsi="Times New Roman"/>
          <w:sz w:val="24"/>
          <w:szCs w:val="24"/>
          <w:lang w:val="es-ES"/>
        </w:rPr>
        <w:t>identificados en el estudio de Attanasio y Espinosa (2010) pueden</w:t>
      </w:r>
      <w:r w:rsidR="00AD1F84" w:rsidRPr="00C9535C">
        <w:rPr>
          <w:rFonts w:ascii="Times New Roman" w:hAnsi="Times New Roman"/>
          <w:sz w:val="24"/>
          <w:szCs w:val="24"/>
          <w:lang w:val="es-ES"/>
        </w:rPr>
        <w:t xml:space="preserve"> estar relacionados con las diferencias en el mercado laboral para los y las jóvenes en estas ciudades. En particular, los resultados de Attanasio y Espinosa (2010) </w:t>
      </w:r>
      <w:r w:rsidRPr="00C9535C">
        <w:rPr>
          <w:rFonts w:ascii="Times New Roman" w:hAnsi="Times New Roman"/>
          <w:sz w:val="24"/>
          <w:szCs w:val="24"/>
          <w:lang w:val="es-ES"/>
        </w:rPr>
        <w:t>podrían</w:t>
      </w:r>
      <w:r w:rsidR="00AD1F84" w:rsidRPr="00C9535C">
        <w:rPr>
          <w:rFonts w:ascii="Times New Roman" w:hAnsi="Times New Roman"/>
          <w:sz w:val="24"/>
          <w:szCs w:val="24"/>
          <w:lang w:val="es-ES"/>
        </w:rPr>
        <w:t xml:space="preserve"> estar asociados a que la probabilidad de encontrar empleo y el salario de las mujeres de Ecatepec son sustancialmente menores que los que reciben los hombres de Ecatepec y los hombres y mujeres de Puebla. </w:t>
      </w:r>
    </w:p>
    <w:p w:rsidR="00902E4B" w:rsidRPr="00C9535C" w:rsidRDefault="00902E4B" w:rsidP="00902E4B">
      <w:pPr>
        <w:spacing w:after="0" w:line="240" w:lineRule="auto"/>
        <w:jc w:val="both"/>
        <w:rPr>
          <w:rFonts w:ascii="Times New Roman" w:hAnsi="Times New Roman"/>
          <w:sz w:val="24"/>
          <w:szCs w:val="24"/>
          <w:lang w:val="es-ES"/>
        </w:rPr>
      </w:pPr>
    </w:p>
    <w:p w:rsidR="00AE2CA9" w:rsidRPr="00C9535C" w:rsidRDefault="0091287F"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Otra potencial fuente de explicación de </w:t>
      </w:r>
      <w:r w:rsidR="00097798" w:rsidRPr="00C9535C">
        <w:rPr>
          <w:rFonts w:ascii="Times New Roman" w:hAnsi="Times New Roman"/>
          <w:sz w:val="24"/>
          <w:szCs w:val="24"/>
          <w:lang w:val="es-ES"/>
        </w:rPr>
        <w:t xml:space="preserve">la ausencia de efectos del </w:t>
      </w:r>
      <w:r w:rsidRPr="00C9535C">
        <w:rPr>
          <w:rFonts w:ascii="Times New Roman" w:hAnsi="Times New Roman"/>
          <w:sz w:val="24"/>
          <w:szCs w:val="24"/>
          <w:lang w:val="es-ES"/>
        </w:rPr>
        <w:t>aumento en</w:t>
      </w:r>
      <w:r w:rsidR="00097798" w:rsidRPr="00C9535C">
        <w:rPr>
          <w:rFonts w:ascii="Times New Roman" w:hAnsi="Times New Roman"/>
          <w:sz w:val="24"/>
          <w:szCs w:val="24"/>
          <w:lang w:val="es-ES"/>
        </w:rPr>
        <w:t xml:space="preserve"> el monto de las</w:t>
      </w:r>
      <w:r w:rsidRPr="00C9535C">
        <w:rPr>
          <w:rFonts w:ascii="Times New Roman" w:hAnsi="Times New Roman"/>
          <w:sz w:val="24"/>
          <w:szCs w:val="24"/>
          <w:lang w:val="es-ES"/>
        </w:rPr>
        <w:t xml:space="preserve"> becas sobre la matrícula </w:t>
      </w:r>
      <w:r w:rsidR="00F43736" w:rsidRPr="00C9535C">
        <w:rPr>
          <w:rFonts w:ascii="Times New Roman" w:hAnsi="Times New Roman"/>
          <w:sz w:val="24"/>
          <w:szCs w:val="24"/>
          <w:lang w:val="es-ES"/>
        </w:rPr>
        <w:t xml:space="preserve">en Secundaria y EMS </w:t>
      </w:r>
      <w:r w:rsidR="002D6F26" w:rsidRPr="00C9535C">
        <w:rPr>
          <w:rFonts w:ascii="Times New Roman" w:hAnsi="Times New Roman"/>
          <w:sz w:val="24"/>
          <w:szCs w:val="24"/>
          <w:lang w:val="es-ES"/>
        </w:rPr>
        <w:t xml:space="preserve">está relacionada a </w:t>
      </w:r>
      <w:r w:rsidR="00F43736" w:rsidRPr="00C9535C">
        <w:rPr>
          <w:rFonts w:ascii="Times New Roman" w:hAnsi="Times New Roman"/>
          <w:sz w:val="24"/>
          <w:szCs w:val="24"/>
          <w:lang w:val="es-ES"/>
        </w:rPr>
        <w:t xml:space="preserve">los retornos salariales a </w:t>
      </w:r>
      <w:r w:rsidR="002D6F26" w:rsidRPr="00C9535C">
        <w:rPr>
          <w:rFonts w:ascii="Times New Roman" w:hAnsi="Times New Roman"/>
          <w:sz w:val="24"/>
          <w:szCs w:val="24"/>
          <w:lang w:val="es-ES"/>
        </w:rPr>
        <w:t>la</w:t>
      </w:r>
      <w:r w:rsidR="00F43736" w:rsidRPr="00C9535C">
        <w:rPr>
          <w:rFonts w:ascii="Times New Roman" w:hAnsi="Times New Roman"/>
          <w:sz w:val="24"/>
          <w:szCs w:val="24"/>
          <w:lang w:val="es-ES"/>
        </w:rPr>
        <w:t xml:space="preserve"> educa</w:t>
      </w:r>
      <w:r w:rsidR="002D6F26" w:rsidRPr="00C9535C">
        <w:rPr>
          <w:rFonts w:ascii="Times New Roman" w:hAnsi="Times New Roman"/>
          <w:sz w:val="24"/>
          <w:szCs w:val="24"/>
          <w:lang w:val="es-ES"/>
        </w:rPr>
        <w:t>ción</w:t>
      </w:r>
      <w:r w:rsidR="00F43736" w:rsidRPr="00C9535C">
        <w:rPr>
          <w:rFonts w:ascii="Times New Roman" w:hAnsi="Times New Roman"/>
          <w:sz w:val="24"/>
          <w:szCs w:val="24"/>
          <w:lang w:val="es-ES"/>
        </w:rPr>
        <w:t xml:space="preserve">. Bajo un supuesto de información perfecta, los estudiantes observan estos retornos y pueden racionalmente decidir si matricularse reporta mayores beneficios que no hacerlo. </w:t>
      </w:r>
      <w:r w:rsidR="00902E4B" w:rsidRPr="00C9535C">
        <w:rPr>
          <w:rFonts w:ascii="Times New Roman" w:hAnsi="Times New Roman"/>
          <w:sz w:val="24"/>
          <w:szCs w:val="24"/>
          <w:lang w:val="es-ES"/>
        </w:rPr>
        <w:t>L</w:t>
      </w:r>
      <w:r w:rsidR="00F43736" w:rsidRPr="00C9535C">
        <w:rPr>
          <w:rFonts w:ascii="Times New Roman" w:hAnsi="Times New Roman"/>
          <w:sz w:val="24"/>
          <w:szCs w:val="24"/>
          <w:lang w:val="es-ES"/>
        </w:rPr>
        <w:t>a Tabla 1 muestra</w:t>
      </w:r>
      <w:r w:rsidR="002D6F26" w:rsidRPr="00C9535C">
        <w:rPr>
          <w:rFonts w:ascii="Times New Roman" w:hAnsi="Times New Roman"/>
          <w:sz w:val="24"/>
          <w:szCs w:val="24"/>
          <w:lang w:val="es-ES"/>
        </w:rPr>
        <w:t xml:space="preserve"> cómo han </w:t>
      </w:r>
      <w:r w:rsidR="00F43736" w:rsidRPr="00C9535C">
        <w:rPr>
          <w:rFonts w:ascii="Times New Roman" w:hAnsi="Times New Roman"/>
          <w:sz w:val="24"/>
          <w:szCs w:val="24"/>
          <w:lang w:val="es-ES"/>
        </w:rPr>
        <w:t>evoluci</w:t>
      </w:r>
      <w:r w:rsidR="002D6F26" w:rsidRPr="00C9535C">
        <w:rPr>
          <w:rFonts w:ascii="Times New Roman" w:hAnsi="Times New Roman"/>
          <w:sz w:val="24"/>
          <w:szCs w:val="24"/>
          <w:lang w:val="es-ES"/>
        </w:rPr>
        <w:t xml:space="preserve">onado </w:t>
      </w:r>
      <w:r w:rsidR="00F43736" w:rsidRPr="00C9535C">
        <w:rPr>
          <w:rFonts w:ascii="Times New Roman" w:hAnsi="Times New Roman"/>
          <w:sz w:val="24"/>
          <w:szCs w:val="24"/>
          <w:lang w:val="es-ES"/>
        </w:rPr>
        <w:t>en el tiempo los retornos salariales por nivel de educación, a nivel nacional y desagregándolos por sexo y por el ámbito de residencia de los jóvenes</w:t>
      </w:r>
      <w:r w:rsidR="00902E4B" w:rsidRPr="00C9535C">
        <w:rPr>
          <w:rFonts w:ascii="Times New Roman" w:hAnsi="Times New Roman"/>
          <w:sz w:val="24"/>
          <w:szCs w:val="24"/>
          <w:lang w:val="es-ES"/>
        </w:rPr>
        <w:t>.</w:t>
      </w:r>
    </w:p>
    <w:p w:rsidR="004F487F" w:rsidRPr="00C9535C" w:rsidRDefault="004F487F" w:rsidP="00902E4B">
      <w:pPr>
        <w:spacing w:after="0" w:line="240" w:lineRule="auto"/>
        <w:jc w:val="both"/>
        <w:rPr>
          <w:rFonts w:ascii="Times New Roman" w:hAnsi="Times New Roman"/>
          <w:sz w:val="24"/>
          <w:szCs w:val="24"/>
          <w:lang w:val="es-ES"/>
        </w:rPr>
      </w:pPr>
    </w:p>
    <w:p w:rsidR="004F487F" w:rsidRPr="00C9535C" w:rsidRDefault="004F487F" w:rsidP="00902E4B">
      <w:pPr>
        <w:spacing w:after="0" w:line="240" w:lineRule="auto"/>
        <w:jc w:val="both"/>
        <w:rPr>
          <w:rFonts w:ascii="Times New Roman" w:hAnsi="Times New Roman"/>
          <w:b/>
          <w:sz w:val="24"/>
          <w:szCs w:val="24"/>
          <w:lang w:val="es-ES"/>
        </w:rPr>
      </w:pPr>
    </w:p>
    <w:p w:rsidR="00AD1F84" w:rsidRPr="00C9535C" w:rsidRDefault="00AD1F84" w:rsidP="00126F06">
      <w:pPr>
        <w:spacing w:after="0" w:line="360" w:lineRule="auto"/>
        <w:jc w:val="center"/>
        <w:rPr>
          <w:rFonts w:ascii="Times New Roman" w:hAnsi="Times New Roman"/>
          <w:b/>
          <w:sz w:val="24"/>
          <w:szCs w:val="24"/>
          <w:lang w:val="es-ES"/>
        </w:rPr>
      </w:pPr>
      <w:r w:rsidRPr="00C9535C">
        <w:rPr>
          <w:rFonts w:ascii="Times New Roman" w:hAnsi="Times New Roman"/>
          <w:b/>
          <w:sz w:val="24"/>
          <w:szCs w:val="24"/>
          <w:lang w:val="es-ES"/>
        </w:rPr>
        <w:t xml:space="preserve">Tabla </w:t>
      </w:r>
      <w:r w:rsidR="00940D9B" w:rsidRPr="00C9535C">
        <w:rPr>
          <w:rFonts w:ascii="Times New Roman" w:hAnsi="Times New Roman"/>
          <w:b/>
          <w:sz w:val="24"/>
          <w:szCs w:val="24"/>
          <w:lang w:val="es-ES"/>
        </w:rPr>
        <w:t>1</w:t>
      </w:r>
      <w:r w:rsidRPr="00C9535C">
        <w:rPr>
          <w:rFonts w:ascii="Times New Roman" w:hAnsi="Times New Roman"/>
          <w:b/>
          <w:sz w:val="24"/>
          <w:szCs w:val="24"/>
          <w:lang w:val="es-ES"/>
        </w:rPr>
        <w:t>. Retornos Salariales a Educación</w:t>
      </w:r>
    </w:p>
    <w:p w:rsidR="00AD1F84" w:rsidRPr="00C9535C" w:rsidRDefault="00DB696F" w:rsidP="00126F06">
      <w:pPr>
        <w:spacing w:after="0" w:line="360" w:lineRule="auto"/>
        <w:jc w:val="center"/>
        <w:rPr>
          <w:rFonts w:ascii="Times New Roman" w:hAnsi="Times New Roman"/>
          <w:sz w:val="24"/>
          <w:szCs w:val="24"/>
          <w:lang w:val="es-ES"/>
        </w:rPr>
      </w:pPr>
      <w:r w:rsidRPr="00C9535C">
        <w:rPr>
          <w:noProof/>
        </w:rPr>
        <w:drawing>
          <wp:inline distT="0" distB="0" distL="0" distR="0" wp14:anchorId="40714D69" wp14:editId="55B39B92">
            <wp:extent cx="3743325" cy="3295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3325" cy="3295650"/>
                    </a:xfrm>
                    <a:prstGeom prst="rect">
                      <a:avLst/>
                    </a:prstGeom>
                    <a:noFill/>
                    <a:ln>
                      <a:noFill/>
                    </a:ln>
                  </pic:spPr>
                </pic:pic>
              </a:graphicData>
            </a:graphic>
          </wp:inline>
        </w:drawing>
      </w:r>
    </w:p>
    <w:p w:rsidR="00AD1F84" w:rsidRPr="00C9535C" w:rsidRDefault="00AD1F84" w:rsidP="00ED593C">
      <w:pPr>
        <w:spacing w:after="0" w:line="240" w:lineRule="auto"/>
        <w:ind w:left="1627" w:right="1613"/>
        <w:jc w:val="both"/>
        <w:rPr>
          <w:rFonts w:ascii="Times New Roman" w:hAnsi="Times New Roman"/>
          <w:sz w:val="20"/>
          <w:szCs w:val="20"/>
          <w:lang w:val="es-ES"/>
        </w:rPr>
      </w:pPr>
      <w:r w:rsidRPr="00C9535C">
        <w:rPr>
          <w:rFonts w:ascii="Times New Roman" w:hAnsi="Times New Roman"/>
          <w:sz w:val="20"/>
          <w:szCs w:val="20"/>
          <w:lang w:val="es-ES"/>
        </w:rPr>
        <w:t>Fuente: Schady (2013), usando datos de la ENIGH</w:t>
      </w:r>
      <w:r w:rsidR="00AC754A" w:rsidRPr="00C9535C">
        <w:rPr>
          <w:rFonts w:ascii="Times New Roman" w:hAnsi="Times New Roman"/>
          <w:sz w:val="20"/>
          <w:szCs w:val="20"/>
          <w:lang w:val="es-ES"/>
        </w:rPr>
        <w:t xml:space="preserve"> </w:t>
      </w:r>
      <w:r w:rsidR="00BB4DF5" w:rsidRPr="00C9535C">
        <w:rPr>
          <w:rFonts w:ascii="Times New Roman" w:hAnsi="Times New Roman"/>
          <w:sz w:val="20"/>
          <w:szCs w:val="20"/>
          <w:lang w:val="es-ES"/>
        </w:rPr>
        <w:t xml:space="preserve">1990, 2000 y </w:t>
      </w:r>
      <w:r w:rsidR="00AC754A" w:rsidRPr="00C9535C">
        <w:rPr>
          <w:rFonts w:ascii="Times New Roman" w:hAnsi="Times New Roman"/>
          <w:sz w:val="20"/>
          <w:szCs w:val="20"/>
          <w:lang w:val="es-ES"/>
        </w:rPr>
        <w:t>2010</w:t>
      </w:r>
      <w:r w:rsidRPr="00C9535C">
        <w:rPr>
          <w:rFonts w:ascii="Times New Roman" w:hAnsi="Times New Roman"/>
          <w:sz w:val="20"/>
          <w:szCs w:val="20"/>
          <w:lang w:val="es-ES"/>
        </w:rPr>
        <w:t>. La muestra corresponde a individuos mayores de 25 años. Cada nivel de educación incluye tanto a aquellos que completaron o no el nivel.</w:t>
      </w:r>
    </w:p>
    <w:p w:rsidR="00BA565A" w:rsidRPr="00C9535C" w:rsidRDefault="00BA565A" w:rsidP="004F487F">
      <w:pPr>
        <w:spacing w:before="120"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Respecto a la desagregación por sexo, para </w:t>
      </w:r>
      <w:r w:rsidR="00902E4B" w:rsidRPr="00C9535C">
        <w:rPr>
          <w:rFonts w:ascii="Times New Roman" w:hAnsi="Times New Roman"/>
          <w:sz w:val="24"/>
          <w:szCs w:val="24"/>
          <w:lang w:val="es-ES"/>
        </w:rPr>
        <w:t>hombres y mujeres</w:t>
      </w:r>
      <w:r w:rsidRPr="00C9535C">
        <w:rPr>
          <w:rFonts w:ascii="Times New Roman" w:hAnsi="Times New Roman"/>
          <w:sz w:val="24"/>
          <w:szCs w:val="24"/>
          <w:lang w:val="es-ES"/>
        </w:rPr>
        <w:t>, los retornos salariales de contar con Secundaria vs</w:t>
      </w:r>
      <w:r w:rsidR="00902E4B" w:rsidRPr="00C9535C">
        <w:rPr>
          <w:rFonts w:ascii="Times New Roman" w:hAnsi="Times New Roman"/>
          <w:sz w:val="24"/>
          <w:szCs w:val="24"/>
          <w:lang w:val="es-ES"/>
        </w:rPr>
        <w:t>.</w:t>
      </w:r>
      <w:r w:rsidRPr="00C9535C">
        <w:rPr>
          <w:rFonts w:ascii="Times New Roman" w:hAnsi="Times New Roman"/>
          <w:sz w:val="24"/>
          <w:szCs w:val="24"/>
          <w:lang w:val="es-ES"/>
        </w:rPr>
        <w:t xml:space="preserve"> Primaria han caído en el tiempo. Por su parte, los retornos salariales de contar con educación Superior vs</w:t>
      </w:r>
      <w:r w:rsidR="00902E4B" w:rsidRPr="00C9535C">
        <w:rPr>
          <w:rFonts w:ascii="Times New Roman" w:hAnsi="Times New Roman"/>
          <w:sz w:val="24"/>
          <w:szCs w:val="24"/>
          <w:lang w:val="es-ES"/>
        </w:rPr>
        <w:t>.</w:t>
      </w:r>
      <w:r w:rsidRPr="00C9535C">
        <w:rPr>
          <w:rFonts w:ascii="Times New Roman" w:hAnsi="Times New Roman"/>
          <w:sz w:val="24"/>
          <w:szCs w:val="24"/>
          <w:lang w:val="es-ES"/>
        </w:rPr>
        <w:t xml:space="preserve"> Secundaria se han mantenido relativamente estables en el tiempo, con una ligera caída en la última década entre la población masculina y un ligero aumento en el caso de la población femenina. </w:t>
      </w:r>
      <w:r w:rsidR="004A7317" w:rsidRPr="00C9535C">
        <w:rPr>
          <w:rFonts w:ascii="Times New Roman" w:hAnsi="Times New Roman"/>
          <w:sz w:val="24"/>
          <w:szCs w:val="24"/>
          <w:lang w:val="es-ES"/>
        </w:rPr>
        <w:t>A</w:t>
      </w:r>
      <w:r w:rsidR="00ED593C" w:rsidRPr="00C9535C">
        <w:rPr>
          <w:rFonts w:ascii="Times New Roman" w:hAnsi="Times New Roman"/>
          <w:sz w:val="24"/>
          <w:szCs w:val="24"/>
          <w:lang w:val="es-ES"/>
        </w:rPr>
        <w:t xml:space="preserve"> lo largo del tiempo, los retornos salariales, tanto de Secundaria vs</w:t>
      </w:r>
      <w:r w:rsidR="004A7317" w:rsidRPr="00C9535C">
        <w:rPr>
          <w:rFonts w:ascii="Times New Roman" w:hAnsi="Times New Roman"/>
          <w:sz w:val="24"/>
          <w:szCs w:val="24"/>
          <w:lang w:val="es-ES"/>
        </w:rPr>
        <w:t>.</w:t>
      </w:r>
      <w:r w:rsidR="00ED593C" w:rsidRPr="00C9535C">
        <w:rPr>
          <w:rFonts w:ascii="Times New Roman" w:hAnsi="Times New Roman"/>
          <w:sz w:val="24"/>
          <w:szCs w:val="24"/>
          <w:lang w:val="es-ES"/>
        </w:rPr>
        <w:t xml:space="preserve"> Primaria y Superior vs</w:t>
      </w:r>
      <w:r w:rsidR="004A7317" w:rsidRPr="00C9535C">
        <w:rPr>
          <w:rFonts w:ascii="Times New Roman" w:hAnsi="Times New Roman"/>
          <w:sz w:val="24"/>
          <w:szCs w:val="24"/>
          <w:lang w:val="es-ES"/>
        </w:rPr>
        <w:t>.</w:t>
      </w:r>
      <w:r w:rsidR="00ED593C" w:rsidRPr="00C9535C">
        <w:rPr>
          <w:rFonts w:ascii="Times New Roman" w:hAnsi="Times New Roman"/>
          <w:sz w:val="24"/>
          <w:szCs w:val="24"/>
          <w:lang w:val="es-ES"/>
        </w:rPr>
        <w:t xml:space="preserve"> Secundaria, son mayores para </w:t>
      </w:r>
      <w:r w:rsidR="004A7317" w:rsidRPr="00C9535C">
        <w:rPr>
          <w:rFonts w:ascii="Times New Roman" w:hAnsi="Times New Roman"/>
          <w:sz w:val="24"/>
          <w:szCs w:val="24"/>
          <w:lang w:val="es-ES"/>
        </w:rPr>
        <w:t xml:space="preserve">las </w:t>
      </w:r>
      <w:r w:rsidR="00ED593C" w:rsidRPr="00C9535C">
        <w:rPr>
          <w:rFonts w:ascii="Times New Roman" w:hAnsi="Times New Roman"/>
          <w:sz w:val="24"/>
          <w:szCs w:val="24"/>
          <w:lang w:val="es-ES"/>
        </w:rPr>
        <w:t xml:space="preserve">mujeres que para </w:t>
      </w:r>
      <w:r w:rsidR="004A7317" w:rsidRPr="00C9535C">
        <w:rPr>
          <w:rFonts w:ascii="Times New Roman" w:hAnsi="Times New Roman"/>
          <w:sz w:val="24"/>
          <w:szCs w:val="24"/>
          <w:lang w:val="es-ES"/>
        </w:rPr>
        <w:t xml:space="preserve">los </w:t>
      </w:r>
      <w:r w:rsidR="00ED593C" w:rsidRPr="00C9535C">
        <w:rPr>
          <w:rFonts w:ascii="Times New Roman" w:hAnsi="Times New Roman"/>
          <w:sz w:val="24"/>
          <w:szCs w:val="24"/>
          <w:lang w:val="es-ES"/>
        </w:rPr>
        <w:t>hombres.</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desagregación de retornos salariales en zonas urbanas y rurales es informativa de </w:t>
      </w:r>
      <w:r w:rsidR="004A7317" w:rsidRPr="00C9535C">
        <w:rPr>
          <w:rFonts w:ascii="Times New Roman" w:hAnsi="Times New Roman"/>
          <w:sz w:val="24"/>
          <w:szCs w:val="24"/>
          <w:lang w:val="es-ES"/>
        </w:rPr>
        <w:t xml:space="preserve">las </w:t>
      </w:r>
      <w:r w:rsidRPr="00C9535C">
        <w:rPr>
          <w:rFonts w:ascii="Times New Roman" w:hAnsi="Times New Roman"/>
          <w:sz w:val="24"/>
          <w:szCs w:val="24"/>
          <w:lang w:val="es-ES"/>
        </w:rPr>
        <w:t>distintas dinámicas asociadas a actividades o mercados</w:t>
      </w:r>
      <w:r w:rsidR="00AC754A" w:rsidRPr="00C9535C">
        <w:rPr>
          <w:rFonts w:ascii="Times New Roman" w:hAnsi="Times New Roman"/>
          <w:sz w:val="24"/>
          <w:szCs w:val="24"/>
          <w:lang w:val="es-ES"/>
        </w:rPr>
        <w:t xml:space="preserve"> diferentes</w:t>
      </w:r>
      <w:r w:rsidR="004A7317" w:rsidRPr="00C9535C">
        <w:rPr>
          <w:rFonts w:ascii="Times New Roman" w:hAnsi="Times New Roman"/>
          <w:sz w:val="24"/>
          <w:szCs w:val="24"/>
          <w:lang w:val="es-ES"/>
        </w:rPr>
        <w:t xml:space="preserve"> en esos dos ámbitos</w:t>
      </w:r>
      <w:r w:rsidRPr="00C9535C">
        <w:rPr>
          <w:rFonts w:ascii="Times New Roman" w:hAnsi="Times New Roman"/>
          <w:sz w:val="24"/>
          <w:szCs w:val="24"/>
          <w:lang w:val="es-ES"/>
        </w:rPr>
        <w:t>. Tanto en zonas urbanas como rurales, los retornos de contar con educación Secundaria vs</w:t>
      </w:r>
      <w:r w:rsidR="004A7317" w:rsidRPr="00C9535C">
        <w:rPr>
          <w:rFonts w:ascii="Times New Roman" w:hAnsi="Times New Roman"/>
          <w:sz w:val="24"/>
          <w:szCs w:val="24"/>
          <w:lang w:val="es-ES"/>
        </w:rPr>
        <w:t>.</w:t>
      </w:r>
      <w:r w:rsidRPr="00C9535C">
        <w:rPr>
          <w:rFonts w:ascii="Times New Roman" w:hAnsi="Times New Roman"/>
          <w:sz w:val="24"/>
          <w:szCs w:val="24"/>
          <w:lang w:val="es-ES"/>
        </w:rPr>
        <w:t xml:space="preserve"> Primaria se han mantenido relativamente constantes en el tiempo. Sin embargo, se observa que</w:t>
      </w:r>
      <w:r w:rsidR="004A7317" w:rsidRPr="00C9535C">
        <w:rPr>
          <w:rFonts w:ascii="Times New Roman" w:hAnsi="Times New Roman"/>
          <w:sz w:val="24"/>
          <w:szCs w:val="24"/>
          <w:lang w:val="es-ES"/>
        </w:rPr>
        <w:t xml:space="preserve"> en</w:t>
      </w:r>
      <w:r w:rsidRPr="00C9535C">
        <w:rPr>
          <w:rFonts w:ascii="Times New Roman" w:hAnsi="Times New Roman"/>
          <w:sz w:val="24"/>
          <w:szCs w:val="24"/>
          <w:lang w:val="es-ES"/>
        </w:rPr>
        <w:t xml:space="preserve"> ambas áreas los retornos de contar con educación Superior vs</w:t>
      </w:r>
      <w:r w:rsidR="004A7317" w:rsidRPr="00C9535C">
        <w:rPr>
          <w:rFonts w:ascii="Times New Roman" w:hAnsi="Times New Roman"/>
          <w:sz w:val="24"/>
          <w:szCs w:val="24"/>
          <w:lang w:val="es-ES"/>
        </w:rPr>
        <w:t>.</w:t>
      </w:r>
      <w:r w:rsidRPr="00C9535C">
        <w:rPr>
          <w:rFonts w:ascii="Times New Roman" w:hAnsi="Times New Roman"/>
          <w:sz w:val="24"/>
          <w:szCs w:val="24"/>
          <w:lang w:val="es-ES"/>
        </w:rPr>
        <w:t xml:space="preserve"> Secundaria se han reducido considerablemente en la última década. </w:t>
      </w:r>
      <w:r w:rsidR="00A23A6E" w:rsidRPr="00C9535C">
        <w:rPr>
          <w:rFonts w:ascii="Times New Roman" w:hAnsi="Times New Roman"/>
          <w:sz w:val="24"/>
          <w:szCs w:val="24"/>
          <w:lang w:val="es-ES"/>
        </w:rPr>
        <w:t xml:space="preserve">Se puede también apreciar que los retornos salariales en zonas urbanas son, por lo general, mayores que aquellos en zonas rurales. </w:t>
      </w:r>
    </w:p>
    <w:p w:rsidR="00A23A6E" w:rsidRPr="00C9535C" w:rsidRDefault="00A23A6E"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A nivel agregado es interesante ver que en México, al igual que en el promedio de Latinoamérica (Levy and Schady, 2013), </w:t>
      </w:r>
      <w:r w:rsidR="004A7317" w:rsidRPr="00C9535C">
        <w:rPr>
          <w:rFonts w:ascii="Times New Roman" w:hAnsi="Times New Roman"/>
          <w:sz w:val="24"/>
          <w:szCs w:val="24"/>
          <w:lang w:val="es-ES"/>
        </w:rPr>
        <w:t xml:space="preserve">durante </w:t>
      </w:r>
      <w:r w:rsidRPr="00C9535C">
        <w:rPr>
          <w:rFonts w:ascii="Times New Roman" w:hAnsi="Times New Roman"/>
          <w:sz w:val="24"/>
          <w:szCs w:val="24"/>
          <w:lang w:val="es-ES"/>
        </w:rPr>
        <w:t>la última década</w:t>
      </w:r>
      <w:r w:rsidR="004A7317" w:rsidRPr="00C9535C">
        <w:rPr>
          <w:rFonts w:ascii="Times New Roman" w:hAnsi="Times New Roman"/>
          <w:sz w:val="24"/>
          <w:szCs w:val="24"/>
          <w:lang w:val="es-ES"/>
        </w:rPr>
        <w:t>,</w:t>
      </w:r>
      <w:r w:rsidRPr="00C9535C">
        <w:rPr>
          <w:rFonts w:ascii="Times New Roman" w:hAnsi="Times New Roman"/>
          <w:sz w:val="24"/>
          <w:szCs w:val="24"/>
          <w:lang w:val="es-ES"/>
        </w:rPr>
        <w:t xml:space="preserve"> los retornos a conseguir un nivel más alto de educación han decrecido en general. Sin embargo, la mayor caída en el premio salarial de contar con un mayor nivel de educación ha caído entre tener educación Superior versus tener solamente Secundaria (2.14 en el año 2000 versus 2 en el año 2010). Esto puede reflejar otro desincentivo que los estudiantes mexicanos enfrentan para continuar estudios post-secundarios. Como mencionan Levy and Schady (2013), no es aún claro por</w:t>
      </w:r>
      <w:r w:rsidR="00AC754A" w:rsidRPr="00C9535C">
        <w:rPr>
          <w:rFonts w:ascii="Times New Roman" w:hAnsi="Times New Roman"/>
          <w:sz w:val="24"/>
          <w:szCs w:val="24"/>
          <w:lang w:val="es-ES"/>
        </w:rPr>
        <w:t xml:space="preserve"> qué </w:t>
      </w:r>
      <w:r w:rsidRPr="00C9535C">
        <w:rPr>
          <w:rFonts w:ascii="Times New Roman" w:hAnsi="Times New Roman"/>
          <w:sz w:val="24"/>
          <w:szCs w:val="24"/>
          <w:lang w:val="es-ES"/>
        </w:rPr>
        <w:t>los cambios en la demanda por trabajadores calificados que en la década de los 90s condujeron a un incremento de los retornos salariales a mayor educación, en los últimos años están siendo acompañados por una caída en los retornos.</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rPr>
          <w:rFonts w:ascii="Times New Roman" w:hAnsi="Times New Roman"/>
          <w:b/>
          <w:sz w:val="24"/>
          <w:szCs w:val="24"/>
          <w:lang w:val="es-ES"/>
        </w:rPr>
      </w:pPr>
      <w:r w:rsidRPr="00C9535C">
        <w:rPr>
          <w:rFonts w:ascii="Times New Roman" w:hAnsi="Times New Roman"/>
          <w:b/>
          <w:sz w:val="24"/>
          <w:szCs w:val="24"/>
          <w:lang w:val="es-ES"/>
        </w:rPr>
        <w:t>Análisis Costo-</w:t>
      </w:r>
      <w:r w:rsidR="009F2EE8">
        <w:rPr>
          <w:rFonts w:ascii="Times New Roman" w:hAnsi="Times New Roman"/>
          <w:b/>
          <w:sz w:val="24"/>
          <w:szCs w:val="24"/>
          <w:lang w:val="es-ES"/>
        </w:rPr>
        <w:t>Efectividad</w:t>
      </w:r>
    </w:p>
    <w:p w:rsidR="00AD1F84" w:rsidRPr="00C9535C" w:rsidRDefault="00AD1F84" w:rsidP="00902E4B">
      <w:pPr>
        <w:spacing w:after="0" w:line="240" w:lineRule="auto"/>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De las posibles reformas que se contemplan para el PDHO en lo que respecta a su componente de educación, el presente análisis económico se centra en la revisión del esquema de becas.</w:t>
      </w:r>
      <w:r w:rsidR="003905D5" w:rsidRPr="00C9535C">
        <w:rPr>
          <w:rFonts w:ascii="Times New Roman" w:hAnsi="Times New Roman"/>
          <w:sz w:val="24"/>
          <w:szCs w:val="24"/>
          <w:lang w:val="es-ES"/>
        </w:rPr>
        <w:t xml:space="preserve"> Como fue mencionado en la introducción del documento, este análisis toma varios de los parámetros de la evaluación del piloto en Puebla y Ecatepec realizada por Attanasio y Espinosa (2010).</w:t>
      </w:r>
      <w:r w:rsidR="004A7317" w:rsidRPr="00C9535C">
        <w:rPr>
          <w:rFonts w:ascii="Times New Roman" w:hAnsi="Times New Roman"/>
          <w:sz w:val="24"/>
          <w:szCs w:val="24"/>
          <w:lang w:val="es-ES"/>
        </w:rPr>
        <w:t xml:space="preserve"> En particular, se quiere documentar que con una redistribución de los recursos de las becas de Primaria hacia becas de Secundaria y EMS, es posible financiar un incremento de una magnitud mayor a 25%, que fue el monto que se probó en ese estudio piloto y que tuvo impactos limitados.</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3905D5"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De acuerdo a la evidencia previamente presentada, realizamos </w:t>
      </w:r>
      <w:r w:rsidR="00AD1F84" w:rsidRPr="00C9535C">
        <w:rPr>
          <w:rFonts w:ascii="Times New Roman" w:hAnsi="Times New Roman"/>
          <w:sz w:val="24"/>
          <w:szCs w:val="24"/>
          <w:lang w:val="es-ES"/>
        </w:rPr>
        <w:t>los siguientes supuestos:</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pStyle w:val="ListParagraph"/>
        <w:numPr>
          <w:ilvl w:val="0"/>
          <w:numId w:val="15"/>
        </w:numPr>
        <w:spacing w:after="0" w:line="240" w:lineRule="auto"/>
        <w:ind w:left="720"/>
        <w:contextualSpacing w:val="0"/>
        <w:jc w:val="both"/>
        <w:rPr>
          <w:rFonts w:ascii="Times New Roman" w:hAnsi="Times New Roman"/>
          <w:sz w:val="24"/>
          <w:szCs w:val="24"/>
          <w:lang w:val="es-ES"/>
        </w:rPr>
      </w:pPr>
      <w:r w:rsidRPr="00C9535C">
        <w:rPr>
          <w:rFonts w:ascii="Times New Roman" w:hAnsi="Times New Roman"/>
          <w:sz w:val="24"/>
          <w:szCs w:val="24"/>
          <w:lang w:val="es-ES"/>
        </w:rPr>
        <w:t>La reforma es</w:t>
      </w:r>
      <w:r w:rsidR="004A7317" w:rsidRPr="00C9535C">
        <w:rPr>
          <w:rFonts w:ascii="Times New Roman" w:hAnsi="Times New Roman"/>
          <w:sz w:val="24"/>
          <w:szCs w:val="24"/>
          <w:lang w:val="es-ES"/>
        </w:rPr>
        <w:t xml:space="preserve"> neutral en términos presupuestarios</w:t>
      </w:r>
      <w:r w:rsidRPr="00C9535C">
        <w:rPr>
          <w:rFonts w:ascii="Times New Roman" w:hAnsi="Times New Roman"/>
          <w:sz w:val="24"/>
          <w:szCs w:val="24"/>
          <w:lang w:val="es-ES"/>
        </w:rPr>
        <w:t>, es decir no altera el presupuesto total sino que implica una redistribución de recursos a su interior. La redistribución consiste en reasignar la totalidad del presupuesto de becas para Primaria a becas para Secundaria/EMS;</w:t>
      </w:r>
    </w:p>
    <w:p w:rsidR="00AD1F84" w:rsidRPr="00C9535C" w:rsidRDefault="00AD1F84" w:rsidP="00902E4B">
      <w:pPr>
        <w:pStyle w:val="ListParagraph"/>
        <w:numPr>
          <w:ilvl w:val="0"/>
          <w:numId w:val="15"/>
        </w:numPr>
        <w:spacing w:after="0" w:line="240" w:lineRule="auto"/>
        <w:ind w:left="720"/>
        <w:contextualSpacing w:val="0"/>
        <w:jc w:val="both"/>
        <w:rPr>
          <w:rFonts w:ascii="Times New Roman" w:hAnsi="Times New Roman"/>
          <w:sz w:val="24"/>
          <w:szCs w:val="24"/>
          <w:lang w:val="es-ES"/>
        </w:rPr>
      </w:pPr>
      <w:r w:rsidRPr="00C9535C">
        <w:rPr>
          <w:rFonts w:ascii="Times New Roman" w:hAnsi="Times New Roman"/>
          <w:sz w:val="24"/>
          <w:szCs w:val="24"/>
          <w:lang w:val="es-ES"/>
        </w:rPr>
        <w:t xml:space="preserve">Esta redistribución de recursos no afecta ni la matrícula ni </w:t>
      </w:r>
      <w:r w:rsidR="004A7317" w:rsidRPr="00C9535C">
        <w:rPr>
          <w:rFonts w:ascii="Times New Roman" w:hAnsi="Times New Roman"/>
          <w:sz w:val="24"/>
          <w:szCs w:val="24"/>
          <w:lang w:val="es-ES"/>
        </w:rPr>
        <w:t xml:space="preserve">la </w:t>
      </w:r>
      <w:r w:rsidRPr="00C9535C">
        <w:rPr>
          <w:rFonts w:ascii="Times New Roman" w:hAnsi="Times New Roman"/>
          <w:sz w:val="24"/>
          <w:szCs w:val="24"/>
          <w:lang w:val="es-ES"/>
        </w:rPr>
        <w:t>asistencia en Primaria;</w:t>
      </w:r>
    </w:p>
    <w:p w:rsidR="00AD1F84" w:rsidRPr="00C9535C" w:rsidRDefault="00AD1F84" w:rsidP="00902E4B">
      <w:pPr>
        <w:pStyle w:val="ListParagraph"/>
        <w:spacing w:after="0" w:line="240" w:lineRule="auto"/>
        <w:contextualSpacing w:val="0"/>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Los montos presupuestales usados para e</w:t>
      </w:r>
      <w:r w:rsidR="00714BD4">
        <w:rPr>
          <w:rFonts w:ascii="Times New Roman" w:hAnsi="Times New Roman"/>
          <w:sz w:val="24"/>
          <w:szCs w:val="24"/>
          <w:lang w:val="es-ES"/>
        </w:rPr>
        <w:t>l</w:t>
      </w:r>
      <w:r w:rsidRPr="00C9535C">
        <w:rPr>
          <w:rFonts w:ascii="Times New Roman" w:hAnsi="Times New Roman"/>
          <w:sz w:val="24"/>
          <w:szCs w:val="24"/>
          <w:lang w:val="es-ES"/>
        </w:rPr>
        <w:t xml:space="preserve"> análisis corresponden a aquellos del Presupuesto requerido para el 2013 que equivale a un presupuesto total de $26,635,008,587, dividido en: $7,334,490,176 para Becas para Primaria; $10,167,471,545 para Becas para Secundaria; y, $9,133,046,865 para Becas para EMS.</w:t>
      </w:r>
      <w:r w:rsidRPr="00C9535C">
        <w:rPr>
          <w:rStyle w:val="FootnoteReference"/>
          <w:rFonts w:ascii="Times New Roman" w:hAnsi="Times New Roman"/>
          <w:sz w:val="24"/>
          <w:szCs w:val="24"/>
          <w:lang w:val="es-ES"/>
        </w:rPr>
        <w:footnoteReference w:id="1"/>
      </w:r>
      <w:r w:rsidRPr="00C9535C">
        <w:rPr>
          <w:rFonts w:ascii="Times New Roman" w:hAnsi="Times New Roman"/>
          <w:sz w:val="24"/>
          <w:szCs w:val="24"/>
          <w:lang w:val="es-ES"/>
        </w:rPr>
        <w:t xml:space="preserve"> Con respecto al número de becarios, se utilizan los datos de becarios activos del bimestre operativo Marzo – Abril 2012, con la corresponsabilidad de Noviembre – Diciembre 2011, que corresponde a un total de becarios a nivel nacional de: 3,200,470 en Primaria; 1,829,620 en Secundaria; y, 992,817 en EMS.</w:t>
      </w:r>
      <w:r w:rsidRPr="00C9535C">
        <w:rPr>
          <w:rStyle w:val="FootnoteReference"/>
          <w:rFonts w:ascii="Times New Roman" w:hAnsi="Times New Roman"/>
          <w:sz w:val="24"/>
          <w:szCs w:val="24"/>
          <w:lang w:val="es-ES"/>
        </w:rPr>
        <w:footnoteReference w:id="2"/>
      </w:r>
      <w:r w:rsidRPr="00C9535C">
        <w:rPr>
          <w:rFonts w:ascii="Times New Roman" w:hAnsi="Times New Roman"/>
          <w:sz w:val="24"/>
          <w:szCs w:val="24"/>
          <w:lang w:val="es-ES"/>
        </w:rPr>
        <w:t xml:space="preserve"> La información presupuesta</w:t>
      </w:r>
      <w:r w:rsidR="00C768B6">
        <w:rPr>
          <w:rFonts w:ascii="Times New Roman" w:hAnsi="Times New Roman"/>
          <w:sz w:val="24"/>
          <w:szCs w:val="24"/>
          <w:lang w:val="es-ES"/>
        </w:rPr>
        <w:t>l</w:t>
      </w:r>
      <w:r w:rsidRPr="00C9535C">
        <w:rPr>
          <w:rFonts w:ascii="Times New Roman" w:hAnsi="Times New Roman"/>
          <w:sz w:val="24"/>
          <w:szCs w:val="24"/>
          <w:lang w:val="es-ES"/>
        </w:rPr>
        <w:t xml:space="preserve"> y de número de becarios, por nivel de educación, se muestra en las primeras dos columnas de la Tabla 2. La última columna </w:t>
      </w:r>
      <w:r w:rsidR="005C2188">
        <w:rPr>
          <w:rFonts w:ascii="Times New Roman" w:hAnsi="Times New Roman"/>
          <w:sz w:val="24"/>
          <w:szCs w:val="24"/>
          <w:lang w:val="es-ES"/>
        </w:rPr>
        <w:t>en cambio muestra el valor (en p</w:t>
      </w:r>
      <w:r w:rsidRPr="00C9535C">
        <w:rPr>
          <w:rFonts w:ascii="Times New Roman" w:hAnsi="Times New Roman"/>
          <w:sz w:val="24"/>
          <w:szCs w:val="24"/>
          <w:lang w:val="es-ES"/>
        </w:rPr>
        <w:t>esos) de la beca promedio que le corresponde a cada becario. Esta ha sido calculada como un promedio simple y no toma en consideración las variaciones de transferencia por sexo y edad del estudiante.</w:t>
      </w:r>
    </w:p>
    <w:p w:rsidR="00AD1F84" w:rsidRPr="00C9535C" w:rsidRDefault="00AD1F84" w:rsidP="004F487F">
      <w:pPr>
        <w:spacing w:before="120" w:after="0" w:line="360" w:lineRule="auto"/>
        <w:jc w:val="center"/>
        <w:rPr>
          <w:rFonts w:ascii="Times New Roman" w:hAnsi="Times New Roman"/>
          <w:b/>
          <w:sz w:val="24"/>
          <w:szCs w:val="24"/>
          <w:lang w:val="es-ES"/>
        </w:rPr>
      </w:pPr>
      <w:r w:rsidRPr="00C9535C">
        <w:rPr>
          <w:rFonts w:ascii="Times New Roman" w:hAnsi="Times New Roman"/>
          <w:b/>
          <w:sz w:val="24"/>
          <w:szCs w:val="24"/>
          <w:lang w:val="es-ES"/>
        </w:rPr>
        <w:t>Tabla 2. Situación actual de becas</w:t>
      </w:r>
    </w:p>
    <w:p w:rsidR="00A23A6E" w:rsidRPr="00C9535C" w:rsidRDefault="00DB696F" w:rsidP="00126F06">
      <w:pPr>
        <w:spacing w:after="0" w:line="360" w:lineRule="auto"/>
        <w:jc w:val="center"/>
        <w:rPr>
          <w:rFonts w:ascii="Times New Roman" w:hAnsi="Times New Roman"/>
          <w:b/>
          <w:sz w:val="24"/>
          <w:szCs w:val="24"/>
          <w:lang w:val="es-ES"/>
        </w:rPr>
      </w:pPr>
      <w:r w:rsidRPr="00C9535C">
        <w:rPr>
          <w:noProof/>
        </w:rPr>
        <w:drawing>
          <wp:inline distT="0" distB="0" distL="0" distR="0" wp14:anchorId="6664157D" wp14:editId="28995A5E">
            <wp:extent cx="5705475" cy="10668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5475" cy="1066800"/>
                    </a:xfrm>
                    <a:prstGeom prst="rect">
                      <a:avLst/>
                    </a:prstGeom>
                    <a:noFill/>
                    <a:ln>
                      <a:noFill/>
                    </a:ln>
                  </pic:spPr>
                </pic:pic>
              </a:graphicData>
            </a:graphic>
          </wp:inline>
        </w:drawing>
      </w:r>
    </w:p>
    <w:p w:rsidR="00AD1F84" w:rsidRPr="00C9535C" w:rsidRDefault="00AD1F84" w:rsidP="00526CD3">
      <w:pPr>
        <w:spacing w:after="0" w:line="360" w:lineRule="auto"/>
        <w:jc w:val="both"/>
        <w:rPr>
          <w:rFonts w:ascii="Times New Roman" w:hAnsi="Times New Roman"/>
          <w:sz w:val="20"/>
          <w:szCs w:val="20"/>
          <w:lang w:val="es-ES"/>
        </w:rPr>
      </w:pPr>
      <w:r w:rsidRPr="00C9535C">
        <w:rPr>
          <w:rFonts w:ascii="Times New Roman" w:hAnsi="Times New Roman"/>
          <w:sz w:val="20"/>
          <w:szCs w:val="20"/>
          <w:lang w:val="es-ES"/>
        </w:rPr>
        <w:t>Fuente: Cálculos propios.</w:t>
      </w: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w:t>
      </w:r>
      <w:r w:rsidR="00AC754A" w:rsidRPr="00C9535C">
        <w:rPr>
          <w:rFonts w:ascii="Times New Roman" w:hAnsi="Times New Roman"/>
          <w:sz w:val="24"/>
          <w:szCs w:val="24"/>
          <w:lang w:val="es-ES"/>
        </w:rPr>
        <w:t xml:space="preserve">Tabla </w:t>
      </w:r>
      <w:r w:rsidRPr="00C9535C">
        <w:rPr>
          <w:rFonts w:ascii="Times New Roman" w:hAnsi="Times New Roman"/>
          <w:sz w:val="24"/>
          <w:szCs w:val="24"/>
          <w:lang w:val="es-ES"/>
        </w:rPr>
        <w:t xml:space="preserve">2 muestra que educación Secundaria es el nivel que acapara una mayor parte del presupuesto (38%), seguido de la EMS (34%) y finalmente Primaria (28%). Sin embargo la mayor cantidad de becarios se encuentra en este último nivel (53%), seguido por aquellos en Secundaria (30%) y finalmente aquellos en EMS (17%). </w:t>
      </w:r>
    </w:p>
    <w:p w:rsidR="00AD1F84" w:rsidRPr="00C9535C" w:rsidRDefault="00AD1F84" w:rsidP="00902E4B">
      <w:pPr>
        <w:spacing w:after="0" w:line="240" w:lineRule="auto"/>
        <w:jc w:val="both"/>
        <w:rPr>
          <w:rFonts w:ascii="Times New Roman" w:hAnsi="Times New Roman"/>
          <w:sz w:val="24"/>
          <w:szCs w:val="24"/>
          <w:lang w:val="es-ES"/>
        </w:rPr>
      </w:pPr>
    </w:p>
    <w:p w:rsidR="00754161" w:rsidRPr="00C9535C" w:rsidRDefault="00754161"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A continuación se presentan dos escenarios de reforma que podrían considerarse como los límites inferior y superior de la reforma. Ambos escenarios toman en consideración el objetivo de la reforma del sistema de becas</w:t>
      </w:r>
      <w:r w:rsidR="00BC73EA" w:rsidRPr="00C9535C">
        <w:rPr>
          <w:rFonts w:ascii="Times New Roman" w:hAnsi="Times New Roman"/>
          <w:sz w:val="24"/>
          <w:szCs w:val="24"/>
          <w:lang w:val="es-ES"/>
        </w:rPr>
        <w:t xml:space="preserve"> (énfasis en educación Secundaria y EMS) </w:t>
      </w:r>
      <w:r w:rsidRPr="00C9535C">
        <w:rPr>
          <w:rFonts w:ascii="Times New Roman" w:hAnsi="Times New Roman"/>
          <w:sz w:val="24"/>
          <w:szCs w:val="24"/>
          <w:lang w:val="es-ES"/>
        </w:rPr>
        <w:t xml:space="preserve">y son </w:t>
      </w:r>
      <w:r w:rsidR="004A7317" w:rsidRPr="00C9535C">
        <w:rPr>
          <w:rFonts w:ascii="Times New Roman" w:hAnsi="Times New Roman"/>
          <w:sz w:val="24"/>
          <w:szCs w:val="24"/>
          <w:lang w:val="es-ES"/>
        </w:rPr>
        <w:t>presupuestalmente neutros</w:t>
      </w:r>
      <w:r w:rsidRPr="00C9535C">
        <w:rPr>
          <w:rFonts w:ascii="Times New Roman" w:hAnsi="Times New Roman"/>
          <w:sz w:val="24"/>
          <w:szCs w:val="24"/>
          <w:lang w:val="es-ES"/>
        </w:rPr>
        <w:t>. Adicionalmente, ambos escenarios parten de</w:t>
      </w:r>
      <w:r w:rsidR="004A7317" w:rsidRPr="00C9535C">
        <w:rPr>
          <w:rFonts w:ascii="Times New Roman" w:hAnsi="Times New Roman"/>
          <w:sz w:val="24"/>
          <w:szCs w:val="24"/>
          <w:lang w:val="es-ES"/>
        </w:rPr>
        <w:t xml:space="preserve"> </w:t>
      </w:r>
      <w:r w:rsidRPr="00C9535C">
        <w:rPr>
          <w:rFonts w:ascii="Times New Roman" w:hAnsi="Times New Roman"/>
          <w:sz w:val="24"/>
          <w:szCs w:val="24"/>
          <w:lang w:val="es-ES"/>
        </w:rPr>
        <w:t>l</w:t>
      </w:r>
      <w:r w:rsidR="004A7317" w:rsidRPr="00C9535C">
        <w:rPr>
          <w:rFonts w:ascii="Times New Roman" w:hAnsi="Times New Roman"/>
          <w:sz w:val="24"/>
          <w:szCs w:val="24"/>
          <w:lang w:val="es-ES"/>
        </w:rPr>
        <w:t>os hallazgos del estudio de</w:t>
      </w:r>
      <w:r w:rsidRPr="00C9535C">
        <w:rPr>
          <w:rFonts w:ascii="Times New Roman" w:hAnsi="Times New Roman"/>
          <w:sz w:val="24"/>
          <w:szCs w:val="24"/>
          <w:lang w:val="es-ES"/>
        </w:rPr>
        <w:t xml:space="preserve"> Attanasio y Espinosa (2010), </w:t>
      </w:r>
      <w:r w:rsidR="004A7317" w:rsidRPr="00C9535C">
        <w:rPr>
          <w:rFonts w:ascii="Times New Roman" w:hAnsi="Times New Roman"/>
          <w:sz w:val="24"/>
          <w:szCs w:val="24"/>
          <w:lang w:val="es-ES"/>
        </w:rPr>
        <w:t>según el cual un aumento en el monto de las becas de magnitud de 25% fue</w:t>
      </w:r>
      <w:r w:rsidRPr="00C9535C">
        <w:rPr>
          <w:rFonts w:ascii="Times New Roman" w:hAnsi="Times New Roman"/>
          <w:sz w:val="24"/>
          <w:szCs w:val="24"/>
          <w:lang w:val="es-ES"/>
        </w:rPr>
        <w:t xml:space="preserve"> efectivo para incrementar la matrícula en Secundaria y EMS de </w:t>
      </w:r>
      <w:r w:rsidR="004A7317" w:rsidRPr="00C9535C">
        <w:rPr>
          <w:rFonts w:ascii="Times New Roman" w:hAnsi="Times New Roman"/>
          <w:sz w:val="24"/>
          <w:szCs w:val="24"/>
          <w:lang w:val="es-ES"/>
        </w:rPr>
        <w:t xml:space="preserve">algunos grupos pero no de </w:t>
      </w:r>
      <w:r w:rsidRPr="00C9535C">
        <w:rPr>
          <w:rFonts w:ascii="Times New Roman" w:hAnsi="Times New Roman"/>
          <w:sz w:val="24"/>
          <w:szCs w:val="24"/>
          <w:lang w:val="es-ES"/>
        </w:rPr>
        <w:t>toda la población de estudiantes.</w:t>
      </w:r>
      <w:r w:rsidRPr="00C9535C">
        <w:rPr>
          <w:rStyle w:val="FootnoteReference"/>
          <w:rFonts w:ascii="Times New Roman" w:hAnsi="Times New Roman"/>
          <w:sz w:val="24"/>
          <w:szCs w:val="24"/>
          <w:lang w:val="es-ES"/>
        </w:rPr>
        <w:footnoteReference w:id="3"/>
      </w:r>
      <w:r w:rsidR="00BC73EA" w:rsidRPr="00C9535C">
        <w:rPr>
          <w:rFonts w:ascii="Times New Roman" w:hAnsi="Times New Roman"/>
          <w:sz w:val="24"/>
          <w:szCs w:val="24"/>
          <w:lang w:val="es-ES"/>
        </w:rPr>
        <w:t xml:space="preserve"> </w:t>
      </w:r>
      <w:r w:rsidR="004A7317" w:rsidRPr="00C9535C">
        <w:rPr>
          <w:rFonts w:ascii="Times New Roman" w:hAnsi="Times New Roman"/>
          <w:sz w:val="24"/>
          <w:szCs w:val="24"/>
          <w:lang w:val="es-ES"/>
        </w:rPr>
        <w:t>Por lo tanto,</w:t>
      </w:r>
      <w:r w:rsidR="00BC73EA" w:rsidRPr="00C9535C">
        <w:rPr>
          <w:rFonts w:ascii="Times New Roman" w:hAnsi="Times New Roman"/>
          <w:sz w:val="24"/>
          <w:szCs w:val="24"/>
          <w:lang w:val="es-ES"/>
        </w:rPr>
        <w:t xml:space="preserve"> ambos escenarios aseguran que el aumento porcentual en el monto de las becas sea al menos igual a este 25%. Dado que los costos de oportunidad de permanecer en la escuela son crecientes con la edad de los estudiantes, ambos escenarios </w:t>
      </w:r>
      <w:r w:rsidR="004A7317" w:rsidRPr="00C9535C">
        <w:rPr>
          <w:rFonts w:ascii="Times New Roman" w:hAnsi="Times New Roman"/>
          <w:sz w:val="24"/>
          <w:szCs w:val="24"/>
          <w:lang w:val="es-ES"/>
        </w:rPr>
        <w:t>permiten un</w:t>
      </w:r>
      <w:r w:rsidR="00BC73EA" w:rsidRPr="00C9535C">
        <w:rPr>
          <w:rFonts w:ascii="Times New Roman" w:hAnsi="Times New Roman"/>
          <w:sz w:val="24"/>
          <w:szCs w:val="24"/>
          <w:lang w:val="es-ES"/>
        </w:rPr>
        <w:t xml:space="preserve"> aumento en el monto de las becas </w:t>
      </w:r>
      <w:r w:rsidR="004A7317" w:rsidRPr="00C9535C">
        <w:rPr>
          <w:rFonts w:ascii="Times New Roman" w:hAnsi="Times New Roman"/>
          <w:sz w:val="24"/>
          <w:szCs w:val="24"/>
          <w:lang w:val="es-ES"/>
        </w:rPr>
        <w:t xml:space="preserve">de magnitud </w:t>
      </w:r>
      <w:r w:rsidR="00BC73EA" w:rsidRPr="00C9535C">
        <w:rPr>
          <w:rFonts w:ascii="Times New Roman" w:hAnsi="Times New Roman"/>
          <w:sz w:val="24"/>
          <w:szCs w:val="24"/>
          <w:lang w:val="es-ES"/>
        </w:rPr>
        <w:t xml:space="preserve">mayor </w:t>
      </w:r>
      <w:r w:rsidR="004A7317" w:rsidRPr="00C9535C">
        <w:rPr>
          <w:rFonts w:ascii="Times New Roman" w:hAnsi="Times New Roman"/>
          <w:sz w:val="24"/>
          <w:szCs w:val="24"/>
          <w:lang w:val="es-ES"/>
        </w:rPr>
        <w:t>en</w:t>
      </w:r>
      <w:r w:rsidR="00BC73EA" w:rsidRPr="00C9535C">
        <w:rPr>
          <w:rFonts w:ascii="Times New Roman" w:hAnsi="Times New Roman"/>
          <w:sz w:val="24"/>
          <w:szCs w:val="24"/>
          <w:lang w:val="es-ES"/>
        </w:rPr>
        <w:t xml:space="preserve"> EMS que </w:t>
      </w:r>
      <w:r w:rsidR="004A7317" w:rsidRPr="00C9535C">
        <w:rPr>
          <w:rFonts w:ascii="Times New Roman" w:hAnsi="Times New Roman"/>
          <w:sz w:val="24"/>
          <w:szCs w:val="24"/>
          <w:lang w:val="es-ES"/>
        </w:rPr>
        <w:t>en</w:t>
      </w:r>
      <w:r w:rsidR="00BC73EA" w:rsidRPr="00C9535C">
        <w:rPr>
          <w:rFonts w:ascii="Times New Roman" w:hAnsi="Times New Roman"/>
          <w:sz w:val="24"/>
          <w:szCs w:val="24"/>
          <w:lang w:val="es-ES"/>
        </w:rPr>
        <w:t xml:space="preserve"> Secundaria.</w:t>
      </w:r>
    </w:p>
    <w:p w:rsidR="00BC73EA" w:rsidRPr="00C9535C" w:rsidRDefault="00BC73EA" w:rsidP="00902E4B">
      <w:pPr>
        <w:spacing w:after="0" w:line="240" w:lineRule="auto"/>
        <w:jc w:val="both"/>
        <w:rPr>
          <w:rFonts w:ascii="Times New Roman" w:hAnsi="Times New Roman"/>
          <w:sz w:val="24"/>
          <w:szCs w:val="24"/>
          <w:lang w:val="es-ES"/>
        </w:rPr>
      </w:pPr>
    </w:p>
    <w:p w:rsidR="004A7317" w:rsidRPr="00C9535C" w:rsidRDefault="00BC73EA" w:rsidP="004A7317">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Además de estos supuestos, el primer escenario propuesto mantiene constante el número de becarios en Secundaria y en EMS y redistribuye el presupuesto de entre Secundaria y EMS, de la </w:t>
      </w:r>
      <w:r w:rsidR="004A7317" w:rsidRPr="00C9535C">
        <w:rPr>
          <w:rFonts w:ascii="Times New Roman" w:hAnsi="Times New Roman"/>
          <w:sz w:val="24"/>
          <w:szCs w:val="24"/>
          <w:lang w:val="es-ES"/>
        </w:rPr>
        <w:t xml:space="preserve">manera descrita en la Tabla 3. La Tabla 3, que asume que no hay cambios en la cantidad de becarios en Secundaria ni en EMS, asegura que la beca promedio para educación Secundaria se incremente en 25% respecto a la situación actual (5,557 Pesos * 1.25 = 6,946 Pesos). Esto se traduce en un presupuesto total para Secundaria equivalente a 12,709 millones de Pesos (35% del presupuesto original de Primaria). El restante 65% del presupuesto original de Primaria (4,793 millones de Pesos), se redistribuye a EMS, con lo cual se logra un aumento en la beca promedio de 52.5% respecto a la beca EMS original. </w:t>
      </w:r>
    </w:p>
    <w:p w:rsidR="00117112" w:rsidRPr="00C9535C" w:rsidRDefault="00117112" w:rsidP="00BC73EA">
      <w:pPr>
        <w:spacing w:after="0" w:line="360" w:lineRule="auto"/>
        <w:jc w:val="center"/>
        <w:rPr>
          <w:rFonts w:ascii="Times New Roman" w:hAnsi="Times New Roman"/>
          <w:b/>
          <w:sz w:val="24"/>
          <w:szCs w:val="24"/>
          <w:lang w:val="es-ES"/>
        </w:rPr>
      </w:pPr>
    </w:p>
    <w:p w:rsidR="00BC73EA" w:rsidRPr="00C9535C" w:rsidRDefault="00117112" w:rsidP="00BC73EA">
      <w:pPr>
        <w:spacing w:after="0" w:line="360" w:lineRule="auto"/>
        <w:jc w:val="center"/>
        <w:rPr>
          <w:rFonts w:ascii="Times New Roman" w:hAnsi="Times New Roman"/>
          <w:b/>
          <w:sz w:val="24"/>
          <w:szCs w:val="24"/>
          <w:lang w:val="es-ES"/>
        </w:rPr>
      </w:pPr>
      <w:r w:rsidRPr="00C9535C">
        <w:rPr>
          <w:rFonts w:ascii="Times New Roman" w:hAnsi="Times New Roman"/>
          <w:b/>
          <w:sz w:val="24"/>
          <w:szCs w:val="24"/>
          <w:lang w:val="es-ES"/>
        </w:rPr>
        <w:t>T</w:t>
      </w:r>
      <w:r w:rsidR="00BC73EA" w:rsidRPr="00C9535C">
        <w:rPr>
          <w:rFonts w:ascii="Times New Roman" w:hAnsi="Times New Roman"/>
          <w:b/>
          <w:sz w:val="24"/>
          <w:szCs w:val="24"/>
          <w:lang w:val="es-ES"/>
        </w:rPr>
        <w:t xml:space="preserve">abla 3. Escenario </w:t>
      </w:r>
      <w:r w:rsidR="00EC2018" w:rsidRPr="00C9535C">
        <w:rPr>
          <w:rFonts w:ascii="Times New Roman" w:hAnsi="Times New Roman"/>
          <w:b/>
          <w:sz w:val="24"/>
          <w:szCs w:val="24"/>
          <w:lang w:val="es-ES"/>
        </w:rPr>
        <w:t>1</w:t>
      </w:r>
      <w:r w:rsidR="00BC73EA" w:rsidRPr="00C9535C">
        <w:rPr>
          <w:rFonts w:ascii="Times New Roman" w:hAnsi="Times New Roman"/>
          <w:b/>
          <w:sz w:val="24"/>
          <w:szCs w:val="24"/>
          <w:lang w:val="es-ES"/>
        </w:rPr>
        <w:t xml:space="preserve"> reformulación del esquema de becas</w:t>
      </w:r>
      <w:r w:rsidR="00EC2018" w:rsidRPr="00C9535C">
        <w:rPr>
          <w:rFonts w:ascii="Times New Roman" w:hAnsi="Times New Roman"/>
          <w:b/>
          <w:sz w:val="24"/>
          <w:szCs w:val="24"/>
          <w:lang w:val="es-ES"/>
        </w:rPr>
        <w:t xml:space="preserve"> – Población constante</w:t>
      </w:r>
    </w:p>
    <w:p w:rsidR="00117112" w:rsidRPr="00C9535C" w:rsidRDefault="00117112" w:rsidP="00BC73EA">
      <w:pPr>
        <w:spacing w:after="0" w:line="360" w:lineRule="auto"/>
        <w:jc w:val="center"/>
        <w:rPr>
          <w:rFonts w:ascii="Times New Roman" w:hAnsi="Times New Roman"/>
          <w:b/>
          <w:sz w:val="24"/>
          <w:szCs w:val="24"/>
          <w:lang w:val="es-ES"/>
        </w:rPr>
      </w:pPr>
      <w:r w:rsidRPr="00C9535C">
        <w:rPr>
          <w:noProof/>
        </w:rPr>
        <w:drawing>
          <wp:inline distT="0" distB="0" distL="0" distR="0" wp14:anchorId="1E2C8897" wp14:editId="2D80C46D">
            <wp:extent cx="5334000" cy="962025"/>
            <wp:effectExtent l="0" t="0" r="0" b="9525"/>
            <wp:docPr id="8" name="Picture 8" descr="cid:image001.png@01CE62BF.AE1F8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E62BF.AE1F85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334000" cy="962025"/>
                    </a:xfrm>
                    <a:prstGeom prst="rect">
                      <a:avLst/>
                    </a:prstGeom>
                    <a:noFill/>
                    <a:ln>
                      <a:noFill/>
                    </a:ln>
                  </pic:spPr>
                </pic:pic>
              </a:graphicData>
            </a:graphic>
          </wp:inline>
        </w:drawing>
      </w:r>
    </w:p>
    <w:p w:rsidR="00BC73EA" w:rsidRPr="00C9535C" w:rsidRDefault="00BC73EA" w:rsidP="00BC73EA">
      <w:pPr>
        <w:spacing w:after="0" w:line="360" w:lineRule="auto"/>
        <w:jc w:val="both"/>
        <w:rPr>
          <w:rFonts w:ascii="Times New Roman" w:hAnsi="Times New Roman"/>
          <w:sz w:val="24"/>
          <w:szCs w:val="24"/>
          <w:lang w:val="es-ES"/>
        </w:rPr>
      </w:pPr>
      <w:r w:rsidRPr="00C9535C">
        <w:rPr>
          <w:rFonts w:ascii="Times New Roman" w:hAnsi="Times New Roman"/>
          <w:sz w:val="24"/>
          <w:szCs w:val="24"/>
          <w:lang w:val="es-ES"/>
        </w:rPr>
        <w:t xml:space="preserve"> </w:t>
      </w:r>
      <w:r w:rsidRPr="00C9535C">
        <w:rPr>
          <w:rFonts w:ascii="Times New Roman" w:hAnsi="Times New Roman"/>
          <w:sz w:val="20"/>
          <w:szCs w:val="20"/>
          <w:lang w:val="es-ES"/>
        </w:rPr>
        <w:t>Fuente: Cálculos propios.</w:t>
      </w:r>
    </w:p>
    <w:p w:rsidR="0009458D" w:rsidRPr="00C9535C" w:rsidRDefault="0009458D" w:rsidP="0009458D">
      <w:pPr>
        <w:spacing w:after="0" w:line="240" w:lineRule="auto"/>
        <w:jc w:val="both"/>
        <w:rPr>
          <w:rFonts w:ascii="Times New Roman" w:hAnsi="Times New Roman"/>
          <w:sz w:val="24"/>
          <w:szCs w:val="24"/>
          <w:lang w:val="es-ES"/>
        </w:rPr>
      </w:pPr>
    </w:p>
    <w:p w:rsidR="0009458D" w:rsidRPr="00C9535C" w:rsidRDefault="00EC2018" w:rsidP="0009458D">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Dado que es esperable (y deseable) que el aumento de las becas en Secundaria y EMS atraiga a más estudiantes, el segundo escenario propuesto</w:t>
      </w:r>
      <w:r w:rsidR="0009458D" w:rsidRPr="00C9535C">
        <w:rPr>
          <w:rFonts w:ascii="Times New Roman" w:hAnsi="Times New Roman"/>
          <w:sz w:val="24"/>
          <w:szCs w:val="24"/>
          <w:lang w:val="es-ES"/>
        </w:rPr>
        <w:t xml:space="preserve"> en la Tabla 4</w:t>
      </w:r>
      <w:r w:rsidRPr="00C9535C">
        <w:rPr>
          <w:rFonts w:ascii="Times New Roman" w:hAnsi="Times New Roman"/>
          <w:sz w:val="24"/>
          <w:szCs w:val="24"/>
          <w:lang w:val="es-ES"/>
        </w:rPr>
        <w:t xml:space="preserve"> considera un aumento de 5% en la poblac</w:t>
      </w:r>
      <w:r w:rsidR="0009458D" w:rsidRPr="00C9535C">
        <w:rPr>
          <w:rFonts w:ascii="Times New Roman" w:hAnsi="Times New Roman"/>
          <w:sz w:val="24"/>
          <w:szCs w:val="24"/>
          <w:lang w:val="es-ES"/>
        </w:rPr>
        <w:t xml:space="preserve">ión de ambos niveles educativos. La Tabla 4 supone que tanto la población de becarios en Secundaria y en EMS aumenta en 5% respecto a su tamaño original (Tabla 2). Los cálculos de la Tabla 4 parten del supuesto que un aumento de 25% en el monto de las becas es deseable para aumentar la matrícula y toman nuevamente en consideración que las becas en EMS deberían ser superiores a aquellas de Secundaria, para compensar el mayor costo de oportunidad de permanecer en la escuela. Así, el presupuesto original de Primaria (7,334 millones de Pesos) se redistribuiría en 43% (3,177 millones de Pesos) para Secundaria y 57% para EMS (4,157 millones de Pesos). En este escenario, las becas promedio de Secundaria aumentarían en 25% y las becas promedio de EMS aumentarían en 39%. </w:t>
      </w:r>
    </w:p>
    <w:p w:rsidR="00902E4B" w:rsidRPr="00C9535C" w:rsidRDefault="00902E4B" w:rsidP="00EC2018">
      <w:pPr>
        <w:spacing w:after="0" w:line="360" w:lineRule="auto"/>
        <w:jc w:val="center"/>
        <w:rPr>
          <w:rFonts w:ascii="Times New Roman" w:hAnsi="Times New Roman"/>
          <w:b/>
          <w:sz w:val="24"/>
          <w:szCs w:val="24"/>
          <w:lang w:val="es-ES"/>
        </w:rPr>
      </w:pPr>
    </w:p>
    <w:p w:rsidR="00EC2018" w:rsidRPr="00C9535C" w:rsidRDefault="00EC2018" w:rsidP="00EC2018">
      <w:pPr>
        <w:spacing w:after="0" w:line="360" w:lineRule="auto"/>
        <w:jc w:val="center"/>
        <w:rPr>
          <w:rFonts w:ascii="Times New Roman" w:hAnsi="Times New Roman"/>
          <w:b/>
          <w:sz w:val="24"/>
          <w:szCs w:val="24"/>
          <w:lang w:val="es-ES"/>
        </w:rPr>
      </w:pPr>
      <w:r w:rsidRPr="00C9535C">
        <w:rPr>
          <w:rFonts w:ascii="Times New Roman" w:hAnsi="Times New Roman"/>
          <w:b/>
          <w:sz w:val="24"/>
          <w:szCs w:val="24"/>
          <w:lang w:val="es-ES"/>
        </w:rPr>
        <w:t>Tabla 4. Escenario 2 reformulación del esquema de becas – Aumento en población</w:t>
      </w:r>
    </w:p>
    <w:p w:rsidR="00EC2018" w:rsidRPr="00C9535C" w:rsidRDefault="00117112" w:rsidP="00117112">
      <w:pPr>
        <w:spacing w:after="0" w:line="360" w:lineRule="auto"/>
        <w:jc w:val="center"/>
        <w:rPr>
          <w:rFonts w:ascii="Times New Roman" w:hAnsi="Times New Roman"/>
          <w:sz w:val="24"/>
          <w:szCs w:val="24"/>
          <w:lang w:val="es-ES"/>
        </w:rPr>
      </w:pPr>
      <w:r w:rsidRPr="00C9535C">
        <w:rPr>
          <w:noProof/>
        </w:rPr>
        <w:drawing>
          <wp:inline distT="0" distB="0" distL="0" distR="0" wp14:anchorId="3FFC4C95" wp14:editId="4D12D8CE">
            <wp:extent cx="5334000" cy="962025"/>
            <wp:effectExtent l="0" t="0" r="0" b="9525"/>
            <wp:docPr id="9" name="Picture 9" descr="cid:image001.png@01CE62BF.AE1F8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E62BF.AE1F85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334000" cy="962025"/>
                    </a:xfrm>
                    <a:prstGeom prst="rect">
                      <a:avLst/>
                    </a:prstGeom>
                    <a:noFill/>
                    <a:ln>
                      <a:noFill/>
                    </a:ln>
                  </pic:spPr>
                </pic:pic>
              </a:graphicData>
            </a:graphic>
          </wp:inline>
        </w:drawing>
      </w:r>
    </w:p>
    <w:p w:rsidR="00EC2018" w:rsidRPr="00C9535C" w:rsidRDefault="00EC2018" w:rsidP="00EC2018">
      <w:pPr>
        <w:spacing w:after="0" w:line="360" w:lineRule="auto"/>
        <w:jc w:val="both"/>
        <w:rPr>
          <w:rFonts w:ascii="Times New Roman" w:hAnsi="Times New Roman"/>
          <w:sz w:val="20"/>
          <w:szCs w:val="20"/>
          <w:lang w:val="es-ES"/>
        </w:rPr>
      </w:pPr>
      <w:r w:rsidRPr="00C9535C">
        <w:rPr>
          <w:rFonts w:ascii="Times New Roman" w:hAnsi="Times New Roman"/>
          <w:sz w:val="20"/>
          <w:szCs w:val="20"/>
          <w:lang w:val="es-ES"/>
        </w:rPr>
        <w:t>Fuente: Cálculos propios.</w:t>
      </w:r>
    </w:p>
    <w:p w:rsidR="005F49E3" w:rsidRPr="00C9535C" w:rsidRDefault="005F49E3" w:rsidP="00902E4B">
      <w:pPr>
        <w:spacing w:after="0" w:line="240" w:lineRule="auto"/>
        <w:jc w:val="both"/>
        <w:rPr>
          <w:rFonts w:ascii="Times New Roman" w:hAnsi="Times New Roman"/>
          <w:sz w:val="24"/>
          <w:szCs w:val="24"/>
          <w:lang w:val="es-ES"/>
        </w:rPr>
      </w:pPr>
    </w:p>
    <w:p w:rsidR="0009458D"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Si con un aumento de 25% de las transferencias, el estudio de Puebla y Ecatepec consiguió incrementar la matrícula entre 5-7 puntos porcentuales para grupos particulares de población (básicamente mujeres en Ecatepec), es esperable que la mayor magnitud de los aumentos </w:t>
      </w:r>
      <w:r w:rsidR="0009458D" w:rsidRPr="00C9535C">
        <w:rPr>
          <w:rFonts w:ascii="Times New Roman" w:hAnsi="Times New Roman"/>
          <w:sz w:val="24"/>
          <w:szCs w:val="24"/>
          <w:lang w:val="es-ES"/>
        </w:rPr>
        <w:t>simulados</w:t>
      </w:r>
      <w:r w:rsidRPr="00C9535C">
        <w:rPr>
          <w:rFonts w:ascii="Times New Roman" w:hAnsi="Times New Roman"/>
          <w:sz w:val="24"/>
          <w:szCs w:val="24"/>
          <w:lang w:val="es-ES"/>
        </w:rPr>
        <w:t xml:space="preserve"> (</w:t>
      </w:r>
      <w:r w:rsidR="0009458D" w:rsidRPr="00C9535C">
        <w:rPr>
          <w:rFonts w:ascii="Times New Roman" w:hAnsi="Times New Roman"/>
          <w:sz w:val="24"/>
          <w:szCs w:val="24"/>
          <w:lang w:val="es-ES"/>
        </w:rPr>
        <w:t>25</w:t>
      </w:r>
      <w:r w:rsidRPr="00C9535C">
        <w:rPr>
          <w:rFonts w:ascii="Times New Roman" w:hAnsi="Times New Roman"/>
          <w:sz w:val="24"/>
          <w:szCs w:val="24"/>
          <w:lang w:val="es-ES"/>
        </w:rPr>
        <w:t>%</w:t>
      </w:r>
      <w:r w:rsidR="0009458D" w:rsidRPr="00C9535C">
        <w:rPr>
          <w:rFonts w:ascii="Times New Roman" w:hAnsi="Times New Roman"/>
          <w:sz w:val="24"/>
          <w:szCs w:val="24"/>
          <w:lang w:val="es-ES"/>
        </w:rPr>
        <w:t xml:space="preserve"> para</w:t>
      </w:r>
      <w:r w:rsidRPr="00C9535C">
        <w:rPr>
          <w:rFonts w:ascii="Times New Roman" w:hAnsi="Times New Roman"/>
          <w:sz w:val="24"/>
          <w:szCs w:val="24"/>
          <w:lang w:val="es-ES"/>
        </w:rPr>
        <w:t xml:space="preserve"> Secundaria y </w:t>
      </w:r>
      <w:r w:rsidR="0009458D" w:rsidRPr="00C9535C">
        <w:rPr>
          <w:rFonts w:ascii="Times New Roman" w:hAnsi="Times New Roman"/>
          <w:sz w:val="24"/>
          <w:szCs w:val="24"/>
          <w:lang w:val="es-ES"/>
        </w:rPr>
        <w:t xml:space="preserve">39-53% para </w:t>
      </w:r>
      <w:r w:rsidRPr="00C9535C">
        <w:rPr>
          <w:rFonts w:ascii="Times New Roman" w:hAnsi="Times New Roman"/>
          <w:sz w:val="24"/>
          <w:szCs w:val="24"/>
          <w:lang w:val="es-ES"/>
        </w:rPr>
        <w:t xml:space="preserve">EMS), logren tener mayores efectos sobre matricula y no solamente en grupos específicos de población. </w:t>
      </w:r>
    </w:p>
    <w:p w:rsidR="006C19CD" w:rsidRDefault="006C19CD" w:rsidP="00902E4B">
      <w:pPr>
        <w:spacing w:after="0" w:line="240" w:lineRule="auto"/>
        <w:jc w:val="both"/>
        <w:rPr>
          <w:rFonts w:ascii="Times New Roman" w:hAnsi="Times New Roman"/>
          <w:sz w:val="24"/>
          <w:szCs w:val="24"/>
          <w:lang w:val="es-ES"/>
        </w:rPr>
      </w:pPr>
    </w:p>
    <w:p w:rsidR="005C2188" w:rsidRDefault="009F2EE8" w:rsidP="005C2188">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Luego de presentar los principales supuestos y de discutir </w:t>
      </w:r>
      <w:r w:rsidR="00CC020C">
        <w:rPr>
          <w:rFonts w:ascii="Times New Roman" w:hAnsi="Times New Roman"/>
          <w:sz w:val="24"/>
          <w:szCs w:val="24"/>
          <w:lang w:val="es-ES"/>
        </w:rPr>
        <w:t xml:space="preserve">posibles alternativas para cumplir el objetivo del programa de aumentar la matrícula en Secundaria y EMS, </w:t>
      </w:r>
      <w:r w:rsidR="005C2188">
        <w:rPr>
          <w:rFonts w:ascii="Times New Roman" w:hAnsi="Times New Roman"/>
          <w:sz w:val="24"/>
          <w:szCs w:val="24"/>
          <w:lang w:val="es-ES"/>
        </w:rPr>
        <w:t>la Tabla 5 resume la costo-efectividad de la reforma propuesta</w:t>
      </w:r>
      <w:r w:rsidR="00CC020C">
        <w:rPr>
          <w:rFonts w:ascii="Times New Roman" w:hAnsi="Times New Roman"/>
          <w:sz w:val="24"/>
          <w:szCs w:val="24"/>
          <w:lang w:val="es-ES"/>
        </w:rPr>
        <w:t>.</w:t>
      </w:r>
      <w:r w:rsidR="005C2188">
        <w:rPr>
          <w:rFonts w:ascii="Times New Roman" w:hAnsi="Times New Roman"/>
          <w:sz w:val="24"/>
          <w:szCs w:val="24"/>
          <w:lang w:val="es-ES"/>
        </w:rPr>
        <w:t xml:space="preserve"> La Tabla 5 describe las características de la intervención evaluada por Attanasio y Espinosa (2010) en Puebla y Ecatepec. La reforma fue neutral desde el punto de vista presupuestario y consistió en eliminar las becas para educación Primaria y aumentar en 25% el valor de las becas para educación Secundaria y EMS. </w:t>
      </w:r>
      <w:r w:rsidR="00BF16EC">
        <w:rPr>
          <w:rFonts w:ascii="Times New Roman" w:hAnsi="Times New Roman"/>
          <w:sz w:val="24"/>
          <w:szCs w:val="24"/>
          <w:lang w:val="es-ES"/>
        </w:rPr>
        <w:t xml:space="preserve">No se detectaron impactos negativos ni sobre la matrícula en primaria ni sobre el gasto de los hogares de la muestra de la evaluación. Por esta razón, desde el punto de vista de los costos, se toma un valor de cero. </w:t>
      </w:r>
      <w:r w:rsidR="005C2188">
        <w:rPr>
          <w:rFonts w:ascii="Times New Roman" w:hAnsi="Times New Roman"/>
          <w:sz w:val="24"/>
          <w:szCs w:val="24"/>
          <w:lang w:val="es-ES"/>
        </w:rPr>
        <w:t xml:space="preserve">Dada la situación descrita previamente de una caída considerable en la matrícula en educación post-primaria en México, el indicador sobre el cual consideramos se debe medir el costo-efectividad de la intervención es la variación en matrícula escolar. </w:t>
      </w:r>
    </w:p>
    <w:p w:rsidR="00CC020C" w:rsidRDefault="00CC020C" w:rsidP="00902E4B">
      <w:pPr>
        <w:spacing w:after="0" w:line="240" w:lineRule="auto"/>
        <w:jc w:val="both"/>
        <w:rPr>
          <w:rFonts w:ascii="Times New Roman" w:hAnsi="Times New Roman"/>
          <w:sz w:val="24"/>
          <w:szCs w:val="24"/>
          <w:lang w:val="es-ES"/>
        </w:rPr>
      </w:pPr>
    </w:p>
    <w:p w:rsidR="000F5EF7" w:rsidRPr="000F5EF7" w:rsidRDefault="000B124C" w:rsidP="000F5EF7">
      <w:pPr>
        <w:spacing w:after="0" w:line="360" w:lineRule="auto"/>
        <w:jc w:val="center"/>
        <w:rPr>
          <w:rFonts w:ascii="Times New Roman" w:hAnsi="Times New Roman"/>
          <w:b/>
          <w:sz w:val="24"/>
          <w:szCs w:val="24"/>
          <w:lang w:val="es-ES"/>
        </w:rPr>
      </w:pPr>
      <w:r w:rsidRPr="000B124C">
        <w:rPr>
          <w:rFonts w:ascii="Times New Roman" w:hAnsi="Times New Roman"/>
          <w:b/>
          <w:sz w:val="24"/>
          <w:szCs w:val="24"/>
          <w:lang w:val="es-ES"/>
        </w:rPr>
        <w:t>Tabla 5. Análisis de eficacia en función del costo</w:t>
      </w:r>
      <w:r w:rsidR="00CC020C" w:rsidRPr="000F5EF7">
        <w:rPr>
          <w:rFonts w:ascii="Times New Roman" w:hAnsi="Times New Roman"/>
          <w:b/>
          <w:sz w:val="24"/>
          <w:szCs w:val="24"/>
          <w:lang w:val="es-ES"/>
        </w:rPr>
        <w:t xml:space="preserve"> </w:t>
      </w:r>
    </w:p>
    <w:p w:rsidR="000F5EF7" w:rsidRDefault="000F5EF7" w:rsidP="000F5EF7">
      <w:pPr>
        <w:spacing w:after="0" w:line="240" w:lineRule="auto"/>
        <w:jc w:val="center"/>
        <w:rPr>
          <w:lang w:val="es-ES_tradnl"/>
        </w:rPr>
      </w:pPr>
      <w:r w:rsidRPr="000F5EF7">
        <w:rPr>
          <w:noProof/>
        </w:rPr>
        <w:drawing>
          <wp:inline distT="0" distB="0" distL="0" distR="0" wp14:anchorId="15456088" wp14:editId="21950405">
            <wp:extent cx="5824855" cy="1792963"/>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4855" cy="1792963"/>
                    </a:xfrm>
                    <a:prstGeom prst="rect">
                      <a:avLst/>
                    </a:prstGeom>
                    <a:noFill/>
                    <a:ln>
                      <a:noFill/>
                    </a:ln>
                  </pic:spPr>
                </pic:pic>
              </a:graphicData>
            </a:graphic>
          </wp:inline>
        </w:drawing>
      </w:r>
    </w:p>
    <w:p w:rsidR="000B124C" w:rsidRDefault="006968AE" w:rsidP="000F5EF7">
      <w:pPr>
        <w:spacing w:after="0" w:line="240" w:lineRule="auto"/>
        <w:jc w:val="center"/>
        <w:rPr>
          <w:rFonts w:ascii="Times New Roman" w:hAnsi="Times New Roman"/>
          <w:sz w:val="24"/>
          <w:szCs w:val="24"/>
          <w:lang w:val="es-ES"/>
        </w:rPr>
      </w:pPr>
      <w:r w:rsidRPr="006968AE">
        <w:rPr>
          <w:rStyle w:val="CommentReference"/>
          <w:sz w:val="22"/>
          <w:szCs w:val="22"/>
          <w:lang w:val="es-ES_tradnl"/>
        </w:rPr>
        <w:t xml:space="preserve"> </w:t>
      </w:r>
    </w:p>
    <w:p w:rsidR="000B124C" w:rsidRDefault="000B124C" w:rsidP="00902E4B">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Las dos últimas columnas de la Tabla 5 </w:t>
      </w:r>
      <w:r w:rsidR="00BF16EC">
        <w:rPr>
          <w:rFonts w:ascii="Times New Roman" w:hAnsi="Times New Roman"/>
          <w:sz w:val="24"/>
          <w:szCs w:val="24"/>
          <w:lang w:val="es-ES"/>
        </w:rPr>
        <w:t>cuantifican los costos y los impactos (efectividad) de la preforma propuesta</w:t>
      </w:r>
      <w:r>
        <w:rPr>
          <w:rFonts w:ascii="Times New Roman" w:hAnsi="Times New Roman"/>
          <w:sz w:val="24"/>
          <w:szCs w:val="24"/>
          <w:lang w:val="es-ES"/>
        </w:rPr>
        <w:t xml:space="preserve">. Dado que la reforma planteada es </w:t>
      </w:r>
      <w:r w:rsidR="00BF16EC">
        <w:rPr>
          <w:rFonts w:ascii="Times New Roman" w:hAnsi="Times New Roman"/>
          <w:sz w:val="24"/>
          <w:szCs w:val="24"/>
          <w:lang w:val="es-ES"/>
        </w:rPr>
        <w:t>presupuestalmente neutral</w:t>
      </w:r>
      <w:r>
        <w:rPr>
          <w:rFonts w:ascii="Times New Roman" w:hAnsi="Times New Roman"/>
          <w:sz w:val="24"/>
          <w:szCs w:val="24"/>
          <w:lang w:val="es-ES"/>
        </w:rPr>
        <w:t xml:space="preserve">, su costo económico agregado es cero. Lo cual, como mencionamos anteriormente, implica una redistribución de recursos entre las becas otorgadas a los distintos niveles educativos. En particular, </w:t>
      </w:r>
      <w:r w:rsidR="00BF16EC">
        <w:rPr>
          <w:rFonts w:ascii="Times New Roman" w:hAnsi="Times New Roman"/>
          <w:sz w:val="24"/>
          <w:szCs w:val="24"/>
          <w:lang w:val="es-ES"/>
        </w:rPr>
        <w:t xml:space="preserve">se propone </w:t>
      </w:r>
      <w:r>
        <w:rPr>
          <w:rFonts w:ascii="Times New Roman" w:hAnsi="Times New Roman"/>
          <w:sz w:val="24"/>
          <w:szCs w:val="24"/>
          <w:lang w:val="es-ES"/>
        </w:rPr>
        <w:t xml:space="preserve">un traspaso del monto correspondiente a becas para Primaria </w:t>
      </w:r>
      <w:r w:rsidR="00BF16EC">
        <w:rPr>
          <w:rFonts w:ascii="Times New Roman" w:hAnsi="Times New Roman"/>
          <w:sz w:val="24"/>
          <w:szCs w:val="24"/>
          <w:lang w:val="es-ES"/>
        </w:rPr>
        <w:t>haci</w:t>
      </w:r>
      <w:r>
        <w:rPr>
          <w:rFonts w:ascii="Times New Roman" w:hAnsi="Times New Roman"/>
          <w:sz w:val="24"/>
          <w:szCs w:val="24"/>
          <w:lang w:val="es-ES"/>
        </w:rPr>
        <w:t xml:space="preserve">a becas para Secundaria y EMS. La última columna de la Tabla 5 corresponde a los resultados de la evaluación realizada por Attanasio y Espinosa (2010). En base a los resultados de la evaluación, es esperable que la eliminación de las becas para Primaria no tenga </w:t>
      </w:r>
      <w:r w:rsidR="00BF16EC">
        <w:rPr>
          <w:rFonts w:ascii="Times New Roman" w:hAnsi="Times New Roman"/>
          <w:sz w:val="24"/>
          <w:szCs w:val="24"/>
          <w:lang w:val="es-ES"/>
        </w:rPr>
        <w:t xml:space="preserve">un </w:t>
      </w:r>
      <w:r>
        <w:rPr>
          <w:rFonts w:ascii="Times New Roman" w:hAnsi="Times New Roman"/>
          <w:sz w:val="24"/>
          <w:szCs w:val="24"/>
          <w:lang w:val="es-ES"/>
        </w:rPr>
        <w:t xml:space="preserve">efecto </w:t>
      </w:r>
      <w:r w:rsidR="00BF16EC">
        <w:rPr>
          <w:rFonts w:ascii="Times New Roman" w:hAnsi="Times New Roman"/>
          <w:sz w:val="24"/>
          <w:szCs w:val="24"/>
          <w:lang w:val="es-ES"/>
        </w:rPr>
        <w:t xml:space="preserve">negativo </w:t>
      </w:r>
      <w:r>
        <w:rPr>
          <w:rFonts w:ascii="Times New Roman" w:hAnsi="Times New Roman"/>
          <w:sz w:val="24"/>
          <w:szCs w:val="24"/>
          <w:lang w:val="es-ES"/>
        </w:rPr>
        <w:t xml:space="preserve">sobre la matrícula en este nivel. Sin embargo, un aumento de al menos 25% en las becas para Secundaria y EMS podría traducirse en aumentos de 5 a 7 puntos porcentuales en la matrícula de dichos niveles. </w:t>
      </w:r>
    </w:p>
    <w:p w:rsidR="000B124C" w:rsidRDefault="000B124C" w:rsidP="00902E4B">
      <w:pPr>
        <w:spacing w:after="0" w:line="240" w:lineRule="auto"/>
        <w:jc w:val="both"/>
        <w:rPr>
          <w:rFonts w:ascii="Times New Roman" w:hAnsi="Times New Roman"/>
          <w:sz w:val="24"/>
          <w:szCs w:val="24"/>
          <w:lang w:val="es-ES"/>
        </w:rPr>
      </w:pPr>
    </w:p>
    <w:p w:rsidR="000B124C" w:rsidRDefault="00013ADF" w:rsidP="00902E4B">
      <w:pPr>
        <w:spacing w:after="0" w:line="240" w:lineRule="auto"/>
        <w:jc w:val="both"/>
        <w:rPr>
          <w:rFonts w:ascii="Times New Roman" w:hAnsi="Times New Roman"/>
          <w:sz w:val="24"/>
          <w:szCs w:val="24"/>
          <w:lang w:val="es-ES"/>
        </w:rPr>
      </w:pPr>
      <w:r>
        <w:rPr>
          <w:rFonts w:ascii="Times New Roman" w:hAnsi="Times New Roman"/>
          <w:sz w:val="24"/>
          <w:szCs w:val="24"/>
          <w:lang w:val="es-ES"/>
        </w:rPr>
        <w:t>Considerando la evidencia presentada en la Tabla 5, consideramos que es altamente recomendable para el Banco financiar una reforma que tiene costo económico nulo y efectividad positiva.</w:t>
      </w:r>
      <w:r w:rsidR="000B124C">
        <w:rPr>
          <w:rFonts w:ascii="Times New Roman" w:hAnsi="Times New Roman"/>
          <w:sz w:val="24"/>
          <w:szCs w:val="24"/>
          <w:lang w:val="es-ES"/>
        </w:rPr>
        <w:t xml:space="preserve"> </w:t>
      </w:r>
    </w:p>
    <w:p w:rsidR="000B124C" w:rsidRDefault="000B124C" w:rsidP="00902E4B">
      <w:pPr>
        <w:spacing w:after="0" w:line="240" w:lineRule="auto"/>
        <w:jc w:val="both"/>
        <w:rPr>
          <w:rFonts w:ascii="Times New Roman" w:hAnsi="Times New Roman"/>
          <w:sz w:val="24"/>
          <w:szCs w:val="24"/>
          <w:lang w:val="es-ES"/>
        </w:rPr>
      </w:pPr>
    </w:p>
    <w:p w:rsidR="009F2EE8" w:rsidRPr="00C9535C" w:rsidRDefault="009F2EE8" w:rsidP="00902E4B">
      <w:pPr>
        <w:spacing w:after="0" w:line="240" w:lineRule="auto"/>
        <w:jc w:val="both"/>
        <w:rPr>
          <w:rFonts w:ascii="Times New Roman" w:hAnsi="Times New Roman"/>
          <w:sz w:val="24"/>
          <w:szCs w:val="24"/>
          <w:lang w:val="es-ES"/>
        </w:rPr>
      </w:pPr>
    </w:p>
    <w:p w:rsidR="0009458D" w:rsidRPr="00C9535C" w:rsidRDefault="0009458D" w:rsidP="00902E4B">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Descripción del trabajo apoyado por la operación que complementa la evidencia disponible</w:t>
      </w:r>
    </w:p>
    <w:p w:rsidR="00AD1F84" w:rsidRPr="00C9535C" w:rsidRDefault="00AD1F84" w:rsidP="00902E4B">
      <w:pPr>
        <w:spacing w:after="0" w:line="240" w:lineRule="auto"/>
        <w:jc w:val="both"/>
        <w:rPr>
          <w:rFonts w:ascii="Times New Roman" w:hAnsi="Times New Roman"/>
          <w:sz w:val="24"/>
          <w:szCs w:val="24"/>
          <w:lang w:val="es-ES"/>
        </w:rPr>
      </w:pPr>
    </w:p>
    <w:p w:rsidR="0009458D" w:rsidRPr="00C9535C" w:rsidRDefault="00BB4A7D"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El diseño definitivo de</w:t>
      </w:r>
      <w:r w:rsidR="0009458D" w:rsidRPr="00C9535C">
        <w:rPr>
          <w:rFonts w:ascii="Times New Roman" w:hAnsi="Times New Roman"/>
          <w:sz w:val="24"/>
          <w:szCs w:val="24"/>
          <w:lang w:val="es-ES"/>
        </w:rPr>
        <w:t xml:space="preserve"> </w:t>
      </w:r>
      <w:r w:rsidRPr="00C9535C">
        <w:rPr>
          <w:rFonts w:ascii="Times New Roman" w:hAnsi="Times New Roman"/>
          <w:sz w:val="24"/>
          <w:szCs w:val="24"/>
          <w:lang w:val="es-ES"/>
        </w:rPr>
        <w:t>l</w:t>
      </w:r>
      <w:r w:rsidR="0009458D" w:rsidRPr="00C9535C">
        <w:rPr>
          <w:rFonts w:ascii="Times New Roman" w:hAnsi="Times New Roman"/>
          <w:sz w:val="24"/>
          <w:szCs w:val="24"/>
          <w:lang w:val="es-ES"/>
        </w:rPr>
        <w:t>a reforma al esquema de becas y de su implementación a escala</w:t>
      </w:r>
      <w:r w:rsidRPr="00C9535C">
        <w:rPr>
          <w:rFonts w:ascii="Times New Roman" w:hAnsi="Times New Roman"/>
          <w:sz w:val="24"/>
          <w:szCs w:val="24"/>
          <w:lang w:val="es-ES"/>
        </w:rPr>
        <w:t xml:space="preserve"> piloto será informado a partir de dos estudios que está realizando el Banco</w:t>
      </w:r>
      <w:r w:rsidR="0009458D" w:rsidRPr="00C9535C">
        <w:rPr>
          <w:rFonts w:ascii="Times New Roman" w:hAnsi="Times New Roman"/>
          <w:sz w:val="24"/>
          <w:szCs w:val="24"/>
          <w:lang w:val="es-ES"/>
        </w:rPr>
        <w:t xml:space="preserve"> Interamericano de Desarrollo, por pedido del PDHO. Además, lo complementará</w:t>
      </w:r>
      <w:r w:rsidRPr="00C9535C">
        <w:rPr>
          <w:rFonts w:ascii="Times New Roman" w:hAnsi="Times New Roman"/>
          <w:sz w:val="24"/>
          <w:szCs w:val="24"/>
          <w:lang w:val="es-ES"/>
        </w:rPr>
        <w:t xml:space="preserve"> un estudio formativo que será financiado con recursos de la </w:t>
      </w:r>
      <w:r w:rsidR="0009458D" w:rsidRPr="00C9535C">
        <w:rPr>
          <w:rFonts w:ascii="Times New Roman" w:hAnsi="Times New Roman"/>
          <w:sz w:val="24"/>
          <w:szCs w:val="24"/>
          <w:lang w:val="es-ES"/>
        </w:rPr>
        <w:t xml:space="preserve">presente </w:t>
      </w:r>
      <w:r w:rsidRPr="00C9535C">
        <w:rPr>
          <w:rFonts w:ascii="Times New Roman" w:hAnsi="Times New Roman"/>
          <w:sz w:val="24"/>
          <w:szCs w:val="24"/>
          <w:lang w:val="es-ES"/>
        </w:rPr>
        <w:t xml:space="preserve">operación. </w:t>
      </w:r>
      <w:r w:rsidR="0009458D" w:rsidRPr="00C9535C">
        <w:rPr>
          <w:rFonts w:ascii="Times New Roman" w:hAnsi="Times New Roman"/>
          <w:sz w:val="24"/>
          <w:szCs w:val="24"/>
          <w:lang w:val="es-ES"/>
        </w:rPr>
        <w:t>Las siguientes líneas presentan una descripción de estos tres estudios.</w:t>
      </w:r>
    </w:p>
    <w:p w:rsidR="0009458D" w:rsidRPr="00C9535C" w:rsidRDefault="0009458D" w:rsidP="00902E4B">
      <w:pPr>
        <w:spacing w:after="0" w:line="240" w:lineRule="auto"/>
        <w:jc w:val="both"/>
        <w:rPr>
          <w:rFonts w:ascii="Times New Roman" w:hAnsi="Times New Roman"/>
          <w:sz w:val="24"/>
          <w:szCs w:val="24"/>
          <w:lang w:val="es-ES"/>
        </w:rPr>
      </w:pPr>
    </w:p>
    <w:p w:rsidR="0009458D" w:rsidRPr="00C9535C" w:rsidRDefault="0009458D" w:rsidP="00902E4B">
      <w:pPr>
        <w:spacing w:after="0" w:line="240" w:lineRule="auto"/>
        <w:jc w:val="both"/>
        <w:rPr>
          <w:rFonts w:ascii="Times New Roman" w:hAnsi="Times New Roman"/>
          <w:sz w:val="24"/>
          <w:szCs w:val="24"/>
          <w:lang w:val="es-ES"/>
        </w:rPr>
      </w:pPr>
      <w:r w:rsidRPr="00C9535C">
        <w:rPr>
          <w:rFonts w:ascii="Times New Roman" w:hAnsi="Times New Roman"/>
          <w:i/>
          <w:sz w:val="24"/>
          <w:szCs w:val="24"/>
          <w:lang w:val="es-ES"/>
        </w:rPr>
        <w:t xml:space="preserve">Caracterización descriptiva de la decisión de estudiar: </w:t>
      </w:r>
      <w:r w:rsidR="00BB4A7D" w:rsidRPr="00C9535C">
        <w:rPr>
          <w:rFonts w:ascii="Times New Roman" w:hAnsi="Times New Roman"/>
          <w:sz w:val="24"/>
          <w:szCs w:val="24"/>
          <w:lang w:val="es-ES"/>
        </w:rPr>
        <w:t xml:space="preserve">A partir de encuestas de hogares e información administrativa, el primer estudio a cargo del BID presentará información de los principales determinantes de la decisión de asistencia a la escuela y caracterizará la dinámica de esta decisión. </w:t>
      </w:r>
    </w:p>
    <w:p w:rsidR="0009458D" w:rsidRPr="00C9535C" w:rsidRDefault="0009458D" w:rsidP="00902E4B">
      <w:pPr>
        <w:spacing w:after="0" w:line="240" w:lineRule="auto"/>
        <w:jc w:val="both"/>
        <w:rPr>
          <w:rFonts w:ascii="Times New Roman" w:hAnsi="Times New Roman"/>
          <w:sz w:val="24"/>
          <w:szCs w:val="24"/>
          <w:lang w:val="es-ES"/>
        </w:rPr>
      </w:pPr>
    </w:p>
    <w:p w:rsidR="001851EE" w:rsidRPr="00C9535C" w:rsidRDefault="001851EE" w:rsidP="00902E4B">
      <w:pPr>
        <w:spacing w:after="0" w:line="240" w:lineRule="auto"/>
        <w:jc w:val="both"/>
        <w:rPr>
          <w:rFonts w:ascii="Times New Roman" w:hAnsi="Times New Roman"/>
          <w:sz w:val="24"/>
          <w:szCs w:val="24"/>
          <w:lang w:val="es-ES"/>
        </w:rPr>
      </w:pPr>
      <w:r w:rsidRPr="00C9535C">
        <w:rPr>
          <w:rFonts w:ascii="Times New Roman" w:hAnsi="Times New Roman"/>
          <w:i/>
          <w:sz w:val="24"/>
          <w:szCs w:val="24"/>
          <w:lang w:val="es-ES"/>
        </w:rPr>
        <w:t xml:space="preserve">Evaluación ex ante del impacto de la reforma al esquema de becas: </w:t>
      </w:r>
      <w:r w:rsidR="00BB4A7D" w:rsidRPr="00C9535C">
        <w:rPr>
          <w:rFonts w:ascii="Times New Roman" w:hAnsi="Times New Roman"/>
          <w:sz w:val="24"/>
          <w:szCs w:val="24"/>
          <w:lang w:val="es-ES"/>
        </w:rPr>
        <w:t>El segundo estudio a cargo del BID corresponde a una simulación del impacto esperado del programa a cambios en los parámetros de la estructura de becas. Para esta simulación se utilizará un modelo dinámico donde la decisión de participación en el programa sea endógena.</w:t>
      </w:r>
      <w:r w:rsidR="00F00DCE" w:rsidRPr="00C9535C">
        <w:rPr>
          <w:rFonts w:ascii="Times New Roman" w:hAnsi="Times New Roman"/>
          <w:sz w:val="24"/>
          <w:szCs w:val="24"/>
          <w:lang w:val="es-ES"/>
        </w:rPr>
        <w:t xml:space="preserve"> </w:t>
      </w:r>
    </w:p>
    <w:p w:rsidR="001851EE" w:rsidRPr="00C9535C" w:rsidRDefault="001851EE" w:rsidP="00902E4B">
      <w:pPr>
        <w:spacing w:after="0" w:line="240" w:lineRule="auto"/>
        <w:jc w:val="both"/>
        <w:rPr>
          <w:rFonts w:ascii="Times New Roman" w:hAnsi="Times New Roman"/>
          <w:sz w:val="24"/>
          <w:szCs w:val="24"/>
          <w:lang w:val="es-ES"/>
        </w:rPr>
      </w:pPr>
    </w:p>
    <w:p w:rsidR="00BB4A7D" w:rsidRPr="00C9535C" w:rsidRDefault="001851EE" w:rsidP="00902E4B">
      <w:pPr>
        <w:spacing w:after="0" w:line="240" w:lineRule="auto"/>
        <w:jc w:val="both"/>
        <w:rPr>
          <w:rFonts w:ascii="Times New Roman" w:hAnsi="Times New Roman"/>
          <w:sz w:val="24"/>
          <w:szCs w:val="24"/>
          <w:lang w:val="es-ES"/>
        </w:rPr>
      </w:pPr>
      <w:r w:rsidRPr="00C9535C">
        <w:rPr>
          <w:rFonts w:ascii="Times New Roman" w:hAnsi="Times New Roman"/>
          <w:i/>
          <w:sz w:val="24"/>
          <w:szCs w:val="24"/>
          <w:lang w:val="es-ES"/>
        </w:rPr>
        <w:t xml:space="preserve">Estudio cualitativo sobre los determinantes de la deserción en Secundaria y EMS: </w:t>
      </w:r>
      <w:r w:rsidR="00BB4A7D" w:rsidRPr="00C9535C">
        <w:rPr>
          <w:rFonts w:ascii="Times New Roman" w:hAnsi="Times New Roman"/>
          <w:sz w:val="24"/>
          <w:szCs w:val="24"/>
          <w:lang w:val="es-ES"/>
        </w:rPr>
        <w:t>Por otra parte, con recursos del programa</w:t>
      </w:r>
      <w:r w:rsidRPr="00C9535C">
        <w:rPr>
          <w:rFonts w:ascii="Times New Roman" w:hAnsi="Times New Roman"/>
          <w:sz w:val="24"/>
          <w:szCs w:val="24"/>
          <w:lang w:val="es-ES"/>
        </w:rPr>
        <w:t>,</w:t>
      </w:r>
      <w:r w:rsidR="00BB4A7D" w:rsidRPr="00C9535C">
        <w:rPr>
          <w:rFonts w:ascii="Times New Roman" w:hAnsi="Times New Roman"/>
          <w:sz w:val="24"/>
          <w:szCs w:val="24"/>
          <w:lang w:val="es-ES"/>
        </w:rPr>
        <w:t xml:space="preserve"> se realizará un estudio formativo de corte cualitativo que indagará sobre las preguntas de evaluación del programa a nivel de grupos focales de jóvenes, titulares del programa y docentes en tres momentos distintos: (i) previo al inicio del levantamiento de la línea basal para la evaluación del piloto de becas, como un insumo más para informar el diseño del piloto y el alcance de los instrumentos de recolección de información; (ii) a medio término entre el levantamiento basal y su seguimiento, como insumo de análisis y para el proceso de recolección de información de seguimiento; y (iii) con posterioridad a que se obtengan resultados cuantitativos de la prueba piloto, con el fin de enriquecer la interpretación de los resultados.</w:t>
      </w:r>
    </w:p>
    <w:p w:rsidR="00BB4A7D" w:rsidRPr="00C9535C" w:rsidRDefault="00BB4A7D" w:rsidP="00902E4B">
      <w:pPr>
        <w:spacing w:after="0" w:line="240" w:lineRule="auto"/>
        <w:jc w:val="both"/>
        <w:rPr>
          <w:rFonts w:ascii="Times New Roman" w:hAnsi="Times New Roman"/>
          <w:sz w:val="24"/>
          <w:szCs w:val="24"/>
          <w:lang w:val="es-ES"/>
        </w:rPr>
      </w:pPr>
    </w:p>
    <w:p w:rsidR="00BB4A7D" w:rsidRPr="00C9535C" w:rsidRDefault="001851EE"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Como se mencionó anteriormente, la implementación del esquema modificado de becas se llevará a cabo a escala piloto y con el fin de evaluarla. </w:t>
      </w:r>
      <w:r w:rsidR="00BB4A7D" w:rsidRPr="00C9535C">
        <w:rPr>
          <w:rFonts w:ascii="Times New Roman" w:hAnsi="Times New Roman"/>
          <w:sz w:val="24"/>
          <w:szCs w:val="24"/>
          <w:lang w:val="es-ES"/>
        </w:rPr>
        <w:t xml:space="preserve">De manera preliminar, se prevé que el piloto de becas se implemente en cuatro ciudades </w:t>
      </w:r>
      <w:r w:rsidRPr="00C9535C">
        <w:rPr>
          <w:rFonts w:ascii="Times New Roman" w:hAnsi="Times New Roman"/>
          <w:sz w:val="24"/>
          <w:szCs w:val="24"/>
          <w:lang w:val="es-ES"/>
        </w:rPr>
        <w:t>y en un estrato rural</w:t>
      </w:r>
      <w:r w:rsidR="00BB4A7D" w:rsidRPr="00C9535C">
        <w:rPr>
          <w:rFonts w:ascii="Times New Roman" w:hAnsi="Times New Roman"/>
          <w:sz w:val="24"/>
          <w:szCs w:val="24"/>
          <w:lang w:val="es-ES"/>
        </w:rPr>
        <w:t xml:space="preserve">, con alta heterogeneidad en cuanto a la composición de su actividad económica. </w:t>
      </w:r>
      <w:r w:rsidRPr="00C9535C">
        <w:rPr>
          <w:rFonts w:ascii="Times New Roman" w:hAnsi="Times New Roman"/>
          <w:sz w:val="24"/>
          <w:szCs w:val="24"/>
          <w:lang w:val="es-ES"/>
        </w:rPr>
        <w:t>S</w:t>
      </w:r>
      <w:r w:rsidR="00BB4A7D" w:rsidRPr="00C9535C">
        <w:rPr>
          <w:rFonts w:ascii="Times New Roman" w:hAnsi="Times New Roman"/>
          <w:sz w:val="24"/>
          <w:szCs w:val="24"/>
          <w:lang w:val="es-ES"/>
        </w:rPr>
        <w:t xml:space="preserve">e asignará aleatoriamente a un grupo de becarios que hubiesen estado activos en el Padrón de Oportunidades cerca de la finalización del ciclo escolar 2012-2013 a dos grupos tratamiento </w:t>
      </w:r>
      <w:r w:rsidRPr="00C9535C">
        <w:rPr>
          <w:rFonts w:ascii="Times New Roman" w:hAnsi="Times New Roman"/>
          <w:sz w:val="24"/>
          <w:szCs w:val="24"/>
          <w:lang w:val="es-ES"/>
        </w:rPr>
        <w:t>o</w:t>
      </w:r>
      <w:r w:rsidR="00BB4A7D" w:rsidRPr="00C9535C">
        <w:rPr>
          <w:rFonts w:ascii="Times New Roman" w:hAnsi="Times New Roman"/>
          <w:sz w:val="24"/>
          <w:szCs w:val="24"/>
          <w:lang w:val="es-ES"/>
        </w:rPr>
        <w:t xml:space="preserve"> uno de control. El primer grupo recibirá un monto superior de becas, condicionado a su asistencia regular a los niveles de educación secundaria y media superior. El segundo grupo recibirá mensualmente el mismo monto de becas que el grupo tratamiento anterior, pero con un porcentaje que será descontado del pago bimestral y acumulado como un bono por </w:t>
      </w:r>
      <w:r w:rsidR="006809F3" w:rsidRPr="00C9535C">
        <w:rPr>
          <w:rFonts w:ascii="Times New Roman" w:hAnsi="Times New Roman"/>
          <w:sz w:val="24"/>
          <w:szCs w:val="24"/>
          <w:lang w:val="es-ES"/>
        </w:rPr>
        <w:t>culminación</w:t>
      </w:r>
      <w:r w:rsidR="00BB4A7D" w:rsidRPr="00C9535C">
        <w:rPr>
          <w:rFonts w:ascii="Times New Roman" w:hAnsi="Times New Roman"/>
          <w:sz w:val="24"/>
          <w:szCs w:val="24"/>
          <w:lang w:val="es-ES"/>
        </w:rPr>
        <w:t xml:space="preserve">. Los jóvenes que sean asignados al grupo control continuarán bajo el esquema actual de becas. Para ambos grupos tratamiento, la beca será pagada directamente al joven cuando </w:t>
      </w:r>
      <w:r w:rsidRPr="00C9535C">
        <w:rPr>
          <w:rFonts w:ascii="Times New Roman" w:hAnsi="Times New Roman"/>
          <w:sz w:val="24"/>
          <w:szCs w:val="24"/>
          <w:lang w:val="es-ES"/>
        </w:rPr>
        <w:t>é</w:t>
      </w:r>
      <w:r w:rsidR="00BB4A7D" w:rsidRPr="00C9535C">
        <w:rPr>
          <w:rFonts w:ascii="Times New Roman" w:hAnsi="Times New Roman"/>
          <w:sz w:val="24"/>
          <w:szCs w:val="24"/>
          <w:lang w:val="es-ES"/>
        </w:rPr>
        <w:t>ste sea mayor de 16 años de edad.</w:t>
      </w:r>
      <w:r w:rsidR="00FE5D89" w:rsidRPr="00C9535C">
        <w:rPr>
          <w:rFonts w:ascii="Times New Roman" w:hAnsi="Times New Roman"/>
          <w:sz w:val="24"/>
          <w:szCs w:val="24"/>
          <w:lang w:val="es-ES"/>
        </w:rPr>
        <w:t xml:space="preserve"> </w:t>
      </w:r>
      <w:r w:rsidR="00BB4A7D" w:rsidRPr="00C9535C">
        <w:rPr>
          <w:rFonts w:ascii="Times New Roman" w:hAnsi="Times New Roman"/>
          <w:sz w:val="24"/>
          <w:szCs w:val="24"/>
          <w:lang w:val="es-ES"/>
        </w:rPr>
        <w:t>Se prevé el levantamiento de una línea basal, antes del inicio del ciclo escolar 2013-2014 y un levantamiento de seguimiento con un año de poste</w:t>
      </w:r>
      <w:r w:rsidR="00FE5D89" w:rsidRPr="00C9535C">
        <w:rPr>
          <w:rFonts w:ascii="Times New Roman" w:hAnsi="Times New Roman"/>
          <w:sz w:val="24"/>
          <w:szCs w:val="24"/>
          <w:lang w:val="es-ES"/>
        </w:rPr>
        <w:t>r</w:t>
      </w:r>
      <w:r w:rsidR="00BB4A7D" w:rsidRPr="00C9535C">
        <w:rPr>
          <w:rFonts w:ascii="Times New Roman" w:hAnsi="Times New Roman"/>
          <w:sz w:val="24"/>
          <w:szCs w:val="24"/>
          <w:lang w:val="es-ES"/>
        </w:rPr>
        <w:t xml:space="preserve">ioridad. </w:t>
      </w:r>
      <w:r w:rsidRPr="00C9535C">
        <w:rPr>
          <w:rFonts w:ascii="Times New Roman" w:hAnsi="Times New Roman"/>
          <w:sz w:val="24"/>
          <w:szCs w:val="24"/>
          <w:lang w:val="es-ES"/>
        </w:rPr>
        <w:t xml:space="preserve">La evaluación de impacto será financiada con recursos del Componente 2 de esta operación. </w:t>
      </w:r>
    </w:p>
    <w:p w:rsidR="00BB4A7D" w:rsidRPr="00C9535C" w:rsidRDefault="00BB4A7D" w:rsidP="00902E4B">
      <w:pPr>
        <w:spacing w:after="0" w:line="240" w:lineRule="auto"/>
        <w:jc w:val="both"/>
        <w:rPr>
          <w:rFonts w:ascii="Times New Roman" w:hAnsi="Times New Roman"/>
          <w:sz w:val="24"/>
          <w:szCs w:val="24"/>
          <w:lang w:val="es-ES"/>
        </w:rPr>
      </w:pPr>
    </w:p>
    <w:p w:rsidR="0009458D" w:rsidRPr="00C9535C" w:rsidRDefault="0009458D" w:rsidP="00902E4B">
      <w:pPr>
        <w:pStyle w:val="ListParagraph"/>
        <w:spacing w:after="0" w:line="240" w:lineRule="auto"/>
        <w:ind w:left="0"/>
        <w:contextualSpacing w:val="0"/>
        <w:jc w:val="both"/>
        <w:rPr>
          <w:rFonts w:ascii="Times New Roman" w:hAnsi="Times New Roman"/>
          <w:sz w:val="24"/>
          <w:szCs w:val="24"/>
          <w:lang w:val="es-ES"/>
        </w:rPr>
      </w:pPr>
    </w:p>
    <w:p w:rsidR="00AD1F84" w:rsidRPr="00C9535C" w:rsidRDefault="00BA565A" w:rsidP="00902E4B">
      <w:pPr>
        <w:numPr>
          <w:ilvl w:val="0"/>
          <w:numId w:val="22"/>
        </w:numPr>
        <w:spacing w:after="0" w:line="240" w:lineRule="auto"/>
        <w:jc w:val="both"/>
        <w:rPr>
          <w:rFonts w:ascii="Times New Roman Bold" w:hAnsi="Times New Roman Bold"/>
          <w:b/>
          <w:smallCaps/>
          <w:sz w:val="24"/>
          <w:szCs w:val="24"/>
          <w:lang w:val="es-ES"/>
        </w:rPr>
      </w:pPr>
      <w:r w:rsidRPr="00C9535C">
        <w:rPr>
          <w:rFonts w:ascii="Times New Roman" w:hAnsi="Times New Roman"/>
          <w:b/>
          <w:sz w:val="24"/>
          <w:szCs w:val="24"/>
          <w:lang w:val="es-ES"/>
        </w:rPr>
        <w:br w:type="page"/>
      </w:r>
      <w:r w:rsidR="0076691D" w:rsidRPr="00C9535C">
        <w:rPr>
          <w:rFonts w:ascii="Times New Roman Bold" w:hAnsi="Times New Roman Bold"/>
          <w:b/>
          <w:smallCaps/>
          <w:sz w:val="24"/>
          <w:szCs w:val="24"/>
          <w:lang w:val="es-ES"/>
        </w:rPr>
        <w:t>C</w:t>
      </w:r>
      <w:r w:rsidR="00AD1F84" w:rsidRPr="00C9535C">
        <w:rPr>
          <w:rFonts w:ascii="Times New Roman Bold" w:hAnsi="Times New Roman Bold"/>
          <w:b/>
          <w:smallCaps/>
          <w:sz w:val="24"/>
          <w:szCs w:val="24"/>
          <w:lang w:val="es-ES"/>
        </w:rPr>
        <w:t xml:space="preserve">onsolidación y expansión de la </w:t>
      </w:r>
      <w:r w:rsidR="00DE7DBF" w:rsidRPr="00C9535C">
        <w:rPr>
          <w:rFonts w:ascii="Times New Roman Bold" w:hAnsi="Times New Roman Bold"/>
          <w:b/>
          <w:smallCaps/>
          <w:sz w:val="24"/>
          <w:szCs w:val="24"/>
          <w:lang w:val="es-ES"/>
        </w:rPr>
        <w:t>EsIAN</w:t>
      </w:r>
    </w:p>
    <w:p w:rsidR="00AA0D69" w:rsidRPr="00C9535C" w:rsidRDefault="00AA0D69" w:rsidP="00902E4B">
      <w:pPr>
        <w:spacing w:after="0" w:line="240" w:lineRule="auto"/>
        <w:jc w:val="both"/>
        <w:rPr>
          <w:rFonts w:ascii="Times New Roman" w:hAnsi="Times New Roman"/>
          <w:sz w:val="24"/>
          <w:szCs w:val="24"/>
          <w:lang w:val="es-ES"/>
        </w:rPr>
      </w:pPr>
    </w:p>
    <w:p w:rsidR="00117112" w:rsidRPr="00C9535C" w:rsidRDefault="00117112" w:rsidP="00902E4B">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 xml:space="preserve">Motivación </w:t>
      </w:r>
    </w:p>
    <w:p w:rsidR="00117112" w:rsidRPr="00C9535C" w:rsidRDefault="00117112" w:rsidP="00902E4B">
      <w:pPr>
        <w:spacing w:after="0" w:line="240" w:lineRule="auto"/>
        <w:jc w:val="both"/>
        <w:rPr>
          <w:rFonts w:ascii="Times New Roman" w:hAnsi="Times New Roman"/>
          <w:b/>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Actualmente, el PDHO incluye un componente de alimentación que consta de una transferencia monetaria fija </w:t>
      </w:r>
      <w:r w:rsidR="0076691D" w:rsidRPr="00C9535C">
        <w:rPr>
          <w:rFonts w:ascii="Times New Roman" w:hAnsi="Times New Roman"/>
          <w:sz w:val="24"/>
          <w:szCs w:val="24"/>
          <w:lang w:val="es-ES"/>
        </w:rPr>
        <w:t>par</w:t>
      </w:r>
      <w:r w:rsidRPr="00C9535C">
        <w:rPr>
          <w:rFonts w:ascii="Times New Roman" w:hAnsi="Times New Roman"/>
          <w:sz w:val="24"/>
          <w:szCs w:val="24"/>
          <w:lang w:val="es-ES"/>
        </w:rPr>
        <w:t>a las familias beneficiarias de $305 pesos mensuales</w:t>
      </w:r>
      <w:r w:rsidR="00AA0D69" w:rsidRPr="00C9535C">
        <w:rPr>
          <w:rFonts w:ascii="Times New Roman" w:hAnsi="Times New Roman"/>
          <w:sz w:val="24"/>
          <w:szCs w:val="24"/>
          <w:lang w:val="es-ES"/>
        </w:rPr>
        <w:t>,</w:t>
      </w:r>
      <w:r w:rsidRPr="00C9535C">
        <w:rPr>
          <w:rFonts w:ascii="Times New Roman" w:hAnsi="Times New Roman"/>
          <w:sz w:val="24"/>
          <w:szCs w:val="24"/>
          <w:lang w:val="es-ES"/>
        </w:rPr>
        <w:t xml:space="preserve"> de $50 en efectivo para apoyo energético</w:t>
      </w:r>
      <w:r w:rsidR="00AA0D69" w:rsidRPr="00C9535C">
        <w:rPr>
          <w:rFonts w:ascii="Times New Roman" w:hAnsi="Times New Roman"/>
          <w:sz w:val="24"/>
          <w:szCs w:val="24"/>
          <w:lang w:val="es-ES"/>
        </w:rPr>
        <w:t xml:space="preserve">, </w:t>
      </w:r>
      <w:r w:rsidR="00202316" w:rsidRPr="00C9535C">
        <w:rPr>
          <w:rFonts w:ascii="Times New Roman" w:hAnsi="Times New Roman"/>
          <w:sz w:val="24"/>
          <w:szCs w:val="24"/>
          <w:lang w:val="es-ES"/>
        </w:rPr>
        <w:t xml:space="preserve">de </w:t>
      </w:r>
      <w:r w:rsidR="00AA0D69" w:rsidRPr="00C9535C">
        <w:rPr>
          <w:rFonts w:ascii="Times New Roman" w:hAnsi="Times New Roman"/>
          <w:sz w:val="24"/>
          <w:szCs w:val="24"/>
          <w:lang w:val="es-ES"/>
        </w:rPr>
        <w:t xml:space="preserve">$100 </w:t>
      </w:r>
      <w:r w:rsidR="00202316" w:rsidRPr="00C9535C">
        <w:rPr>
          <w:rFonts w:ascii="Times New Roman" w:hAnsi="Times New Roman"/>
          <w:sz w:val="24"/>
          <w:szCs w:val="24"/>
          <w:lang w:val="es-ES"/>
        </w:rPr>
        <w:t>pesos mensuales por niño entre 0-9 años como parte del apoyo Infantil Vivir Mejor</w:t>
      </w:r>
      <w:r w:rsidR="008B2CB8" w:rsidRPr="00C9535C">
        <w:rPr>
          <w:rFonts w:ascii="Times New Roman" w:hAnsi="Times New Roman"/>
          <w:sz w:val="24"/>
          <w:szCs w:val="24"/>
          <w:lang w:val="es-ES"/>
        </w:rPr>
        <w:t>, y de $120 pesos mensuales como parte del apoyo Alimentario Vivir Mejor</w:t>
      </w:r>
      <w:r w:rsidRPr="00C9535C">
        <w:rPr>
          <w:rFonts w:ascii="Times New Roman" w:hAnsi="Times New Roman"/>
          <w:sz w:val="24"/>
          <w:szCs w:val="24"/>
          <w:lang w:val="es-ES"/>
        </w:rPr>
        <w:t xml:space="preserve">; además, incluye la entrega del complemento nutricional Nutrisano, para niños de 6 meses a 2 años de edad y para los niños con desnutrición de 2 a 4 años de edad, y del complemento alimenticio Nutrivida para mujeres embarazadas y lactantes. Ambos complementos alimenticios buscan proporcionar los micronutrientes necesarios para evitar la desnutrición en estos períodos críticos de la vida, así como eliminar las consecuencias negativas que la desnutrición puede tener en el largo plazo.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Diversas evaluaciones muestran que el PDHO tiene efectos positivos sobre el estado nutricional de los niños (Martorell, R., 2008; Neufeld L. et al., 2006 y 2007). En particular se ha observado aumento tanto de la talla como del peso para la talla de los niños beneficiarios respecto a niños comparables no-beneficiarios. Los efectos en estos indicadores están positivamente relacionados al tiempo de exposición al programa. Adicionalmente, de acuerdo a estimaciones realizadas con datos de la ESANUT 2012, a lo largo del tiempo se observa que en la población beneficiaria del PDHO, la prevalencia de baja talla y peso en niños menores de 5 años se ha reducido. Sin embargo, el PDHO parece no haber logrado mejorar la prevalencia de anemia entre la población infantil en general y tampoco ha logrado reducir las diferencias en indicadores nutricionales entre niños indígenas y no indígenas.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Como resultado de varios estudios que analizaron cómo mejorar la efectividad del PDHO sobre el estado nutricional de la población,</w:t>
      </w:r>
      <w:r w:rsidRPr="00C9535C">
        <w:rPr>
          <w:rStyle w:val="FootnoteReference"/>
          <w:rFonts w:ascii="Times New Roman" w:hAnsi="Times New Roman"/>
          <w:sz w:val="24"/>
          <w:szCs w:val="24"/>
          <w:lang w:val="es-ES"/>
        </w:rPr>
        <w:footnoteReference w:id="4"/>
      </w:r>
      <w:r w:rsidRPr="00C9535C">
        <w:rPr>
          <w:rFonts w:ascii="Times New Roman" w:hAnsi="Times New Roman"/>
          <w:sz w:val="24"/>
          <w:szCs w:val="24"/>
          <w:lang w:val="es-ES"/>
        </w:rPr>
        <w:t xml:space="preserve"> se diseñó la EsIAN con los siguientes objetivos: (a) mejorar la nutrición y salud de la población beneficiaria del PDHO a través de la prevención de la desnutrición y anemia en niños menores de 2 años, la atención de la anemia en niños de 2 a 4 años de edad y la disminución los riesgos de obesidad en la población; (b) determinar el esquema de suplementación más efectivo que debe otorgarse a la población beneficiaria del PDHO considerando sus características socioeconómicas y factores de riesgo; (c) implementar una estrategia de comunicación y capacitación en materia de nutrición, dirigida al personal de salud y a la población; y, (d) contribuir al desarrollo de una estrategia nacional para modificar patrones de conducta de la población y del personal de salud para la atención, control y cuidado de la nutrición.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Para atacar los problemas de mal estado de nutrición de la población mexicana, la EsIAN propone un trabajo coordinado y participativo entre los distintos sectores, beneficiarios y niveles de gobierno. Asimismo, propone que sus acciones se realicen en los siguientes ámbitos: planeación y organización de los servicios; prestación de servicios; información, educación y comunicación; capacitación; equipamiento; normatividad y regulación;  ámbito escolar; y, programas alimentarios.</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En 2008 se inició la implementación de la EsIAN a escala piloto en 91 unidades de salud, en zonas urbanas y rurales, en el marco de una evaluación de la estrategia</w:t>
      </w:r>
      <w:r w:rsidR="001B523A" w:rsidRPr="00C9535C">
        <w:rPr>
          <w:rFonts w:ascii="Times New Roman" w:hAnsi="Times New Roman"/>
          <w:sz w:val="24"/>
          <w:szCs w:val="24"/>
          <w:lang w:val="es-ES"/>
        </w:rPr>
        <w:t xml:space="preserve"> (DGIGAE, 2012)</w:t>
      </w:r>
      <w:r w:rsidRPr="00C9535C">
        <w:rPr>
          <w:rFonts w:ascii="Times New Roman" w:hAnsi="Times New Roman"/>
          <w:sz w:val="24"/>
          <w:szCs w:val="24"/>
          <w:lang w:val="es-ES"/>
        </w:rPr>
        <w:t xml:space="preserve">. Para su evaluación, en 2012, la muestra para evaluación cuantitativa cuenta con información a nivel de proveedores de servicios de salud (incluyendo médicos y enfermeras), así como a nivel de niños entre 6 y 59 meses de edad. La muestra para la evaluación cualitativa consiste en entrevistas a profundidad con los encargados de recibir y bajar la capacitación de la EsIAN y grupos focales con proveedores de servicios de salud.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La evaluación de la EsIAN mostró los siguientes impactos alentadores</w:t>
      </w:r>
      <w:r w:rsidR="00153A42" w:rsidRPr="00C9535C">
        <w:rPr>
          <w:rFonts w:ascii="Times New Roman" w:hAnsi="Times New Roman"/>
          <w:sz w:val="24"/>
          <w:szCs w:val="24"/>
          <w:lang w:val="es-ES"/>
        </w:rPr>
        <w:t xml:space="preserve"> (INSP, 2012)</w:t>
      </w:r>
      <w:r w:rsidRPr="00C9535C">
        <w:rPr>
          <w:rFonts w:ascii="Times New Roman" w:hAnsi="Times New Roman"/>
          <w:sz w:val="24"/>
          <w:szCs w:val="24"/>
          <w:lang w:val="es-ES"/>
        </w:rPr>
        <w:t xml:space="preserve">: </w:t>
      </w:r>
    </w:p>
    <w:p w:rsidR="00AD1F84" w:rsidRPr="00C9535C" w:rsidRDefault="00AD1F84" w:rsidP="00902E4B">
      <w:pPr>
        <w:pStyle w:val="ListParagraph"/>
        <w:numPr>
          <w:ilvl w:val="0"/>
          <w:numId w:val="16"/>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una cantidad considerable (80%) de los proveedores de servicios recibieron capacitación, perciben que la pueden aplicar en su práctica cotidiana y (65%) la considera útil;</w:t>
      </w:r>
    </w:p>
    <w:p w:rsidR="00AD1F84" w:rsidRPr="00C9535C" w:rsidRDefault="00AD1F84" w:rsidP="00902E4B">
      <w:pPr>
        <w:pStyle w:val="ListParagraph"/>
        <w:numPr>
          <w:ilvl w:val="0"/>
          <w:numId w:val="16"/>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 xml:space="preserve">mejoras de conocimiento de los proveedores de salud sobre mediciones antropométricas, esquema de suplementación; buenas prácticas nutricionales, particularmente en lo referente a promocionar la lactancia materna exclusiva durante los 6 primeros meses de vida;  </w:t>
      </w:r>
    </w:p>
    <w:p w:rsidR="00AD1F84" w:rsidRPr="00C9535C" w:rsidRDefault="00AD1F84" w:rsidP="00902E4B">
      <w:pPr>
        <w:pStyle w:val="ListParagraph"/>
        <w:numPr>
          <w:ilvl w:val="0"/>
          <w:numId w:val="16"/>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 xml:space="preserve">aceptación por parte de la población del nuevo esquema de suplementación alimenticia; </w:t>
      </w:r>
    </w:p>
    <w:p w:rsidR="00AD1F84" w:rsidRPr="00C9535C" w:rsidRDefault="00AD1F84" w:rsidP="00902E4B">
      <w:pPr>
        <w:pStyle w:val="ListParagraph"/>
        <w:numPr>
          <w:ilvl w:val="0"/>
          <w:numId w:val="16"/>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incremento en la adherencia de los suplementos nutricionales de la EsIAN, medidos a través de la concentración de hemoglobina, lo que se refleja en una reducción en la prevalencia de la anemia en niños de 6 a 59 meses de edad (en promedio de 15 puntos porcentuales en zonas rurales y de 7 puntos porcentuales en zonas urbanas); y,</w:t>
      </w:r>
    </w:p>
    <w:p w:rsidR="00AD1F84" w:rsidRPr="00C9535C" w:rsidRDefault="00AD1F84" w:rsidP="00902E4B">
      <w:pPr>
        <w:pStyle w:val="ListParagraph"/>
        <w:numPr>
          <w:ilvl w:val="0"/>
          <w:numId w:val="16"/>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 xml:space="preserve">no </w:t>
      </w:r>
      <w:r w:rsidR="00117112" w:rsidRPr="00C9535C">
        <w:rPr>
          <w:rFonts w:ascii="Times New Roman" w:hAnsi="Times New Roman"/>
          <w:sz w:val="24"/>
          <w:szCs w:val="24"/>
          <w:lang w:val="es-ES"/>
        </w:rPr>
        <w:t xml:space="preserve">se identificaron </w:t>
      </w:r>
      <w:r w:rsidRPr="00C9535C">
        <w:rPr>
          <w:rFonts w:ascii="Times New Roman" w:hAnsi="Times New Roman"/>
          <w:sz w:val="24"/>
          <w:szCs w:val="24"/>
          <w:lang w:val="es-ES"/>
        </w:rPr>
        <w:t>efectos de la EsIAN sobre el peso</w:t>
      </w:r>
      <w:r w:rsidR="00EB01DA" w:rsidRPr="00C9535C">
        <w:rPr>
          <w:rFonts w:ascii="Times New Roman" w:hAnsi="Times New Roman"/>
          <w:sz w:val="24"/>
          <w:szCs w:val="24"/>
          <w:lang w:val="es-ES"/>
        </w:rPr>
        <w:t xml:space="preserve"> (incluyendo indicadores de sobrepeso y obesidad)</w:t>
      </w:r>
      <w:r w:rsidRPr="00C9535C">
        <w:rPr>
          <w:rFonts w:ascii="Times New Roman" w:hAnsi="Times New Roman"/>
          <w:sz w:val="24"/>
          <w:szCs w:val="24"/>
          <w:lang w:val="es-ES"/>
        </w:rPr>
        <w:t>, talla y un indicador de peso para la talla de los niños. Estos dos últimos resultados demuestran que el cambio de suplemento alimenticio introducido por la EsIAN es adecuado para la población ya que no alteró el peso pero mejoró los indicadores de prevalencia de anemia.</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Sin embargo, la evaluación también documentó que existió heterogeneidad en la implementación de la EsIAN y permit</w:t>
      </w:r>
      <w:r w:rsidR="00117112" w:rsidRPr="00C9535C">
        <w:rPr>
          <w:rFonts w:ascii="Times New Roman" w:hAnsi="Times New Roman"/>
          <w:sz w:val="24"/>
          <w:szCs w:val="24"/>
          <w:lang w:val="es-ES"/>
        </w:rPr>
        <w:t>ió</w:t>
      </w:r>
      <w:r w:rsidRPr="00C9535C">
        <w:rPr>
          <w:rFonts w:ascii="Times New Roman" w:hAnsi="Times New Roman"/>
          <w:sz w:val="24"/>
          <w:szCs w:val="24"/>
          <w:lang w:val="es-ES"/>
        </w:rPr>
        <w:t xml:space="preserve"> identificar los temas que requieren ajustes para mejorar la efectividad de la estrategia. Entre los principales se encuentran: la necesidad de fortalecer la capacitación (tanto en duración; en contar con personal especializado dirigiendo las sesiones; y en metodología); el reforzamiento de mensajes claves; la distribución de suplementos y materiales de capacitación; y, la creación de un sist</w:t>
      </w:r>
      <w:r w:rsidR="00117112" w:rsidRPr="00C9535C">
        <w:rPr>
          <w:rFonts w:ascii="Times New Roman" w:hAnsi="Times New Roman"/>
          <w:sz w:val="24"/>
          <w:szCs w:val="24"/>
          <w:lang w:val="es-ES"/>
        </w:rPr>
        <w:t xml:space="preserve">ema de monitoreo y evaluación. </w:t>
      </w:r>
      <w:r w:rsidRPr="00C9535C">
        <w:rPr>
          <w:rFonts w:ascii="Times New Roman" w:hAnsi="Times New Roman"/>
          <w:sz w:val="24"/>
          <w:szCs w:val="24"/>
          <w:lang w:val="es-ES"/>
        </w:rPr>
        <w:t xml:space="preserve">Se espera que el cumplimiento de </w:t>
      </w:r>
      <w:r w:rsidR="00117112" w:rsidRPr="00C9535C">
        <w:rPr>
          <w:rFonts w:ascii="Times New Roman" w:hAnsi="Times New Roman"/>
          <w:sz w:val="24"/>
          <w:szCs w:val="24"/>
          <w:lang w:val="es-ES"/>
        </w:rPr>
        <w:t>estas recomendaciones asegurare</w:t>
      </w:r>
      <w:r w:rsidRPr="00C9535C">
        <w:rPr>
          <w:rFonts w:ascii="Times New Roman" w:hAnsi="Times New Roman"/>
          <w:sz w:val="24"/>
          <w:szCs w:val="24"/>
          <w:lang w:val="es-ES"/>
        </w:rPr>
        <w:t xml:space="preserve"> que el escalamiento de la Es</w:t>
      </w:r>
      <w:r w:rsidR="00117112" w:rsidRPr="00C9535C">
        <w:rPr>
          <w:rFonts w:ascii="Times New Roman" w:hAnsi="Times New Roman"/>
          <w:sz w:val="24"/>
          <w:szCs w:val="24"/>
          <w:lang w:val="es-ES"/>
        </w:rPr>
        <w:t>IAN a nivel nacional logre</w:t>
      </w:r>
      <w:r w:rsidRPr="00C9535C">
        <w:rPr>
          <w:rFonts w:ascii="Times New Roman" w:hAnsi="Times New Roman"/>
          <w:sz w:val="24"/>
          <w:szCs w:val="24"/>
          <w:lang w:val="es-ES"/>
        </w:rPr>
        <w:t xml:space="preserve"> los mismos o mejores resultados del piloto evaluado en 2012.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EB01DA" w:rsidP="00902E4B">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 xml:space="preserve">Análisis Costo – </w:t>
      </w:r>
      <w:r w:rsidR="00580C2E">
        <w:rPr>
          <w:rFonts w:ascii="Times New Roman" w:hAnsi="Times New Roman"/>
          <w:b/>
          <w:sz w:val="24"/>
          <w:szCs w:val="24"/>
          <w:lang w:val="es-ES"/>
        </w:rPr>
        <w:t>Efectividad</w:t>
      </w:r>
    </w:p>
    <w:p w:rsidR="00117112" w:rsidRPr="00C9535C" w:rsidRDefault="00117112" w:rsidP="00902E4B">
      <w:pPr>
        <w:spacing w:after="0" w:line="240" w:lineRule="auto"/>
        <w:jc w:val="both"/>
        <w:rPr>
          <w:rFonts w:ascii="Times New Roman" w:hAnsi="Times New Roman"/>
          <w:sz w:val="24"/>
          <w:szCs w:val="24"/>
          <w:lang w:val="es-ES"/>
        </w:rPr>
      </w:pPr>
    </w:p>
    <w:p w:rsidR="007B6506" w:rsidRPr="00C9535C" w:rsidRDefault="007B6506"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El análisis</w:t>
      </w:r>
      <w:r w:rsidR="008A3C64" w:rsidRPr="00C9535C">
        <w:rPr>
          <w:rFonts w:ascii="Times New Roman" w:hAnsi="Times New Roman"/>
          <w:sz w:val="24"/>
          <w:szCs w:val="24"/>
          <w:lang w:val="es-ES"/>
        </w:rPr>
        <w:t xml:space="preserve"> costo-</w:t>
      </w:r>
      <w:r w:rsidR="00580C2E">
        <w:rPr>
          <w:rFonts w:ascii="Times New Roman" w:hAnsi="Times New Roman"/>
          <w:sz w:val="24"/>
          <w:szCs w:val="24"/>
          <w:lang w:val="es-ES"/>
        </w:rPr>
        <w:t>efectividad</w:t>
      </w:r>
      <w:r w:rsidR="00580C2E" w:rsidRPr="00C9535C">
        <w:rPr>
          <w:rFonts w:ascii="Times New Roman" w:hAnsi="Times New Roman"/>
          <w:sz w:val="24"/>
          <w:szCs w:val="24"/>
          <w:lang w:val="es-ES"/>
        </w:rPr>
        <w:t xml:space="preserve"> </w:t>
      </w:r>
      <w:r w:rsidR="008A3C64" w:rsidRPr="00C9535C">
        <w:rPr>
          <w:rFonts w:ascii="Times New Roman" w:hAnsi="Times New Roman"/>
          <w:sz w:val="24"/>
          <w:szCs w:val="24"/>
          <w:lang w:val="es-ES"/>
        </w:rPr>
        <w:t>aquí presentado</w:t>
      </w:r>
      <w:r w:rsidRPr="00C9535C">
        <w:rPr>
          <w:rFonts w:ascii="Times New Roman" w:hAnsi="Times New Roman"/>
          <w:sz w:val="24"/>
          <w:szCs w:val="24"/>
          <w:lang w:val="es-ES"/>
        </w:rPr>
        <w:t xml:space="preserve"> se basa en los resultados de un estudio aleatorio en población beneficiaria del PDHO en zonas urbanas </w:t>
      </w:r>
      <w:r w:rsidR="006530C6" w:rsidRPr="00C9535C">
        <w:rPr>
          <w:rFonts w:ascii="Times New Roman" w:hAnsi="Times New Roman"/>
          <w:sz w:val="24"/>
          <w:szCs w:val="24"/>
          <w:lang w:val="es-ES"/>
        </w:rPr>
        <w:t>referente</w:t>
      </w:r>
      <w:r w:rsidRPr="00C9535C">
        <w:rPr>
          <w:rFonts w:ascii="Times New Roman" w:hAnsi="Times New Roman"/>
          <w:sz w:val="24"/>
          <w:szCs w:val="24"/>
          <w:lang w:val="es-ES"/>
        </w:rPr>
        <w:t xml:space="preserve"> al consumo de suplementos nutricionales. El objetivo del estudio fue comparar: en el caso de l</w:t>
      </w:r>
      <w:r w:rsidR="00113764" w:rsidRPr="00C9535C">
        <w:rPr>
          <w:rFonts w:ascii="Times New Roman" w:hAnsi="Times New Roman"/>
          <w:sz w:val="24"/>
          <w:szCs w:val="24"/>
          <w:lang w:val="es-ES"/>
        </w:rPr>
        <w:t>o</w:t>
      </w:r>
      <w:r w:rsidRPr="00C9535C">
        <w:rPr>
          <w:rFonts w:ascii="Times New Roman" w:hAnsi="Times New Roman"/>
          <w:sz w:val="24"/>
          <w:szCs w:val="24"/>
          <w:lang w:val="es-ES"/>
        </w:rPr>
        <w:t>s niños beneficiarios, el impacto de Nutrisano con otros dos tipos de suplementos nutricionales (jarabe y micronutrientes en polvo); y, en el caso de las mujeres embarazadas, el impacto de Nutrivida con el de pastillas y micronutrientes en polvo.</w:t>
      </w:r>
      <w:r w:rsidRPr="00C9535C">
        <w:rPr>
          <w:rStyle w:val="FootnoteReference"/>
          <w:rFonts w:ascii="Times New Roman" w:hAnsi="Times New Roman"/>
          <w:sz w:val="24"/>
          <w:szCs w:val="24"/>
          <w:lang w:val="es-ES"/>
        </w:rPr>
        <w:t xml:space="preserve"> </w:t>
      </w:r>
      <w:r w:rsidRPr="00C9535C">
        <w:rPr>
          <w:rStyle w:val="FootnoteReference"/>
          <w:rFonts w:ascii="Times New Roman" w:hAnsi="Times New Roman"/>
          <w:sz w:val="24"/>
          <w:szCs w:val="24"/>
          <w:lang w:val="es-ES"/>
        </w:rPr>
        <w:footnoteReference w:id="5"/>
      </w:r>
      <w:r w:rsidRPr="00C9535C">
        <w:rPr>
          <w:rFonts w:ascii="Times New Roman" w:hAnsi="Times New Roman"/>
          <w:sz w:val="24"/>
          <w:szCs w:val="24"/>
          <w:lang w:val="es-ES"/>
        </w:rPr>
        <w:t xml:space="preserve"> Entre los principales resultados de este estudio se encuentran</w:t>
      </w:r>
      <w:r w:rsidR="00D9445A" w:rsidRPr="00C9535C">
        <w:rPr>
          <w:rFonts w:ascii="Times New Roman" w:hAnsi="Times New Roman"/>
          <w:sz w:val="24"/>
          <w:szCs w:val="24"/>
          <w:lang w:val="es-ES"/>
        </w:rPr>
        <w:t xml:space="preserve"> (INSP, 2012)</w:t>
      </w:r>
      <w:r w:rsidRPr="00C9535C">
        <w:rPr>
          <w:rFonts w:ascii="Times New Roman" w:hAnsi="Times New Roman"/>
          <w:sz w:val="24"/>
          <w:szCs w:val="24"/>
          <w:lang w:val="es-ES"/>
        </w:rPr>
        <w:t>:</w:t>
      </w:r>
    </w:p>
    <w:p w:rsidR="007B6506" w:rsidRPr="00C9535C" w:rsidRDefault="007B6506" w:rsidP="00902E4B">
      <w:pPr>
        <w:spacing w:after="0" w:line="240" w:lineRule="auto"/>
        <w:jc w:val="both"/>
        <w:rPr>
          <w:rFonts w:ascii="Times New Roman" w:hAnsi="Times New Roman"/>
          <w:sz w:val="24"/>
          <w:szCs w:val="24"/>
          <w:lang w:val="es-ES"/>
        </w:rPr>
      </w:pPr>
    </w:p>
    <w:p w:rsidR="007B6506" w:rsidRPr="00C9535C" w:rsidRDefault="007B6506" w:rsidP="00902E4B">
      <w:pPr>
        <w:numPr>
          <w:ilvl w:val="0"/>
          <w:numId w:val="20"/>
        </w:num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En los niños que consumieron alguno de los 3 formatos de suplemento, la prevalencia de anemia se redujo en casi 40 puntos porcentuales entre la línea </w:t>
      </w:r>
      <w:r w:rsidR="00113764" w:rsidRPr="00C9535C">
        <w:rPr>
          <w:rFonts w:ascii="Times New Roman" w:hAnsi="Times New Roman"/>
          <w:sz w:val="24"/>
          <w:szCs w:val="24"/>
          <w:lang w:val="es-ES"/>
        </w:rPr>
        <w:t>de base</w:t>
      </w:r>
      <w:r w:rsidRPr="00C9535C">
        <w:rPr>
          <w:rFonts w:ascii="Times New Roman" w:hAnsi="Times New Roman"/>
          <w:sz w:val="24"/>
          <w:szCs w:val="24"/>
          <w:lang w:val="es-ES"/>
        </w:rPr>
        <w:t xml:space="preserve"> (8 meses de edad en promedio) y los 24 meses de edad, resultando en una prevalencia global al final del estudio de aproximadamente 10%. Sin embargo, en el caso del jarabe y los micronutrientes en polvo los resultados en reducción de anemia fueron mayores en el corto plazo (después de 4 y 10 meses de suplementación) que Nutrisano. </w:t>
      </w:r>
    </w:p>
    <w:p w:rsidR="007B6506" w:rsidRPr="00C9535C" w:rsidRDefault="007B6506" w:rsidP="00902E4B">
      <w:pPr>
        <w:numPr>
          <w:ilvl w:val="0"/>
          <w:numId w:val="20"/>
        </w:num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Las mujeres que consumieron tabletas o micronutrientes en polvo presentaron menor prevalencia de anemia que las mujeres que consumieron Nutrivida, comparándolas al mes posparto. </w:t>
      </w:r>
    </w:p>
    <w:p w:rsidR="007B6506" w:rsidRPr="00C9535C" w:rsidRDefault="007B6506" w:rsidP="00902E4B">
      <w:pPr>
        <w:numPr>
          <w:ilvl w:val="0"/>
          <w:numId w:val="20"/>
        </w:num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Todas las madres en todas las localidades estudiadas prefirieron tabletas o micronutrientes en polvo sobre Nutrivida. </w:t>
      </w:r>
    </w:p>
    <w:p w:rsidR="007B6506" w:rsidRPr="00C9535C" w:rsidRDefault="007B6506" w:rsidP="00902E4B">
      <w:pPr>
        <w:numPr>
          <w:ilvl w:val="0"/>
          <w:numId w:val="20"/>
        </w:num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Los resultados mostraron que los niños de 8 a 12 meses de edad que consumieron micronutrientes en polvo o jarabe se benefician en las actividades y en la exploración. </w:t>
      </w:r>
    </w:p>
    <w:p w:rsidR="007B6506" w:rsidRPr="00C9535C" w:rsidRDefault="007B6506" w:rsidP="00902E4B">
      <w:pPr>
        <w:spacing w:after="0" w:line="240" w:lineRule="auto"/>
        <w:ind w:left="360"/>
        <w:jc w:val="both"/>
        <w:rPr>
          <w:rFonts w:ascii="Times New Roman" w:hAnsi="Times New Roman"/>
          <w:sz w:val="24"/>
          <w:szCs w:val="24"/>
          <w:lang w:val="es-ES"/>
        </w:rPr>
      </w:pPr>
    </w:p>
    <w:p w:rsidR="00FD3957" w:rsidRPr="00C9535C" w:rsidRDefault="007B6506"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A partir de estos resultados, </w:t>
      </w:r>
      <w:r w:rsidR="00D531FF" w:rsidRPr="00C9535C">
        <w:rPr>
          <w:rFonts w:ascii="Times New Roman" w:hAnsi="Times New Roman"/>
          <w:sz w:val="24"/>
          <w:szCs w:val="24"/>
          <w:lang w:val="es-ES"/>
        </w:rPr>
        <w:t xml:space="preserve">se </w:t>
      </w:r>
      <w:r w:rsidRPr="00C9535C">
        <w:rPr>
          <w:rFonts w:ascii="Times New Roman" w:hAnsi="Times New Roman"/>
          <w:sz w:val="24"/>
          <w:szCs w:val="24"/>
          <w:lang w:val="es-ES"/>
        </w:rPr>
        <w:t>recomendó: i) en el caso de los niños, sustituir Nutrisano por micronutrientes en polvo en áreas urbanas e introducirlo en el contexto de un programa de promoción de la lactancia materna y alimentación complementaria de acuerdo con las recomendaciones internacionales; ii) en el caso de las mujeres, cambiar Nutrivida por las tabletas ; y iii) desarrollar una campaña integral sobre la alimentación del niño menor de 5 años de edad, fortalecer las prácticas de alimentación, específicamente la lactancia materna y el consumo de alimentos complementarios apropiados.</w:t>
      </w:r>
    </w:p>
    <w:p w:rsidR="004374B3" w:rsidRPr="00C9535C" w:rsidRDefault="004374B3" w:rsidP="00902E4B">
      <w:pPr>
        <w:spacing w:after="0" w:line="240" w:lineRule="auto"/>
        <w:jc w:val="both"/>
        <w:rPr>
          <w:rFonts w:ascii="Times New Roman" w:hAnsi="Times New Roman"/>
          <w:sz w:val="24"/>
          <w:szCs w:val="24"/>
          <w:lang w:val="es-ES"/>
        </w:rPr>
      </w:pPr>
    </w:p>
    <w:p w:rsidR="00D01C5C" w:rsidRPr="00C9535C" w:rsidRDefault="00D01C5C"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Tabla </w:t>
      </w:r>
      <w:r w:rsidR="00D94EAB">
        <w:rPr>
          <w:rFonts w:ascii="Times New Roman" w:hAnsi="Times New Roman"/>
          <w:sz w:val="24"/>
          <w:szCs w:val="24"/>
          <w:lang w:val="es-ES"/>
        </w:rPr>
        <w:t>6</w:t>
      </w:r>
      <w:r w:rsidRPr="00C9535C">
        <w:rPr>
          <w:rFonts w:ascii="Times New Roman" w:hAnsi="Times New Roman"/>
          <w:sz w:val="24"/>
          <w:szCs w:val="24"/>
          <w:lang w:val="es-ES"/>
        </w:rPr>
        <w:t xml:space="preserve"> describe el esquema de sup</w:t>
      </w:r>
      <w:r w:rsidR="00D94EAB">
        <w:rPr>
          <w:rFonts w:ascii="Times New Roman" w:hAnsi="Times New Roman"/>
          <w:sz w:val="24"/>
          <w:szCs w:val="24"/>
          <w:lang w:val="es-ES"/>
        </w:rPr>
        <w:t>lementación de EsIAN. La Tabla 7</w:t>
      </w:r>
      <w:r w:rsidRPr="00C9535C">
        <w:rPr>
          <w:rFonts w:ascii="Times New Roman" w:hAnsi="Times New Roman"/>
          <w:sz w:val="24"/>
          <w:szCs w:val="24"/>
          <w:lang w:val="es-ES"/>
        </w:rPr>
        <w:t xml:space="preserve"> presenta el presupuesto para 2013 programado para la compra de supl</w:t>
      </w:r>
      <w:r w:rsidR="00D94EAB">
        <w:rPr>
          <w:rFonts w:ascii="Times New Roman" w:hAnsi="Times New Roman"/>
          <w:sz w:val="24"/>
          <w:szCs w:val="24"/>
          <w:lang w:val="es-ES"/>
        </w:rPr>
        <w:t>ementos alimenticios. La Tabla 8</w:t>
      </w:r>
      <w:r w:rsidRPr="00C9535C">
        <w:rPr>
          <w:rFonts w:ascii="Times New Roman" w:hAnsi="Times New Roman"/>
          <w:sz w:val="24"/>
          <w:szCs w:val="24"/>
          <w:lang w:val="es-ES"/>
        </w:rPr>
        <w:t xml:space="preserve"> provee estimados del tamaño de la población a quienes estos suplementos van dirigidos. A nivel nacional, el 68% de los beneficiarios del PDHO se encuentran en el ámbito rural. Las tres tablas proveen una idea de la magnitud de los costos únicamente del componente de suplementación previsto en la EsIAN y de la magnitud del esfuerzo de escalarla a nivel nacional. </w:t>
      </w:r>
    </w:p>
    <w:p w:rsidR="00D01C5C" w:rsidRPr="00C9535C" w:rsidRDefault="00D01C5C" w:rsidP="00902E4B">
      <w:pPr>
        <w:spacing w:after="0" w:line="240" w:lineRule="auto"/>
        <w:jc w:val="both"/>
        <w:rPr>
          <w:rFonts w:ascii="Times New Roman" w:hAnsi="Times New Roman"/>
          <w:sz w:val="24"/>
          <w:szCs w:val="24"/>
          <w:lang w:val="es-ES"/>
        </w:rPr>
      </w:pPr>
    </w:p>
    <w:p w:rsidR="00D01C5C" w:rsidRPr="00D94EAB" w:rsidRDefault="00D94EAB" w:rsidP="00D94EAB">
      <w:pPr>
        <w:spacing w:after="0" w:line="360" w:lineRule="auto"/>
        <w:jc w:val="center"/>
        <w:rPr>
          <w:rFonts w:ascii="Times New Roman" w:hAnsi="Times New Roman"/>
          <w:b/>
          <w:sz w:val="24"/>
          <w:szCs w:val="24"/>
          <w:lang w:val="es-ES"/>
        </w:rPr>
      </w:pPr>
      <w:r w:rsidRPr="00D94EAB">
        <w:rPr>
          <w:rFonts w:ascii="Times New Roman" w:hAnsi="Times New Roman"/>
          <w:b/>
          <w:sz w:val="24"/>
          <w:szCs w:val="24"/>
          <w:lang w:val="es-ES"/>
        </w:rPr>
        <w:t>Tabla 6</w:t>
      </w:r>
      <w:r w:rsidR="00D01C5C" w:rsidRPr="00D94EAB">
        <w:rPr>
          <w:rFonts w:ascii="Times New Roman" w:hAnsi="Times New Roman"/>
          <w:b/>
          <w:sz w:val="24"/>
          <w:szCs w:val="24"/>
          <w:lang w:val="es-ES"/>
        </w:rPr>
        <w:t>: Esquema de suplementación de la EsIAN</w:t>
      </w:r>
    </w:p>
    <w:tbl>
      <w:tblPr>
        <w:tblW w:w="5600" w:type="dxa"/>
        <w:jc w:val="center"/>
        <w:tblLook w:val="04A0" w:firstRow="1" w:lastRow="0" w:firstColumn="1" w:lastColumn="0" w:noHBand="0" w:noVBand="1"/>
      </w:tblPr>
      <w:tblGrid>
        <w:gridCol w:w="2360"/>
        <w:gridCol w:w="3240"/>
      </w:tblGrid>
      <w:tr w:rsidR="00D01C5C" w:rsidRPr="00C9535C" w:rsidTr="00B9283C">
        <w:trPr>
          <w:trHeight w:val="300"/>
          <w:jc w:val="center"/>
        </w:trPr>
        <w:tc>
          <w:tcPr>
            <w:tcW w:w="2360"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D01C5C" w:rsidRPr="00C9535C" w:rsidRDefault="00D01C5C" w:rsidP="00D01C5C">
            <w:pPr>
              <w:spacing w:after="0" w:line="240" w:lineRule="auto"/>
              <w:jc w:val="center"/>
              <w:rPr>
                <w:rFonts w:ascii="Times" w:eastAsia="Times New Roman" w:hAnsi="Times" w:cs="Times"/>
                <w:b/>
                <w:bCs/>
                <w:color w:val="000000"/>
                <w:sz w:val="20"/>
                <w:szCs w:val="20"/>
                <w:lang w:val="es-ES"/>
              </w:rPr>
            </w:pPr>
            <w:r w:rsidRPr="00C9535C">
              <w:rPr>
                <w:rFonts w:ascii="Times" w:eastAsia="Times New Roman" w:hAnsi="Times" w:cs="Times"/>
                <w:b/>
                <w:bCs/>
                <w:color w:val="000000"/>
                <w:sz w:val="20"/>
                <w:szCs w:val="20"/>
                <w:lang w:val="es-ES"/>
              </w:rPr>
              <w:t>Suplemento</w:t>
            </w:r>
          </w:p>
        </w:tc>
        <w:tc>
          <w:tcPr>
            <w:tcW w:w="3240"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D01C5C" w:rsidRPr="00C9535C" w:rsidRDefault="00D01C5C" w:rsidP="00D01C5C">
            <w:pPr>
              <w:spacing w:after="0" w:line="240" w:lineRule="auto"/>
              <w:jc w:val="center"/>
              <w:rPr>
                <w:rFonts w:ascii="Times" w:eastAsia="Times New Roman" w:hAnsi="Times" w:cs="Times"/>
                <w:b/>
                <w:bCs/>
                <w:color w:val="000000"/>
                <w:sz w:val="20"/>
                <w:szCs w:val="20"/>
                <w:lang w:val="es-ES"/>
              </w:rPr>
            </w:pPr>
            <w:r w:rsidRPr="00C9535C">
              <w:rPr>
                <w:rFonts w:ascii="Times" w:eastAsia="Times New Roman" w:hAnsi="Times" w:cs="Times"/>
                <w:b/>
                <w:bCs/>
                <w:color w:val="000000"/>
                <w:sz w:val="20"/>
                <w:szCs w:val="20"/>
                <w:lang w:val="es-ES"/>
              </w:rPr>
              <w:t>Grupo etario</w:t>
            </w:r>
          </w:p>
        </w:tc>
      </w:tr>
      <w:tr w:rsidR="00D01C5C" w:rsidRPr="00C9535C" w:rsidTr="00D01C5C">
        <w:trPr>
          <w:trHeight w:val="300"/>
          <w:jc w:val="center"/>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Nutrisano</w:t>
            </w:r>
          </w:p>
        </w:tc>
        <w:tc>
          <w:tcPr>
            <w:tcW w:w="324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Niños 6-12 meses</w:t>
            </w:r>
          </w:p>
        </w:tc>
      </w:tr>
      <w:tr w:rsidR="00D01C5C" w:rsidRPr="00C9535C" w:rsidTr="00D01C5C">
        <w:trPr>
          <w:trHeight w:val="300"/>
          <w:jc w:val="center"/>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 xml:space="preserve">Vitaniño </w:t>
            </w:r>
          </w:p>
        </w:tc>
        <w:tc>
          <w:tcPr>
            <w:tcW w:w="324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Niños 6-59 meses</w:t>
            </w:r>
          </w:p>
        </w:tc>
      </w:tr>
      <w:tr w:rsidR="00D01C5C" w:rsidRPr="00C9535C" w:rsidTr="00D01C5C">
        <w:trPr>
          <w:trHeight w:val="300"/>
          <w:jc w:val="center"/>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Bebida láctea Nutrisano</w:t>
            </w:r>
          </w:p>
        </w:tc>
        <w:tc>
          <w:tcPr>
            <w:tcW w:w="324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Niños 13-23 meses</w:t>
            </w:r>
          </w:p>
        </w:tc>
      </w:tr>
      <w:tr w:rsidR="00D01C5C" w:rsidRPr="00C9535C" w:rsidTr="00D01C5C">
        <w:trPr>
          <w:trHeight w:val="300"/>
          <w:jc w:val="center"/>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Nutrivida tabletas</w:t>
            </w:r>
          </w:p>
        </w:tc>
        <w:tc>
          <w:tcPr>
            <w:tcW w:w="324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Mujeres embarazadas y lactantes</w:t>
            </w:r>
          </w:p>
        </w:tc>
      </w:tr>
    </w:tbl>
    <w:p w:rsidR="00D01C5C" w:rsidRPr="00C9535C" w:rsidRDefault="00D01C5C" w:rsidP="00902E4B">
      <w:pPr>
        <w:spacing w:after="0" w:line="240" w:lineRule="auto"/>
        <w:jc w:val="both"/>
        <w:rPr>
          <w:rFonts w:ascii="Times New Roman" w:hAnsi="Times New Roman"/>
          <w:sz w:val="20"/>
          <w:szCs w:val="20"/>
          <w:lang w:val="es-ES"/>
        </w:rPr>
      </w:pPr>
    </w:p>
    <w:p w:rsidR="00D01C5C" w:rsidRPr="00C9535C" w:rsidRDefault="00D01C5C" w:rsidP="00D01C5C">
      <w:pPr>
        <w:spacing w:after="0" w:line="240" w:lineRule="auto"/>
        <w:jc w:val="center"/>
        <w:rPr>
          <w:rFonts w:ascii="Times New Roman" w:hAnsi="Times New Roman"/>
          <w:b/>
          <w:sz w:val="24"/>
          <w:szCs w:val="24"/>
          <w:lang w:val="es-ES"/>
        </w:rPr>
      </w:pPr>
    </w:p>
    <w:p w:rsidR="00D01C5C" w:rsidRPr="00C9535C" w:rsidRDefault="00D01C5C" w:rsidP="00D01C5C">
      <w:pPr>
        <w:spacing w:after="0" w:line="240" w:lineRule="auto"/>
        <w:jc w:val="center"/>
        <w:rPr>
          <w:rFonts w:ascii="Times New Roman" w:hAnsi="Times New Roman"/>
          <w:b/>
          <w:sz w:val="24"/>
          <w:szCs w:val="24"/>
          <w:lang w:val="es-ES"/>
        </w:rPr>
      </w:pPr>
    </w:p>
    <w:p w:rsidR="00D01C5C" w:rsidRPr="00C9535C" w:rsidRDefault="00D01C5C" w:rsidP="00D01C5C">
      <w:pPr>
        <w:spacing w:after="0" w:line="240" w:lineRule="auto"/>
        <w:jc w:val="center"/>
        <w:rPr>
          <w:rFonts w:ascii="Times New Roman" w:hAnsi="Times New Roman"/>
          <w:b/>
          <w:sz w:val="24"/>
          <w:szCs w:val="24"/>
          <w:lang w:val="es-ES"/>
        </w:rPr>
      </w:pPr>
    </w:p>
    <w:p w:rsidR="00D01C5C" w:rsidRPr="00D94EAB" w:rsidRDefault="00D01C5C" w:rsidP="00D94EAB">
      <w:pPr>
        <w:spacing w:after="0" w:line="360" w:lineRule="auto"/>
        <w:jc w:val="center"/>
        <w:rPr>
          <w:rFonts w:ascii="Times New Roman" w:hAnsi="Times New Roman"/>
          <w:b/>
          <w:sz w:val="24"/>
          <w:szCs w:val="24"/>
          <w:lang w:val="es-ES"/>
        </w:rPr>
      </w:pPr>
      <w:r w:rsidRPr="00D94EAB">
        <w:rPr>
          <w:rFonts w:ascii="Times New Roman" w:hAnsi="Times New Roman"/>
          <w:b/>
          <w:sz w:val="24"/>
          <w:szCs w:val="24"/>
          <w:lang w:val="es-ES"/>
        </w:rPr>
        <w:t xml:space="preserve">Tabla </w:t>
      </w:r>
      <w:r w:rsidR="00D94EAB" w:rsidRPr="00D94EAB">
        <w:rPr>
          <w:rFonts w:ascii="Times New Roman" w:hAnsi="Times New Roman"/>
          <w:b/>
          <w:sz w:val="24"/>
          <w:szCs w:val="24"/>
          <w:lang w:val="es-ES"/>
        </w:rPr>
        <w:t>7</w:t>
      </w:r>
      <w:r w:rsidRPr="00D94EAB">
        <w:rPr>
          <w:rFonts w:ascii="Times New Roman" w:hAnsi="Times New Roman"/>
          <w:b/>
          <w:sz w:val="24"/>
          <w:szCs w:val="24"/>
          <w:lang w:val="es-ES"/>
        </w:rPr>
        <w:t>: Compras de suplemento alimenticio programadas para 2013</w:t>
      </w:r>
    </w:p>
    <w:tbl>
      <w:tblPr>
        <w:tblW w:w="9195" w:type="dxa"/>
        <w:tblInd w:w="93" w:type="dxa"/>
        <w:tblLook w:val="04A0" w:firstRow="1" w:lastRow="0" w:firstColumn="1" w:lastColumn="0" w:noHBand="0" w:noVBand="1"/>
      </w:tblPr>
      <w:tblGrid>
        <w:gridCol w:w="2360"/>
        <w:gridCol w:w="4060"/>
        <w:gridCol w:w="2775"/>
      </w:tblGrid>
      <w:tr w:rsidR="00D01C5C" w:rsidRPr="004E10F8" w:rsidTr="00BF16EC">
        <w:trPr>
          <w:trHeight w:val="300"/>
        </w:trPr>
        <w:tc>
          <w:tcPr>
            <w:tcW w:w="2360"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D01C5C" w:rsidRPr="00C9535C" w:rsidRDefault="00D01C5C" w:rsidP="00D01C5C">
            <w:pPr>
              <w:spacing w:after="0" w:line="240" w:lineRule="auto"/>
              <w:jc w:val="center"/>
              <w:rPr>
                <w:rFonts w:ascii="Times" w:eastAsia="Times New Roman" w:hAnsi="Times" w:cs="Times"/>
                <w:b/>
                <w:bCs/>
                <w:color w:val="000000"/>
                <w:sz w:val="20"/>
                <w:szCs w:val="20"/>
                <w:lang w:val="es-ES"/>
              </w:rPr>
            </w:pPr>
            <w:r w:rsidRPr="00C9535C">
              <w:rPr>
                <w:rFonts w:ascii="Times" w:eastAsia="Times New Roman" w:hAnsi="Times" w:cs="Times"/>
                <w:b/>
                <w:bCs/>
                <w:color w:val="000000"/>
                <w:sz w:val="20"/>
                <w:szCs w:val="20"/>
                <w:lang w:val="es-ES"/>
              </w:rPr>
              <w:t>Suplemento</w:t>
            </w:r>
          </w:p>
        </w:tc>
        <w:tc>
          <w:tcPr>
            <w:tcW w:w="4060"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D01C5C" w:rsidRPr="00C9535C" w:rsidRDefault="00D01C5C" w:rsidP="00D01C5C">
            <w:pPr>
              <w:spacing w:after="0" w:line="240" w:lineRule="auto"/>
              <w:jc w:val="center"/>
              <w:rPr>
                <w:rFonts w:ascii="Times" w:eastAsia="Times New Roman" w:hAnsi="Times" w:cs="Times"/>
                <w:b/>
                <w:bCs/>
                <w:color w:val="000000"/>
                <w:sz w:val="20"/>
                <w:szCs w:val="20"/>
                <w:lang w:val="es-ES"/>
              </w:rPr>
            </w:pPr>
            <w:r w:rsidRPr="00C9535C">
              <w:rPr>
                <w:rFonts w:ascii="Times" w:eastAsia="Times New Roman" w:hAnsi="Times" w:cs="Times"/>
                <w:b/>
                <w:bCs/>
                <w:color w:val="000000"/>
                <w:sz w:val="20"/>
                <w:szCs w:val="20"/>
                <w:lang w:val="es-ES"/>
              </w:rPr>
              <w:t>Presentación</w:t>
            </w:r>
          </w:p>
        </w:tc>
        <w:tc>
          <w:tcPr>
            <w:tcW w:w="2775"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D01C5C" w:rsidRPr="00C9535C" w:rsidRDefault="00D01C5C" w:rsidP="00BF16EC">
            <w:pPr>
              <w:spacing w:after="0" w:line="240" w:lineRule="auto"/>
              <w:jc w:val="center"/>
              <w:rPr>
                <w:rFonts w:ascii="Times" w:eastAsia="Times New Roman" w:hAnsi="Times" w:cs="Times"/>
                <w:b/>
                <w:bCs/>
                <w:color w:val="000000"/>
                <w:sz w:val="20"/>
                <w:szCs w:val="20"/>
                <w:lang w:val="es-ES"/>
              </w:rPr>
            </w:pPr>
            <w:r w:rsidRPr="00C9535C">
              <w:rPr>
                <w:rFonts w:ascii="Times" w:eastAsia="Times New Roman" w:hAnsi="Times" w:cs="Times"/>
                <w:b/>
                <w:bCs/>
                <w:color w:val="000000"/>
                <w:sz w:val="20"/>
                <w:szCs w:val="20"/>
                <w:lang w:val="es-ES"/>
              </w:rPr>
              <w:t>Costo total en millones de pesos</w:t>
            </w:r>
          </w:p>
        </w:tc>
      </w:tr>
      <w:tr w:rsidR="00D01C5C" w:rsidRPr="00C9535C" w:rsidTr="00BF16EC">
        <w:trPr>
          <w:trHeight w:val="30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Nutrisano</w:t>
            </w:r>
          </w:p>
        </w:tc>
        <w:tc>
          <w:tcPr>
            <w:tcW w:w="406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Caja de 36 sobres</w:t>
            </w:r>
          </w:p>
        </w:tc>
        <w:tc>
          <w:tcPr>
            <w:tcW w:w="2775"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72.95</w:t>
            </w:r>
          </w:p>
        </w:tc>
      </w:tr>
      <w:tr w:rsidR="00D01C5C" w:rsidRPr="00C9535C" w:rsidTr="00BF16EC">
        <w:trPr>
          <w:trHeight w:val="30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9D7D1D">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Vitaniño</w:t>
            </w:r>
          </w:p>
        </w:tc>
        <w:tc>
          <w:tcPr>
            <w:tcW w:w="406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Caja de 36 paquetes con 60 sobres de 1 gr.</w:t>
            </w:r>
          </w:p>
        </w:tc>
        <w:tc>
          <w:tcPr>
            <w:tcW w:w="2775"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168.26</w:t>
            </w:r>
          </w:p>
        </w:tc>
      </w:tr>
      <w:tr w:rsidR="00D01C5C" w:rsidRPr="00C9535C" w:rsidTr="00BF16EC">
        <w:trPr>
          <w:trHeight w:val="30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Bebida láctea Nutrisano</w:t>
            </w:r>
          </w:p>
        </w:tc>
        <w:tc>
          <w:tcPr>
            <w:tcW w:w="406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Caja de 36 sobres de 240 gr.</w:t>
            </w:r>
          </w:p>
        </w:tc>
        <w:tc>
          <w:tcPr>
            <w:tcW w:w="2775"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202.95</w:t>
            </w:r>
          </w:p>
        </w:tc>
      </w:tr>
      <w:tr w:rsidR="00D01C5C" w:rsidRPr="00C9535C" w:rsidTr="00BF16EC">
        <w:trPr>
          <w:trHeight w:val="30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Nutrivida tabletas</w:t>
            </w:r>
          </w:p>
        </w:tc>
        <w:tc>
          <w:tcPr>
            <w:tcW w:w="4060"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Caja con 80 paquetes blíster con 60 tabletas</w:t>
            </w:r>
          </w:p>
        </w:tc>
        <w:tc>
          <w:tcPr>
            <w:tcW w:w="2775" w:type="dxa"/>
            <w:tcBorders>
              <w:top w:val="nil"/>
              <w:left w:val="nil"/>
              <w:bottom w:val="single" w:sz="4" w:space="0" w:color="auto"/>
              <w:right w:val="single" w:sz="4" w:space="0" w:color="auto"/>
            </w:tcBorders>
            <w:shd w:val="clear" w:color="auto" w:fill="auto"/>
            <w:noWrap/>
            <w:vAlign w:val="bottom"/>
            <w:hideMark/>
          </w:tcPr>
          <w:p w:rsidR="00D01C5C" w:rsidRPr="00C9535C" w:rsidRDefault="00D01C5C" w:rsidP="00D01C5C">
            <w:pPr>
              <w:spacing w:after="0" w:line="240" w:lineRule="auto"/>
              <w:jc w:val="center"/>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41.74</w:t>
            </w:r>
          </w:p>
        </w:tc>
      </w:tr>
    </w:tbl>
    <w:p w:rsidR="00D01C5C" w:rsidRPr="00C9535C" w:rsidRDefault="00D01C5C" w:rsidP="00902E4B">
      <w:pPr>
        <w:spacing w:after="0" w:line="240" w:lineRule="auto"/>
        <w:jc w:val="both"/>
        <w:rPr>
          <w:rFonts w:ascii="Times New Roman" w:hAnsi="Times New Roman"/>
          <w:sz w:val="18"/>
          <w:szCs w:val="18"/>
          <w:lang w:val="es-ES"/>
        </w:rPr>
      </w:pPr>
      <w:r w:rsidRPr="00C9535C">
        <w:rPr>
          <w:rFonts w:ascii="Times New Roman" w:hAnsi="Times New Roman"/>
          <w:sz w:val="18"/>
          <w:szCs w:val="18"/>
          <w:lang w:val="es-ES"/>
        </w:rPr>
        <w:t>Fuente: Comisión de Protección Social en Salud, Dirección General del Programa Oportunidades, junio de 2013.</w:t>
      </w:r>
    </w:p>
    <w:p w:rsidR="00D01C5C" w:rsidRPr="00C9535C" w:rsidRDefault="00D01C5C" w:rsidP="00902E4B">
      <w:pPr>
        <w:spacing w:after="0" w:line="240" w:lineRule="auto"/>
        <w:jc w:val="both"/>
        <w:rPr>
          <w:rFonts w:ascii="Times New Roman" w:hAnsi="Times New Roman"/>
          <w:sz w:val="18"/>
          <w:szCs w:val="18"/>
          <w:lang w:val="es-ES"/>
        </w:rPr>
      </w:pPr>
    </w:p>
    <w:p w:rsidR="00D01C5C" w:rsidRPr="00D94EAB" w:rsidRDefault="00D94EAB" w:rsidP="00D94EAB">
      <w:pPr>
        <w:spacing w:after="0" w:line="360" w:lineRule="auto"/>
        <w:jc w:val="center"/>
        <w:rPr>
          <w:rFonts w:ascii="Times New Roman" w:hAnsi="Times New Roman"/>
          <w:b/>
          <w:sz w:val="24"/>
          <w:szCs w:val="24"/>
          <w:lang w:val="es-ES"/>
        </w:rPr>
      </w:pPr>
      <w:r w:rsidRPr="00D94EAB">
        <w:rPr>
          <w:rFonts w:ascii="Times New Roman" w:hAnsi="Times New Roman"/>
          <w:b/>
          <w:sz w:val="24"/>
          <w:szCs w:val="24"/>
          <w:lang w:val="es-ES"/>
        </w:rPr>
        <w:t>Tabla 8</w:t>
      </w:r>
      <w:r w:rsidR="00D01C5C" w:rsidRPr="00D94EAB">
        <w:rPr>
          <w:rFonts w:ascii="Times New Roman" w:hAnsi="Times New Roman"/>
          <w:b/>
          <w:sz w:val="24"/>
          <w:szCs w:val="24"/>
          <w:lang w:val="es-ES"/>
        </w:rPr>
        <w:t>: Población beneficiaria de los suplementos en 2013</w:t>
      </w:r>
    </w:p>
    <w:tbl>
      <w:tblPr>
        <w:tblW w:w="8144" w:type="dxa"/>
        <w:jc w:val="center"/>
        <w:tblInd w:w="93" w:type="dxa"/>
        <w:tblLook w:val="04A0" w:firstRow="1" w:lastRow="0" w:firstColumn="1" w:lastColumn="0" w:noHBand="0" w:noVBand="1"/>
      </w:tblPr>
      <w:tblGrid>
        <w:gridCol w:w="6000"/>
        <w:gridCol w:w="2144"/>
      </w:tblGrid>
      <w:tr w:rsidR="00D01C5C" w:rsidRPr="00C9535C" w:rsidTr="00B9283C">
        <w:trPr>
          <w:trHeight w:val="300"/>
          <w:jc w:val="center"/>
        </w:trPr>
        <w:tc>
          <w:tcPr>
            <w:tcW w:w="6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1C5C" w:rsidRPr="00C9535C" w:rsidRDefault="00D01C5C" w:rsidP="00580C2E">
            <w:pPr>
              <w:spacing w:after="0" w:line="240" w:lineRule="auto"/>
              <w:rPr>
                <w:rFonts w:ascii="Times" w:eastAsia="Times New Roman" w:hAnsi="Times" w:cs="Times"/>
                <w:sz w:val="20"/>
                <w:szCs w:val="20"/>
                <w:lang w:val="es-ES"/>
              </w:rPr>
            </w:pPr>
            <w:r w:rsidRPr="00C9535C">
              <w:rPr>
                <w:rFonts w:ascii="Times" w:eastAsia="Times New Roman" w:hAnsi="Times" w:cs="Times"/>
                <w:sz w:val="20"/>
                <w:szCs w:val="20"/>
                <w:lang w:val="es-ES"/>
              </w:rPr>
              <w:t>Niños y niñas menores de 5 años</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D01C5C" w:rsidRPr="00C9535C" w:rsidRDefault="00D01C5C" w:rsidP="00D01C5C">
            <w:pPr>
              <w:spacing w:after="0" w:line="240" w:lineRule="auto"/>
              <w:jc w:val="right"/>
              <w:rPr>
                <w:rFonts w:ascii="Times" w:eastAsia="Times New Roman" w:hAnsi="Times" w:cs="Times"/>
                <w:sz w:val="20"/>
                <w:szCs w:val="20"/>
                <w:lang w:val="es-ES"/>
              </w:rPr>
            </w:pPr>
            <w:bookmarkStart w:id="0" w:name="OLE_LINK1"/>
            <w:r w:rsidRPr="00C9535C">
              <w:rPr>
                <w:rFonts w:ascii="Times" w:eastAsia="Times New Roman" w:hAnsi="Times" w:cs="Times"/>
                <w:sz w:val="20"/>
                <w:szCs w:val="20"/>
                <w:lang w:val="es-ES"/>
              </w:rPr>
              <w:t>1,389,384</w:t>
            </w:r>
            <w:bookmarkEnd w:id="0"/>
          </w:p>
        </w:tc>
      </w:tr>
      <w:tr w:rsidR="00D01C5C" w:rsidRPr="00C9535C" w:rsidTr="00BF16EC">
        <w:trPr>
          <w:trHeight w:val="315"/>
          <w:jc w:val="center"/>
        </w:trPr>
        <w:tc>
          <w:tcPr>
            <w:tcW w:w="6000" w:type="dxa"/>
            <w:tcBorders>
              <w:top w:val="nil"/>
              <w:left w:val="single" w:sz="4" w:space="0" w:color="auto"/>
              <w:bottom w:val="single" w:sz="4" w:space="0" w:color="auto"/>
              <w:right w:val="single" w:sz="4" w:space="0" w:color="auto"/>
            </w:tcBorders>
            <w:shd w:val="clear" w:color="auto" w:fill="auto"/>
            <w:noWrap/>
            <w:vAlign w:val="center"/>
            <w:hideMark/>
          </w:tcPr>
          <w:p w:rsidR="00D01C5C" w:rsidRPr="00C9535C" w:rsidRDefault="00D01C5C" w:rsidP="00580C2E">
            <w:pPr>
              <w:spacing w:after="0" w:line="240" w:lineRule="auto"/>
              <w:rPr>
                <w:rFonts w:ascii="Times" w:eastAsia="Times New Roman" w:hAnsi="Times" w:cs="Times"/>
                <w:sz w:val="20"/>
                <w:szCs w:val="20"/>
                <w:lang w:val="es-ES"/>
              </w:rPr>
            </w:pPr>
            <w:r w:rsidRPr="00C9535C">
              <w:rPr>
                <w:rFonts w:ascii="Times" w:eastAsia="Times New Roman" w:hAnsi="Times" w:cs="Times"/>
                <w:sz w:val="20"/>
                <w:szCs w:val="20"/>
                <w:lang w:val="es-ES"/>
              </w:rPr>
              <w:t>Mujeres embarazadas o en periodo de lactancia</w:t>
            </w:r>
          </w:p>
        </w:tc>
        <w:tc>
          <w:tcPr>
            <w:tcW w:w="2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1C5C" w:rsidRPr="00C9535C" w:rsidRDefault="00D01C5C" w:rsidP="00D01C5C">
            <w:pPr>
              <w:spacing w:after="0" w:line="240" w:lineRule="auto"/>
              <w:jc w:val="right"/>
              <w:rPr>
                <w:rFonts w:ascii="Times" w:eastAsia="Times New Roman" w:hAnsi="Times" w:cs="Times"/>
                <w:sz w:val="20"/>
                <w:szCs w:val="20"/>
                <w:lang w:val="es-ES"/>
              </w:rPr>
            </w:pPr>
            <w:r w:rsidRPr="00C9535C">
              <w:rPr>
                <w:rFonts w:ascii="Times" w:eastAsia="Times New Roman" w:hAnsi="Times" w:cs="Times"/>
                <w:sz w:val="20"/>
                <w:szCs w:val="20"/>
                <w:lang w:val="es-ES"/>
              </w:rPr>
              <w:t>333,095</w:t>
            </w:r>
          </w:p>
        </w:tc>
      </w:tr>
      <w:tr w:rsidR="00D01C5C" w:rsidRPr="00C9535C" w:rsidTr="00BF16EC">
        <w:trPr>
          <w:trHeight w:val="315"/>
          <w:jc w:val="center"/>
        </w:trPr>
        <w:tc>
          <w:tcPr>
            <w:tcW w:w="6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BF16EC">
            <w:pPr>
              <w:spacing w:after="0" w:line="240" w:lineRule="auto"/>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Mujeres embarazadas</w:t>
            </w:r>
          </w:p>
        </w:tc>
        <w:tc>
          <w:tcPr>
            <w:tcW w:w="21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01C5C" w:rsidRPr="00C9535C" w:rsidRDefault="00D01C5C" w:rsidP="00D01C5C">
            <w:pPr>
              <w:spacing w:after="0" w:line="240" w:lineRule="auto"/>
              <w:jc w:val="right"/>
              <w:rPr>
                <w:rFonts w:ascii="Times" w:eastAsia="Times New Roman" w:hAnsi="Times" w:cs="Times"/>
                <w:sz w:val="20"/>
                <w:szCs w:val="20"/>
                <w:lang w:val="es-ES"/>
              </w:rPr>
            </w:pPr>
            <w:r w:rsidRPr="00C9535C">
              <w:rPr>
                <w:rFonts w:ascii="Times" w:eastAsia="Times New Roman" w:hAnsi="Times" w:cs="Times"/>
                <w:sz w:val="20"/>
                <w:szCs w:val="20"/>
                <w:lang w:val="es-ES"/>
              </w:rPr>
              <w:t>131,904</w:t>
            </w:r>
          </w:p>
        </w:tc>
      </w:tr>
      <w:tr w:rsidR="00D01C5C" w:rsidRPr="00C9535C" w:rsidTr="00BF16EC">
        <w:trPr>
          <w:trHeight w:val="315"/>
          <w:jc w:val="center"/>
        </w:trPr>
        <w:tc>
          <w:tcPr>
            <w:tcW w:w="6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1C5C" w:rsidRPr="00C9535C" w:rsidRDefault="00D01C5C" w:rsidP="00BF16EC">
            <w:pPr>
              <w:spacing w:after="0" w:line="240" w:lineRule="auto"/>
              <w:rPr>
                <w:rFonts w:ascii="Times" w:eastAsia="Times New Roman" w:hAnsi="Times" w:cs="Times"/>
                <w:color w:val="000000"/>
                <w:sz w:val="20"/>
                <w:szCs w:val="20"/>
                <w:lang w:val="es-ES"/>
              </w:rPr>
            </w:pPr>
            <w:r w:rsidRPr="00C9535C">
              <w:rPr>
                <w:rFonts w:ascii="Times" w:eastAsia="Times New Roman" w:hAnsi="Times" w:cs="Times"/>
                <w:color w:val="000000"/>
                <w:sz w:val="20"/>
                <w:szCs w:val="20"/>
                <w:lang w:val="es-ES"/>
              </w:rPr>
              <w:t>Mujeres en periodo de lactancia</w:t>
            </w:r>
          </w:p>
        </w:tc>
        <w:tc>
          <w:tcPr>
            <w:tcW w:w="2144" w:type="dxa"/>
            <w:tcBorders>
              <w:top w:val="single" w:sz="4" w:space="0" w:color="auto"/>
              <w:left w:val="single" w:sz="4" w:space="0" w:color="808080"/>
              <w:bottom w:val="single" w:sz="4" w:space="0" w:color="auto"/>
              <w:right w:val="single" w:sz="4" w:space="0" w:color="auto"/>
            </w:tcBorders>
            <w:shd w:val="clear" w:color="000000" w:fill="FFFFFF"/>
            <w:noWrap/>
            <w:vAlign w:val="center"/>
            <w:hideMark/>
          </w:tcPr>
          <w:p w:rsidR="00D01C5C" w:rsidRPr="00C9535C" w:rsidRDefault="00D01C5C" w:rsidP="00D01C5C">
            <w:pPr>
              <w:spacing w:after="0" w:line="240" w:lineRule="auto"/>
              <w:jc w:val="right"/>
              <w:rPr>
                <w:rFonts w:ascii="Times" w:eastAsia="Times New Roman" w:hAnsi="Times" w:cs="Times"/>
                <w:sz w:val="20"/>
                <w:szCs w:val="20"/>
                <w:lang w:val="es-ES"/>
              </w:rPr>
            </w:pPr>
            <w:r w:rsidRPr="00C9535C">
              <w:rPr>
                <w:rFonts w:ascii="Times" w:eastAsia="Times New Roman" w:hAnsi="Times" w:cs="Times"/>
                <w:sz w:val="20"/>
                <w:szCs w:val="20"/>
                <w:lang w:val="es-ES"/>
              </w:rPr>
              <w:t>201,191</w:t>
            </w:r>
          </w:p>
        </w:tc>
      </w:tr>
    </w:tbl>
    <w:p w:rsidR="00D01C5C" w:rsidRPr="00C9535C" w:rsidRDefault="00D01C5C" w:rsidP="00B9283C">
      <w:pPr>
        <w:spacing w:after="0" w:line="240" w:lineRule="auto"/>
        <w:ind w:left="630"/>
        <w:jc w:val="both"/>
        <w:rPr>
          <w:rFonts w:ascii="Times New Roman" w:hAnsi="Times New Roman"/>
          <w:sz w:val="18"/>
          <w:szCs w:val="18"/>
          <w:lang w:val="es-ES"/>
        </w:rPr>
      </w:pPr>
      <w:r w:rsidRPr="00C9535C">
        <w:rPr>
          <w:rFonts w:ascii="Times New Roman" w:hAnsi="Times New Roman"/>
          <w:sz w:val="18"/>
          <w:szCs w:val="18"/>
          <w:lang w:val="es-ES"/>
        </w:rPr>
        <w:t>Fuente: Comisión de Protección Social en Salud, Dirección General del Programa Oportunidades, junio de 2013.</w:t>
      </w:r>
    </w:p>
    <w:p w:rsidR="00117112" w:rsidRPr="00C9535C" w:rsidRDefault="00117112" w:rsidP="00117112">
      <w:pPr>
        <w:spacing w:after="0" w:line="240" w:lineRule="auto"/>
        <w:ind w:left="360"/>
        <w:jc w:val="both"/>
        <w:rPr>
          <w:rFonts w:ascii="Times New Roman" w:hAnsi="Times New Roman"/>
          <w:sz w:val="24"/>
          <w:szCs w:val="24"/>
          <w:lang w:val="es-ES"/>
        </w:rPr>
      </w:pPr>
      <w:bookmarkStart w:id="1" w:name="_Toc342549398"/>
    </w:p>
    <w:p w:rsidR="00580C2E" w:rsidRPr="00CF23CD" w:rsidRDefault="00EE0C33" w:rsidP="00117112">
      <w:pPr>
        <w:spacing w:after="0" w:line="240" w:lineRule="auto"/>
        <w:jc w:val="both"/>
        <w:rPr>
          <w:rFonts w:ascii="Times New Roman" w:hAnsi="Times New Roman"/>
          <w:sz w:val="24"/>
          <w:szCs w:val="24"/>
          <w:lang w:val="es-ES"/>
        </w:rPr>
      </w:pPr>
      <w:r w:rsidRPr="00BF16EC">
        <w:rPr>
          <w:rFonts w:ascii="Times New Roman" w:hAnsi="Times New Roman"/>
          <w:sz w:val="24"/>
          <w:szCs w:val="24"/>
          <w:lang w:val="es-ES"/>
        </w:rPr>
        <w:t xml:space="preserve">Basándonos en </w:t>
      </w:r>
      <w:r>
        <w:rPr>
          <w:rFonts w:ascii="Times New Roman" w:hAnsi="Times New Roman"/>
          <w:sz w:val="24"/>
          <w:szCs w:val="24"/>
          <w:lang w:val="es-ES"/>
        </w:rPr>
        <w:t>las intervenciones y resultados del estudio aleatorio presentado anteriormente</w:t>
      </w:r>
      <w:r w:rsidR="000F5EF7">
        <w:rPr>
          <w:rFonts w:ascii="Times New Roman" w:hAnsi="Times New Roman"/>
          <w:sz w:val="24"/>
          <w:szCs w:val="24"/>
          <w:lang w:val="es-ES"/>
        </w:rPr>
        <w:t xml:space="preserve"> </w:t>
      </w:r>
      <w:r w:rsidR="000F5EF7" w:rsidRPr="00C9535C">
        <w:rPr>
          <w:rFonts w:ascii="Times New Roman" w:hAnsi="Times New Roman"/>
          <w:sz w:val="24"/>
          <w:szCs w:val="24"/>
          <w:lang w:val="es-ES"/>
        </w:rPr>
        <w:t>(INSP, 2012)</w:t>
      </w:r>
      <w:r>
        <w:rPr>
          <w:rFonts w:ascii="Times New Roman" w:hAnsi="Times New Roman"/>
          <w:sz w:val="24"/>
          <w:szCs w:val="24"/>
          <w:lang w:val="es-ES"/>
        </w:rPr>
        <w:t>, a continuación la Tabla 9 describe el análisis costo-</w:t>
      </w:r>
      <w:r w:rsidR="00BF16EC">
        <w:rPr>
          <w:rFonts w:ascii="Times New Roman" w:hAnsi="Times New Roman"/>
          <w:sz w:val="24"/>
          <w:szCs w:val="24"/>
          <w:lang w:val="es-ES"/>
        </w:rPr>
        <w:t>efectividad</w:t>
      </w:r>
      <w:r>
        <w:rPr>
          <w:rFonts w:ascii="Times New Roman" w:hAnsi="Times New Roman"/>
          <w:sz w:val="24"/>
          <w:szCs w:val="24"/>
          <w:lang w:val="es-ES"/>
        </w:rPr>
        <w:t xml:space="preserve"> de distintas intervenciones sobre la prevalencia de anemia en niños y en madres embarazadas y lactantes. </w:t>
      </w:r>
      <w:r w:rsidR="00BF16EC">
        <w:rPr>
          <w:rFonts w:ascii="Times New Roman" w:hAnsi="Times New Roman"/>
          <w:sz w:val="24"/>
          <w:szCs w:val="24"/>
          <w:lang w:val="es-ES"/>
        </w:rPr>
        <w:t>E</w:t>
      </w:r>
      <w:r>
        <w:rPr>
          <w:rFonts w:ascii="Times New Roman" w:hAnsi="Times New Roman"/>
          <w:sz w:val="24"/>
          <w:szCs w:val="24"/>
          <w:lang w:val="es-ES"/>
        </w:rPr>
        <w:t xml:space="preserve">l análisis se centra en el componente de entrega de micronutrientes de la estrategia EsIAN </w:t>
      </w:r>
      <w:r w:rsidR="00BF16EC">
        <w:rPr>
          <w:rFonts w:ascii="Times New Roman" w:hAnsi="Times New Roman"/>
          <w:sz w:val="24"/>
          <w:szCs w:val="24"/>
          <w:lang w:val="es-ES"/>
        </w:rPr>
        <w:t>que es aquél que ha comenzado a llevarse a escala nacional a partir de 2013. Este análisis</w:t>
      </w:r>
      <w:r>
        <w:rPr>
          <w:rFonts w:ascii="Times New Roman" w:hAnsi="Times New Roman"/>
          <w:sz w:val="24"/>
          <w:szCs w:val="24"/>
          <w:lang w:val="es-ES"/>
        </w:rPr>
        <w:t xml:space="preserve"> no discute </w:t>
      </w:r>
      <w:r w:rsidR="00BF16EC">
        <w:rPr>
          <w:rFonts w:ascii="Times New Roman" w:hAnsi="Times New Roman"/>
          <w:sz w:val="24"/>
          <w:szCs w:val="24"/>
          <w:lang w:val="es-ES"/>
        </w:rPr>
        <w:t>la costo-efectividad del componente</w:t>
      </w:r>
      <w:r>
        <w:rPr>
          <w:rFonts w:ascii="Times New Roman" w:hAnsi="Times New Roman"/>
          <w:sz w:val="24"/>
          <w:szCs w:val="24"/>
          <w:lang w:val="es-ES"/>
        </w:rPr>
        <w:t xml:space="preserve"> de capacitación</w:t>
      </w:r>
      <w:r w:rsidR="00BF16EC">
        <w:rPr>
          <w:rFonts w:ascii="Times New Roman" w:hAnsi="Times New Roman"/>
          <w:sz w:val="24"/>
          <w:szCs w:val="24"/>
          <w:lang w:val="es-ES"/>
        </w:rPr>
        <w:t xml:space="preserve"> del personal de salud</w:t>
      </w:r>
      <w:r>
        <w:rPr>
          <w:rFonts w:ascii="Times New Roman" w:hAnsi="Times New Roman"/>
          <w:sz w:val="24"/>
          <w:szCs w:val="24"/>
          <w:lang w:val="es-ES"/>
        </w:rPr>
        <w:t xml:space="preserve">, </w:t>
      </w:r>
      <w:r w:rsidR="00BF16EC">
        <w:rPr>
          <w:rFonts w:ascii="Times New Roman" w:hAnsi="Times New Roman"/>
          <w:sz w:val="24"/>
          <w:szCs w:val="24"/>
          <w:lang w:val="es-ES"/>
        </w:rPr>
        <w:t>el mismo que se evaluará cuidadosamente como parte de las actividades financiadas por este crédito</w:t>
      </w:r>
      <w:r>
        <w:rPr>
          <w:rFonts w:ascii="Times New Roman" w:hAnsi="Times New Roman"/>
          <w:sz w:val="24"/>
          <w:szCs w:val="24"/>
          <w:lang w:val="es-ES"/>
        </w:rPr>
        <w:t xml:space="preserve">. Asimismo, dado que la </w:t>
      </w:r>
      <w:r w:rsidR="00BF16EC">
        <w:rPr>
          <w:rFonts w:ascii="Times New Roman" w:hAnsi="Times New Roman"/>
          <w:sz w:val="24"/>
          <w:szCs w:val="24"/>
          <w:lang w:val="es-ES"/>
        </w:rPr>
        <w:t>intervención consiste en entregar micronutrientes</w:t>
      </w:r>
      <w:r>
        <w:rPr>
          <w:rFonts w:ascii="Times New Roman" w:hAnsi="Times New Roman"/>
          <w:sz w:val="24"/>
          <w:szCs w:val="24"/>
          <w:lang w:val="es-ES"/>
        </w:rPr>
        <w:t xml:space="preserve">, el </w:t>
      </w:r>
      <w:r w:rsidR="00BF16EC">
        <w:rPr>
          <w:rFonts w:ascii="Times New Roman" w:hAnsi="Times New Roman"/>
          <w:sz w:val="24"/>
          <w:szCs w:val="24"/>
          <w:lang w:val="es-ES"/>
        </w:rPr>
        <w:t xml:space="preserve">indicador de impacto en el cual se concentra el </w:t>
      </w:r>
      <w:r>
        <w:rPr>
          <w:rFonts w:ascii="Times New Roman" w:hAnsi="Times New Roman"/>
          <w:sz w:val="24"/>
          <w:szCs w:val="24"/>
          <w:lang w:val="es-ES"/>
        </w:rPr>
        <w:t xml:space="preserve">análisis </w:t>
      </w:r>
      <w:r w:rsidR="00BF16EC">
        <w:rPr>
          <w:rFonts w:ascii="Times New Roman" w:hAnsi="Times New Roman"/>
          <w:sz w:val="24"/>
          <w:szCs w:val="24"/>
          <w:lang w:val="es-ES"/>
        </w:rPr>
        <w:t>es</w:t>
      </w:r>
      <w:r>
        <w:rPr>
          <w:rFonts w:ascii="Times New Roman" w:hAnsi="Times New Roman"/>
          <w:sz w:val="24"/>
          <w:szCs w:val="24"/>
          <w:lang w:val="es-ES"/>
        </w:rPr>
        <w:t xml:space="preserve"> la prevalencia de anemia.</w:t>
      </w:r>
    </w:p>
    <w:p w:rsidR="00EE0C33" w:rsidRDefault="00EE0C33" w:rsidP="00117112">
      <w:pPr>
        <w:spacing w:after="0" w:line="240" w:lineRule="auto"/>
        <w:jc w:val="both"/>
        <w:rPr>
          <w:rFonts w:ascii="Times New Roman" w:hAnsi="Times New Roman"/>
          <w:b/>
          <w:sz w:val="24"/>
          <w:szCs w:val="24"/>
          <w:lang w:val="es-ES"/>
        </w:rPr>
      </w:pPr>
    </w:p>
    <w:p w:rsidR="00EE0C33" w:rsidRDefault="00EE0C33" w:rsidP="00D94EAB">
      <w:pPr>
        <w:spacing w:after="0" w:line="360" w:lineRule="auto"/>
        <w:jc w:val="center"/>
        <w:rPr>
          <w:rFonts w:ascii="Times New Roman" w:hAnsi="Times New Roman"/>
          <w:b/>
          <w:sz w:val="24"/>
          <w:szCs w:val="24"/>
          <w:lang w:val="es-ES"/>
        </w:rPr>
      </w:pPr>
      <w:r>
        <w:rPr>
          <w:rFonts w:ascii="Times New Roman" w:hAnsi="Times New Roman"/>
          <w:b/>
          <w:sz w:val="24"/>
          <w:szCs w:val="24"/>
          <w:lang w:val="es-ES"/>
        </w:rPr>
        <w:t xml:space="preserve">Tabla 9. </w:t>
      </w:r>
      <w:r w:rsidRPr="000B124C">
        <w:rPr>
          <w:rFonts w:ascii="Times New Roman" w:hAnsi="Times New Roman"/>
          <w:b/>
          <w:sz w:val="24"/>
          <w:szCs w:val="24"/>
          <w:lang w:val="es-ES"/>
        </w:rPr>
        <w:t xml:space="preserve">Análisis de </w:t>
      </w:r>
      <w:r w:rsidR="00CF23CD">
        <w:rPr>
          <w:rFonts w:ascii="Times New Roman" w:hAnsi="Times New Roman"/>
          <w:b/>
          <w:sz w:val="24"/>
          <w:szCs w:val="24"/>
          <w:lang w:val="es-ES"/>
        </w:rPr>
        <w:t>efectividad</w:t>
      </w:r>
      <w:r w:rsidRPr="000B124C">
        <w:rPr>
          <w:rFonts w:ascii="Times New Roman" w:hAnsi="Times New Roman"/>
          <w:b/>
          <w:sz w:val="24"/>
          <w:szCs w:val="24"/>
          <w:lang w:val="es-ES"/>
        </w:rPr>
        <w:t xml:space="preserve"> en función del costo</w:t>
      </w:r>
    </w:p>
    <w:p w:rsidR="00EE0C33" w:rsidRDefault="001C1D74" w:rsidP="00117112">
      <w:pPr>
        <w:spacing w:after="0" w:line="240" w:lineRule="auto"/>
        <w:jc w:val="both"/>
        <w:rPr>
          <w:rFonts w:ascii="Times New Roman" w:hAnsi="Times New Roman"/>
          <w:b/>
          <w:sz w:val="24"/>
          <w:szCs w:val="24"/>
          <w:lang w:val="es-ES"/>
        </w:rPr>
      </w:pPr>
      <w:r w:rsidRPr="001C1D74">
        <w:rPr>
          <w:noProof/>
        </w:rPr>
        <w:drawing>
          <wp:inline distT="0" distB="0" distL="0" distR="0" wp14:anchorId="6D7D34EB" wp14:editId="776412E1">
            <wp:extent cx="5824855" cy="2747189"/>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4855" cy="2747189"/>
                    </a:xfrm>
                    <a:prstGeom prst="rect">
                      <a:avLst/>
                    </a:prstGeom>
                    <a:noFill/>
                    <a:ln>
                      <a:noFill/>
                    </a:ln>
                  </pic:spPr>
                </pic:pic>
              </a:graphicData>
            </a:graphic>
          </wp:inline>
        </w:drawing>
      </w:r>
    </w:p>
    <w:p w:rsidR="00580C2E" w:rsidRDefault="00580C2E" w:rsidP="00117112">
      <w:pPr>
        <w:spacing w:after="0" w:line="240" w:lineRule="auto"/>
        <w:jc w:val="both"/>
        <w:rPr>
          <w:rFonts w:ascii="Times New Roman" w:hAnsi="Times New Roman"/>
          <w:b/>
          <w:sz w:val="24"/>
          <w:szCs w:val="24"/>
          <w:lang w:val="es-ES"/>
        </w:rPr>
      </w:pPr>
    </w:p>
    <w:p w:rsidR="001C1D74" w:rsidRDefault="00EE0C33" w:rsidP="00117112">
      <w:pPr>
        <w:spacing w:after="0" w:line="240" w:lineRule="auto"/>
        <w:jc w:val="both"/>
        <w:rPr>
          <w:rFonts w:ascii="Times New Roman" w:hAnsi="Times New Roman"/>
          <w:sz w:val="24"/>
          <w:szCs w:val="24"/>
          <w:lang w:val="es-ES"/>
        </w:rPr>
      </w:pPr>
      <w:r w:rsidRPr="000F5EF7">
        <w:rPr>
          <w:rFonts w:ascii="Times New Roman" w:hAnsi="Times New Roman"/>
          <w:sz w:val="24"/>
          <w:szCs w:val="24"/>
          <w:lang w:val="es-ES"/>
        </w:rPr>
        <w:t>L</w:t>
      </w:r>
      <w:r>
        <w:rPr>
          <w:rFonts w:ascii="Times New Roman" w:hAnsi="Times New Roman"/>
          <w:sz w:val="24"/>
          <w:szCs w:val="24"/>
          <w:lang w:val="es-ES"/>
        </w:rPr>
        <w:t>a Tabla 9 se alimenta de información de estudios que han analizado más detalladamente la evaluación descrita previamente. En el caso del precio por dosis de nutrientes (Nutrisano, jarabe o micronutrientes en polvo, en el caso de los niños; o Nutrivida, tabletas o micronutrientes en polvo, en el caso de las mujeres embarazadas y lactantes), la información proviene del estudio de Colchero y Neufeld (2008)</w:t>
      </w:r>
      <w:r w:rsidR="001C1D74">
        <w:rPr>
          <w:rFonts w:ascii="Times New Roman" w:hAnsi="Times New Roman"/>
          <w:sz w:val="24"/>
          <w:szCs w:val="24"/>
          <w:lang w:val="es-ES"/>
        </w:rPr>
        <w:t>, en el cual se calcula el precio total promedio por dosis de suplemento</w:t>
      </w:r>
      <w:r>
        <w:rPr>
          <w:rFonts w:ascii="Times New Roman" w:hAnsi="Times New Roman"/>
          <w:sz w:val="24"/>
          <w:szCs w:val="24"/>
          <w:lang w:val="es-ES"/>
        </w:rPr>
        <w:t xml:space="preserve">. </w:t>
      </w:r>
      <w:r w:rsidR="001C1D74">
        <w:rPr>
          <w:rFonts w:ascii="Times New Roman" w:hAnsi="Times New Roman"/>
          <w:sz w:val="24"/>
          <w:szCs w:val="24"/>
          <w:lang w:val="es-ES"/>
        </w:rPr>
        <w:t xml:space="preserve">Dado que este experimento se realizó en población urbana, la siguiente columna “Población 2013” asume que la población beneficiaria de suplementos en el 2013 </w:t>
      </w:r>
      <w:r w:rsidR="00742C55">
        <w:rPr>
          <w:rFonts w:ascii="Times New Roman" w:hAnsi="Times New Roman"/>
          <w:sz w:val="24"/>
          <w:szCs w:val="24"/>
          <w:lang w:val="es-ES"/>
        </w:rPr>
        <w:t xml:space="preserve"> (Tabla 8) </w:t>
      </w:r>
      <w:r w:rsidR="000F5EF7">
        <w:rPr>
          <w:rFonts w:ascii="Times New Roman" w:hAnsi="Times New Roman"/>
          <w:sz w:val="24"/>
          <w:szCs w:val="24"/>
          <w:lang w:val="es-ES"/>
        </w:rPr>
        <w:t>sigue la misma distribución entre urbano (32%) y rural (68%) que el total de beneficiarios de Oportunidades</w:t>
      </w:r>
      <w:r w:rsidR="001C1D74">
        <w:rPr>
          <w:rFonts w:ascii="Times New Roman" w:hAnsi="Times New Roman"/>
          <w:sz w:val="24"/>
          <w:szCs w:val="24"/>
          <w:lang w:val="es-ES"/>
        </w:rPr>
        <w:t xml:space="preserve">. Para calcular el costo total de las distintas entregas de suplementos, la columna “Costo total 6 meses de dosis” considera que, al igual que en el experimento, la entrega de suplementos es diaria y asume que se consume una dosis por día y sólo por 6 meses. </w:t>
      </w:r>
    </w:p>
    <w:p w:rsidR="001C1D74" w:rsidRDefault="001C1D74" w:rsidP="00117112">
      <w:pPr>
        <w:spacing w:after="0" w:line="240" w:lineRule="auto"/>
        <w:jc w:val="both"/>
        <w:rPr>
          <w:rFonts w:ascii="Times New Roman" w:hAnsi="Times New Roman"/>
          <w:sz w:val="24"/>
          <w:szCs w:val="24"/>
          <w:lang w:val="es-ES"/>
        </w:rPr>
      </w:pPr>
    </w:p>
    <w:p w:rsidR="00EE0C33" w:rsidRPr="00CF23CD" w:rsidRDefault="001C1D74" w:rsidP="00117112">
      <w:pPr>
        <w:spacing w:after="0" w:line="240" w:lineRule="auto"/>
        <w:jc w:val="both"/>
        <w:rPr>
          <w:rFonts w:ascii="Times New Roman" w:hAnsi="Times New Roman"/>
          <w:sz w:val="24"/>
          <w:szCs w:val="24"/>
          <w:lang w:val="es-ES"/>
        </w:rPr>
      </w:pPr>
      <w:r>
        <w:rPr>
          <w:rFonts w:ascii="Times New Roman" w:hAnsi="Times New Roman"/>
          <w:sz w:val="24"/>
          <w:szCs w:val="24"/>
          <w:lang w:val="es-ES"/>
        </w:rPr>
        <w:t>Las siguientes tres columnas corresponde a la medición pre y post intervención de la prevalencia de anemia. Los estudios de Gar</w:t>
      </w:r>
      <w:r w:rsidR="00C90C6E">
        <w:rPr>
          <w:rFonts w:ascii="Times New Roman" w:hAnsi="Times New Roman"/>
          <w:sz w:val="24"/>
          <w:szCs w:val="24"/>
          <w:lang w:val="es-ES"/>
        </w:rPr>
        <w:t xml:space="preserve">cía-Guerra et al. (2008) y Hernández et al. (2008) presentan estos estimados para la población de niños y mujeres, respectivamente. </w:t>
      </w:r>
      <w:r>
        <w:rPr>
          <w:rFonts w:ascii="Times New Roman" w:hAnsi="Times New Roman"/>
          <w:sz w:val="24"/>
          <w:szCs w:val="24"/>
          <w:lang w:val="es-ES"/>
        </w:rPr>
        <w:t xml:space="preserve"> </w:t>
      </w:r>
      <w:r w:rsidR="00976BAA">
        <w:rPr>
          <w:rFonts w:ascii="Times New Roman" w:hAnsi="Times New Roman"/>
          <w:sz w:val="24"/>
          <w:szCs w:val="24"/>
          <w:lang w:val="es-ES"/>
        </w:rPr>
        <w:t xml:space="preserve">En ambos estudios, los autores muestran que antes de la intervención la muestra es balanceada entre los tres grupos de tratamiento/entrega de suplementos. </w:t>
      </w:r>
      <w:r w:rsidR="00AB09CE">
        <w:rPr>
          <w:rFonts w:ascii="Times New Roman" w:hAnsi="Times New Roman"/>
          <w:sz w:val="24"/>
          <w:szCs w:val="24"/>
          <w:lang w:val="es-ES"/>
        </w:rPr>
        <w:t xml:space="preserve">La Tabla 9 muestra, en el caso de los niños,  </w:t>
      </w:r>
      <w:r w:rsidR="0081630A">
        <w:rPr>
          <w:rFonts w:ascii="Times New Roman" w:hAnsi="Times New Roman"/>
          <w:sz w:val="24"/>
          <w:szCs w:val="24"/>
          <w:lang w:val="es-ES"/>
        </w:rPr>
        <w:t xml:space="preserve">la medición post-intervención </w:t>
      </w:r>
      <w:r w:rsidR="00AB09CE">
        <w:rPr>
          <w:rFonts w:ascii="Times New Roman" w:hAnsi="Times New Roman"/>
          <w:sz w:val="24"/>
          <w:szCs w:val="24"/>
          <w:lang w:val="es-ES"/>
        </w:rPr>
        <w:t>tomada cuando los niños tienen 24 meses de edad, mientras que en el caso de las mujeres, a los tres meses posteriores al parto.</w:t>
      </w:r>
      <w:r w:rsidR="00AB09CE">
        <w:rPr>
          <w:rStyle w:val="FootnoteReference"/>
          <w:rFonts w:ascii="Times New Roman" w:hAnsi="Times New Roman"/>
          <w:sz w:val="24"/>
          <w:szCs w:val="24"/>
          <w:lang w:val="es-ES"/>
        </w:rPr>
        <w:footnoteReference w:id="6"/>
      </w:r>
      <w:r w:rsidR="00AB09CE">
        <w:rPr>
          <w:rFonts w:ascii="Times New Roman" w:hAnsi="Times New Roman"/>
          <w:sz w:val="24"/>
          <w:szCs w:val="24"/>
          <w:lang w:val="es-ES"/>
        </w:rPr>
        <w:t xml:space="preserve"> </w:t>
      </w:r>
      <w:r w:rsidR="00327636">
        <w:rPr>
          <w:rFonts w:ascii="Times New Roman" w:hAnsi="Times New Roman"/>
          <w:sz w:val="24"/>
          <w:szCs w:val="24"/>
          <w:lang w:val="es-ES"/>
        </w:rPr>
        <w:t xml:space="preserve">En el caso de los niños, la prevalencia de anemia se redujo considerablemente en los tres grupos y siguió siendo relativamente mayor entre aquellos tratados con Nutrisano. En el caso de las mujeres, la prevalencia de anemia también se redujo en los tres grupos, pero de acuerdo a los autores no existen diferencias significativas entre los distintos suplementos. </w:t>
      </w:r>
    </w:p>
    <w:p w:rsidR="00580C2E" w:rsidRDefault="00580C2E" w:rsidP="00117112">
      <w:pPr>
        <w:spacing w:after="0" w:line="240" w:lineRule="auto"/>
        <w:jc w:val="both"/>
        <w:rPr>
          <w:rFonts w:ascii="Times New Roman" w:hAnsi="Times New Roman"/>
          <w:b/>
          <w:sz w:val="24"/>
          <w:szCs w:val="24"/>
          <w:lang w:val="es-ES"/>
        </w:rPr>
      </w:pPr>
    </w:p>
    <w:p w:rsidR="00D741D9" w:rsidRDefault="00327636" w:rsidP="00117112">
      <w:pPr>
        <w:spacing w:after="0" w:line="240" w:lineRule="auto"/>
        <w:jc w:val="both"/>
        <w:rPr>
          <w:rFonts w:ascii="Times New Roman" w:hAnsi="Times New Roman"/>
          <w:sz w:val="24"/>
          <w:szCs w:val="24"/>
          <w:lang w:val="es-ES"/>
        </w:rPr>
      </w:pPr>
      <w:r w:rsidRPr="00CF23CD">
        <w:rPr>
          <w:rFonts w:ascii="Times New Roman" w:hAnsi="Times New Roman"/>
          <w:sz w:val="24"/>
          <w:szCs w:val="24"/>
          <w:lang w:val="es-ES"/>
        </w:rPr>
        <w:t>C</w:t>
      </w:r>
      <w:r>
        <w:rPr>
          <w:rFonts w:ascii="Times New Roman" w:hAnsi="Times New Roman"/>
          <w:sz w:val="24"/>
          <w:szCs w:val="24"/>
          <w:lang w:val="es-ES"/>
        </w:rPr>
        <w:t>on el objetivo de cuantificar la mejora en el indicador nutricional que la política busca atacar y comparar las distintas intervenciones, las últimas dos columnas de la Tabla 9 presentan el costo promedio de la mejora por cada punto porcentual correspondiente a cada suplemento alimenticio. En el caso de los suplementos entregados a niños, es claro que el jarabe redujo significativamente más la prevalencia de anemia pero a costo mayor</w:t>
      </w:r>
      <w:r w:rsidR="00D741D9">
        <w:rPr>
          <w:rFonts w:ascii="Times New Roman" w:hAnsi="Times New Roman"/>
          <w:sz w:val="24"/>
          <w:szCs w:val="24"/>
          <w:lang w:val="es-ES"/>
        </w:rPr>
        <w:t xml:space="preserve">. En cambio la entrega de micronutrientes redujo la prevalencia de anemia más que Nutrisano pero a un costo mucho menor. Por otro lado, en el caso de los suplementos entregados a mujeres, al no haber efectos diferenciales entre los distintos suplementos entregados, los micronutrientes son los suplementos más costo-eficiente. </w:t>
      </w:r>
      <w:r w:rsidR="00666FAB">
        <w:rPr>
          <w:rFonts w:ascii="Times New Roman" w:hAnsi="Times New Roman"/>
          <w:sz w:val="24"/>
          <w:szCs w:val="24"/>
          <w:lang w:val="es-ES"/>
        </w:rPr>
        <w:t xml:space="preserve">No obstante, el programa optó por las tabletas dado que la </w:t>
      </w:r>
      <w:r w:rsidR="004E10F8">
        <w:rPr>
          <w:rFonts w:ascii="Times New Roman" w:hAnsi="Times New Roman"/>
          <w:sz w:val="24"/>
          <w:szCs w:val="24"/>
          <w:lang w:val="es-ES"/>
        </w:rPr>
        <w:t>experiencia</w:t>
      </w:r>
      <w:r w:rsidR="00666FAB">
        <w:rPr>
          <w:rFonts w:ascii="Times New Roman" w:hAnsi="Times New Roman"/>
          <w:sz w:val="24"/>
          <w:szCs w:val="24"/>
          <w:lang w:val="es-ES"/>
        </w:rPr>
        <w:t xml:space="preserve"> de la implementación </w:t>
      </w:r>
      <w:r w:rsidR="004E10F8">
        <w:rPr>
          <w:rFonts w:ascii="Times New Roman" w:hAnsi="Times New Roman"/>
          <w:sz w:val="24"/>
          <w:szCs w:val="24"/>
          <w:lang w:val="es-ES"/>
        </w:rPr>
        <w:t>de la estrategia</w:t>
      </w:r>
      <w:r w:rsidR="00666FAB">
        <w:rPr>
          <w:rFonts w:ascii="Times New Roman" w:hAnsi="Times New Roman"/>
          <w:sz w:val="24"/>
          <w:szCs w:val="24"/>
          <w:lang w:val="es-ES"/>
        </w:rPr>
        <w:t xml:space="preserve"> demostró que éstas tenían mejor aceptación </w:t>
      </w:r>
      <w:r w:rsidR="004E10F8">
        <w:rPr>
          <w:rFonts w:ascii="Times New Roman" w:hAnsi="Times New Roman"/>
          <w:sz w:val="24"/>
          <w:szCs w:val="24"/>
          <w:lang w:val="es-ES"/>
        </w:rPr>
        <w:t xml:space="preserve">entre las mujeres </w:t>
      </w:r>
      <w:r w:rsidR="00666FAB">
        <w:rPr>
          <w:rFonts w:ascii="Times New Roman" w:hAnsi="Times New Roman"/>
          <w:sz w:val="24"/>
          <w:szCs w:val="24"/>
          <w:lang w:val="es-ES"/>
        </w:rPr>
        <w:t>y</w:t>
      </w:r>
      <w:r w:rsidR="004E10F8">
        <w:rPr>
          <w:rFonts w:ascii="Times New Roman" w:hAnsi="Times New Roman"/>
          <w:sz w:val="24"/>
          <w:szCs w:val="24"/>
          <w:lang w:val="es-ES"/>
        </w:rPr>
        <w:t>,</w:t>
      </w:r>
      <w:r w:rsidR="00666FAB">
        <w:rPr>
          <w:rFonts w:ascii="Times New Roman" w:hAnsi="Times New Roman"/>
          <w:sz w:val="24"/>
          <w:szCs w:val="24"/>
          <w:lang w:val="es-ES"/>
        </w:rPr>
        <w:t xml:space="preserve"> por lo tanto</w:t>
      </w:r>
      <w:r w:rsidR="004E10F8">
        <w:rPr>
          <w:rFonts w:ascii="Times New Roman" w:hAnsi="Times New Roman"/>
          <w:sz w:val="24"/>
          <w:szCs w:val="24"/>
          <w:lang w:val="es-ES"/>
        </w:rPr>
        <w:t>, mayor probabilidad</w:t>
      </w:r>
      <w:r w:rsidR="00666FAB">
        <w:rPr>
          <w:rFonts w:ascii="Times New Roman" w:hAnsi="Times New Roman"/>
          <w:sz w:val="24"/>
          <w:szCs w:val="24"/>
          <w:lang w:val="es-ES"/>
        </w:rPr>
        <w:t xml:space="preserve"> de ser consumidas</w:t>
      </w:r>
      <w:r w:rsidR="004E10F8">
        <w:rPr>
          <w:rStyle w:val="FootnoteReference"/>
          <w:rFonts w:ascii="Times New Roman" w:hAnsi="Times New Roman"/>
          <w:sz w:val="24"/>
          <w:szCs w:val="24"/>
          <w:lang w:val="es-ES"/>
        </w:rPr>
        <w:footnoteReference w:id="7"/>
      </w:r>
      <w:r w:rsidR="00666FAB">
        <w:rPr>
          <w:rFonts w:ascii="Times New Roman" w:hAnsi="Times New Roman"/>
          <w:sz w:val="24"/>
          <w:szCs w:val="24"/>
          <w:lang w:val="es-ES"/>
        </w:rPr>
        <w:t>.</w:t>
      </w:r>
    </w:p>
    <w:p w:rsidR="00D741D9" w:rsidRDefault="00D741D9" w:rsidP="00117112">
      <w:pPr>
        <w:spacing w:after="0" w:line="240" w:lineRule="auto"/>
        <w:jc w:val="both"/>
        <w:rPr>
          <w:rFonts w:ascii="Times New Roman" w:hAnsi="Times New Roman"/>
          <w:sz w:val="24"/>
          <w:szCs w:val="24"/>
          <w:lang w:val="es-ES"/>
        </w:rPr>
      </w:pPr>
    </w:p>
    <w:p w:rsidR="00327636" w:rsidRPr="00CF23CD" w:rsidRDefault="00D741D9" w:rsidP="00117112">
      <w:pPr>
        <w:spacing w:after="0" w:line="240" w:lineRule="auto"/>
        <w:jc w:val="both"/>
        <w:rPr>
          <w:rFonts w:ascii="Times New Roman" w:hAnsi="Times New Roman"/>
          <w:sz w:val="24"/>
          <w:szCs w:val="24"/>
          <w:lang w:val="es-ES"/>
        </w:rPr>
      </w:pPr>
      <w:r>
        <w:rPr>
          <w:rFonts w:ascii="Times New Roman" w:hAnsi="Times New Roman"/>
          <w:sz w:val="24"/>
          <w:szCs w:val="24"/>
          <w:lang w:val="es-ES"/>
        </w:rPr>
        <w:t>Los hallazgos de la evaluación aleatoria presentados en esta sección más el ejercicio de costo-efectividad presentado sustentan que esta operación debe apoyar la reforma de la estrategia EsIAN, particularmente en lo referido a la entrega de suplementos alimenticios diferentes a Nutrisano y Nutrivida.</w:t>
      </w:r>
    </w:p>
    <w:p w:rsidR="00117112" w:rsidRPr="00C9535C" w:rsidRDefault="00117112" w:rsidP="00117112">
      <w:pPr>
        <w:spacing w:after="0" w:line="240" w:lineRule="auto"/>
        <w:jc w:val="both"/>
        <w:rPr>
          <w:rFonts w:ascii="Times New Roman" w:hAnsi="Times New Roman"/>
          <w:b/>
          <w:sz w:val="24"/>
          <w:szCs w:val="24"/>
          <w:lang w:val="es-ES"/>
        </w:rPr>
      </w:pPr>
      <w:bookmarkStart w:id="2" w:name="_GoBack"/>
      <w:bookmarkEnd w:id="2"/>
      <w:r w:rsidRPr="00C9535C">
        <w:rPr>
          <w:rFonts w:ascii="Times New Roman" w:hAnsi="Times New Roman"/>
          <w:b/>
          <w:sz w:val="24"/>
          <w:szCs w:val="24"/>
          <w:lang w:val="es-ES"/>
        </w:rPr>
        <w:t>Descripción del trabajo apoyado por la operación que complementa la evidencia disponible</w:t>
      </w:r>
    </w:p>
    <w:p w:rsidR="00117112" w:rsidRPr="00C9535C" w:rsidRDefault="00117112" w:rsidP="00117112">
      <w:p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br/>
        <w:t xml:space="preserve">La operación de crédito permitirá establecer el costo-efectividad de diferentes alternativas de modelos de capacitación, procurando corregir los problemas de implementación identificados en el modelo de Capacitación Tradicional, a partir de una evaluación de resultados de corte experimental. </w:t>
      </w:r>
      <w:r w:rsidR="004374B3" w:rsidRPr="00C9535C">
        <w:rPr>
          <w:rFonts w:ascii="Times New Roman" w:hAnsi="Times New Roman"/>
          <w:sz w:val="24"/>
          <w:szCs w:val="24"/>
          <w:lang w:val="es-ES"/>
        </w:rPr>
        <w:t xml:space="preserve">Las tres alternativas que serán comparadas son: un modelo de Capacitación Tradicional, un modelo de Capacitación Virtual y un modelo de Capacitación Semi- Presencial. </w:t>
      </w:r>
      <w:r w:rsidRPr="00C9535C">
        <w:rPr>
          <w:rFonts w:ascii="Times New Roman" w:hAnsi="Times New Roman"/>
          <w:sz w:val="24"/>
          <w:szCs w:val="24"/>
          <w:lang w:val="es-ES"/>
        </w:rPr>
        <w:t>En particular, la evaluación analizará los costos y resultados de las diferentes modalidades de capacitación sobre:</w:t>
      </w:r>
    </w:p>
    <w:p w:rsidR="00117112" w:rsidRPr="00C9535C" w:rsidRDefault="00117112" w:rsidP="00117112">
      <w:pPr>
        <w:tabs>
          <w:tab w:val="left" w:pos="810"/>
        </w:tabs>
        <w:spacing w:after="0" w:line="240" w:lineRule="auto"/>
        <w:mirrorIndents/>
        <w:jc w:val="both"/>
        <w:rPr>
          <w:rFonts w:ascii="Times New Roman" w:hAnsi="Times New Roman"/>
          <w:sz w:val="24"/>
          <w:szCs w:val="24"/>
          <w:lang w:val="es-ES"/>
        </w:rPr>
      </w:pPr>
    </w:p>
    <w:p w:rsidR="00117112" w:rsidRPr="00C9535C" w:rsidRDefault="00117112" w:rsidP="00117112">
      <w:pPr>
        <w:pStyle w:val="ListParagraph"/>
        <w:numPr>
          <w:ilvl w:val="0"/>
          <w:numId w:val="23"/>
        </w:num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El conocimiento, actitudes y prácticas de promoción de lactancia materna y uso de suplementos por parte de los proveedores de servicios de salud.</w:t>
      </w:r>
    </w:p>
    <w:p w:rsidR="00117112" w:rsidRPr="00C9535C" w:rsidRDefault="00117112" w:rsidP="00117112">
      <w:pPr>
        <w:pStyle w:val="ListParagraph"/>
        <w:tabs>
          <w:tab w:val="left" w:pos="810"/>
        </w:tabs>
        <w:spacing w:after="0" w:line="240" w:lineRule="auto"/>
        <w:mirrorIndents/>
        <w:jc w:val="both"/>
        <w:rPr>
          <w:rFonts w:ascii="Times New Roman" w:hAnsi="Times New Roman"/>
          <w:sz w:val="24"/>
          <w:szCs w:val="24"/>
          <w:lang w:val="es-ES"/>
        </w:rPr>
      </w:pPr>
    </w:p>
    <w:p w:rsidR="00117112" w:rsidRPr="00C9535C" w:rsidRDefault="00117112" w:rsidP="00117112">
      <w:pPr>
        <w:pStyle w:val="ListParagraph"/>
        <w:numPr>
          <w:ilvl w:val="0"/>
          <w:numId w:val="23"/>
        </w:num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El conocimiento, actitudes y prácticas de lactancia materna y uso de suplementos por parte de la población beneficiaria de Oportunidades.</w:t>
      </w:r>
    </w:p>
    <w:p w:rsidR="00117112" w:rsidRPr="00C9535C" w:rsidRDefault="00117112" w:rsidP="00117112">
      <w:pPr>
        <w:tabs>
          <w:tab w:val="left" w:pos="810"/>
        </w:tabs>
        <w:spacing w:after="0" w:line="240" w:lineRule="auto"/>
        <w:mirrorIndents/>
        <w:jc w:val="both"/>
        <w:rPr>
          <w:rFonts w:ascii="Times New Roman" w:hAnsi="Times New Roman"/>
          <w:sz w:val="24"/>
          <w:szCs w:val="24"/>
          <w:lang w:val="es-ES"/>
        </w:rPr>
      </w:pPr>
    </w:p>
    <w:p w:rsidR="00117112" w:rsidRPr="00C9535C" w:rsidRDefault="00117112" w:rsidP="00117112">
      <w:p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Por razones éticas, la CNO y la SSA han acordado no demorar la capacitación de los proveedores de servicios de salud, e implementar el esquema de Capacitación Semi-Presencial en todos los centros de salud del país, con excepción de aquellos que de manera aleatoria sean asignados a recibir el esquema de Capacitación Virtual o el Tradicional. De esta forma, el alcance de la evaluación de resultados permitirá validar un modelo que, a juicio de destacados expertos en nutrición y capacitación en México, es superador del esquema Tradicional. Asimismo, permitirá establecer si la Capacitación Virtual puede ser considerada una alternativa satisfactoria de capacitación continua.</w:t>
      </w:r>
      <w:r w:rsidR="004374B3" w:rsidRPr="00C9535C">
        <w:rPr>
          <w:rFonts w:ascii="Times New Roman" w:hAnsi="Times New Roman"/>
          <w:sz w:val="24"/>
          <w:szCs w:val="24"/>
          <w:lang w:val="es-ES"/>
        </w:rPr>
        <w:t xml:space="preserve"> Este es un tema crítico dados los niveles altos de rotación de personal de salud en las unidades a las cuales asiste la población beneficiaria del PDHO.</w:t>
      </w:r>
      <w:r w:rsidRPr="00C9535C">
        <w:rPr>
          <w:rFonts w:ascii="Times New Roman" w:hAnsi="Times New Roman"/>
          <w:sz w:val="24"/>
          <w:szCs w:val="24"/>
          <w:lang w:val="es-ES"/>
        </w:rPr>
        <w:t xml:space="preserve"> Finalmente, la evaluación permitirá identificar factores asociados a mejores resultados de los nuevos esquemas de capacitación.</w:t>
      </w:r>
    </w:p>
    <w:p w:rsidR="00AD1F84" w:rsidRPr="00C9535C" w:rsidRDefault="00FD3957" w:rsidP="004374B3">
      <w:pPr>
        <w:pStyle w:val="ListParagraph"/>
        <w:numPr>
          <w:ilvl w:val="0"/>
          <w:numId w:val="23"/>
        </w:numPr>
        <w:spacing w:after="0" w:line="240" w:lineRule="auto"/>
        <w:jc w:val="both"/>
        <w:rPr>
          <w:rFonts w:ascii="Times New Roman Bold" w:hAnsi="Times New Roman Bold"/>
          <w:smallCaps/>
          <w:sz w:val="24"/>
          <w:szCs w:val="24"/>
          <w:lang w:val="es-ES"/>
        </w:rPr>
      </w:pPr>
      <w:r w:rsidRPr="00C9535C">
        <w:rPr>
          <w:rFonts w:ascii="Times New Roman" w:hAnsi="Times New Roman"/>
          <w:sz w:val="24"/>
          <w:szCs w:val="24"/>
          <w:lang w:val="es-ES"/>
        </w:rPr>
        <w:br w:type="page"/>
      </w:r>
      <w:r w:rsidR="004374B3" w:rsidRPr="00C9535C">
        <w:rPr>
          <w:rFonts w:ascii="Times New Roman Bold" w:hAnsi="Times New Roman Bold"/>
          <w:smallCaps/>
          <w:sz w:val="24"/>
          <w:szCs w:val="24"/>
          <w:lang w:val="es-ES"/>
        </w:rPr>
        <w:t xml:space="preserve">Incorporación de un componente de desarrollo infantil temprano en el PDHO </w:t>
      </w:r>
      <w:bookmarkEnd w:id="1"/>
    </w:p>
    <w:p w:rsidR="00AD1F84" w:rsidRPr="00C9535C" w:rsidRDefault="00AD1F84" w:rsidP="00902E4B">
      <w:pPr>
        <w:spacing w:after="0" w:line="240" w:lineRule="auto"/>
        <w:jc w:val="both"/>
        <w:rPr>
          <w:rFonts w:ascii="Times New Roman" w:hAnsi="Times New Roman"/>
          <w:sz w:val="24"/>
          <w:szCs w:val="24"/>
          <w:lang w:val="es-ES"/>
        </w:rPr>
      </w:pPr>
    </w:p>
    <w:p w:rsidR="00B449E9" w:rsidRPr="00C9535C" w:rsidRDefault="00B449E9" w:rsidP="00902E4B">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Motivación</w:t>
      </w:r>
    </w:p>
    <w:p w:rsidR="00B449E9" w:rsidRPr="00C9535C" w:rsidRDefault="00B449E9" w:rsidP="00902E4B">
      <w:pPr>
        <w:spacing w:after="0" w:line="240" w:lineRule="auto"/>
        <w:jc w:val="both"/>
        <w:rPr>
          <w:rFonts w:ascii="Times New Roman" w:hAnsi="Times New Roman"/>
          <w:b/>
          <w:sz w:val="24"/>
          <w:szCs w:val="24"/>
          <w:lang w:val="es-ES"/>
        </w:rPr>
      </w:pPr>
    </w:p>
    <w:p w:rsidR="00AD1F84" w:rsidRPr="00C9535C" w:rsidRDefault="004374B3"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La presente operación de crédito</w:t>
      </w:r>
      <w:r w:rsidR="00AD1F84" w:rsidRPr="00C9535C">
        <w:rPr>
          <w:rFonts w:ascii="Times New Roman" w:hAnsi="Times New Roman"/>
          <w:sz w:val="24"/>
          <w:szCs w:val="24"/>
          <w:lang w:val="es-ES"/>
        </w:rPr>
        <w:t xml:space="preserve"> busca fomentar intervenciones de inversión en el desarrollo infantil temprano (DIT) entre las familias beneficiarias, mediante el desarrollo de modelos de atención </w:t>
      </w:r>
      <w:r w:rsidRPr="00C9535C">
        <w:rPr>
          <w:rFonts w:ascii="Times New Roman" w:hAnsi="Times New Roman"/>
          <w:sz w:val="24"/>
          <w:szCs w:val="24"/>
          <w:lang w:val="es-ES"/>
        </w:rPr>
        <w:t>pertinentes</w:t>
      </w:r>
      <w:r w:rsidR="00AD1F84" w:rsidRPr="00C9535C">
        <w:rPr>
          <w:rFonts w:ascii="Times New Roman" w:hAnsi="Times New Roman"/>
          <w:sz w:val="24"/>
          <w:szCs w:val="24"/>
          <w:lang w:val="es-ES"/>
        </w:rPr>
        <w:t xml:space="preserve"> culturalmente y que puedan implementarse a través del sector salud con la participación de la comunidad</w:t>
      </w:r>
      <w:r w:rsidRPr="00C9535C">
        <w:rPr>
          <w:rFonts w:ascii="Times New Roman" w:hAnsi="Times New Roman"/>
          <w:sz w:val="24"/>
          <w:szCs w:val="24"/>
          <w:lang w:val="es-ES"/>
        </w:rPr>
        <w:t>. Estos modelos</w:t>
      </w:r>
      <w:r w:rsidR="00AD1F84" w:rsidRPr="00C9535C">
        <w:rPr>
          <w:rFonts w:ascii="Times New Roman" w:hAnsi="Times New Roman"/>
          <w:sz w:val="24"/>
          <w:szCs w:val="24"/>
          <w:lang w:val="es-ES"/>
        </w:rPr>
        <w:t xml:space="preserve"> </w:t>
      </w:r>
      <w:r w:rsidRPr="00C9535C">
        <w:rPr>
          <w:rFonts w:ascii="Times New Roman" w:hAnsi="Times New Roman"/>
          <w:sz w:val="24"/>
          <w:szCs w:val="24"/>
          <w:lang w:val="es-ES"/>
        </w:rPr>
        <w:t>buscan</w:t>
      </w:r>
      <w:r w:rsidR="00AD1F84" w:rsidRPr="00C9535C">
        <w:rPr>
          <w:rFonts w:ascii="Times New Roman" w:hAnsi="Times New Roman"/>
          <w:sz w:val="24"/>
          <w:szCs w:val="24"/>
          <w:lang w:val="es-ES"/>
        </w:rPr>
        <w:t xml:space="preserve"> una mejora en las prácticas de crianza y la calidad de las interacciones entre los adultos y los niños desde el embarazo hasta los cuatro años de vida. </w:t>
      </w:r>
      <w:r w:rsidRPr="00C9535C">
        <w:rPr>
          <w:rFonts w:ascii="Times New Roman" w:hAnsi="Times New Roman"/>
          <w:sz w:val="24"/>
          <w:szCs w:val="24"/>
          <w:lang w:val="es-ES"/>
        </w:rPr>
        <w:t>El componente de desarrollo infantil temprano a ser incorporado al PDHO se encuentra en proceso de diseño. El PDHO, a través de la Comisión de Protección Social en Salud, ha encargado al departamento de investigaciones del Hospital Infantil Federico Gómez de su desarrollo. El BID ha brindado asistencia técnica en diferentes momentos de este proceso.</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México, a través de sus diversas Secretarías, mantiene una amplia oferta de servicios y programas de DIT y de otros programas relacionados indirectamente al desarrollo infantil. Los principales programas que buscan mejorar directamente el desarrollo infantil son los siguientes:</w:t>
      </w:r>
      <w:r w:rsidRPr="00C9535C">
        <w:rPr>
          <w:rStyle w:val="FootnoteReference"/>
          <w:rFonts w:ascii="Times New Roman" w:hAnsi="Times New Roman"/>
          <w:sz w:val="24"/>
          <w:szCs w:val="24"/>
          <w:lang w:val="es-ES"/>
        </w:rPr>
        <w:t xml:space="preserve"> </w:t>
      </w:r>
      <w:r w:rsidRPr="00C9535C">
        <w:rPr>
          <w:rStyle w:val="FootnoteReference"/>
          <w:rFonts w:ascii="Times New Roman" w:hAnsi="Times New Roman"/>
          <w:sz w:val="24"/>
          <w:szCs w:val="24"/>
          <w:lang w:val="es-ES"/>
        </w:rPr>
        <w:footnoteReference w:id="8"/>
      </w:r>
      <w:r w:rsidRPr="00C9535C">
        <w:rPr>
          <w:rFonts w:ascii="Times New Roman" w:hAnsi="Times New Roman"/>
          <w:sz w:val="24"/>
          <w:szCs w:val="24"/>
          <w:lang w:val="es-ES"/>
        </w:rPr>
        <w:t xml:space="preserve">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pStyle w:val="ListParagraph"/>
        <w:numPr>
          <w:ilvl w:val="0"/>
          <w:numId w:val="17"/>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En la Secretaría de Salud: talleres de estimulación temprana y la Estrategia de Desarrollo Infantil del Seguro Popular, para niños de 0-5 años;</w:t>
      </w:r>
    </w:p>
    <w:p w:rsidR="00AD1F84" w:rsidRPr="00C9535C" w:rsidRDefault="00AD1F84" w:rsidP="00902E4B">
      <w:pPr>
        <w:pStyle w:val="ListParagraph"/>
        <w:numPr>
          <w:ilvl w:val="0"/>
          <w:numId w:val="17"/>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En la Secretaría de Educación: el programa de Educación Escolar no-Escolarizado para Padres a cargo del Consejo Nacional de Fomento Educativo (CONAFE); el programa de Fortalecimiento a la Educación Temprana y al Desarrollo Infantil (PFETyDI) y de Centro de Desarrollo Infantil (CENDIs), para niños de 0-4 años y 45 días-6 años, respectivamente; el programa de Educación Inicial y Básica para Población Rural Indígena de 0-6 años; el programa de Educación Básica/Preescolar: general, comunitaria, indígena, para niños de 3 a 6 años;</w:t>
      </w:r>
    </w:p>
    <w:p w:rsidR="00AD1F84" w:rsidRPr="00C9535C" w:rsidRDefault="00AD1F84" w:rsidP="00902E4B">
      <w:pPr>
        <w:pStyle w:val="ListParagraph"/>
        <w:numPr>
          <w:ilvl w:val="0"/>
          <w:numId w:val="17"/>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En la Secretaría de Desarrollo Social: los Talleres Comunitarios de Autocuidado de la Salud (TCAS) del Instituto Mexicano de Seguro Social (IMSS) y PDHO, para padres/madres de familia; el proyecto piloto de Oportunidades y CONAFE, para padres/madres; el programa de Estancias Infantiles, para niños de 1-4 años, y en colaboración con el Sistema Nacional de Desarrollo Integral de la Familia (DIF);</w:t>
      </w:r>
    </w:p>
    <w:p w:rsidR="00AD1F84" w:rsidRPr="00C9535C" w:rsidRDefault="00AD1F84" w:rsidP="00902E4B">
      <w:pPr>
        <w:pStyle w:val="ListParagraph"/>
        <w:numPr>
          <w:ilvl w:val="0"/>
          <w:numId w:val="17"/>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En el Instituto Mexicano de Seguro Social (IMSS): guarderías Madres IMSS; guarderías ordinarias; guarderías vecinales comunitarias; guarderías en campo; y, guarderías integradoras;</w:t>
      </w:r>
    </w:p>
    <w:p w:rsidR="00AD1F84" w:rsidRPr="00C9535C" w:rsidRDefault="00AD1F84" w:rsidP="00902E4B">
      <w:pPr>
        <w:pStyle w:val="ListParagraph"/>
        <w:numPr>
          <w:ilvl w:val="0"/>
          <w:numId w:val="17"/>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En el Instituto de Seguridad y Servicios Sociales de los Trabajadores del Estado (ISSSTE): Estancias de Bienestar y Desarrollo Infantil – directos e indirectos; y,</w:t>
      </w:r>
    </w:p>
    <w:p w:rsidR="00AD1F84" w:rsidRPr="00C9535C" w:rsidRDefault="00AD1F84" w:rsidP="00902E4B">
      <w:pPr>
        <w:pStyle w:val="ListParagraph"/>
        <w:numPr>
          <w:ilvl w:val="0"/>
          <w:numId w:val="17"/>
        </w:numPr>
        <w:spacing w:after="0" w:line="240" w:lineRule="auto"/>
        <w:contextualSpacing w:val="0"/>
        <w:jc w:val="both"/>
        <w:rPr>
          <w:rFonts w:ascii="Times New Roman" w:hAnsi="Times New Roman"/>
          <w:sz w:val="24"/>
          <w:szCs w:val="24"/>
          <w:lang w:val="es-ES"/>
        </w:rPr>
      </w:pPr>
      <w:r w:rsidRPr="00C9535C">
        <w:rPr>
          <w:rFonts w:ascii="Times New Roman" w:hAnsi="Times New Roman"/>
          <w:sz w:val="24"/>
          <w:szCs w:val="24"/>
          <w:lang w:val="es-ES"/>
        </w:rPr>
        <w:t>En el Sistema Nacional de Desarrollo Integral de la Familia (DIF): Centros Asistenciales de Desarrollo Infantil; y Centros de Asistencia Infantil Comunitarios.</w:t>
      </w:r>
    </w:p>
    <w:p w:rsidR="00AD1F84" w:rsidRPr="00C9535C" w:rsidRDefault="004374B3"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No obstante, ninguno de estos programas y servicios tiene una cobertura importante en la población de niños beneficiarios del PDHO ni cuenta con la escala como para llegar a alcanzarla.</w:t>
      </w:r>
    </w:p>
    <w:p w:rsidR="004374B3" w:rsidRPr="00C9535C" w:rsidRDefault="004374B3"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Una de las justificaciones más sólidas para invertir en políticas de DIT se basa en la evidencia que muestra una relación positiva entre la calidad del cuidado recibido durante los primeros años de vida (medido a través de indicadores de desarrollo cognitivo, no-cognitivo y antropométrico) y el bienestar y productividad de las personas cuando son adultos. La calidad del cuidado infantil influye en el desarrollo social, cognitivo y de lenguaje (Helburn y Howes, 1996). Los programas de calidad alta promueven la seguridad de los niños en sí mismos, su estabilidad emocional, el uso del lenguaje y su desarrollo cognitivo (Howes y Hamilton, 1993, citado en Helburn y Howes, 1996). El desarrollo de estas capacidades tiene efectos positivos sobre logros escolares, salarios en la adultez y reducción de índices de criminalidad (Gertler et al., 2013; Gomby y Larner, 1995, citado en Helburn y Howes, 1996).</w:t>
      </w:r>
    </w:p>
    <w:p w:rsidR="00AD1F84" w:rsidRPr="00C9535C" w:rsidRDefault="00AD1F84" w:rsidP="00902E4B">
      <w:pPr>
        <w:spacing w:after="0" w:line="240" w:lineRule="auto"/>
        <w:jc w:val="both"/>
        <w:rPr>
          <w:rFonts w:ascii="Times New Roman" w:hAnsi="Times New Roman"/>
          <w:sz w:val="24"/>
          <w:szCs w:val="24"/>
          <w:lang w:val="es-ES"/>
        </w:rPr>
      </w:pPr>
    </w:p>
    <w:p w:rsidR="004374B3" w:rsidRPr="00C9535C" w:rsidRDefault="00AD1F84" w:rsidP="004374B3">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Existe abundante evidencia, regional y global, sobre qué intervenciones son más efectivas para incrementar el desarrollo cognitivo y no-cognitivo, y crecimiento de los niños. </w:t>
      </w:r>
      <w:r w:rsidR="004374B3" w:rsidRPr="00C9535C">
        <w:rPr>
          <w:rFonts w:ascii="Times New Roman" w:hAnsi="Times New Roman"/>
          <w:sz w:val="24"/>
          <w:szCs w:val="24"/>
          <w:lang w:val="es-ES"/>
        </w:rPr>
        <w:t xml:space="preserve">Esta sección presenta los principales resultados de evaluaciones de impacto de programas de DIT que han informado el proceso de diseño del modelo que se incorporaría al PDHO. </w:t>
      </w:r>
    </w:p>
    <w:p w:rsidR="004374B3" w:rsidRPr="00C9535C" w:rsidRDefault="004374B3"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A pesar que existen revisiones de las intervenciones en DIT disponibles en México (Myers et al., 2013), la evidencia sobre sus impactos es menos abundante. Dos evaluaciones recientes son la excepción. En primer lugar, la evaluación realizada por el INSP (2012) analiza si incluir intervenciones de DIT (en particular, el Programa de Educación Inicial no Escolarizada, PEI-CONAFE) en la población del PDHO en zonas rurales proporciona beneficios adicionales para la nutrición, salud y desarrollo de niños de 0 a 18 meses de edad. En segundo lugar, el INSP (2011) evalúa el impacto del Programa de Estancias Infantiles sobre la participación laboral femenina y desarrollo de los niños.</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Vale la pena discutir en mayor detalle los resultados obtenidos por la evaluación del INSP (2012) sobre los efectos de PEI-CONAFE sobre la población beneficiaria de PDHO en zonas rurales. El  estudio muestra que la intervención favoreció el desarrollo (principalmente en comunicación, motricidad y percepción) de los niños beneficiarios de PDHO y en el caso de las localidades no-indígenas, mejoró el crecimiento de los niños. El grupo de intervención logró puntajes significativamente mayores que el  grupo control.  L</w:t>
      </w:r>
      <w:r w:rsidR="0081540F" w:rsidRPr="00C9535C">
        <w:rPr>
          <w:rFonts w:ascii="Times New Roman" w:hAnsi="Times New Roman"/>
          <w:sz w:val="24"/>
          <w:szCs w:val="24"/>
          <w:lang w:val="es-ES"/>
        </w:rPr>
        <w:t xml:space="preserve">os efectos </w:t>
      </w:r>
      <w:r w:rsidR="00835C31" w:rsidRPr="00C9535C">
        <w:rPr>
          <w:rFonts w:ascii="Times New Roman" w:hAnsi="Times New Roman"/>
          <w:sz w:val="24"/>
          <w:szCs w:val="24"/>
          <w:lang w:val="es-ES"/>
        </w:rPr>
        <w:t>de</w:t>
      </w:r>
      <w:r w:rsidR="0081540F" w:rsidRPr="00C9535C">
        <w:rPr>
          <w:rFonts w:ascii="Times New Roman" w:hAnsi="Times New Roman"/>
          <w:sz w:val="24"/>
          <w:szCs w:val="24"/>
          <w:lang w:val="es-ES"/>
        </w:rPr>
        <w:t xml:space="preserve">l PEI-CONAFE </w:t>
      </w:r>
      <w:r w:rsidRPr="00C9535C">
        <w:rPr>
          <w:rFonts w:ascii="Times New Roman" w:hAnsi="Times New Roman"/>
          <w:sz w:val="24"/>
          <w:szCs w:val="24"/>
          <w:lang w:val="es-ES"/>
        </w:rPr>
        <w:t>fueron de la siguiente magnitud: en comunicación</w:t>
      </w:r>
      <w:r w:rsidR="0081540F" w:rsidRPr="00C9535C">
        <w:rPr>
          <w:rFonts w:ascii="Times New Roman" w:hAnsi="Times New Roman"/>
          <w:sz w:val="24"/>
          <w:szCs w:val="24"/>
          <w:lang w:val="es-ES"/>
        </w:rPr>
        <w:t>,</w:t>
      </w:r>
      <w:r w:rsidRPr="00C9535C">
        <w:rPr>
          <w:rFonts w:ascii="Times New Roman" w:hAnsi="Times New Roman"/>
          <w:sz w:val="24"/>
          <w:szCs w:val="24"/>
          <w:lang w:val="es-ES"/>
        </w:rPr>
        <w:t xml:space="preserve"> 1.1 puntos; </w:t>
      </w:r>
      <w:r w:rsidR="0081540F" w:rsidRPr="00C9535C">
        <w:rPr>
          <w:rFonts w:ascii="Times New Roman" w:hAnsi="Times New Roman"/>
          <w:sz w:val="24"/>
          <w:szCs w:val="24"/>
          <w:lang w:val="es-ES"/>
        </w:rPr>
        <w:t xml:space="preserve">en </w:t>
      </w:r>
      <w:r w:rsidRPr="00C9535C">
        <w:rPr>
          <w:rFonts w:ascii="Times New Roman" w:hAnsi="Times New Roman"/>
          <w:sz w:val="24"/>
          <w:szCs w:val="24"/>
          <w:lang w:val="es-ES"/>
        </w:rPr>
        <w:t>motricidad</w:t>
      </w:r>
      <w:r w:rsidR="0081540F" w:rsidRPr="00C9535C">
        <w:rPr>
          <w:rFonts w:ascii="Times New Roman" w:hAnsi="Times New Roman"/>
          <w:sz w:val="24"/>
          <w:szCs w:val="24"/>
          <w:lang w:val="es-ES"/>
        </w:rPr>
        <w:t>, 1</w:t>
      </w:r>
      <w:r w:rsidRPr="00C9535C">
        <w:rPr>
          <w:rFonts w:ascii="Times New Roman" w:hAnsi="Times New Roman"/>
          <w:sz w:val="24"/>
          <w:szCs w:val="24"/>
          <w:lang w:val="es-ES"/>
        </w:rPr>
        <w:t xml:space="preserve">.8 puntos; y </w:t>
      </w:r>
      <w:r w:rsidR="0081540F" w:rsidRPr="00C9535C">
        <w:rPr>
          <w:rFonts w:ascii="Times New Roman" w:hAnsi="Times New Roman"/>
          <w:sz w:val="24"/>
          <w:szCs w:val="24"/>
          <w:lang w:val="es-ES"/>
        </w:rPr>
        <w:t xml:space="preserve">en </w:t>
      </w:r>
      <w:r w:rsidRPr="00C9535C">
        <w:rPr>
          <w:rFonts w:ascii="Times New Roman" w:hAnsi="Times New Roman"/>
          <w:sz w:val="24"/>
          <w:szCs w:val="24"/>
          <w:lang w:val="es-ES"/>
        </w:rPr>
        <w:t>percepción 1.3 puntos;</w:t>
      </w:r>
      <w:r w:rsidR="0081540F" w:rsidRPr="00C9535C">
        <w:rPr>
          <w:rStyle w:val="FootnoteReference"/>
          <w:rFonts w:ascii="Times New Roman" w:hAnsi="Times New Roman"/>
          <w:sz w:val="24"/>
          <w:szCs w:val="24"/>
          <w:lang w:val="es-ES"/>
        </w:rPr>
        <w:footnoteReference w:id="9"/>
      </w:r>
      <w:r w:rsidRPr="00C9535C">
        <w:rPr>
          <w:rFonts w:ascii="Times New Roman" w:hAnsi="Times New Roman"/>
          <w:sz w:val="24"/>
          <w:szCs w:val="24"/>
          <w:lang w:val="es-ES"/>
        </w:rPr>
        <w:t xml:space="preserve"> sin embargo, el impacto de PEI-CONAFE en el estado de nutrición y desarrollo de los niños fue nulo o moderado y limitado a algunos indicadores del estado de nutrición y algunas sub-muestras. El estudio tuvo limitaciones metodológicas y heterogeneidad en la implementación. Las limitaciones metodológicas identificadas fueron: tamaños muestrales reducidos; parte de los resultados provenían de estimaciones con datos de corte transversal y no se analizaron diferencias en tendencias entre la población indígena y la no-indígena; la heterogeneidad en la implementación hace difícil distinguir el efecto atribuible a la falta de impacto de la intervención PEI-CONAFE per se o bien a los errores de medición.</w:t>
      </w:r>
      <w:r w:rsidR="00835C31" w:rsidRPr="00C9535C">
        <w:rPr>
          <w:rFonts w:ascii="Times New Roman" w:hAnsi="Times New Roman"/>
          <w:sz w:val="24"/>
          <w:szCs w:val="24"/>
          <w:lang w:val="es-ES"/>
        </w:rPr>
        <w:t xml:space="preserve"> De particular preocupación fue la heterogeneidad en la calidad de los capacitadores, lo cual puede haber introducido sesgos en la intervención que no son tomados en cuenta en la evaluación.</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Los resultados de la evaluación del INSP (2011) sobre el impacto del programa de Estancias Infantiles sobre el desarrollo infantil y participación laboral femenina también se analizaron con detalle. Los autores no contaban con una metodología de evaluación aleatoria; sin embargo, aprovecharon el tiempo de postulación al programa como fuente </w:t>
      </w:r>
      <w:r w:rsidR="001721F7" w:rsidRPr="00C9535C">
        <w:rPr>
          <w:rFonts w:ascii="Times New Roman" w:hAnsi="Times New Roman"/>
          <w:sz w:val="24"/>
          <w:szCs w:val="24"/>
          <w:lang w:val="es-ES"/>
        </w:rPr>
        <w:t xml:space="preserve">de variación </w:t>
      </w:r>
      <w:r w:rsidRPr="00C9535C">
        <w:rPr>
          <w:rFonts w:ascii="Times New Roman" w:hAnsi="Times New Roman"/>
          <w:sz w:val="24"/>
          <w:szCs w:val="24"/>
          <w:lang w:val="es-ES"/>
        </w:rPr>
        <w:t xml:space="preserve">exógena (a las características observables de los hogares) que les permitió formar un grupo control a comparar con el grupo de tratamiento y así encontrar efectos causales. Los efectos de la intervención sobre el desarrollo de los niños en la muestra agregada fueron nulos. Para los niños de 30 meses o más y con una exposición más larga al programa (más de 6 meses), la intervención mejoró en 0.3 desviaciones estándar (DE) los puntajes en comunicación en la prueba </w:t>
      </w:r>
      <w:r w:rsidRPr="00C9535C">
        <w:rPr>
          <w:rFonts w:ascii="Times New Roman" w:hAnsi="Times New Roman"/>
          <w:i/>
          <w:sz w:val="24"/>
          <w:szCs w:val="24"/>
          <w:lang w:val="es-ES"/>
        </w:rPr>
        <w:t xml:space="preserve">Ages and Stages (ASQ). </w:t>
      </w:r>
      <w:r w:rsidRPr="00C9535C">
        <w:rPr>
          <w:rFonts w:ascii="Times New Roman" w:hAnsi="Times New Roman"/>
          <w:sz w:val="24"/>
          <w:szCs w:val="24"/>
          <w:lang w:val="es-ES"/>
        </w:rPr>
        <w:t xml:space="preserve">El estudio también reportó efectos positivos (entre 0.2 y 0.3 DE) de la intervención en la escala de comportamiento socio-individual del ASQ para niños cuyas madres no trabajaban antes de la intervención. Respecto a los efectos de la intervención sobre la participación laboral de las beneficiarias, el estudio encontró que ésta tiene efectos significativos en la probabilidad de encontrar empleo (18%) y el número de horas trabajadas a la semana (6), y particularmente entre las madres que no trabajaban antes de la intervención.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intervención que </w:t>
      </w:r>
      <w:r w:rsidR="001721F7" w:rsidRPr="00C9535C">
        <w:rPr>
          <w:rFonts w:ascii="Times New Roman" w:hAnsi="Times New Roman"/>
          <w:sz w:val="24"/>
          <w:szCs w:val="24"/>
          <w:lang w:val="es-ES"/>
        </w:rPr>
        <w:t xml:space="preserve">se está considerando adoptar </w:t>
      </w:r>
      <w:r w:rsidRPr="00C9535C">
        <w:rPr>
          <w:rFonts w:ascii="Times New Roman" w:hAnsi="Times New Roman"/>
          <w:sz w:val="24"/>
          <w:szCs w:val="24"/>
          <w:lang w:val="es-ES"/>
        </w:rPr>
        <w:t xml:space="preserve">dentro del marco del PDHO es una de un “programa </w:t>
      </w:r>
      <w:r w:rsidR="001721F7" w:rsidRPr="00C9535C">
        <w:rPr>
          <w:rFonts w:ascii="Times New Roman" w:hAnsi="Times New Roman"/>
          <w:sz w:val="24"/>
          <w:szCs w:val="24"/>
          <w:lang w:val="es-ES"/>
        </w:rPr>
        <w:t xml:space="preserve">de apoyo </w:t>
      </w:r>
      <w:r w:rsidRPr="00C9535C">
        <w:rPr>
          <w:rFonts w:ascii="Times New Roman" w:hAnsi="Times New Roman"/>
          <w:sz w:val="24"/>
          <w:szCs w:val="24"/>
          <w:lang w:val="es-ES"/>
        </w:rPr>
        <w:t xml:space="preserve">parental o de acompañamiento familiar”, que se caracteriza por el entrenamiento periódico, en el hogar o espacio comunitario, y a cargo de un capacitador, a uno de los padres o al cuidador principal del niño. El entrenamiento periódico busca incrementar el grado de apego entre padres e hijos y mejorar </w:t>
      </w:r>
      <w:r w:rsidR="001721F7" w:rsidRPr="00C9535C">
        <w:rPr>
          <w:rFonts w:ascii="Times New Roman" w:hAnsi="Times New Roman"/>
          <w:sz w:val="24"/>
          <w:szCs w:val="24"/>
          <w:lang w:val="es-ES"/>
        </w:rPr>
        <w:t xml:space="preserve">la calidad de las interacciones entre </w:t>
      </w:r>
      <w:r w:rsidRPr="00C9535C">
        <w:rPr>
          <w:rFonts w:ascii="Times New Roman" w:hAnsi="Times New Roman"/>
          <w:sz w:val="24"/>
          <w:szCs w:val="24"/>
          <w:lang w:val="es-ES"/>
        </w:rPr>
        <w:t xml:space="preserve">los padres </w:t>
      </w:r>
      <w:r w:rsidR="001721F7" w:rsidRPr="00C9535C">
        <w:rPr>
          <w:rFonts w:ascii="Times New Roman" w:hAnsi="Times New Roman"/>
          <w:sz w:val="24"/>
          <w:szCs w:val="24"/>
          <w:lang w:val="es-ES"/>
        </w:rPr>
        <w:t xml:space="preserve">y </w:t>
      </w:r>
      <w:r w:rsidRPr="00C9535C">
        <w:rPr>
          <w:rFonts w:ascii="Times New Roman" w:hAnsi="Times New Roman"/>
          <w:sz w:val="24"/>
          <w:szCs w:val="24"/>
          <w:lang w:val="es-ES"/>
        </w:rPr>
        <w:t xml:space="preserve">los niños. Se espera que esta capacitación conlleve a los padres a una mayor y mejor estimulación temprana y mejores prácticas relacionadas a la salud y </w:t>
      </w:r>
      <w:r w:rsidR="001721F7" w:rsidRPr="00C9535C">
        <w:rPr>
          <w:rFonts w:ascii="Times New Roman" w:hAnsi="Times New Roman"/>
          <w:sz w:val="24"/>
          <w:szCs w:val="24"/>
          <w:lang w:val="es-ES"/>
        </w:rPr>
        <w:t xml:space="preserve">el cuidado </w:t>
      </w:r>
      <w:r w:rsidRPr="00C9535C">
        <w:rPr>
          <w:rFonts w:ascii="Times New Roman" w:hAnsi="Times New Roman"/>
          <w:sz w:val="24"/>
          <w:szCs w:val="24"/>
          <w:lang w:val="es-ES"/>
        </w:rPr>
        <w:t xml:space="preserve">infantil. Estos cambios también tendrían consecuencias positivas sobre el desarrollo cognitivo y el comportamiento de los niños. De acuerdo a Araujo et al. (2012), </w:t>
      </w:r>
      <w:r w:rsidR="001721F7" w:rsidRPr="00C9535C">
        <w:rPr>
          <w:rFonts w:ascii="Times New Roman" w:hAnsi="Times New Roman"/>
          <w:sz w:val="24"/>
          <w:szCs w:val="24"/>
          <w:lang w:val="es-ES"/>
        </w:rPr>
        <w:t xml:space="preserve">los </w:t>
      </w:r>
      <w:r w:rsidRPr="00C9535C">
        <w:rPr>
          <w:rFonts w:ascii="Times New Roman" w:hAnsi="Times New Roman"/>
          <w:sz w:val="24"/>
          <w:szCs w:val="24"/>
          <w:lang w:val="es-ES"/>
        </w:rPr>
        <w:t xml:space="preserve">programas </w:t>
      </w:r>
      <w:r w:rsidR="001721F7" w:rsidRPr="00C9535C">
        <w:rPr>
          <w:rFonts w:ascii="Times New Roman" w:hAnsi="Times New Roman"/>
          <w:sz w:val="24"/>
          <w:szCs w:val="24"/>
          <w:lang w:val="es-ES"/>
        </w:rPr>
        <w:t xml:space="preserve">de apoyo parental, </w:t>
      </w:r>
      <w:r w:rsidRPr="00C9535C">
        <w:rPr>
          <w:rFonts w:ascii="Times New Roman" w:hAnsi="Times New Roman"/>
          <w:sz w:val="24"/>
          <w:szCs w:val="24"/>
          <w:lang w:val="es-ES"/>
        </w:rPr>
        <w:t xml:space="preserve">a pesar de ser operativamente menos costosos que los programas que </w:t>
      </w:r>
      <w:r w:rsidR="001721F7" w:rsidRPr="00C9535C">
        <w:rPr>
          <w:rFonts w:ascii="Times New Roman" w:hAnsi="Times New Roman"/>
          <w:sz w:val="24"/>
          <w:szCs w:val="24"/>
          <w:lang w:val="es-ES"/>
        </w:rPr>
        <w:t>ofrecen servicios de cuidado en centros</w:t>
      </w:r>
      <w:r w:rsidRPr="00C9535C">
        <w:rPr>
          <w:rFonts w:ascii="Times New Roman" w:hAnsi="Times New Roman"/>
          <w:sz w:val="24"/>
          <w:szCs w:val="24"/>
          <w:lang w:val="es-ES"/>
        </w:rPr>
        <w:t xml:space="preserve">, pueden ser menos </w:t>
      </w:r>
      <w:r w:rsidR="001721F7" w:rsidRPr="00C9535C">
        <w:rPr>
          <w:rFonts w:ascii="Times New Roman" w:hAnsi="Times New Roman"/>
          <w:sz w:val="24"/>
          <w:szCs w:val="24"/>
          <w:lang w:val="es-ES"/>
        </w:rPr>
        <w:t xml:space="preserve">eficaces </w:t>
      </w:r>
      <w:r w:rsidRPr="00C9535C">
        <w:rPr>
          <w:rFonts w:ascii="Times New Roman" w:hAnsi="Times New Roman"/>
          <w:sz w:val="24"/>
          <w:szCs w:val="24"/>
          <w:lang w:val="es-ES"/>
        </w:rPr>
        <w:t>debido a</w:t>
      </w:r>
      <w:r w:rsidR="001721F7" w:rsidRPr="00C9535C">
        <w:rPr>
          <w:rFonts w:ascii="Times New Roman" w:hAnsi="Times New Roman"/>
          <w:sz w:val="24"/>
          <w:szCs w:val="24"/>
          <w:lang w:val="es-ES"/>
        </w:rPr>
        <w:t xml:space="preserve"> que no es fácil asegurar la asistencia de </w:t>
      </w:r>
      <w:r w:rsidRPr="00C9535C">
        <w:rPr>
          <w:rFonts w:ascii="Times New Roman" w:hAnsi="Times New Roman"/>
          <w:sz w:val="24"/>
          <w:szCs w:val="24"/>
          <w:lang w:val="es-ES"/>
        </w:rPr>
        <w:t xml:space="preserve">los padres </w:t>
      </w:r>
      <w:r w:rsidR="001721F7" w:rsidRPr="00C9535C">
        <w:rPr>
          <w:rFonts w:ascii="Times New Roman" w:hAnsi="Times New Roman"/>
          <w:sz w:val="24"/>
          <w:szCs w:val="24"/>
          <w:lang w:val="es-ES"/>
        </w:rPr>
        <w:t>a las sesiones que, por diseño, ocurren con una frecuencia no mayor de una vez por semana</w:t>
      </w:r>
      <w:r w:rsidRPr="00C9535C">
        <w:rPr>
          <w:rFonts w:ascii="Times New Roman" w:hAnsi="Times New Roman"/>
          <w:sz w:val="24"/>
          <w:szCs w:val="24"/>
          <w:lang w:val="es-ES"/>
        </w:rPr>
        <w:t>. Las evaluaciones de este tipo de intervención son más escasas (Baker-Henningham y López-Boo, 2013; Rodríguez-Gómez y Harris-Van Keuren, 2013) que en el caso de las intervenciones que ocurren en centros o de cuidado diurno</w:t>
      </w:r>
      <w:r w:rsidR="001721F7" w:rsidRPr="00C9535C">
        <w:rPr>
          <w:rFonts w:ascii="Times New Roman" w:hAnsi="Times New Roman"/>
          <w:sz w:val="24"/>
          <w:szCs w:val="24"/>
          <w:lang w:val="es-ES"/>
        </w:rPr>
        <w:t>, o guarderías</w:t>
      </w:r>
      <w:r w:rsidRPr="00C9535C">
        <w:rPr>
          <w:rFonts w:ascii="Times New Roman" w:hAnsi="Times New Roman"/>
          <w:sz w:val="24"/>
          <w:szCs w:val="24"/>
          <w:lang w:val="es-ES"/>
        </w:rPr>
        <w:t xml:space="preserve">. Sin embargo, por lo general se encuentra una relación positiva entre el grado de capacitación del cuidador y la calidad del cuidado brindado en el entorno del hogar. </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4463FF"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literatura </w:t>
      </w:r>
      <w:r w:rsidR="00AD1F84" w:rsidRPr="00C9535C">
        <w:rPr>
          <w:rFonts w:ascii="Times New Roman" w:hAnsi="Times New Roman"/>
          <w:sz w:val="24"/>
          <w:szCs w:val="24"/>
          <w:lang w:val="es-ES"/>
        </w:rPr>
        <w:t>resalta que la calidad del cuidado de los niños es un determinante clave del resultado</w:t>
      </w:r>
      <w:r w:rsidRPr="00C9535C">
        <w:rPr>
          <w:rFonts w:ascii="Times New Roman" w:hAnsi="Times New Roman"/>
          <w:sz w:val="24"/>
          <w:szCs w:val="24"/>
          <w:lang w:val="es-ES"/>
        </w:rPr>
        <w:t xml:space="preserve"> de los programas de DIT</w:t>
      </w:r>
      <w:r w:rsidR="00AD1F84" w:rsidRPr="00C9535C">
        <w:rPr>
          <w:rFonts w:ascii="Times New Roman" w:hAnsi="Times New Roman"/>
          <w:sz w:val="24"/>
          <w:szCs w:val="24"/>
          <w:lang w:val="es-ES"/>
        </w:rPr>
        <w:t>. Un reciente estudio de Baker-Henningham y López-Boo (2013) revisó la efectividad de distintas intervenciones de DIT en países en desarrollo con el objetivo de detectar las condiciones en las que estos programas funcionan mejor y para qué grupos poblacionales. Las autoras concluyeron que: (i) las intervenciones de mayor intensidad y de mayor duración son las más eficaces; y, (ii) para ser más efectivas deben centrarse en los niños más pequeños así como los más desfavorecidos, y también buscar activamente la participación de las familias y los cuidadores.</w:t>
      </w:r>
      <w:r w:rsidR="00AB11A7" w:rsidRPr="00C9535C">
        <w:rPr>
          <w:rStyle w:val="FootnoteReference"/>
          <w:rFonts w:ascii="Times New Roman" w:hAnsi="Times New Roman"/>
          <w:sz w:val="24"/>
          <w:szCs w:val="24"/>
          <w:lang w:val="es-ES"/>
        </w:rPr>
        <w:footnoteReference w:id="10"/>
      </w:r>
      <w:r w:rsidR="00AD1F84" w:rsidRPr="00C9535C">
        <w:rPr>
          <w:rFonts w:ascii="Times New Roman" w:hAnsi="Times New Roman"/>
          <w:sz w:val="24"/>
          <w:szCs w:val="24"/>
          <w:lang w:val="es-ES"/>
        </w:rPr>
        <w:t xml:space="preserve"> </w:t>
      </w:r>
      <w:r w:rsidR="004B321D" w:rsidRPr="00C9535C">
        <w:rPr>
          <w:rFonts w:ascii="Times New Roman" w:hAnsi="Times New Roman"/>
          <w:sz w:val="24"/>
          <w:szCs w:val="24"/>
          <w:lang w:val="es-ES"/>
        </w:rPr>
        <w:t>L</w:t>
      </w:r>
      <w:r w:rsidR="00AD1F84" w:rsidRPr="00C9535C">
        <w:rPr>
          <w:rFonts w:ascii="Times New Roman" w:hAnsi="Times New Roman"/>
          <w:sz w:val="24"/>
          <w:szCs w:val="24"/>
          <w:lang w:val="es-ES"/>
        </w:rPr>
        <w:t xml:space="preserve">as autoras resaltan la necesidad de contar con más estudios que permitan determinar la </w:t>
      </w:r>
      <w:r w:rsidR="00ED6EAA" w:rsidRPr="00C9535C">
        <w:rPr>
          <w:rFonts w:ascii="Times New Roman" w:hAnsi="Times New Roman"/>
          <w:sz w:val="24"/>
          <w:szCs w:val="24"/>
          <w:lang w:val="es-ES"/>
        </w:rPr>
        <w:t>edad ó</w:t>
      </w:r>
      <w:r w:rsidR="00AD1F84" w:rsidRPr="00C9535C">
        <w:rPr>
          <w:rFonts w:ascii="Times New Roman" w:hAnsi="Times New Roman"/>
          <w:sz w:val="24"/>
          <w:szCs w:val="24"/>
          <w:lang w:val="es-ES"/>
        </w:rPr>
        <w:t xml:space="preserve">ptima </w:t>
      </w:r>
      <w:r w:rsidR="00ED6EAA" w:rsidRPr="00C9535C">
        <w:rPr>
          <w:rFonts w:ascii="Times New Roman" w:hAnsi="Times New Roman"/>
          <w:sz w:val="24"/>
          <w:szCs w:val="24"/>
          <w:lang w:val="es-ES"/>
        </w:rPr>
        <w:t xml:space="preserve">a la cuál </w:t>
      </w:r>
      <w:r w:rsidR="00AD1F84" w:rsidRPr="00C9535C">
        <w:rPr>
          <w:rFonts w:ascii="Times New Roman" w:hAnsi="Times New Roman"/>
          <w:sz w:val="24"/>
          <w:szCs w:val="24"/>
          <w:lang w:val="es-ES"/>
        </w:rPr>
        <w:t>interveni</w:t>
      </w:r>
      <w:r w:rsidR="00ED6EAA" w:rsidRPr="00C9535C">
        <w:rPr>
          <w:rFonts w:ascii="Times New Roman" w:hAnsi="Times New Roman"/>
          <w:sz w:val="24"/>
          <w:szCs w:val="24"/>
          <w:lang w:val="es-ES"/>
        </w:rPr>
        <w:t>r</w:t>
      </w:r>
      <w:r w:rsidR="00AD1F84" w:rsidRPr="00C9535C">
        <w:rPr>
          <w:rFonts w:ascii="Times New Roman" w:hAnsi="Times New Roman"/>
          <w:sz w:val="24"/>
          <w:szCs w:val="24"/>
          <w:lang w:val="es-ES"/>
        </w:rPr>
        <w:t xml:space="preserve"> y las modalidades de entrega del servicio más costo-efectivas.</w:t>
      </w:r>
    </w:p>
    <w:p w:rsidR="00B449E9" w:rsidRPr="00C9535C" w:rsidRDefault="00B449E9" w:rsidP="00902E4B">
      <w:pPr>
        <w:spacing w:after="0" w:line="240" w:lineRule="auto"/>
        <w:jc w:val="both"/>
        <w:rPr>
          <w:rFonts w:ascii="Times New Roman" w:hAnsi="Times New Roman"/>
          <w:sz w:val="24"/>
          <w:szCs w:val="24"/>
          <w:lang w:val="es-ES"/>
        </w:rPr>
      </w:pPr>
    </w:p>
    <w:p w:rsidR="00B449E9" w:rsidRPr="00C9535C" w:rsidRDefault="00B449E9" w:rsidP="00902E4B">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Análisis Costo-</w:t>
      </w:r>
      <w:r w:rsidR="00742C55">
        <w:rPr>
          <w:rFonts w:ascii="Times New Roman" w:hAnsi="Times New Roman"/>
          <w:b/>
          <w:sz w:val="24"/>
          <w:szCs w:val="24"/>
          <w:lang w:val="es-ES"/>
        </w:rPr>
        <w:t>Efectividad</w:t>
      </w:r>
    </w:p>
    <w:p w:rsidR="00AD1F84" w:rsidRPr="00C9535C" w:rsidRDefault="00AD1F84"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La disponibilidad de literatura de evaluaciones de intervenciones de DIT es actualmente amplia y ha sido fuertemente  influenciada por el trabajo pionero de Powell y Grantham-McGregor (1989). Las autoras encontraron que un programa de apoyo parental </w:t>
      </w:r>
      <w:r w:rsidR="004B321D" w:rsidRPr="00C9535C">
        <w:rPr>
          <w:rFonts w:ascii="Times New Roman" w:hAnsi="Times New Roman"/>
          <w:sz w:val="24"/>
          <w:szCs w:val="24"/>
          <w:lang w:val="es-ES"/>
        </w:rPr>
        <w:t xml:space="preserve">con visitas semanales </w:t>
      </w:r>
      <w:r w:rsidRPr="00C9535C">
        <w:rPr>
          <w:rFonts w:ascii="Times New Roman" w:hAnsi="Times New Roman"/>
          <w:sz w:val="24"/>
          <w:szCs w:val="24"/>
          <w:lang w:val="es-ES"/>
        </w:rPr>
        <w:t>tuvo efectos importantes en el Coeficiente Intelectual de los niños en Jamaica. Respecto a evaluaciones recientes, a continuación se presenta una breve revisión de otros programas de DIT aplicados a niños menores de tres años para los cuales se cuenta con una evaluación de impacto (</w:t>
      </w:r>
      <w:r w:rsidR="006B2012" w:rsidRPr="00C9535C">
        <w:rPr>
          <w:rFonts w:ascii="Times New Roman" w:hAnsi="Times New Roman"/>
          <w:sz w:val="24"/>
          <w:szCs w:val="24"/>
          <w:lang w:val="es-ES"/>
        </w:rPr>
        <w:t xml:space="preserve">Tabla </w:t>
      </w:r>
      <w:r w:rsidR="00D94EAB">
        <w:rPr>
          <w:rFonts w:ascii="Times New Roman" w:hAnsi="Times New Roman"/>
          <w:sz w:val="24"/>
          <w:szCs w:val="24"/>
          <w:lang w:val="es-ES"/>
        </w:rPr>
        <w:t>10</w:t>
      </w:r>
      <w:r w:rsidRPr="00C9535C">
        <w:rPr>
          <w:rFonts w:ascii="Times New Roman" w:hAnsi="Times New Roman"/>
          <w:sz w:val="24"/>
          <w:szCs w:val="24"/>
          <w:lang w:val="es-ES"/>
        </w:rPr>
        <w:t xml:space="preserve">). Los resultados fueron evaluados desde diversas dimensiones de desarrollo infantil: cognitivo (IQ, lenguaje, etc.);  no-cognitivo (destreza motora gruesa y fina); y, físico (talla). Los estudios se realizaron en Perú, Chile, Jamaica, Ecuador, Colombia, Brasil, Bangladesh, Vietnam, China y Filipinas. </w:t>
      </w:r>
    </w:p>
    <w:p w:rsidR="003508DC" w:rsidRPr="00C9535C" w:rsidRDefault="003508DC" w:rsidP="00902E4B">
      <w:pPr>
        <w:spacing w:after="0" w:line="240" w:lineRule="auto"/>
        <w:jc w:val="center"/>
        <w:rPr>
          <w:rFonts w:ascii="Times New Roman" w:hAnsi="Times New Roman"/>
          <w:b/>
          <w:sz w:val="24"/>
          <w:szCs w:val="24"/>
          <w:lang w:val="es-ES"/>
        </w:rPr>
      </w:pPr>
    </w:p>
    <w:p w:rsidR="00AD1F84" w:rsidRPr="00C9535C" w:rsidRDefault="004B321D" w:rsidP="005B084C">
      <w:pPr>
        <w:spacing w:after="0" w:line="360" w:lineRule="auto"/>
        <w:jc w:val="center"/>
        <w:rPr>
          <w:rFonts w:ascii="Times New Roman" w:hAnsi="Times New Roman"/>
          <w:b/>
          <w:sz w:val="24"/>
          <w:szCs w:val="24"/>
          <w:lang w:val="es-ES"/>
        </w:rPr>
      </w:pPr>
      <w:r w:rsidRPr="00C9535C">
        <w:rPr>
          <w:rFonts w:ascii="Times New Roman" w:hAnsi="Times New Roman"/>
          <w:b/>
          <w:sz w:val="24"/>
          <w:szCs w:val="24"/>
          <w:lang w:val="es-ES"/>
        </w:rPr>
        <w:t xml:space="preserve">Tabla </w:t>
      </w:r>
      <w:r w:rsidR="00D94EAB">
        <w:rPr>
          <w:rFonts w:ascii="Times New Roman" w:hAnsi="Times New Roman"/>
          <w:b/>
          <w:sz w:val="24"/>
          <w:szCs w:val="24"/>
          <w:lang w:val="es-ES"/>
        </w:rPr>
        <w:t>10</w:t>
      </w:r>
      <w:r w:rsidR="00AD1F84" w:rsidRPr="00C9535C">
        <w:rPr>
          <w:rFonts w:ascii="Times New Roman" w:hAnsi="Times New Roman"/>
          <w:b/>
          <w:sz w:val="24"/>
          <w:szCs w:val="24"/>
          <w:lang w:val="es-ES"/>
        </w:rPr>
        <w:t>: Impacto de Programas de DIT</w:t>
      </w:r>
    </w:p>
    <w:tbl>
      <w:tblPr>
        <w:tblW w:w="9380" w:type="dxa"/>
        <w:tblInd w:w="93" w:type="dxa"/>
        <w:tblLook w:val="04A0" w:firstRow="1" w:lastRow="0" w:firstColumn="1" w:lastColumn="0" w:noHBand="0" w:noVBand="1"/>
      </w:tblPr>
      <w:tblGrid>
        <w:gridCol w:w="1338"/>
        <w:gridCol w:w="1780"/>
        <w:gridCol w:w="6262"/>
      </w:tblGrid>
      <w:tr w:rsidR="00AD1F84" w:rsidRPr="00C9535C" w:rsidTr="00B9283C">
        <w:trPr>
          <w:trHeight w:val="700"/>
          <w:tblHeader/>
        </w:trPr>
        <w:tc>
          <w:tcPr>
            <w:tcW w:w="1338" w:type="dxa"/>
            <w:tcBorders>
              <w:top w:val="single" w:sz="8" w:space="0" w:color="auto"/>
              <w:left w:val="single" w:sz="8" w:space="0" w:color="auto"/>
              <w:bottom w:val="nil"/>
              <w:right w:val="single" w:sz="4" w:space="0" w:color="auto"/>
            </w:tcBorders>
            <w:shd w:val="clear" w:color="auto" w:fill="8DB3E2" w:themeFill="text2" w:themeFillTint="66"/>
            <w:vAlign w:val="center"/>
            <w:hideMark/>
          </w:tcPr>
          <w:p w:rsidR="00AD1F84" w:rsidRPr="00C9535C" w:rsidRDefault="00AD1F84" w:rsidP="00902E4B">
            <w:pPr>
              <w:spacing w:after="0" w:line="240" w:lineRule="auto"/>
              <w:jc w:val="center"/>
              <w:rPr>
                <w:rFonts w:ascii="Times New Roman" w:eastAsia="Times New Roman" w:hAnsi="Times New Roman"/>
                <w:b/>
                <w:bCs/>
                <w:color w:val="000000"/>
                <w:sz w:val="20"/>
                <w:szCs w:val="20"/>
                <w:lang w:val="es-ES"/>
              </w:rPr>
            </w:pPr>
            <w:r w:rsidRPr="00C9535C">
              <w:rPr>
                <w:rFonts w:ascii="Times New Roman" w:eastAsia="Times New Roman" w:hAnsi="Times New Roman"/>
                <w:b/>
                <w:bCs/>
                <w:color w:val="000000"/>
                <w:sz w:val="20"/>
                <w:szCs w:val="20"/>
                <w:lang w:val="es-ES"/>
              </w:rPr>
              <w:t>País - Evaluación (año)</w:t>
            </w:r>
          </w:p>
        </w:tc>
        <w:tc>
          <w:tcPr>
            <w:tcW w:w="1780" w:type="dxa"/>
            <w:tcBorders>
              <w:top w:val="single" w:sz="8" w:space="0" w:color="auto"/>
              <w:left w:val="nil"/>
              <w:bottom w:val="nil"/>
              <w:right w:val="single" w:sz="4" w:space="0" w:color="auto"/>
            </w:tcBorders>
            <w:shd w:val="clear" w:color="auto" w:fill="8DB3E2" w:themeFill="text2" w:themeFillTint="66"/>
            <w:vAlign w:val="center"/>
            <w:hideMark/>
          </w:tcPr>
          <w:p w:rsidR="00AD1F84" w:rsidRPr="00C9535C" w:rsidRDefault="00AD1F84" w:rsidP="00902E4B">
            <w:pPr>
              <w:spacing w:after="0" w:line="240" w:lineRule="auto"/>
              <w:jc w:val="center"/>
              <w:rPr>
                <w:rFonts w:ascii="Times New Roman" w:eastAsia="Times New Roman" w:hAnsi="Times New Roman"/>
                <w:b/>
                <w:bCs/>
                <w:color w:val="000000"/>
                <w:sz w:val="20"/>
                <w:szCs w:val="20"/>
                <w:lang w:val="es-ES"/>
              </w:rPr>
            </w:pPr>
            <w:r w:rsidRPr="00C9535C">
              <w:rPr>
                <w:rFonts w:ascii="Times New Roman" w:eastAsia="Times New Roman" w:hAnsi="Times New Roman"/>
                <w:b/>
                <w:bCs/>
                <w:color w:val="000000"/>
                <w:sz w:val="20"/>
                <w:szCs w:val="20"/>
                <w:lang w:val="es-ES"/>
              </w:rPr>
              <w:t>Tipo de intervención</w:t>
            </w:r>
          </w:p>
        </w:tc>
        <w:tc>
          <w:tcPr>
            <w:tcW w:w="6262" w:type="dxa"/>
            <w:tcBorders>
              <w:top w:val="single" w:sz="8" w:space="0" w:color="auto"/>
              <w:left w:val="nil"/>
              <w:bottom w:val="nil"/>
              <w:right w:val="single" w:sz="8" w:space="0" w:color="auto"/>
            </w:tcBorders>
            <w:shd w:val="clear" w:color="auto" w:fill="8DB3E2" w:themeFill="text2" w:themeFillTint="66"/>
            <w:vAlign w:val="center"/>
            <w:hideMark/>
          </w:tcPr>
          <w:p w:rsidR="00AD1F84" w:rsidRPr="00C9535C" w:rsidRDefault="00AD1F84" w:rsidP="00902E4B">
            <w:pPr>
              <w:spacing w:after="0" w:line="240" w:lineRule="auto"/>
              <w:jc w:val="center"/>
              <w:rPr>
                <w:rFonts w:ascii="Times New Roman" w:eastAsia="Times New Roman" w:hAnsi="Times New Roman"/>
                <w:b/>
                <w:bCs/>
                <w:color w:val="000000"/>
                <w:sz w:val="20"/>
                <w:szCs w:val="20"/>
                <w:lang w:val="es-ES"/>
              </w:rPr>
            </w:pPr>
            <w:r w:rsidRPr="00C9535C">
              <w:rPr>
                <w:rFonts w:ascii="Times New Roman" w:eastAsia="Times New Roman" w:hAnsi="Times New Roman"/>
                <w:b/>
                <w:bCs/>
                <w:color w:val="000000"/>
                <w:sz w:val="20"/>
                <w:szCs w:val="20"/>
                <w:lang w:val="es-ES"/>
              </w:rPr>
              <w:t>Impacto sobre DIT</w:t>
            </w:r>
          </w:p>
        </w:tc>
      </w:tr>
      <w:tr w:rsidR="00AD1F84" w:rsidRPr="004E10F8" w:rsidTr="004F487F">
        <w:trPr>
          <w:trHeight w:val="970"/>
        </w:trPr>
        <w:tc>
          <w:tcPr>
            <w:tcW w:w="133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Jamaica - Janssens (2008)</w:t>
            </w:r>
          </w:p>
        </w:tc>
        <w:tc>
          <w:tcPr>
            <w:tcW w:w="1780" w:type="dxa"/>
            <w:tcBorders>
              <w:top w:val="single" w:sz="8" w:space="0" w:color="auto"/>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Acompañamiento familiar para niños de hasta 3 años de edad</w:t>
            </w:r>
          </w:p>
        </w:tc>
        <w:tc>
          <w:tcPr>
            <w:tcW w:w="6262" w:type="dxa"/>
            <w:tcBorders>
              <w:top w:val="single" w:sz="8" w:space="0" w:color="auto"/>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 xml:space="preserve">La motricidad fina y la percepción visual mejoraron casi media desviación estándar en relación al grupo </w:t>
            </w:r>
          </w:p>
        </w:tc>
      </w:tr>
      <w:tr w:rsidR="00AD1F84" w:rsidRPr="004E10F8" w:rsidTr="004F487F">
        <w:trPr>
          <w:trHeight w:val="980"/>
        </w:trPr>
        <w:tc>
          <w:tcPr>
            <w:tcW w:w="1338" w:type="dxa"/>
            <w:tcBorders>
              <w:top w:val="nil"/>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Brasil - Eickmann et al. (2003)</w:t>
            </w:r>
          </w:p>
        </w:tc>
        <w:tc>
          <w:tcPr>
            <w:tcW w:w="1780" w:type="dxa"/>
            <w:tcBorders>
              <w:top w:val="nil"/>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Acompañamiento familiar para niños de entre 1 y 2 años</w:t>
            </w:r>
          </w:p>
        </w:tc>
        <w:tc>
          <w:tcPr>
            <w:tcW w:w="6262" w:type="dxa"/>
            <w:tcBorders>
              <w:top w:val="nil"/>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El índice de desarrollo mental alcanzó una media de 105 para el grupo tratamiento y 95,6 para el grupo control a los 18 meses luego de 6 de tratamiento (101,2 y 101,9 respectivamente como línea de base.</w:t>
            </w:r>
          </w:p>
        </w:tc>
      </w:tr>
      <w:tr w:rsidR="00AD1F84" w:rsidRPr="004E10F8" w:rsidTr="004F487F">
        <w:trPr>
          <w:trHeight w:val="980"/>
        </w:trPr>
        <w:tc>
          <w:tcPr>
            <w:tcW w:w="1338" w:type="dxa"/>
            <w:tcBorders>
              <w:top w:val="nil"/>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Vietnam - Watanabe et. al. (2005)</w:t>
            </w:r>
          </w:p>
        </w:tc>
        <w:tc>
          <w:tcPr>
            <w:tcW w:w="1780" w:type="dxa"/>
            <w:tcBorders>
              <w:top w:val="nil"/>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Acompañamiento familiar centrado en el aspecto nutricional</w:t>
            </w:r>
          </w:p>
        </w:tc>
        <w:tc>
          <w:tcPr>
            <w:tcW w:w="6262" w:type="dxa"/>
            <w:tcBorders>
              <w:top w:val="nil"/>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Los scores en el test de Raven fueron significativamente más altos en los niños beneficiarios del programa de cuidado (16,5 vs. 14,9).</w:t>
            </w:r>
          </w:p>
        </w:tc>
      </w:tr>
      <w:tr w:rsidR="00AD1F84" w:rsidRPr="004E10F8" w:rsidTr="004F487F">
        <w:trPr>
          <w:trHeight w:val="980"/>
        </w:trPr>
        <w:tc>
          <w:tcPr>
            <w:tcW w:w="1338" w:type="dxa"/>
            <w:tcBorders>
              <w:top w:val="single" w:sz="4" w:space="0" w:color="auto"/>
              <w:left w:val="single" w:sz="8" w:space="0" w:color="auto"/>
              <w:bottom w:val="nil"/>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China - Xingming Jin et al. (2007)</w:t>
            </w:r>
          </w:p>
        </w:tc>
        <w:tc>
          <w:tcPr>
            <w:tcW w:w="1780" w:type="dxa"/>
            <w:tcBorders>
              <w:top w:val="single" w:sz="4" w:space="0" w:color="auto"/>
              <w:left w:val="nil"/>
              <w:bottom w:val="nil"/>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Acompañamiento familiar para menores de 2 años de edad</w:t>
            </w:r>
          </w:p>
        </w:tc>
        <w:tc>
          <w:tcPr>
            <w:tcW w:w="6262" w:type="dxa"/>
            <w:tcBorders>
              <w:top w:val="single" w:sz="4" w:space="0" w:color="auto"/>
              <w:left w:val="nil"/>
              <w:bottom w:val="nil"/>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Luego de la intervención el grupo de tratamiento registró una media de desarrollo de lenguaje de 96,62 en comparación con el grupo control, cuya media fue de 90,33. Como línea de base, el grupo tratamiento evidenció una capacidad de lenguaje de 88,84 y el grupo control 92,46</w:t>
            </w:r>
          </w:p>
        </w:tc>
      </w:tr>
      <w:tr w:rsidR="00AD1F84" w:rsidRPr="004E10F8" w:rsidTr="004F487F">
        <w:trPr>
          <w:trHeight w:val="1200"/>
        </w:trPr>
        <w:tc>
          <w:tcPr>
            <w:tcW w:w="133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Colombia - Attanasio et al. (2012)</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Acompañamiento familiar</w:t>
            </w:r>
          </w:p>
        </w:tc>
        <w:tc>
          <w:tcPr>
            <w:tcW w:w="6262" w:type="dxa"/>
            <w:tcBorders>
              <w:top w:val="single" w:sz="4" w:space="0" w:color="auto"/>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La intervención aumenta 25% y 19%  las desviaciones estándar de conocimiento y recepción de lenguaje (los efectos sobre lenguaje expresivo y temperamento son reducidos). Estos impactos tienden a incrementarse con la edad del niño.</w:t>
            </w:r>
          </w:p>
        </w:tc>
      </w:tr>
      <w:tr w:rsidR="00AD1F84" w:rsidRPr="004E10F8" w:rsidTr="004F487F">
        <w:trPr>
          <w:trHeight w:val="1052"/>
        </w:trPr>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Ecuador - Rosero y Oosterbeek (2011)</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y acompañamiento familiar</w:t>
            </w:r>
          </w:p>
        </w:tc>
        <w:tc>
          <w:tcPr>
            <w:tcW w:w="6262" w:type="dxa"/>
            <w:tcBorders>
              <w:top w:val="single" w:sz="4" w:space="0" w:color="auto"/>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Cuando se controla por las características del contexto, la memoria y la motricidad fina se incrementan 0,55 y 0,89 unidades de desvío estándar respectivamente en el caso de acompañamiento familiar.</w:t>
            </w:r>
          </w:p>
        </w:tc>
      </w:tr>
      <w:tr w:rsidR="00AD1F84" w:rsidRPr="004E10F8" w:rsidTr="004F487F">
        <w:trPr>
          <w:trHeight w:val="1088"/>
        </w:trPr>
        <w:tc>
          <w:tcPr>
            <w:tcW w:w="133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Filipinas - Armecin et al. (2006)</w:t>
            </w:r>
          </w:p>
        </w:tc>
        <w:tc>
          <w:tcPr>
            <w:tcW w:w="1780" w:type="dxa"/>
            <w:tcBorders>
              <w:top w:val="single" w:sz="4" w:space="0" w:color="auto"/>
              <w:left w:val="nil"/>
              <w:bottom w:val="single" w:sz="8"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y acompañamiento familiar</w:t>
            </w:r>
          </w:p>
        </w:tc>
        <w:tc>
          <w:tcPr>
            <w:tcW w:w="6262" w:type="dxa"/>
            <w:tcBorders>
              <w:top w:val="single" w:sz="4" w:space="0" w:color="auto"/>
              <w:left w:val="nil"/>
              <w:bottom w:val="single" w:sz="8"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Para los niños de 2 años, la destreza motora resultó entre 1,1 y 1,5 unidades de desvío estándar mayores en las áreas con el programa. El impacto del programa sobre el desarrollo cognitivo a y entre 0,28 y 0,43 unidades de desvío estándar (para los niños de 3 años).</w:t>
            </w:r>
          </w:p>
        </w:tc>
      </w:tr>
      <w:tr w:rsidR="00AD1F84" w:rsidRPr="004E10F8" w:rsidTr="004F487F">
        <w:trPr>
          <w:trHeight w:val="1402"/>
        </w:trPr>
        <w:tc>
          <w:tcPr>
            <w:tcW w:w="1338" w:type="dxa"/>
            <w:tcBorders>
              <w:top w:val="nil"/>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Colombia - Bernal et al (2009)</w:t>
            </w:r>
          </w:p>
        </w:tc>
        <w:tc>
          <w:tcPr>
            <w:tcW w:w="1780" w:type="dxa"/>
            <w:tcBorders>
              <w:top w:val="nil"/>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diurno</w:t>
            </w:r>
          </w:p>
        </w:tc>
        <w:tc>
          <w:tcPr>
            <w:tcW w:w="6262" w:type="dxa"/>
            <w:tcBorders>
              <w:top w:val="nil"/>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La intervención reduce la incidencia de desnutrición, la prevalencia de Infección Respiratoria Aguda y Enfermedad Diarreica Aguda en niños con prolongada exposición al programa; y, tiene efectos positivos en diversas pruebas de desarrollo cognitivo de los niños, dependiendo del tipo de centro y cuidadora.</w:t>
            </w:r>
          </w:p>
        </w:tc>
      </w:tr>
      <w:tr w:rsidR="00AD1F84" w:rsidRPr="004E10F8" w:rsidTr="000449FB">
        <w:trPr>
          <w:trHeight w:val="600"/>
        </w:trPr>
        <w:tc>
          <w:tcPr>
            <w:tcW w:w="1338" w:type="dxa"/>
            <w:tcBorders>
              <w:top w:val="nil"/>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Perú - Cueto et al. (2005)</w:t>
            </w:r>
          </w:p>
        </w:tc>
        <w:tc>
          <w:tcPr>
            <w:tcW w:w="1780" w:type="dxa"/>
            <w:tcBorders>
              <w:top w:val="nil"/>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diurno</w:t>
            </w:r>
          </w:p>
        </w:tc>
        <w:tc>
          <w:tcPr>
            <w:tcW w:w="6262" w:type="dxa"/>
            <w:tcBorders>
              <w:top w:val="nil"/>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La evaluación no muestra impactos significativos</w:t>
            </w:r>
          </w:p>
        </w:tc>
      </w:tr>
      <w:tr w:rsidR="00AD1F84" w:rsidRPr="004E10F8" w:rsidTr="000449FB">
        <w:trPr>
          <w:trHeight w:val="900"/>
        </w:trPr>
        <w:tc>
          <w:tcPr>
            <w:tcW w:w="1338" w:type="dxa"/>
            <w:tcBorders>
              <w:top w:val="nil"/>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Chile - Urzúa y Veramendi (2010)</w:t>
            </w:r>
          </w:p>
        </w:tc>
        <w:tc>
          <w:tcPr>
            <w:tcW w:w="1780" w:type="dxa"/>
            <w:tcBorders>
              <w:top w:val="nil"/>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diurno</w:t>
            </w:r>
          </w:p>
        </w:tc>
        <w:tc>
          <w:tcPr>
            <w:tcW w:w="6262" w:type="dxa"/>
            <w:tcBorders>
              <w:top w:val="nil"/>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 xml:space="preserve">La evaluación, cuando se utilizan variables instrumentales, no muestra impactos significativos </w:t>
            </w:r>
          </w:p>
        </w:tc>
      </w:tr>
      <w:tr w:rsidR="00AD1F84" w:rsidRPr="004E10F8" w:rsidTr="004F487F">
        <w:trPr>
          <w:trHeight w:val="1358"/>
        </w:trPr>
        <w:tc>
          <w:tcPr>
            <w:tcW w:w="1338" w:type="dxa"/>
            <w:tcBorders>
              <w:top w:val="single" w:sz="4" w:space="0" w:color="auto"/>
              <w:left w:val="single" w:sz="8" w:space="0" w:color="auto"/>
              <w:bottom w:val="nil"/>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Colombia - Attanasio y Vera-Hernández (2004)</w:t>
            </w:r>
          </w:p>
        </w:tc>
        <w:tc>
          <w:tcPr>
            <w:tcW w:w="1780" w:type="dxa"/>
            <w:tcBorders>
              <w:top w:val="single" w:sz="4" w:space="0" w:color="auto"/>
              <w:left w:val="nil"/>
              <w:bottom w:val="nil"/>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diurno</w:t>
            </w:r>
          </w:p>
        </w:tc>
        <w:tc>
          <w:tcPr>
            <w:tcW w:w="6262" w:type="dxa"/>
            <w:tcBorders>
              <w:top w:val="single" w:sz="4" w:space="0" w:color="auto"/>
              <w:left w:val="nil"/>
              <w:bottom w:val="nil"/>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La intervención aumenta la estatura (3.8 cm.) de los niños que han tenido larga exposición; e, incrementa la probabilidad de tener más educación en la adolescencia.</w:t>
            </w:r>
          </w:p>
        </w:tc>
      </w:tr>
      <w:tr w:rsidR="00AD1F84" w:rsidRPr="004E10F8" w:rsidTr="004F487F">
        <w:trPr>
          <w:trHeight w:val="1340"/>
        </w:trPr>
        <w:tc>
          <w:tcPr>
            <w:tcW w:w="133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Colombia - Bernal et al (2009)</w:t>
            </w:r>
          </w:p>
        </w:tc>
        <w:tc>
          <w:tcPr>
            <w:tcW w:w="1780" w:type="dxa"/>
            <w:tcBorders>
              <w:top w:val="single" w:sz="4" w:space="0" w:color="auto"/>
              <w:left w:val="nil"/>
              <w:bottom w:val="nil"/>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cuidado diurno</w:t>
            </w:r>
          </w:p>
        </w:tc>
        <w:tc>
          <w:tcPr>
            <w:tcW w:w="6262" w:type="dxa"/>
            <w:tcBorders>
              <w:top w:val="single" w:sz="4" w:space="0" w:color="auto"/>
              <w:left w:val="nil"/>
              <w:bottom w:val="single" w:sz="8"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La intervención reduce la incidencia de desnutrición, la prevalencia de Infección Respiratoria Aguda y Enfermedad Diarreica Aguda en niños con prolongada exposición al programa; y, tiene efectos positivos en diversas pruebas de desarrollo cognitivo de los niños, dependiendo del tipo de centro y cuidadora.</w:t>
            </w:r>
          </w:p>
        </w:tc>
      </w:tr>
      <w:tr w:rsidR="00AD1F84" w:rsidRPr="004E10F8" w:rsidTr="004F487F">
        <w:trPr>
          <w:trHeight w:val="1330"/>
        </w:trPr>
        <w:tc>
          <w:tcPr>
            <w:tcW w:w="1338" w:type="dxa"/>
            <w:tcBorders>
              <w:top w:val="nil"/>
              <w:left w:val="single" w:sz="8" w:space="0" w:color="auto"/>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Jamaica - Walker et al. (2011)</w:t>
            </w:r>
          </w:p>
        </w:tc>
        <w:tc>
          <w:tcPr>
            <w:tcW w:w="1780" w:type="dxa"/>
            <w:tcBorders>
              <w:top w:val="single" w:sz="8" w:space="0" w:color="auto"/>
              <w:left w:val="nil"/>
              <w:bottom w:val="single" w:sz="4"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apoyo nutricional y psicosocial para niños de entre 6 y 24 meses de edad</w:t>
            </w:r>
          </w:p>
        </w:tc>
        <w:tc>
          <w:tcPr>
            <w:tcW w:w="6262" w:type="dxa"/>
            <w:tcBorders>
              <w:top w:val="nil"/>
              <w:left w:val="nil"/>
              <w:bottom w:val="single" w:sz="4"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Los participantes del tratamiento registraron un IQ 6,3 unidades más alto en la adultez.</w:t>
            </w:r>
          </w:p>
        </w:tc>
      </w:tr>
      <w:tr w:rsidR="00AD1F84" w:rsidRPr="004E10F8" w:rsidTr="004F487F">
        <w:trPr>
          <w:trHeight w:val="1520"/>
        </w:trPr>
        <w:tc>
          <w:tcPr>
            <w:tcW w:w="1338" w:type="dxa"/>
            <w:tcBorders>
              <w:top w:val="nil"/>
              <w:left w:val="single" w:sz="8" w:space="0" w:color="auto"/>
              <w:bottom w:val="single" w:sz="8"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Bangladesh - Hamadani et al. (2006)</w:t>
            </w:r>
          </w:p>
        </w:tc>
        <w:tc>
          <w:tcPr>
            <w:tcW w:w="1780" w:type="dxa"/>
            <w:tcBorders>
              <w:top w:val="nil"/>
              <w:left w:val="nil"/>
              <w:bottom w:val="single" w:sz="8" w:space="0" w:color="auto"/>
              <w:right w:val="single" w:sz="4"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Centros de apoyo nutricional y psicosocial para niños de entre 6 y 24 meses de edad</w:t>
            </w:r>
          </w:p>
        </w:tc>
        <w:tc>
          <w:tcPr>
            <w:tcW w:w="6262" w:type="dxa"/>
            <w:tcBorders>
              <w:top w:val="nil"/>
              <w:left w:val="nil"/>
              <w:bottom w:val="single" w:sz="8" w:space="0" w:color="auto"/>
              <w:right w:val="single" w:sz="8" w:space="0" w:color="auto"/>
            </w:tcBorders>
            <w:shd w:val="clear" w:color="auto" w:fill="auto"/>
            <w:vAlign w:val="center"/>
            <w:hideMark/>
          </w:tcPr>
          <w:p w:rsidR="00AD1F84" w:rsidRPr="00C9535C" w:rsidRDefault="00AD1F84" w:rsidP="00902E4B">
            <w:pPr>
              <w:spacing w:after="0" w:line="240" w:lineRule="auto"/>
              <w:rPr>
                <w:rFonts w:ascii="Times New Roman" w:eastAsia="Times New Roman" w:hAnsi="Times New Roman"/>
                <w:color w:val="000000"/>
                <w:sz w:val="20"/>
                <w:szCs w:val="20"/>
                <w:lang w:val="es-ES"/>
              </w:rPr>
            </w:pPr>
            <w:r w:rsidRPr="00C9535C">
              <w:rPr>
                <w:rFonts w:ascii="Times New Roman" w:eastAsia="Times New Roman" w:hAnsi="Times New Roman"/>
                <w:color w:val="000000"/>
                <w:sz w:val="20"/>
                <w:szCs w:val="20"/>
                <w:lang w:val="es-ES"/>
              </w:rPr>
              <w:t>La intervención benefició el desarrollo mental de los niños en 4,6 puntos sobre una media de 87,6.</w:t>
            </w:r>
          </w:p>
        </w:tc>
      </w:tr>
    </w:tbl>
    <w:p w:rsidR="00B9283C" w:rsidRPr="00C9535C" w:rsidRDefault="00B9283C" w:rsidP="00902E4B">
      <w:pPr>
        <w:spacing w:after="0" w:line="240" w:lineRule="auto"/>
        <w:jc w:val="both"/>
        <w:rPr>
          <w:rFonts w:ascii="Times New Roman" w:hAnsi="Times New Roman"/>
          <w:sz w:val="24"/>
          <w:szCs w:val="24"/>
          <w:lang w:val="es-ES"/>
        </w:rPr>
      </w:pPr>
    </w:p>
    <w:p w:rsidR="00AD1F84" w:rsidRPr="00C9535C" w:rsidRDefault="004B321D" w:rsidP="00902E4B">
      <w:pPr>
        <w:spacing w:after="0" w:line="240" w:lineRule="auto"/>
        <w:jc w:val="both"/>
        <w:rPr>
          <w:rFonts w:ascii="Times New Roman" w:hAnsi="Times New Roman"/>
          <w:sz w:val="20"/>
          <w:szCs w:val="20"/>
          <w:lang w:val="es-ES"/>
        </w:rPr>
      </w:pPr>
      <w:r w:rsidRPr="00C9535C">
        <w:rPr>
          <w:rFonts w:ascii="Times New Roman" w:hAnsi="Times New Roman"/>
          <w:sz w:val="24"/>
          <w:szCs w:val="24"/>
          <w:lang w:val="es-ES"/>
        </w:rPr>
        <w:t xml:space="preserve">La Tabla </w:t>
      </w:r>
      <w:r w:rsidR="00D94EAB">
        <w:rPr>
          <w:rFonts w:ascii="Times New Roman" w:hAnsi="Times New Roman"/>
          <w:sz w:val="24"/>
          <w:szCs w:val="24"/>
          <w:lang w:val="es-ES"/>
        </w:rPr>
        <w:t>11</w:t>
      </w:r>
      <w:r w:rsidR="00AD1F84" w:rsidRPr="00C9535C">
        <w:rPr>
          <w:rFonts w:ascii="Times New Roman" w:hAnsi="Times New Roman"/>
          <w:sz w:val="24"/>
          <w:szCs w:val="24"/>
          <w:lang w:val="es-ES"/>
        </w:rPr>
        <w:t xml:space="preserve"> describe </w:t>
      </w:r>
      <w:r w:rsidRPr="00C9535C">
        <w:rPr>
          <w:rFonts w:ascii="Times New Roman" w:hAnsi="Times New Roman"/>
          <w:sz w:val="24"/>
          <w:szCs w:val="24"/>
          <w:lang w:val="es-ES"/>
        </w:rPr>
        <w:t xml:space="preserve">algunas </w:t>
      </w:r>
      <w:r w:rsidR="00AD1F84" w:rsidRPr="00C9535C">
        <w:rPr>
          <w:rFonts w:ascii="Times New Roman" w:hAnsi="Times New Roman"/>
          <w:sz w:val="24"/>
          <w:szCs w:val="24"/>
          <w:lang w:val="es-ES"/>
        </w:rPr>
        <w:t xml:space="preserve">experiencias de </w:t>
      </w:r>
      <w:r w:rsidRPr="00C9535C">
        <w:rPr>
          <w:rFonts w:ascii="Times New Roman" w:hAnsi="Times New Roman"/>
          <w:sz w:val="24"/>
          <w:szCs w:val="24"/>
          <w:lang w:val="es-ES"/>
        </w:rPr>
        <w:t xml:space="preserve">programas de </w:t>
      </w:r>
      <w:r w:rsidR="00AD1F84" w:rsidRPr="00C9535C">
        <w:rPr>
          <w:rFonts w:ascii="Times New Roman" w:hAnsi="Times New Roman"/>
          <w:sz w:val="24"/>
          <w:szCs w:val="24"/>
          <w:lang w:val="es-ES"/>
        </w:rPr>
        <w:t xml:space="preserve">apoyo parental en DIT existentes en </w:t>
      </w:r>
      <w:r w:rsidRPr="00C9535C">
        <w:rPr>
          <w:rFonts w:ascii="Times New Roman" w:hAnsi="Times New Roman"/>
          <w:sz w:val="24"/>
          <w:szCs w:val="24"/>
          <w:lang w:val="es-ES"/>
        </w:rPr>
        <w:t>América Latina y el Caribe</w:t>
      </w:r>
      <w:r w:rsidR="00AD1F84" w:rsidRPr="00C9535C">
        <w:rPr>
          <w:rFonts w:ascii="Times New Roman" w:hAnsi="Times New Roman"/>
          <w:sz w:val="24"/>
          <w:szCs w:val="24"/>
          <w:lang w:val="es-ES"/>
        </w:rPr>
        <w:t>.</w:t>
      </w:r>
      <w:r w:rsidR="00AD1F84" w:rsidRPr="00C9535C">
        <w:rPr>
          <w:rFonts w:ascii="Times New Roman" w:hAnsi="Times New Roman"/>
          <w:sz w:val="20"/>
          <w:szCs w:val="20"/>
          <w:lang w:val="es-ES"/>
        </w:rPr>
        <w:t xml:space="preserve"> </w:t>
      </w:r>
    </w:p>
    <w:p w:rsidR="00AE2CA9" w:rsidRPr="00C9535C" w:rsidRDefault="00AE2CA9" w:rsidP="005B084C">
      <w:pPr>
        <w:spacing w:after="0" w:line="360" w:lineRule="auto"/>
        <w:jc w:val="center"/>
        <w:rPr>
          <w:rFonts w:ascii="Times New Roman" w:hAnsi="Times New Roman"/>
          <w:b/>
          <w:sz w:val="24"/>
          <w:szCs w:val="24"/>
          <w:lang w:val="es-ES"/>
        </w:rPr>
      </w:pPr>
    </w:p>
    <w:p w:rsidR="005B084C" w:rsidRPr="00D94EAB" w:rsidRDefault="00902E4B" w:rsidP="005B084C">
      <w:pPr>
        <w:spacing w:after="0" w:line="360" w:lineRule="auto"/>
        <w:jc w:val="center"/>
        <w:rPr>
          <w:rFonts w:ascii="Times New Roman" w:hAnsi="Times New Roman"/>
          <w:b/>
          <w:sz w:val="24"/>
          <w:szCs w:val="24"/>
          <w:lang w:val="es-ES"/>
        </w:rPr>
      </w:pPr>
      <w:r w:rsidRPr="00C9535C">
        <w:rPr>
          <w:rFonts w:ascii="Times New Roman" w:hAnsi="Times New Roman"/>
          <w:b/>
          <w:sz w:val="24"/>
          <w:szCs w:val="24"/>
          <w:lang w:val="es-ES"/>
        </w:rPr>
        <w:br w:type="column"/>
      </w:r>
      <w:r w:rsidR="004B321D" w:rsidRPr="00D94EAB">
        <w:rPr>
          <w:rFonts w:ascii="Times New Roman" w:hAnsi="Times New Roman"/>
          <w:b/>
          <w:sz w:val="24"/>
          <w:szCs w:val="24"/>
          <w:lang w:val="es-ES"/>
        </w:rPr>
        <w:t xml:space="preserve">Tabla </w:t>
      </w:r>
      <w:r w:rsidR="00D94EAB" w:rsidRPr="00D94EAB">
        <w:rPr>
          <w:rFonts w:ascii="Times New Roman" w:hAnsi="Times New Roman"/>
          <w:b/>
          <w:sz w:val="24"/>
          <w:szCs w:val="24"/>
          <w:lang w:val="es-ES"/>
        </w:rPr>
        <w:t>11</w:t>
      </w:r>
      <w:r w:rsidR="00AD1F84" w:rsidRPr="00D94EAB">
        <w:rPr>
          <w:rFonts w:ascii="Times New Roman" w:hAnsi="Times New Roman"/>
          <w:b/>
          <w:sz w:val="24"/>
          <w:szCs w:val="24"/>
          <w:lang w:val="es-ES"/>
        </w:rPr>
        <w:t>: Programas de Apoyo Parental en</w:t>
      </w:r>
      <w:r w:rsidR="005B084C" w:rsidRPr="00D94EAB">
        <w:rPr>
          <w:rFonts w:ascii="Times New Roman" w:hAnsi="Times New Roman"/>
          <w:b/>
          <w:sz w:val="24"/>
          <w:szCs w:val="24"/>
          <w:lang w:val="es-ES"/>
        </w:rPr>
        <w:t xml:space="preserve"> LAC</w:t>
      </w:r>
    </w:p>
    <w:p w:rsidR="00AD1F84" w:rsidRPr="00C9535C" w:rsidRDefault="00DB696F" w:rsidP="005B084C">
      <w:pPr>
        <w:spacing w:after="0" w:line="360" w:lineRule="auto"/>
        <w:jc w:val="both"/>
        <w:rPr>
          <w:rFonts w:ascii="Times New Roman" w:hAnsi="Times New Roman"/>
          <w:sz w:val="24"/>
          <w:szCs w:val="24"/>
          <w:lang w:val="es-ES"/>
        </w:rPr>
      </w:pPr>
      <w:r w:rsidRPr="00C9535C">
        <w:rPr>
          <w:rFonts w:ascii="Times New Roman" w:hAnsi="Times New Roman"/>
          <w:noProof/>
          <w:sz w:val="24"/>
          <w:szCs w:val="24"/>
        </w:rPr>
        <w:drawing>
          <wp:inline distT="0" distB="0" distL="0" distR="0" wp14:anchorId="16C3636F" wp14:editId="60CA630D">
            <wp:extent cx="5915025" cy="7762875"/>
            <wp:effectExtent l="0" t="0" r="9525" b="952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5025" cy="7762875"/>
                    </a:xfrm>
                    <a:prstGeom prst="rect">
                      <a:avLst/>
                    </a:prstGeom>
                    <a:noFill/>
                    <a:ln>
                      <a:noFill/>
                    </a:ln>
                  </pic:spPr>
                </pic:pic>
              </a:graphicData>
            </a:graphic>
          </wp:inline>
        </w:drawing>
      </w:r>
    </w:p>
    <w:p w:rsidR="005B084C" w:rsidRDefault="005B084C"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Como se puede apreciar, los seis programas de apoyo parental </w:t>
      </w:r>
      <w:r w:rsidR="004B321D" w:rsidRPr="00C9535C">
        <w:rPr>
          <w:rFonts w:ascii="Times New Roman" w:hAnsi="Times New Roman"/>
          <w:sz w:val="24"/>
          <w:szCs w:val="24"/>
          <w:lang w:val="es-ES"/>
        </w:rPr>
        <w:t xml:space="preserve">descritos </w:t>
      </w:r>
      <w:r w:rsidRPr="00C9535C">
        <w:rPr>
          <w:rFonts w:ascii="Times New Roman" w:hAnsi="Times New Roman"/>
          <w:sz w:val="24"/>
          <w:szCs w:val="24"/>
          <w:lang w:val="es-ES"/>
        </w:rPr>
        <w:t>varían sustancialmente en distintas dimensiones. En particular, los programas difieren en la cantidad de servicios ofrecidos y su periodicidad, lo que finalmente se traduce en distintos costos per cápita. El programa Conozca a su Hijo (CASH) cuesta US$598 por niño y ofrece una amplia gama de servicios</w:t>
      </w:r>
      <w:r w:rsidR="004B321D" w:rsidRPr="00C9535C">
        <w:rPr>
          <w:rFonts w:ascii="Times New Roman" w:hAnsi="Times New Roman"/>
          <w:sz w:val="24"/>
          <w:szCs w:val="24"/>
          <w:lang w:val="es-ES"/>
        </w:rPr>
        <w:t>, por ejemplo</w:t>
      </w:r>
      <w:r w:rsidR="00ED6EAA" w:rsidRPr="00C9535C">
        <w:rPr>
          <w:rFonts w:ascii="Times New Roman" w:hAnsi="Times New Roman"/>
          <w:sz w:val="24"/>
          <w:szCs w:val="24"/>
          <w:lang w:val="es-ES"/>
        </w:rPr>
        <w:t>: servicios de cuidado al niño mientras se realizan las sesiones con los padres; refrigerios durante las sesiones; capacitación a los padres en varios temas (cómo jugar con sus hijos, cómo construir juguetes a partir de materiales domésticos, higiene y alimentación). P</w:t>
      </w:r>
      <w:r w:rsidRPr="00C9535C">
        <w:rPr>
          <w:rFonts w:ascii="Times New Roman" w:hAnsi="Times New Roman"/>
          <w:sz w:val="24"/>
          <w:szCs w:val="24"/>
          <w:lang w:val="es-ES"/>
        </w:rPr>
        <w:t>or el contrario, el programa argentino Primeros Años es el menos costoso (US$13 per cápita anuales) pero ofrece solamente reuniones mensuales de facilitadores y hogares sobre temas de crianza. En el caso de México, el PEI-CONAFE cuesta US$75 per cápita y ofrece servicios de cuidado</w:t>
      </w:r>
      <w:r w:rsidR="00887714" w:rsidRPr="00C9535C">
        <w:rPr>
          <w:rFonts w:ascii="Times New Roman" w:hAnsi="Times New Roman"/>
          <w:sz w:val="24"/>
          <w:szCs w:val="24"/>
          <w:lang w:val="es-ES"/>
        </w:rPr>
        <w:t xml:space="preserve"> mientras se realizan las sesiones con los padres</w:t>
      </w:r>
      <w:r w:rsidRPr="00C9535C">
        <w:rPr>
          <w:rFonts w:ascii="Times New Roman" w:hAnsi="Times New Roman"/>
          <w:sz w:val="24"/>
          <w:szCs w:val="24"/>
          <w:lang w:val="es-ES"/>
        </w:rPr>
        <w:t xml:space="preserve"> y la enseñanza de habilidades de crianza a los padres.</w:t>
      </w:r>
    </w:p>
    <w:p w:rsidR="000F7F9F" w:rsidRDefault="000F7F9F" w:rsidP="00902E4B">
      <w:pPr>
        <w:spacing w:after="0" w:line="240" w:lineRule="auto"/>
        <w:jc w:val="both"/>
        <w:rPr>
          <w:rFonts w:ascii="Times New Roman" w:hAnsi="Times New Roman"/>
          <w:sz w:val="24"/>
          <w:szCs w:val="24"/>
          <w:lang w:val="es-ES"/>
        </w:rPr>
      </w:pPr>
    </w:p>
    <w:p w:rsidR="000F7F9F" w:rsidRPr="00C9535C" w:rsidRDefault="000F7F9F" w:rsidP="00902E4B">
      <w:pPr>
        <w:spacing w:after="0" w:line="240" w:lineRule="auto"/>
        <w:jc w:val="both"/>
        <w:rPr>
          <w:rFonts w:ascii="Times New Roman" w:hAnsi="Times New Roman"/>
          <w:sz w:val="24"/>
          <w:szCs w:val="24"/>
          <w:lang w:val="es-ES"/>
        </w:rPr>
      </w:pPr>
      <w:r>
        <w:rPr>
          <w:rFonts w:ascii="Times New Roman" w:hAnsi="Times New Roman"/>
          <w:sz w:val="24"/>
          <w:szCs w:val="24"/>
          <w:lang w:val="es-ES"/>
        </w:rPr>
        <w:t>Lamentablemente, los programas que se ilustran en las Tablas 10 y 11 no son los mismos, lo cual no permite hacer un cálculo de costo-efectividad para ninguna de estas modalidades. Este tema  no es sorprendente dado que no existe evidencia sistemática que documente la costo-efectividad de diferentes modalidades alternativas de implementación de los programas de apoyo parental. Esta es un área importante en la cual a través de esta y otras iniciativas, se contribuirá a cerrar una brecha de conocimiento.</w:t>
      </w:r>
    </w:p>
    <w:p w:rsidR="005B084C" w:rsidRPr="00C9535C" w:rsidRDefault="005B084C" w:rsidP="00902E4B">
      <w:pPr>
        <w:spacing w:after="0" w:line="240" w:lineRule="auto"/>
        <w:jc w:val="both"/>
        <w:rPr>
          <w:rFonts w:ascii="Times New Roman" w:hAnsi="Times New Roman"/>
          <w:sz w:val="24"/>
          <w:szCs w:val="24"/>
          <w:lang w:val="es-ES"/>
        </w:rPr>
      </w:pPr>
    </w:p>
    <w:p w:rsidR="00AD1F84" w:rsidRPr="00C9535C" w:rsidRDefault="00AD1F84"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 xml:space="preserve">El análisis cuidadoso de las condiciones de los niños afiliados al PDHO destaca la pertinencia de implementar una intervención de DIT, la cual se nutre, por una parte de las lecciones aprendidas de los programas mexicanos y por otra parte de los programas que otros países están implementando y cuyos métodos de implementación y evaluación, incluyendo los indicadores que se han utilizado pueden servir como un referente apropiado para el diseño de la intervención.   </w:t>
      </w:r>
    </w:p>
    <w:p w:rsidR="00B449E9" w:rsidRPr="00C9535C" w:rsidRDefault="00B449E9" w:rsidP="00B449E9">
      <w:pPr>
        <w:spacing w:after="0" w:line="240" w:lineRule="auto"/>
        <w:rPr>
          <w:rFonts w:ascii="Times New Roman" w:hAnsi="Times New Roman"/>
          <w:b/>
          <w:sz w:val="24"/>
          <w:szCs w:val="24"/>
          <w:lang w:val="es-ES"/>
        </w:rPr>
      </w:pPr>
    </w:p>
    <w:p w:rsidR="00B449E9" w:rsidRPr="00C9535C" w:rsidRDefault="00B449E9" w:rsidP="00B449E9">
      <w:pPr>
        <w:spacing w:after="0" w:line="240" w:lineRule="auto"/>
        <w:jc w:val="both"/>
        <w:rPr>
          <w:rFonts w:ascii="Times New Roman" w:hAnsi="Times New Roman"/>
          <w:b/>
          <w:sz w:val="24"/>
          <w:szCs w:val="24"/>
          <w:lang w:val="es-ES"/>
        </w:rPr>
      </w:pPr>
      <w:r w:rsidRPr="00C9535C">
        <w:rPr>
          <w:rFonts w:ascii="Times New Roman" w:hAnsi="Times New Roman"/>
          <w:b/>
          <w:sz w:val="24"/>
          <w:szCs w:val="24"/>
          <w:lang w:val="es-ES"/>
        </w:rPr>
        <w:t>Descripción del trabajo apoyado por la operación que complementa la evidencia disponible</w:t>
      </w:r>
    </w:p>
    <w:p w:rsidR="00B449E9" w:rsidRPr="00C9535C" w:rsidRDefault="00B449E9" w:rsidP="00B449E9">
      <w:pPr>
        <w:spacing w:after="0" w:line="240" w:lineRule="auto"/>
        <w:rPr>
          <w:rFonts w:ascii="Times New Roman" w:hAnsi="Times New Roman"/>
          <w:b/>
          <w:sz w:val="24"/>
          <w:szCs w:val="24"/>
          <w:lang w:val="es-ES"/>
        </w:rPr>
      </w:pPr>
    </w:p>
    <w:p w:rsidR="00B449E9" w:rsidRPr="00C9535C" w:rsidRDefault="00B449E9" w:rsidP="00B449E9">
      <w:pPr>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 xml:space="preserve">A partir de una evaluación experimental, con financiamiento del Componente 2 de la presente operación se evaluará el costo-efectividad de diferentes modalidades de intervención que busquen cambiar las prácticas de estimulación temprana y mejorar la calidad de interacción entre padres e hijos de las familias con niños de 0-4 años de edad beneficiarios de Oportunidades. </w:t>
      </w:r>
      <w:r w:rsidRPr="00C9535C">
        <w:rPr>
          <w:rFonts w:ascii="Times New Roman" w:hAnsi="Times New Roman"/>
          <w:sz w:val="24"/>
          <w:szCs w:val="24"/>
          <w:lang w:val="es-ES"/>
        </w:rPr>
        <w:br/>
      </w:r>
    </w:p>
    <w:p w:rsidR="00B449E9" w:rsidRPr="00C9535C" w:rsidRDefault="00B449E9" w:rsidP="00B449E9">
      <w:pPr>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Las dos modalidades a ser evaluadas aún no se han definido. No obstante, se buscará comparar modalidades que difieran en aspectos críticos relacionados con el costo y la efectividad de una intervención de esta naturaleza, entre los cuales se destaca: (a) la intensidad, frecuencia y duración de las sesiones de trabajo con las familias, (b) el perfil del personal a cargo de conducir esas sesiones, (c) la modalidad de trabajo, individual o grupal, y (d) los recursos de capacitación y supervisión de ese personal. La identificación de los aspectos críticos de este programa a comparar con la evaluación se definirá en base al costeo de diferentes alternativas de implementación (que se espera se lleve a cabo en el tercer trimestre de 2013).</w:t>
      </w:r>
    </w:p>
    <w:p w:rsidR="00B449E9" w:rsidRPr="00C9535C" w:rsidRDefault="00B449E9" w:rsidP="00B449E9">
      <w:pPr>
        <w:tabs>
          <w:tab w:val="left" w:pos="810"/>
        </w:tabs>
        <w:spacing w:after="0" w:line="240" w:lineRule="auto"/>
        <w:mirrorIndents/>
        <w:jc w:val="both"/>
        <w:rPr>
          <w:rFonts w:ascii="Times New Roman" w:hAnsi="Times New Roman"/>
          <w:sz w:val="24"/>
          <w:szCs w:val="24"/>
          <w:lang w:val="es-ES"/>
        </w:rPr>
      </w:pPr>
    </w:p>
    <w:p w:rsidR="00B449E9" w:rsidRPr="00C9535C" w:rsidRDefault="00B449E9" w:rsidP="00B449E9">
      <w:p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Las principales preguntas de evaluación de esta iniciativa son las siguientes:</w:t>
      </w:r>
    </w:p>
    <w:p w:rsidR="00B449E9" w:rsidRPr="00C9535C" w:rsidRDefault="00B449E9" w:rsidP="00B449E9">
      <w:pPr>
        <w:tabs>
          <w:tab w:val="left" w:pos="810"/>
        </w:tabs>
        <w:spacing w:after="0" w:line="240" w:lineRule="auto"/>
        <w:mirrorIndents/>
        <w:jc w:val="both"/>
        <w:rPr>
          <w:rFonts w:ascii="Times New Roman" w:hAnsi="Times New Roman"/>
          <w:sz w:val="24"/>
          <w:szCs w:val="24"/>
          <w:lang w:val="es-ES"/>
        </w:rPr>
      </w:pPr>
    </w:p>
    <w:p w:rsidR="00B449E9" w:rsidRPr="00C9535C" w:rsidRDefault="00B449E9" w:rsidP="00B449E9">
      <w:pPr>
        <w:pStyle w:val="ListParagraph"/>
        <w:numPr>
          <w:ilvl w:val="0"/>
          <w:numId w:val="24"/>
        </w:num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¿Cuál es el impacto en términos de una mejora en el desarrollo infantil temprano, medido a través de una prueba estandarizada, de una intervención de estimulación temprana implementada desde el sistema de salud?</w:t>
      </w:r>
    </w:p>
    <w:p w:rsidR="00B449E9" w:rsidRPr="00C9535C" w:rsidRDefault="00B449E9" w:rsidP="00B449E9">
      <w:pPr>
        <w:pStyle w:val="ListParagraph"/>
        <w:tabs>
          <w:tab w:val="left" w:pos="810"/>
        </w:tabs>
        <w:spacing w:after="0" w:line="240" w:lineRule="auto"/>
        <w:ind w:left="900"/>
        <w:mirrorIndents/>
        <w:jc w:val="both"/>
        <w:rPr>
          <w:rFonts w:ascii="Times New Roman" w:hAnsi="Times New Roman"/>
          <w:sz w:val="24"/>
          <w:szCs w:val="24"/>
          <w:lang w:val="es-ES"/>
        </w:rPr>
      </w:pPr>
    </w:p>
    <w:p w:rsidR="00B449E9" w:rsidRPr="00C9535C" w:rsidRDefault="00B449E9" w:rsidP="00B449E9">
      <w:pPr>
        <w:pStyle w:val="ListParagraph"/>
        <w:numPr>
          <w:ilvl w:val="0"/>
          <w:numId w:val="24"/>
        </w:numPr>
        <w:tabs>
          <w:tab w:val="left" w:pos="810"/>
        </w:tabs>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¿Cómo se compara la efectividad de modalidades de diferentes características?</w:t>
      </w:r>
    </w:p>
    <w:p w:rsidR="00B449E9" w:rsidRPr="00C9535C" w:rsidRDefault="00B449E9" w:rsidP="00B449E9">
      <w:pPr>
        <w:spacing w:after="0" w:line="240" w:lineRule="auto"/>
        <w:mirrorIndents/>
        <w:jc w:val="both"/>
        <w:rPr>
          <w:rFonts w:ascii="Times New Roman" w:hAnsi="Times New Roman"/>
          <w:sz w:val="24"/>
          <w:szCs w:val="24"/>
          <w:lang w:val="es-ES"/>
        </w:rPr>
      </w:pPr>
    </w:p>
    <w:p w:rsidR="00B449E9" w:rsidRPr="00C9535C" w:rsidRDefault="00B449E9" w:rsidP="00B449E9">
      <w:pPr>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Se prevé que la implementación a escala piloto de este componente de estimulación temprana se lleve a cabo en una o dos entidades en las cuales existan condiciones que faciliten su ejecución y monitoreo. Se buscará una representatividad urbana y rural en la muestra. También se buscará una representatividad de poblaciones indígenas, con el fin de evaluar si este modelo es pertinente dadas las diferentes visiones y prácticas relacionadas con la crianza y el cuidado infantil.</w:t>
      </w:r>
    </w:p>
    <w:p w:rsidR="00B449E9" w:rsidRPr="00C9535C" w:rsidRDefault="00B449E9" w:rsidP="00B449E9">
      <w:pPr>
        <w:spacing w:after="0" w:line="240" w:lineRule="auto"/>
        <w:mirrorIndents/>
        <w:jc w:val="both"/>
        <w:rPr>
          <w:rFonts w:ascii="Times New Roman" w:hAnsi="Times New Roman"/>
          <w:sz w:val="24"/>
          <w:szCs w:val="24"/>
          <w:lang w:val="es-ES"/>
        </w:rPr>
      </w:pPr>
    </w:p>
    <w:p w:rsidR="00B449E9" w:rsidRPr="00C9535C" w:rsidRDefault="00B449E9" w:rsidP="00B449E9">
      <w:pPr>
        <w:spacing w:after="0" w:line="240" w:lineRule="auto"/>
        <w:mirrorIndents/>
        <w:jc w:val="both"/>
        <w:rPr>
          <w:rFonts w:ascii="Times New Roman" w:hAnsi="Times New Roman"/>
          <w:sz w:val="24"/>
          <w:szCs w:val="24"/>
          <w:lang w:val="es-ES"/>
        </w:rPr>
      </w:pPr>
      <w:r w:rsidRPr="00C9535C">
        <w:rPr>
          <w:rFonts w:ascii="Times New Roman" w:hAnsi="Times New Roman"/>
          <w:sz w:val="24"/>
          <w:szCs w:val="24"/>
          <w:lang w:val="es-ES"/>
        </w:rPr>
        <w:t>De manera preliminar, se propone asignar en forma aleatoria la implementación de una u otra modalidad de intervención para el componente de estimulación temprana, tomando como unidad de análisis y de aleatorización la unidad de salud. Se propondrá la comparación de dos grupos de tratamiento distintos (cada uno con su propio modelo de atención) y un grupo de control.</w:t>
      </w:r>
    </w:p>
    <w:p w:rsidR="00BA565A" w:rsidRPr="00C9535C" w:rsidRDefault="007439F4" w:rsidP="00B449E9">
      <w:pPr>
        <w:spacing w:after="0" w:line="240" w:lineRule="auto"/>
        <w:rPr>
          <w:rFonts w:ascii="Times New Roman Bold" w:hAnsi="Times New Roman Bold"/>
          <w:b/>
          <w:smallCaps/>
          <w:sz w:val="24"/>
          <w:szCs w:val="24"/>
          <w:lang w:val="es-ES"/>
        </w:rPr>
      </w:pPr>
      <w:r w:rsidRPr="00C9535C">
        <w:rPr>
          <w:rFonts w:ascii="Times New Roman" w:hAnsi="Times New Roman"/>
          <w:b/>
          <w:sz w:val="24"/>
          <w:szCs w:val="24"/>
          <w:lang w:val="es-ES"/>
        </w:rPr>
        <w:br w:type="page"/>
      </w:r>
      <w:r w:rsidR="00BA565A" w:rsidRPr="00C9535C">
        <w:rPr>
          <w:rFonts w:ascii="Times New Roman Bold" w:hAnsi="Times New Roman Bold"/>
          <w:b/>
          <w:smallCaps/>
          <w:sz w:val="24"/>
          <w:szCs w:val="24"/>
          <w:lang w:val="es-ES"/>
        </w:rPr>
        <w:t>Referencias</w:t>
      </w:r>
    </w:p>
    <w:p w:rsidR="00B449E9" w:rsidRPr="00C9535C" w:rsidRDefault="00B449E9" w:rsidP="00902E4B">
      <w:pPr>
        <w:spacing w:after="0" w:line="240" w:lineRule="auto"/>
        <w:ind w:left="288" w:hanging="288"/>
        <w:jc w:val="both"/>
        <w:rPr>
          <w:rFonts w:ascii="Times New Roman" w:hAnsi="Times New Roman"/>
          <w:sz w:val="24"/>
          <w:szCs w:val="24"/>
          <w:lang w:val="es-ES"/>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 xml:space="preserve">Araujo, M.C., F. López-Boo </w:t>
      </w:r>
      <w:r w:rsidR="00D9445A" w:rsidRPr="00C9535C">
        <w:rPr>
          <w:rFonts w:ascii="Times New Roman" w:hAnsi="Times New Roman"/>
          <w:sz w:val="24"/>
          <w:szCs w:val="24"/>
          <w:lang w:val="es-ES"/>
        </w:rPr>
        <w:t>&amp;</w:t>
      </w:r>
      <w:r w:rsidRPr="00C9535C">
        <w:rPr>
          <w:rFonts w:ascii="Times New Roman" w:hAnsi="Times New Roman"/>
          <w:sz w:val="24"/>
          <w:szCs w:val="24"/>
          <w:lang w:val="es-ES"/>
        </w:rPr>
        <w:t xml:space="preserve"> J.M. Puyana (2012)</w:t>
      </w:r>
      <w:r w:rsidR="00D9445A" w:rsidRPr="00C9535C">
        <w:rPr>
          <w:rFonts w:ascii="Times New Roman" w:hAnsi="Times New Roman"/>
          <w:sz w:val="24"/>
          <w:szCs w:val="24"/>
          <w:lang w:val="es-ES"/>
        </w:rPr>
        <w:t>,</w:t>
      </w:r>
      <w:r w:rsidRPr="00C9535C">
        <w:rPr>
          <w:rFonts w:ascii="Times New Roman" w:hAnsi="Times New Roman"/>
          <w:sz w:val="24"/>
          <w:szCs w:val="24"/>
          <w:lang w:val="es-ES"/>
        </w:rPr>
        <w:t xml:space="preserve"> “Panorama sobre los servicios de desarrollo infantil en América Latina y el Caribe”</w:t>
      </w:r>
      <w:r w:rsidR="00D9445A" w:rsidRPr="00C9535C">
        <w:rPr>
          <w:rFonts w:ascii="Times New Roman" w:hAnsi="Times New Roman"/>
          <w:sz w:val="24"/>
          <w:szCs w:val="24"/>
          <w:lang w:val="es-ES"/>
        </w:rPr>
        <w:t>.</w:t>
      </w:r>
      <w:r w:rsidRPr="00C9535C">
        <w:rPr>
          <w:rFonts w:ascii="Times New Roman" w:hAnsi="Times New Roman"/>
          <w:sz w:val="24"/>
          <w:szCs w:val="24"/>
          <w:lang w:val="es-ES"/>
        </w:rPr>
        <w:t xml:space="preserve"> Banco Interamericano de Desarrollo. División de Protección Social y Salud.</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AD2DE2" w:rsidRDefault="008E007E" w:rsidP="00902E4B">
      <w:pPr>
        <w:spacing w:after="0" w:line="240" w:lineRule="auto"/>
        <w:ind w:left="288" w:hanging="288"/>
        <w:jc w:val="both"/>
        <w:rPr>
          <w:rFonts w:ascii="Times New Roman" w:hAnsi="Times New Roman"/>
          <w:sz w:val="24"/>
          <w:szCs w:val="24"/>
        </w:rPr>
      </w:pPr>
      <w:r w:rsidRPr="00C9535C">
        <w:rPr>
          <w:rFonts w:ascii="Times New Roman" w:hAnsi="Times New Roman"/>
          <w:sz w:val="24"/>
          <w:szCs w:val="24"/>
          <w:lang w:val="es-ES"/>
        </w:rPr>
        <w:t xml:space="preserve">Araujo, M.C. </w:t>
      </w:r>
      <w:r w:rsidR="00D9445A" w:rsidRPr="00C9535C">
        <w:rPr>
          <w:rFonts w:ascii="Times New Roman" w:hAnsi="Times New Roman"/>
          <w:sz w:val="24"/>
          <w:szCs w:val="24"/>
          <w:lang w:val="es-ES"/>
        </w:rPr>
        <w:t>&amp;</w:t>
      </w:r>
      <w:r w:rsidRPr="00C9535C">
        <w:rPr>
          <w:rFonts w:ascii="Times New Roman" w:hAnsi="Times New Roman"/>
          <w:sz w:val="24"/>
          <w:szCs w:val="24"/>
          <w:lang w:val="es-ES"/>
        </w:rPr>
        <w:t xml:space="preserve"> </w:t>
      </w:r>
      <w:r w:rsidR="00D9445A" w:rsidRPr="00C9535C">
        <w:rPr>
          <w:rFonts w:ascii="Times New Roman" w:hAnsi="Times New Roman"/>
          <w:sz w:val="24"/>
          <w:szCs w:val="24"/>
          <w:lang w:val="es-ES"/>
        </w:rPr>
        <w:t xml:space="preserve">C. </w:t>
      </w:r>
      <w:r w:rsidRPr="00C9535C">
        <w:rPr>
          <w:rFonts w:ascii="Times New Roman" w:hAnsi="Times New Roman"/>
          <w:sz w:val="24"/>
          <w:szCs w:val="24"/>
          <w:lang w:val="es-ES"/>
        </w:rPr>
        <w:t>Sandoval (2012)</w:t>
      </w:r>
      <w:r w:rsidR="00D9445A" w:rsidRPr="00C9535C">
        <w:rPr>
          <w:rFonts w:ascii="Times New Roman" w:hAnsi="Times New Roman"/>
          <w:sz w:val="24"/>
          <w:szCs w:val="24"/>
          <w:lang w:val="es-ES"/>
        </w:rPr>
        <w:t xml:space="preserve">, </w:t>
      </w:r>
      <w:r w:rsidRPr="00C9535C">
        <w:rPr>
          <w:rFonts w:ascii="Times New Roman" w:hAnsi="Times New Roman"/>
          <w:sz w:val="24"/>
          <w:szCs w:val="24"/>
          <w:lang w:val="es-ES"/>
        </w:rPr>
        <w:t xml:space="preserve">“Una mirada al mercado laboral que enfrentan los jóvenes en Ecatepec y Puebla”. </w:t>
      </w:r>
      <w:r w:rsidRPr="00AD2DE2">
        <w:rPr>
          <w:rFonts w:ascii="Times New Roman" w:hAnsi="Times New Roman"/>
          <w:sz w:val="24"/>
          <w:szCs w:val="24"/>
        </w:rPr>
        <w:t>Documento no publicado del Banco Interamericano de Desarrollo, 2012.</w:t>
      </w:r>
    </w:p>
    <w:p w:rsidR="007439F4" w:rsidRPr="00AD2DE2" w:rsidRDefault="007439F4" w:rsidP="00902E4B">
      <w:pPr>
        <w:spacing w:after="0" w:line="240" w:lineRule="auto"/>
        <w:ind w:left="288" w:hanging="288"/>
        <w:jc w:val="both"/>
        <w:rPr>
          <w:rFonts w:ascii="Times New Roman" w:hAnsi="Times New Roman"/>
          <w:sz w:val="24"/>
          <w:szCs w:val="24"/>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Armecin, G.</w:t>
      </w:r>
      <w:r w:rsidR="00D9445A" w:rsidRPr="00AD2DE2">
        <w:rPr>
          <w:rFonts w:ascii="Times New Roman" w:hAnsi="Times New Roman"/>
          <w:sz w:val="24"/>
          <w:szCs w:val="24"/>
        </w:rPr>
        <w:t>,</w:t>
      </w:r>
      <w:r w:rsidRPr="00AD2DE2">
        <w:rPr>
          <w:rFonts w:ascii="Times New Roman" w:hAnsi="Times New Roman"/>
          <w:sz w:val="24"/>
          <w:szCs w:val="24"/>
        </w:rPr>
        <w:t xml:space="preserve"> </w:t>
      </w:r>
      <w:r w:rsidR="00D9445A" w:rsidRPr="00AD2DE2">
        <w:rPr>
          <w:rFonts w:ascii="Times New Roman" w:hAnsi="Times New Roman"/>
          <w:sz w:val="24"/>
          <w:szCs w:val="24"/>
        </w:rPr>
        <w:t xml:space="preserve">J. </w:t>
      </w:r>
      <w:r w:rsidRPr="00AD2DE2">
        <w:rPr>
          <w:rFonts w:ascii="Times New Roman" w:hAnsi="Times New Roman"/>
          <w:sz w:val="24"/>
          <w:szCs w:val="24"/>
        </w:rPr>
        <w:t>Behrman</w:t>
      </w:r>
      <w:r w:rsidR="00D9445A" w:rsidRPr="00AD2DE2">
        <w:rPr>
          <w:rFonts w:ascii="Times New Roman" w:hAnsi="Times New Roman"/>
          <w:sz w:val="24"/>
          <w:szCs w:val="24"/>
        </w:rPr>
        <w:t>,</w:t>
      </w:r>
      <w:r w:rsidRPr="00AD2DE2">
        <w:rPr>
          <w:rFonts w:ascii="Times New Roman" w:hAnsi="Times New Roman"/>
          <w:sz w:val="24"/>
          <w:szCs w:val="24"/>
        </w:rPr>
        <w:t xml:space="preserve"> </w:t>
      </w:r>
      <w:r w:rsidR="00D9445A" w:rsidRPr="00AD2DE2">
        <w:rPr>
          <w:rFonts w:ascii="Times New Roman" w:hAnsi="Times New Roman"/>
          <w:sz w:val="24"/>
          <w:szCs w:val="24"/>
        </w:rPr>
        <w:t xml:space="preserve">P. </w:t>
      </w:r>
      <w:r w:rsidRPr="00AD2DE2">
        <w:rPr>
          <w:rFonts w:ascii="Times New Roman" w:hAnsi="Times New Roman"/>
          <w:sz w:val="24"/>
          <w:szCs w:val="24"/>
        </w:rPr>
        <w:t>Duazo</w:t>
      </w:r>
      <w:r w:rsidR="00D9445A" w:rsidRPr="00AD2DE2">
        <w:rPr>
          <w:rFonts w:ascii="Times New Roman" w:hAnsi="Times New Roman"/>
          <w:sz w:val="24"/>
          <w:szCs w:val="24"/>
        </w:rPr>
        <w:t>,</w:t>
      </w:r>
      <w:r w:rsidRPr="00AD2DE2">
        <w:rPr>
          <w:rFonts w:ascii="Times New Roman" w:hAnsi="Times New Roman"/>
          <w:sz w:val="24"/>
          <w:szCs w:val="24"/>
        </w:rPr>
        <w:t xml:space="preserve"> </w:t>
      </w:r>
      <w:r w:rsidR="00D9445A" w:rsidRPr="00AD2DE2">
        <w:rPr>
          <w:rFonts w:ascii="Times New Roman" w:hAnsi="Times New Roman"/>
          <w:sz w:val="24"/>
          <w:szCs w:val="24"/>
        </w:rPr>
        <w:t xml:space="preserve">S. </w:t>
      </w:r>
      <w:r w:rsidRPr="00AD2DE2">
        <w:rPr>
          <w:rFonts w:ascii="Times New Roman" w:hAnsi="Times New Roman"/>
          <w:sz w:val="24"/>
          <w:szCs w:val="24"/>
        </w:rPr>
        <w:t>Ghuman</w:t>
      </w:r>
      <w:r w:rsidR="00D9445A" w:rsidRPr="00AD2DE2">
        <w:rPr>
          <w:rFonts w:ascii="Times New Roman" w:hAnsi="Times New Roman"/>
          <w:sz w:val="24"/>
          <w:szCs w:val="24"/>
        </w:rPr>
        <w:t xml:space="preserve"> &amp; S. </w:t>
      </w:r>
      <w:r w:rsidRPr="00AD2DE2">
        <w:rPr>
          <w:rFonts w:ascii="Times New Roman" w:hAnsi="Times New Roman"/>
          <w:sz w:val="24"/>
          <w:szCs w:val="24"/>
        </w:rPr>
        <w:t>Gultiano (2006)</w:t>
      </w:r>
      <w:r w:rsidR="00D9445A" w:rsidRPr="00AD2DE2">
        <w:rPr>
          <w:rFonts w:ascii="Times New Roman" w:hAnsi="Times New Roman"/>
          <w:sz w:val="24"/>
          <w:szCs w:val="24"/>
        </w:rPr>
        <w:t>,</w:t>
      </w:r>
      <w:r w:rsidRPr="00AD2DE2">
        <w:rPr>
          <w:rFonts w:ascii="Times New Roman" w:hAnsi="Times New Roman"/>
          <w:sz w:val="24"/>
          <w:szCs w:val="24"/>
        </w:rPr>
        <w:t xml:space="preserve"> “Early Childhood Development through an Integrated Program: Evidence from the Philippines”, World Bank Policy Research Working Paper 3922.</w:t>
      </w:r>
    </w:p>
    <w:p w:rsidR="00BA565A" w:rsidRPr="00AD2DE2" w:rsidRDefault="00BA565A" w:rsidP="00902E4B">
      <w:pPr>
        <w:spacing w:after="0" w:line="240" w:lineRule="auto"/>
        <w:jc w:val="both"/>
        <w:rPr>
          <w:rFonts w:ascii="Times New Roman" w:hAnsi="Times New Roman"/>
          <w:sz w:val="24"/>
          <w:szCs w:val="24"/>
        </w:rPr>
      </w:pPr>
    </w:p>
    <w:p w:rsidR="00BA565A" w:rsidRPr="00C9535C" w:rsidRDefault="00BA565A"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 xml:space="preserve">Attanasio, O. </w:t>
      </w:r>
      <w:r w:rsidR="00D9445A" w:rsidRPr="00C9535C">
        <w:rPr>
          <w:rFonts w:ascii="Times New Roman" w:hAnsi="Times New Roman"/>
          <w:sz w:val="24"/>
          <w:szCs w:val="24"/>
          <w:lang w:val="es-ES"/>
        </w:rPr>
        <w:t xml:space="preserve">&amp; S. </w:t>
      </w:r>
      <w:r w:rsidRPr="00C9535C">
        <w:rPr>
          <w:rFonts w:ascii="Times New Roman" w:hAnsi="Times New Roman"/>
          <w:sz w:val="24"/>
          <w:szCs w:val="24"/>
          <w:lang w:val="es-ES"/>
        </w:rPr>
        <w:t>Espinosa (2010)</w:t>
      </w:r>
      <w:r w:rsidR="00D9445A" w:rsidRPr="00C9535C">
        <w:rPr>
          <w:rFonts w:ascii="Times New Roman" w:hAnsi="Times New Roman"/>
          <w:sz w:val="24"/>
          <w:szCs w:val="24"/>
          <w:lang w:val="es-ES"/>
        </w:rPr>
        <w:t>,</w:t>
      </w:r>
      <w:r w:rsidRPr="00C9535C">
        <w:rPr>
          <w:rFonts w:ascii="Times New Roman" w:hAnsi="Times New Roman"/>
          <w:sz w:val="24"/>
          <w:szCs w:val="24"/>
          <w:lang w:val="es-ES"/>
        </w:rPr>
        <w:t xml:space="preserve"> “Informe sobre Impactos de la Estimación de Modelos Estructurales”. Documento no publicado del Instituto Nacional de Salud Pública y Centro de Investigación en Evaluación y Encuestas, 2010.</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 xml:space="preserve">Attanasio, O., </w:t>
      </w:r>
      <w:r w:rsidR="00D9445A" w:rsidRPr="00C9535C">
        <w:rPr>
          <w:rFonts w:ascii="Times New Roman" w:hAnsi="Times New Roman"/>
          <w:sz w:val="24"/>
          <w:szCs w:val="24"/>
          <w:lang w:val="es-ES"/>
        </w:rPr>
        <w:t xml:space="preserve">E. </w:t>
      </w:r>
      <w:r w:rsidRPr="00C9535C">
        <w:rPr>
          <w:rFonts w:ascii="Times New Roman" w:hAnsi="Times New Roman"/>
          <w:sz w:val="24"/>
          <w:szCs w:val="24"/>
          <w:lang w:val="es-ES"/>
        </w:rPr>
        <w:t xml:space="preserve">Fitzsimons, </w:t>
      </w:r>
      <w:r w:rsidR="00D9445A" w:rsidRPr="00C9535C">
        <w:rPr>
          <w:rFonts w:ascii="Times New Roman" w:hAnsi="Times New Roman"/>
          <w:sz w:val="24"/>
          <w:szCs w:val="24"/>
          <w:lang w:val="es-ES"/>
        </w:rPr>
        <w:t xml:space="preserve">C. </w:t>
      </w:r>
      <w:r w:rsidRPr="00C9535C">
        <w:rPr>
          <w:rFonts w:ascii="Times New Roman" w:hAnsi="Times New Roman"/>
          <w:sz w:val="24"/>
          <w:szCs w:val="24"/>
          <w:lang w:val="es-ES"/>
        </w:rPr>
        <w:t xml:space="preserve">Fernandez, </w:t>
      </w:r>
      <w:r w:rsidR="00D9445A" w:rsidRPr="00C9535C">
        <w:rPr>
          <w:rFonts w:ascii="Times New Roman" w:hAnsi="Times New Roman"/>
          <w:sz w:val="24"/>
          <w:szCs w:val="24"/>
          <w:lang w:val="es-ES"/>
        </w:rPr>
        <w:t xml:space="preserve">S. </w:t>
      </w:r>
      <w:r w:rsidRPr="00C9535C">
        <w:rPr>
          <w:rFonts w:ascii="Times New Roman" w:hAnsi="Times New Roman"/>
          <w:sz w:val="24"/>
          <w:szCs w:val="24"/>
          <w:lang w:val="es-ES"/>
        </w:rPr>
        <w:t xml:space="preserve">Grantham-McGregor, </w:t>
      </w:r>
      <w:r w:rsidR="00D9445A" w:rsidRPr="00C9535C">
        <w:rPr>
          <w:rFonts w:ascii="Times New Roman" w:hAnsi="Times New Roman"/>
          <w:sz w:val="24"/>
          <w:szCs w:val="24"/>
          <w:lang w:val="es-ES"/>
        </w:rPr>
        <w:t xml:space="preserve">C. </w:t>
      </w:r>
      <w:r w:rsidRPr="00C9535C">
        <w:rPr>
          <w:rFonts w:ascii="Times New Roman" w:hAnsi="Times New Roman"/>
          <w:sz w:val="24"/>
          <w:szCs w:val="24"/>
          <w:lang w:val="es-ES"/>
        </w:rPr>
        <w:t>Meghir</w:t>
      </w:r>
      <w:r w:rsidR="00D9445A" w:rsidRPr="00C9535C">
        <w:rPr>
          <w:rFonts w:ascii="Times New Roman" w:hAnsi="Times New Roman"/>
          <w:sz w:val="24"/>
          <w:szCs w:val="24"/>
          <w:lang w:val="es-ES"/>
        </w:rPr>
        <w:t xml:space="preserve"> &amp;</w:t>
      </w:r>
      <w:r w:rsidRPr="00C9535C">
        <w:rPr>
          <w:rFonts w:ascii="Times New Roman" w:hAnsi="Times New Roman"/>
          <w:sz w:val="24"/>
          <w:szCs w:val="24"/>
          <w:lang w:val="es-ES"/>
        </w:rPr>
        <w:t xml:space="preserve"> M. Rubio-Codina (2012)</w:t>
      </w:r>
      <w:r w:rsidR="00D9445A" w:rsidRPr="00C9535C">
        <w:rPr>
          <w:rFonts w:ascii="Times New Roman" w:hAnsi="Times New Roman"/>
          <w:sz w:val="24"/>
          <w:szCs w:val="24"/>
          <w:lang w:val="es-ES"/>
        </w:rPr>
        <w:t>,</w:t>
      </w:r>
      <w:r w:rsidRPr="00C9535C">
        <w:rPr>
          <w:rFonts w:ascii="Times New Roman" w:hAnsi="Times New Roman"/>
          <w:sz w:val="24"/>
          <w:szCs w:val="24"/>
          <w:lang w:val="es-ES"/>
        </w:rPr>
        <w:t xml:space="preserve"> “Home Visiting in Colombia: Impacts of a Scalable Intervention”, Presentación en University College London, 25 Junio 2012.</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BA565A" w:rsidRPr="00AD2DE2" w:rsidRDefault="00BA565A"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Attanasio, O., C. Meghir, and A. Santiago (2011). “Education Choices in Mexico: Using a Structural Model and a Randomized Experiment to Evaluate PROGRESA.” Review of Economic Studies (2011) xx, 1–30.</w:t>
      </w:r>
    </w:p>
    <w:p w:rsidR="007439F4" w:rsidRPr="00AD2DE2" w:rsidRDefault="007439F4" w:rsidP="00902E4B">
      <w:pPr>
        <w:spacing w:after="0" w:line="240" w:lineRule="auto"/>
        <w:ind w:left="288" w:hanging="288"/>
        <w:jc w:val="both"/>
        <w:rPr>
          <w:rFonts w:ascii="Times New Roman" w:hAnsi="Times New Roman"/>
          <w:sz w:val="24"/>
          <w:szCs w:val="24"/>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Attanasio, O.</w:t>
      </w:r>
      <w:r w:rsidR="00D9445A" w:rsidRPr="00AD2DE2">
        <w:rPr>
          <w:rFonts w:ascii="Times New Roman" w:hAnsi="Times New Roman"/>
          <w:sz w:val="24"/>
          <w:szCs w:val="24"/>
        </w:rPr>
        <w:t xml:space="preserve"> &amp;</w:t>
      </w:r>
      <w:r w:rsidRPr="00AD2DE2">
        <w:rPr>
          <w:rFonts w:ascii="Times New Roman" w:hAnsi="Times New Roman"/>
          <w:sz w:val="24"/>
          <w:szCs w:val="24"/>
        </w:rPr>
        <w:t xml:space="preserve"> M. Vera-Hernández (2004)</w:t>
      </w:r>
      <w:r w:rsidR="00D9445A" w:rsidRPr="00AD2DE2">
        <w:rPr>
          <w:rFonts w:ascii="Times New Roman" w:hAnsi="Times New Roman"/>
          <w:sz w:val="24"/>
          <w:szCs w:val="24"/>
        </w:rPr>
        <w:t>,</w:t>
      </w:r>
      <w:r w:rsidRPr="00AD2DE2">
        <w:rPr>
          <w:rFonts w:ascii="Times New Roman" w:hAnsi="Times New Roman"/>
          <w:sz w:val="24"/>
          <w:szCs w:val="24"/>
        </w:rPr>
        <w:t xml:space="preserve"> “Medium and Long Run Effects of Nutrition and Child Care. Evaluation of a Community Nursery Programme in Rural Colombia”. The Institue for Fiscal Studies.WP04/30.</w:t>
      </w:r>
    </w:p>
    <w:p w:rsidR="007439F4" w:rsidRPr="00AD2DE2" w:rsidRDefault="007439F4" w:rsidP="00902E4B">
      <w:pPr>
        <w:spacing w:after="0" w:line="240" w:lineRule="auto"/>
        <w:ind w:left="288" w:hanging="288"/>
        <w:jc w:val="both"/>
        <w:rPr>
          <w:rFonts w:ascii="Times New Roman" w:hAnsi="Times New Roman"/>
          <w:sz w:val="24"/>
          <w:szCs w:val="24"/>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Baker-Henningham H. y F. Lopez-Boo (2013)</w:t>
      </w:r>
      <w:r w:rsidR="00D9445A" w:rsidRPr="00C9535C">
        <w:rPr>
          <w:rFonts w:ascii="Times New Roman" w:hAnsi="Times New Roman"/>
          <w:sz w:val="24"/>
          <w:szCs w:val="24"/>
          <w:lang w:val="es-ES"/>
        </w:rPr>
        <w:t>,</w:t>
      </w:r>
      <w:r w:rsidRPr="00C9535C">
        <w:rPr>
          <w:rFonts w:ascii="Times New Roman" w:hAnsi="Times New Roman"/>
          <w:sz w:val="24"/>
          <w:szCs w:val="24"/>
          <w:lang w:val="es-ES"/>
        </w:rPr>
        <w:t xml:space="preserve"> “Intervenciones de Estimulación Infantil Temprana en los Países en Vías de Desarrollo: Lo que Funciona, Por Qué y Para Quién?” Nota Técnica 540, Banco Interamericano de Desarrollo. División de Protección Social y Salud.</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BA565A" w:rsidRPr="00C9535C" w:rsidRDefault="00BA565A" w:rsidP="00902E4B">
      <w:pPr>
        <w:spacing w:after="0" w:line="240" w:lineRule="auto"/>
        <w:ind w:left="288" w:hanging="288"/>
        <w:jc w:val="both"/>
        <w:rPr>
          <w:rFonts w:ascii="Times New Roman" w:hAnsi="Times New Roman"/>
          <w:sz w:val="24"/>
          <w:szCs w:val="24"/>
          <w:lang w:val="es-ES"/>
        </w:rPr>
      </w:pPr>
      <w:r w:rsidRPr="00AD2DE2">
        <w:rPr>
          <w:rFonts w:ascii="Times New Roman" w:hAnsi="Times New Roman"/>
          <w:sz w:val="24"/>
          <w:szCs w:val="24"/>
        </w:rPr>
        <w:t xml:space="preserve">Behrman, J., S.W. Parker, </w:t>
      </w:r>
      <w:r w:rsidR="00D9445A" w:rsidRPr="00AD2DE2">
        <w:rPr>
          <w:rFonts w:ascii="Times New Roman" w:hAnsi="Times New Roman"/>
          <w:sz w:val="24"/>
          <w:szCs w:val="24"/>
        </w:rPr>
        <w:t>&amp;</w:t>
      </w:r>
      <w:r w:rsidRPr="00AD2DE2">
        <w:rPr>
          <w:rFonts w:ascii="Times New Roman" w:hAnsi="Times New Roman"/>
          <w:sz w:val="24"/>
          <w:szCs w:val="24"/>
        </w:rPr>
        <w:t xml:space="preserve"> P</w:t>
      </w:r>
      <w:r w:rsidR="00D9445A" w:rsidRPr="00AD2DE2">
        <w:rPr>
          <w:rFonts w:ascii="Times New Roman" w:hAnsi="Times New Roman"/>
          <w:sz w:val="24"/>
          <w:szCs w:val="24"/>
        </w:rPr>
        <w:t>.</w:t>
      </w:r>
      <w:r w:rsidRPr="00AD2DE2">
        <w:rPr>
          <w:rFonts w:ascii="Times New Roman" w:hAnsi="Times New Roman"/>
          <w:sz w:val="24"/>
          <w:szCs w:val="24"/>
        </w:rPr>
        <w:t xml:space="preserve"> Todd</w:t>
      </w:r>
      <w:r w:rsidR="00D9445A" w:rsidRPr="00AD2DE2">
        <w:rPr>
          <w:rFonts w:ascii="Times New Roman" w:hAnsi="Times New Roman"/>
          <w:sz w:val="24"/>
          <w:szCs w:val="24"/>
        </w:rPr>
        <w:t xml:space="preserve"> (2009)</w:t>
      </w:r>
      <w:r w:rsidRPr="00AD2DE2">
        <w:rPr>
          <w:rFonts w:ascii="Times New Roman" w:hAnsi="Times New Roman"/>
          <w:sz w:val="24"/>
          <w:szCs w:val="24"/>
        </w:rPr>
        <w:t xml:space="preserve">, </w:t>
      </w:r>
      <w:r w:rsidR="00D9445A" w:rsidRPr="00AD2DE2">
        <w:rPr>
          <w:rFonts w:ascii="Times New Roman" w:hAnsi="Times New Roman"/>
          <w:sz w:val="24"/>
          <w:szCs w:val="24"/>
        </w:rPr>
        <w:t>“</w:t>
      </w:r>
      <w:r w:rsidRPr="00AD2DE2">
        <w:rPr>
          <w:rFonts w:ascii="Times New Roman" w:hAnsi="Times New Roman"/>
          <w:sz w:val="24"/>
          <w:szCs w:val="24"/>
        </w:rPr>
        <w:t xml:space="preserve">Schooling Impacts of Conditional Cash Transfers on Young Children: Evidence from Mexico. </w:t>
      </w:r>
      <w:r w:rsidRPr="00C9535C">
        <w:rPr>
          <w:rFonts w:ascii="Times New Roman" w:hAnsi="Times New Roman"/>
          <w:sz w:val="24"/>
          <w:szCs w:val="24"/>
          <w:lang w:val="es-ES"/>
        </w:rPr>
        <w:t>Economic Development and Cultural Change</w:t>
      </w:r>
      <w:r w:rsidR="00D9445A" w:rsidRPr="00C9535C">
        <w:rPr>
          <w:rFonts w:ascii="Times New Roman" w:hAnsi="Times New Roman"/>
          <w:sz w:val="24"/>
          <w:szCs w:val="24"/>
          <w:lang w:val="es-ES"/>
        </w:rPr>
        <w:t>”</w:t>
      </w:r>
      <w:r w:rsidRPr="00C9535C">
        <w:rPr>
          <w:rFonts w:ascii="Times New Roman" w:hAnsi="Times New Roman"/>
          <w:sz w:val="24"/>
          <w:szCs w:val="24"/>
          <w:lang w:val="es-ES"/>
        </w:rPr>
        <w:t>. 57(3): p. 439-477.</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CF23CD" w:rsidRDefault="008E007E" w:rsidP="00902E4B">
      <w:pPr>
        <w:spacing w:after="0" w:line="240" w:lineRule="auto"/>
        <w:ind w:left="288" w:hanging="288"/>
        <w:jc w:val="both"/>
        <w:rPr>
          <w:rFonts w:ascii="Times New Roman" w:hAnsi="Times New Roman"/>
          <w:sz w:val="24"/>
          <w:szCs w:val="24"/>
        </w:rPr>
      </w:pPr>
      <w:r w:rsidRPr="00C9535C">
        <w:rPr>
          <w:rFonts w:ascii="Times New Roman" w:hAnsi="Times New Roman"/>
          <w:sz w:val="24"/>
          <w:szCs w:val="24"/>
          <w:lang w:val="es-ES"/>
        </w:rPr>
        <w:t xml:space="preserve">Bernal, R., </w:t>
      </w:r>
      <w:r w:rsidR="00D9445A" w:rsidRPr="00C9535C">
        <w:rPr>
          <w:rFonts w:ascii="Times New Roman" w:hAnsi="Times New Roman"/>
          <w:sz w:val="24"/>
          <w:szCs w:val="24"/>
          <w:lang w:val="es-ES"/>
        </w:rPr>
        <w:t xml:space="preserve">C. </w:t>
      </w:r>
      <w:r w:rsidRPr="00C9535C">
        <w:rPr>
          <w:rFonts w:ascii="Times New Roman" w:hAnsi="Times New Roman"/>
          <w:sz w:val="24"/>
          <w:szCs w:val="24"/>
          <w:lang w:val="es-ES"/>
        </w:rPr>
        <w:t xml:space="preserve">Fernández, </w:t>
      </w:r>
      <w:r w:rsidR="00D9445A" w:rsidRPr="00C9535C">
        <w:rPr>
          <w:rFonts w:ascii="Times New Roman" w:hAnsi="Times New Roman"/>
          <w:sz w:val="24"/>
          <w:szCs w:val="24"/>
          <w:lang w:val="es-ES"/>
        </w:rPr>
        <w:t xml:space="preserve">C. </w:t>
      </w:r>
      <w:r w:rsidRPr="00C9535C">
        <w:rPr>
          <w:rFonts w:ascii="Times New Roman" w:hAnsi="Times New Roman"/>
          <w:sz w:val="24"/>
          <w:szCs w:val="24"/>
          <w:lang w:val="es-ES"/>
        </w:rPr>
        <w:t>Flores, y A. Gaviria (2009)</w:t>
      </w:r>
      <w:r w:rsidR="00D9445A" w:rsidRPr="00C9535C">
        <w:rPr>
          <w:rFonts w:ascii="Times New Roman" w:hAnsi="Times New Roman"/>
          <w:sz w:val="24"/>
          <w:szCs w:val="24"/>
          <w:lang w:val="es-ES"/>
        </w:rPr>
        <w:t>,</w:t>
      </w:r>
      <w:r w:rsidRPr="00C9535C">
        <w:rPr>
          <w:rFonts w:ascii="Times New Roman" w:hAnsi="Times New Roman"/>
          <w:sz w:val="24"/>
          <w:szCs w:val="24"/>
          <w:lang w:val="es-ES"/>
        </w:rPr>
        <w:t xml:space="preserve"> “Evaluación de Impacto del Programa Hogares Comunitarios de Bienestar del ICBF”. </w:t>
      </w:r>
      <w:r w:rsidRPr="00CF23CD">
        <w:rPr>
          <w:rFonts w:ascii="Times New Roman" w:hAnsi="Times New Roman"/>
          <w:sz w:val="24"/>
          <w:szCs w:val="24"/>
        </w:rPr>
        <w:t>Documentos CEDE 005854, Universidad de los Andes-CEDE.</w:t>
      </w:r>
    </w:p>
    <w:p w:rsidR="00EE0C33" w:rsidRPr="00CF23CD" w:rsidRDefault="00EE0C33" w:rsidP="00902E4B">
      <w:pPr>
        <w:spacing w:after="0" w:line="240" w:lineRule="auto"/>
        <w:ind w:left="288" w:hanging="288"/>
        <w:jc w:val="both"/>
        <w:rPr>
          <w:rFonts w:ascii="Times New Roman" w:hAnsi="Times New Roman"/>
          <w:sz w:val="24"/>
          <w:szCs w:val="24"/>
        </w:rPr>
      </w:pPr>
    </w:p>
    <w:p w:rsidR="00EE0C33" w:rsidRPr="00CF23CD" w:rsidRDefault="00EE0C33" w:rsidP="00902E4B">
      <w:pPr>
        <w:spacing w:after="0" w:line="240" w:lineRule="auto"/>
        <w:ind w:left="288" w:hanging="288"/>
        <w:jc w:val="both"/>
        <w:rPr>
          <w:rFonts w:ascii="Times New Roman" w:hAnsi="Times New Roman"/>
          <w:sz w:val="24"/>
          <w:szCs w:val="24"/>
        </w:rPr>
      </w:pPr>
      <w:r w:rsidRPr="00CF23CD">
        <w:rPr>
          <w:rFonts w:ascii="Times New Roman" w:hAnsi="Times New Roman"/>
          <w:sz w:val="24"/>
          <w:szCs w:val="24"/>
        </w:rPr>
        <w:t xml:space="preserve">Colchero A, Neufeld L. </w:t>
      </w:r>
      <w:r w:rsidR="001C1D74">
        <w:rPr>
          <w:rFonts w:ascii="Times New Roman" w:hAnsi="Times New Roman"/>
          <w:sz w:val="24"/>
          <w:szCs w:val="24"/>
        </w:rPr>
        <w:t xml:space="preserve">(2008) </w:t>
      </w:r>
      <w:r w:rsidR="001C1D74">
        <w:rPr>
          <w:rFonts w:ascii="Times New Roman" w:hAnsi="Times New Roman"/>
          <w:sz w:val="24"/>
          <w:szCs w:val="24"/>
        </w:rPr>
        <w:br/>
        <w:t>“</w:t>
      </w:r>
      <w:r w:rsidRPr="00CF23CD">
        <w:rPr>
          <w:rFonts w:ascii="Times New Roman" w:hAnsi="Times New Roman"/>
          <w:sz w:val="24"/>
          <w:szCs w:val="24"/>
        </w:rPr>
        <w:t>Cost estimations of different types of micronutrient supplements for children and pregnant women</w:t>
      </w:r>
      <w:r w:rsidR="001C1D74">
        <w:rPr>
          <w:rFonts w:ascii="Times New Roman" w:hAnsi="Times New Roman"/>
          <w:sz w:val="24"/>
          <w:szCs w:val="24"/>
        </w:rPr>
        <w:t>”</w:t>
      </w:r>
      <w:r w:rsidRPr="00CF23CD">
        <w:rPr>
          <w:rFonts w:ascii="Times New Roman" w:hAnsi="Times New Roman"/>
          <w:sz w:val="24"/>
          <w:szCs w:val="24"/>
        </w:rPr>
        <w:t>.  FASEB J April 5, 2008 22:678.21</w:t>
      </w:r>
      <w:r w:rsidR="001C1D74">
        <w:rPr>
          <w:rFonts w:ascii="Times New Roman" w:hAnsi="Times New Roman"/>
          <w:sz w:val="24"/>
          <w:szCs w:val="24"/>
        </w:rPr>
        <w:t>.</w:t>
      </w:r>
    </w:p>
    <w:p w:rsidR="007439F4" w:rsidRPr="00CF23CD" w:rsidRDefault="007439F4" w:rsidP="00902E4B">
      <w:pPr>
        <w:spacing w:after="0" w:line="240" w:lineRule="auto"/>
        <w:ind w:left="288" w:hanging="288"/>
        <w:jc w:val="both"/>
        <w:rPr>
          <w:rFonts w:ascii="Times New Roman" w:hAnsi="Times New Roman"/>
          <w:sz w:val="24"/>
          <w:szCs w:val="24"/>
        </w:rPr>
      </w:pPr>
    </w:p>
    <w:p w:rsidR="008E007E" w:rsidRPr="00CF23CD" w:rsidRDefault="008E007E" w:rsidP="00902E4B">
      <w:pPr>
        <w:spacing w:after="0" w:line="240" w:lineRule="auto"/>
        <w:ind w:left="288" w:hanging="288"/>
        <w:jc w:val="both"/>
        <w:rPr>
          <w:rFonts w:ascii="Times New Roman" w:hAnsi="Times New Roman"/>
          <w:sz w:val="24"/>
          <w:szCs w:val="24"/>
        </w:rPr>
      </w:pPr>
      <w:r w:rsidRPr="00CF23CD">
        <w:rPr>
          <w:rFonts w:ascii="Times New Roman" w:hAnsi="Times New Roman"/>
          <w:sz w:val="24"/>
          <w:szCs w:val="24"/>
        </w:rPr>
        <w:t>Cueto, S.</w:t>
      </w:r>
      <w:r w:rsidR="00D9445A" w:rsidRPr="00CF23CD">
        <w:rPr>
          <w:rFonts w:ascii="Times New Roman" w:hAnsi="Times New Roman"/>
          <w:sz w:val="24"/>
          <w:szCs w:val="24"/>
        </w:rPr>
        <w:t>,</w:t>
      </w:r>
      <w:r w:rsidRPr="00CF23CD">
        <w:rPr>
          <w:rFonts w:ascii="Times New Roman" w:hAnsi="Times New Roman"/>
          <w:sz w:val="24"/>
          <w:szCs w:val="24"/>
        </w:rPr>
        <w:t xml:space="preserve"> </w:t>
      </w:r>
      <w:r w:rsidR="00D9445A" w:rsidRPr="00CF23CD">
        <w:rPr>
          <w:rFonts w:ascii="Times New Roman" w:hAnsi="Times New Roman"/>
          <w:sz w:val="24"/>
          <w:szCs w:val="24"/>
        </w:rPr>
        <w:t xml:space="preserve">G. </w:t>
      </w:r>
      <w:r w:rsidRPr="00CF23CD">
        <w:rPr>
          <w:rFonts w:ascii="Times New Roman" w:hAnsi="Times New Roman"/>
          <w:sz w:val="24"/>
          <w:szCs w:val="24"/>
        </w:rPr>
        <w:t>Guerrero G.</w:t>
      </w:r>
      <w:r w:rsidR="00D9445A" w:rsidRPr="00CF23CD">
        <w:rPr>
          <w:rFonts w:ascii="Times New Roman" w:hAnsi="Times New Roman"/>
          <w:sz w:val="24"/>
          <w:szCs w:val="24"/>
        </w:rPr>
        <w:t>,</w:t>
      </w:r>
      <w:r w:rsidRPr="00CF23CD">
        <w:rPr>
          <w:rFonts w:ascii="Times New Roman" w:hAnsi="Times New Roman"/>
          <w:sz w:val="24"/>
          <w:szCs w:val="24"/>
        </w:rPr>
        <w:t xml:space="preserve"> </w:t>
      </w:r>
      <w:r w:rsidR="00D9445A" w:rsidRPr="00CF23CD">
        <w:rPr>
          <w:rFonts w:ascii="Times New Roman" w:hAnsi="Times New Roman"/>
          <w:sz w:val="24"/>
          <w:szCs w:val="24"/>
        </w:rPr>
        <w:t xml:space="preserve">J. </w:t>
      </w:r>
      <w:r w:rsidRPr="00CF23CD">
        <w:rPr>
          <w:rFonts w:ascii="Times New Roman" w:hAnsi="Times New Roman"/>
          <w:sz w:val="24"/>
          <w:szCs w:val="24"/>
        </w:rPr>
        <w:t>Leon</w:t>
      </w:r>
      <w:r w:rsidR="00D9445A" w:rsidRPr="00CF23CD">
        <w:rPr>
          <w:rFonts w:ascii="Times New Roman" w:hAnsi="Times New Roman"/>
          <w:sz w:val="24"/>
          <w:szCs w:val="24"/>
        </w:rPr>
        <w:t>, A.</w:t>
      </w:r>
      <w:r w:rsidRPr="00CF23CD">
        <w:rPr>
          <w:rFonts w:ascii="Times New Roman" w:hAnsi="Times New Roman"/>
          <w:sz w:val="24"/>
          <w:szCs w:val="24"/>
        </w:rPr>
        <w:t xml:space="preserve"> Zevallos</w:t>
      </w:r>
      <w:r w:rsidR="00D9445A" w:rsidRPr="00CF23CD">
        <w:rPr>
          <w:rFonts w:ascii="Times New Roman" w:hAnsi="Times New Roman"/>
          <w:sz w:val="24"/>
          <w:szCs w:val="24"/>
        </w:rPr>
        <w:t xml:space="preserve"> &amp;</w:t>
      </w:r>
      <w:r w:rsidRPr="00CF23CD">
        <w:rPr>
          <w:rFonts w:ascii="Times New Roman" w:hAnsi="Times New Roman"/>
          <w:sz w:val="24"/>
          <w:szCs w:val="24"/>
        </w:rPr>
        <w:t xml:space="preserve"> </w:t>
      </w:r>
      <w:r w:rsidR="00D9445A" w:rsidRPr="00CF23CD">
        <w:rPr>
          <w:rFonts w:ascii="Times New Roman" w:hAnsi="Times New Roman"/>
          <w:sz w:val="24"/>
          <w:szCs w:val="24"/>
        </w:rPr>
        <w:t xml:space="preserve">C. </w:t>
      </w:r>
      <w:r w:rsidRPr="00CF23CD">
        <w:rPr>
          <w:rFonts w:ascii="Times New Roman" w:hAnsi="Times New Roman"/>
          <w:sz w:val="24"/>
          <w:szCs w:val="24"/>
        </w:rPr>
        <w:t>Sugimaru (2009)</w:t>
      </w:r>
      <w:r w:rsidR="00D9445A" w:rsidRPr="00CF23CD">
        <w:rPr>
          <w:rFonts w:ascii="Times New Roman" w:hAnsi="Times New Roman"/>
          <w:sz w:val="24"/>
          <w:szCs w:val="24"/>
        </w:rPr>
        <w:t>,</w:t>
      </w:r>
      <w:r w:rsidRPr="00CF23CD">
        <w:rPr>
          <w:rFonts w:ascii="Times New Roman" w:hAnsi="Times New Roman"/>
          <w:sz w:val="24"/>
          <w:szCs w:val="24"/>
        </w:rPr>
        <w:t xml:space="preserve"> “Promoting Early Childhood Development through a Public Programme: Wawa Wasi in Peru”</w:t>
      </w:r>
    </w:p>
    <w:p w:rsidR="007439F4" w:rsidRPr="00CF23CD" w:rsidRDefault="007439F4" w:rsidP="00902E4B">
      <w:pPr>
        <w:spacing w:after="0" w:line="240" w:lineRule="auto"/>
        <w:ind w:left="288" w:hanging="288"/>
        <w:jc w:val="both"/>
        <w:rPr>
          <w:rFonts w:ascii="Times New Roman" w:hAnsi="Times New Roman"/>
          <w:sz w:val="24"/>
          <w:szCs w:val="24"/>
        </w:rPr>
      </w:pPr>
    </w:p>
    <w:p w:rsidR="001B523A" w:rsidRPr="00C9535C" w:rsidRDefault="001B523A"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Dirección General de Información Geoestadística (DGIGAE) (2012), “Análisis y Evaluación de la Coordinación Nacional del Programa de Desarrollo Humano Oportunidades, Síntesis del proceso de evaluación externa de la Estrategia Integral de Atención a la Nutrición (EsIAN) de la población beneficiaria del PDHO 2008 – 2010”, México DF.</w:t>
      </w:r>
    </w:p>
    <w:p w:rsidR="001B523A" w:rsidRPr="00C9535C" w:rsidRDefault="001B523A" w:rsidP="00902E4B">
      <w:pPr>
        <w:spacing w:after="0" w:line="240" w:lineRule="auto"/>
        <w:ind w:left="288" w:hanging="288"/>
        <w:jc w:val="both"/>
        <w:rPr>
          <w:rFonts w:ascii="Times New Roman" w:hAnsi="Times New Roman"/>
          <w:sz w:val="24"/>
          <w:szCs w:val="24"/>
          <w:lang w:val="es-ES"/>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Eickmann S., </w:t>
      </w:r>
      <w:r w:rsidR="00D9445A" w:rsidRPr="00AD2DE2">
        <w:rPr>
          <w:rFonts w:ascii="Times New Roman" w:hAnsi="Times New Roman"/>
          <w:sz w:val="24"/>
          <w:szCs w:val="24"/>
        </w:rPr>
        <w:t>A.</w:t>
      </w:r>
      <w:r w:rsidRPr="00AD2DE2">
        <w:rPr>
          <w:rFonts w:ascii="Times New Roman" w:hAnsi="Times New Roman"/>
          <w:sz w:val="24"/>
          <w:szCs w:val="24"/>
        </w:rPr>
        <w:t xml:space="preserve"> Lima</w:t>
      </w:r>
      <w:r w:rsidR="00D9445A" w:rsidRPr="00AD2DE2">
        <w:rPr>
          <w:rFonts w:ascii="Times New Roman" w:hAnsi="Times New Roman"/>
          <w:sz w:val="24"/>
          <w:szCs w:val="24"/>
        </w:rPr>
        <w:t>, M.</w:t>
      </w:r>
      <w:r w:rsidRPr="00AD2DE2">
        <w:rPr>
          <w:rFonts w:ascii="Times New Roman" w:hAnsi="Times New Roman"/>
          <w:sz w:val="24"/>
          <w:szCs w:val="24"/>
        </w:rPr>
        <w:t xml:space="preserve"> Guerra, </w:t>
      </w:r>
      <w:r w:rsidR="00D9445A" w:rsidRPr="00AD2DE2">
        <w:rPr>
          <w:rFonts w:ascii="Times New Roman" w:hAnsi="Times New Roman"/>
          <w:sz w:val="24"/>
          <w:szCs w:val="24"/>
        </w:rPr>
        <w:t xml:space="preserve">M. </w:t>
      </w:r>
      <w:r w:rsidRPr="00AD2DE2">
        <w:rPr>
          <w:rFonts w:ascii="Times New Roman" w:hAnsi="Times New Roman"/>
          <w:sz w:val="24"/>
          <w:szCs w:val="24"/>
        </w:rPr>
        <w:t xml:space="preserve">Lima, </w:t>
      </w:r>
      <w:r w:rsidR="00D9445A" w:rsidRPr="00AD2DE2">
        <w:rPr>
          <w:rFonts w:ascii="Times New Roman" w:hAnsi="Times New Roman"/>
          <w:sz w:val="24"/>
          <w:szCs w:val="24"/>
        </w:rPr>
        <w:t xml:space="preserve">P. </w:t>
      </w:r>
      <w:r w:rsidRPr="00AD2DE2">
        <w:rPr>
          <w:rFonts w:ascii="Times New Roman" w:hAnsi="Times New Roman"/>
          <w:sz w:val="24"/>
          <w:szCs w:val="24"/>
        </w:rPr>
        <w:t xml:space="preserve">Lira, </w:t>
      </w:r>
      <w:r w:rsidR="00D9445A" w:rsidRPr="00AD2DE2">
        <w:rPr>
          <w:rFonts w:ascii="Times New Roman" w:hAnsi="Times New Roman"/>
          <w:sz w:val="24"/>
          <w:szCs w:val="24"/>
        </w:rPr>
        <w:t xml:space="preserve">S. </w:t>
      </w:r>
      <w:r w:rsidRPr="00AD2DE2">
        <w:rPr>
          <w:rFonts w:ascii="Times New Roman" w:hAnsi="Times New Roman"/>
          <w:sz w:val="24"/>
          <w:szCs w:val="24"/>
        </w:rPr>
        <w:t xml:space="preserve">Huttly </w:t>
      </w:r>
      <w:r w:rsidR="00D9445A" w:rsidRPr="00AD2DE2">
        <w:rPr>
          <w:rFonts w:ascii="Times New Roman" w:hAnsi="Times New Roman"/>
          <w:sz w:val="24"/>
          <w:szCs w:val="24"/>
        </w:rPr>
        <w:t>&amp; A.</w:t>
      </w:r>
      <w:r w:rsidRPr="00AD2DE2">
        <w:rPr>
          <w:rFonts w:ascii="Times New Roman" w:hAnsi="Times New Roman"/>
          <w:sz w:val="24"/>
          <w:szCs w:val="24"/>
        </w:rPr>
        <w:t xml:space="preserve"> Ashworth (2003)</w:t>
      </w:r>
      <w:r w:rsidR="00D9445A" w:rsidRPr="00AD2DE2">
        <w:rPr>
          <w:rFonts w:ascii="Times New Roman" w:hAnsi="Times New Roman"/>
          <w:sz w:val="24"/>
          <w:szCs w:val="24"/>
        </w:rPr>
        <w:t>,</w:t>
      </w:r>
      <w:r w:rsidRPr="00AD2DE2">
        <w:rPr>
          <w:rFonts w:ascii="Times New Roman" w:hAnsi="Times New Roman"/>
          <w:sz w:val="24"/>
          <w:szCs w:val="24"/>
        </w:rPr>
        <w:t xml:space="preserve"> “Improved cognitive and motor development in a community-based intervention of psychosocial stimulation in northeast Brazil”. Developmental Medicine &amp; Child Neurology 2003, 45: 536–541.</w:t>
      </w:r>
    </w:p>
    <w:p w:rsidR="007439F4" w:rsidRDefault="007439F4" w:rsidP="00902E4B">
      <w:pPr>
        <w:spacing w:after="0" w:line="240" w:lineRule="auto"/>
        <w:ind w:left="288" w:hanging="288"/>
        <w:jc w:val="both"/>
        <w:rPr>
          <w:rFonts w:ascii="Times New Roman" w:hAnsi="Times New Roman"/>
          <w:sz w:val="24"/>
          <w:szCs w:val="24"/>
        </w:rPr>
      </w:pPr>
    </w:p>
    <w:p w:rsidR="00C90C6E" w:rsidRPr="00C90C6E" w:rsidRDefault="00C90C6E" w:rsidP="00C90C6E">
      <w:pPr>
        <w:spacing w:after="0" w:line="240" w:lineRule="auto"/>
        <w:ind w:left="288" w:hanging="288"/>
        <w:jc w:val="both"/>
        <w:rPr>
          <w:rFonts w:ascii="Times New Roman" w:hAnsi="Times New Roman"/>
          <w:sz w:val="24"/>
          <w:szCs w:val="24"/>
        </w:rPr>
      </w:pPr>
      <w:r w:rsidRPr="00C90C6E">
        <w:rPr>
          <w:rFonts w:ascii="Times New Roman" w:hAnsi="Times New Roman"/>
          <w:sz w:val="24"/>
          <w:szCs w:val="24"/>
        </w:rPr>
        <w:t xml:space="preserve">García-Guerra A, Neufeld LM, Dominguez-Islas C, García-Feregrino R, Hernández-Cabrera A. </w:t>
      </w:r>
      <w:r>
        <w:rPr>
          <w:rFonts w:ascii="Times New Roman" w:hAnsi="Times New Roman"/>
          <w:sz w:val="24"/>
          <w:szCs w:val="24"/>
        </w:rPr>
        <w:t>(2008) “</w:t>
      </w:r>
      <w:r w:rsidRPr="00C90C6E">
        <w:rPr>
          <w:rFonts w:ascii="Times New Roman" w:hAnsi="Times New Roman"/>
          <w:sz w:val="24"/>
          <w:szCs w:val="24"/>
        </w:rPr>
        <w:t>Effect of three supplementswith identical micronutrient content on anemia in Mexican children</w:t>
      </w:r>
      <w:r>
        <w:rPr>
          <w:rFonts w:ascii="Times New Roman" w:hAnsi="Times New Roman"/>
          <w:sz w:val="24"/>
          <w:szCs w:val="24"/>
        </w:rPr>
        <w:t>”</w:t>
      </w:r>
      <w:r w:rsidRPr="00C90C6E">
        <w:rPr>
          <w:rFonts w:ascii="Times New Roman" w:hAnsi="Times New Roman"/>
          <w:sz w:val="24"/>
          <w:szCs w:val="24"/>
        </w:rPr>
        <w:t xml:space="preserve"> FASEB J April 5, 2008 22:677.5</w:t>
      </w:r>
    </w:p>
    <w:p w:rsidR="00C90C6E" w:rsidRPr="00AD2DE2" w:rsidRDefault="00C90C6E" w:rsidP="00902E4B">
      <w:pPr>
        <w:spacing w:after="0" w:line="240" w:lineRule="auto"/>
        <w:ind w:left="288" w:hanging="288"/>
        <w:jc w:val="both"/>
        <w:rPr>
          <w:rFonts w:ascii="Times New Roman" w:hAnsi="Times New Roman"/>
          <w:sz w:val="24"/>
          <w:szCs w:val="24"/>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Gertler, P.</w:t>
      </w:r>
      <w:r w:rsidR="00BF7E6A" w:rsidRPr="00AD2DE2">
        <w:rPr>
          <w:rFonts w:ascii="Times New Roman" w:hAnsi="Times New Roman"/>
          <w:sz w:val="24"/>
          <w:szCs w:val="24"/>
        </w:rPr>
        <w:t>, A. Z</w:t>
      </w:r>
      <w:r w:rsidRPr="00AD2DE2">
        <w:rPr>
          <w:rFonts w:ascii="Times New Roman" w:hAnsi="Times New Roman"/>
          <w:sz w:val="24"/>
          <w:szCs w:val="24"/>
        </w:rPr>
        <w:t>anolini</w:t>
      </w:r>
      <w:r w:rsidR="00BF7E6A" w:rsidRPr="00AD2DE2">
        <w:rPr>
          <w:rFonts w:ascii="Times New Roman" w:hAnsi="Times New Roman"/>
          <w:sz w:val="24"/>
          <w:szCs w:val="24"/>
        </w:rPr>
        <w:t>, R.</w:t>
      </w:r>
      <w:r w:rsidRPr="00AD2DE2">
        <w:rPr>
          <w:rFonts w:ascii="Times New Roman" w:hAnsi="Times New Roman"/>
          <w:sz w:val="24"/>
          <w:szCs w:val="24"/>
        </w:rPr>
        <w:t xml:space="preserve"> Pinto</w:t>
      </w:r>
      <w:r w:rsidR="00BF7E6A" w:rsidRPr="00AD2DE2">
        <w:rPr>
          <w:rFonts w:ascii="Times New Roman" w:hAnsi="Times New Roman"/>
          <w:sz w:val="24"/>
          <w:szCs w:val="24"/>
        </w:rPr>
        <w:t>, J.</w:t>
      </w:r>
      <w:r w:rsidRPr="00AD2DE2">
        <w:rPr>
          <w:rFonts w:ascii="Times New Roman" w:hAnsi="Times New Roman"/>
          <w:sz w:val="24"/>
          <w:szCs w:val="24"/>
        </w:rPr>
        <w:t xml:space="preserve"> Heckman</w:t>
      </w:r>
      <w:r w:rsidR="00BF7E6A" w:rsidRPr="00AD2DE2">
        <w:rPr>
          <w:rFonts w:ascii="Times New Roman" w:hAnsi="Times New Roman"/>
          <w:sz w:val="24"/>
          <w:szCs w:val="24"/>
        </w:rPr>
        <w:t>, S.</w:t>
      </w:r>
      <w:r w:rsidRPr="00AD2DE2">
        <w:rPr>
          <w:rFonts w:ascii="Times New Roman" w:hAnsi="Times New Roman"/>
          <w:sz w:val="24"/>
          <w:szCs w:val="24"/>
        </w:rPr>
        <w:t xml:space="preserve"> Walker</w:t>
      </w:r>
      <w:r w:rsidR="00BF7E6A" w:rsidRPr="00AD2DE2">
        <w:rPr>
          <w:rFonts w:ascii="Times New Roman" w:hAnsi="Times New Roman"/>
          <w:sz w:val="24"/>
          <w:szCs w:val="24"/>
        </w:rPr>
        <w:t>, C.</w:t>
      </w:r>
      <w:r w:rsidRPr="00AD2DE2">
        <w:rPr>
          <w:rFonts w:ascii="Times New Roman" w:hAnsi="Times New Roman"/>
          <w:sz w:val="24"/>
          <w:szCs w:val="24"/>
        </w:rPr>
        <w:t xml:space="preserve"> Vermeersch</w:t>
      </w:r>
      <w:r w:rsidR="00BF7E6A" w:rsidRPr="00AD2DE2">
        <w:rPr>
          <w:rFonts w:ascii="Times New Roman" w:hAnsi="Times New Roman"/>
          <w:sz w:val="24"/>
          <w:szCs w:val="24"/>
        </w:rPr>
        <w:t>, S.</w:t>
      </w:r>
      <w:r w:rsidRPr="00AD2DE2">
        <w:rPr>
          <w:rFonts w:ascii="Times New Roman" w:hAnsi="Times New Roman"/>
          <w:sz w:val="24"/>
          <w:szCs w:val="24"/>
        </w:rPr>
        <w:t xml:space="preserve"> Chang</w:t>
      </w:r>
      <w:r w:rsidR="00BF7E6A" w:rsidRPr="00AD2DE2">
        <w:rPr>
          <w:rFonts w:ascii="Times New Roman" w:hAnsi="Times New Roman"/>
          <w:sz w:val="24"/>
          <w:szCs w:val="24"/>
        </w:rPr>
        <w:t xml:space="preserve"> &amp;</w:t>
      </w:r>
      <w:r w:rsidRPr="00AD2DE2">
        <w:rPr>
          <w:rFonts w:ascii="Times New Roman" w:hAnsi="Times New Roman"/>
          <w:sz w:val="24"/>
          <w:szCs w:val="24"/>
        </w:rPr>
        <w:t xml:space="preserve"> </w:t>
      </w:r>
      <w:r w:rsidR="00BF7E6A" w:rsidRPr="00AD2DE2">
        <w:rPr>
          <w:rFonts w:ascii="Times New Roman" w:hAnsi="Times New Roman"/>
          <w:sz w:val="24"/>
          <w:szCs w:val="24"/>
        </w:rPr>
        <w:t xml:space="preserve">S. </w:t>
      </w:r>
      <w:r w:rsidRPr="00AD2DE2">
        <w:rPr>
          <w:rFonts w:ascii="Times New Roman" w:hAnsi="Times New Roman"/>
          <w:sz w:val="24"/>
          <w:szCs w:val="24"/>
        </w:rPr>
        <w:t>Grantham-McGregor (2013) “Labor Market Returns to Early Childhood Stimulation: a 20-Year Follow-up to the Jamaica Study”, mimeo.</w:t>
      </w:r>
    </w:p>
    <w:p w:rsidR="007439F4" w:rsidRPr="00AD2DE2" w:rsidRDefault="007439F4" w:rsidP="00902E4B">
      <w:pPr>
        <w:spacing w:after="0" w:line="240" w:lineRule="auto"/>
        <w:ind w:left="288" w:hanging="288"/>
        <w:jc w:val="both"/>
        <w:rPr>
          <w:rFonts w:ascii="Times New Roman" w:hAnsi="Times New Roman"/>
          <w:sz w:val="24"/>
          <w:szCs w:val="24"/>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Hamadani J., </w:t>
      </w:r>
      <w:r w:rsidR="00106BA5" w:rsidRPr="00AD2DE2">
        <w:rPr>
          <w:rFonts w:ascii="Times New Roman" w:hAnsi="Times New Roman"/>
          <w:sz w:val="24"/>
          <w:szCs w:val="24"/>
        </w:rPr>
        <w:t xml:space="preserve">S. </w:t>
      </w:r>
      <w:r w:rsidRPr="00AD2DE2">
        <w:rPr>
          <w:rFonts w:ascii="Times New Roman" w:hAnsi="Times New Roman"/>
          <w:sz w:val="24"/>
          <w:szCs w:val="24"/>
        </w:rPr>
        <w:t xml:space="preserve">Huda, </w:t>
      </w:r>
      <w:r w:rsidR="00106BA5" w:rsidRPr="00AD2DE2">
        <w:rPr>
          <w:rFonts w:ascii="Times New Roman" w:hAnsi="Times New Roman"/>
          <w:sz w:val="24"/>
          <w:szCs w:val="24"/>
        </w:rPr>
        <w:t xml:space="preserve">F. </w:t>
      </w:r>
      <w:r w:rsidRPr="00AD2DE2">
        <w:rPr>
          <w:rFonts w:ascii="Times New Roman" w:hAnsi="Times New Roman"/>
          <w:sz w:val="24"/>
          <w:szCs w:val="24"/>
        </w:rPr>
        <w:t>Khatun</w:t>
      </w:r>
      <w:r w:rsidR="00106BA5" w:rsidRPr="00AD2DE2">
        <w:rPr>
          <w:rFonts w:ascii="Times New Roman" w:hAnsi="Times New Roman"/>
          <w:sz w:val="24"/>
          <w:szCs w:val="24"/>
        </w:rPr>
        <w:t xml:space="preserve"> &amp; S.</w:t>
      </w:r>
      <w:r w:rsidRPr="00AD2DE2">
        <w:rPr>
          <w:rFonts w:ascii="Times New Roman" w:hAnsi="Times New Roman"/>
          <w:sz w:val="24"/>
          <w:szCs w:val="24"/>
        </w:rPr>
        <w:t xml:space="preserve"> Grantham-McGregor (2006)</w:t>
      </w:r>
      <w:r w:rsidR="00106BA5" w:rsidRPr="00AD2DE2">
        <w:rPr>
          <w:rFonts w:ascii="Times New Roman" w:hAnsi="Times New Roman"/>
          <w:sz w:val="24"/>
          <w:szCs w:val="24"/>
        </w:rPr>
        <w:t>,</w:t>
      </w:r>
      <w:r w:rsidRPr="00AD2DE2">
        <w:rPr>
          <w:rFonts w:ascii="Times New Roman" w:hAnsi="Times New Roman"/>
          <w:sz w:val="24"/>
          <w:szCs w:val="24"/>
        </w:rPr>
        <w:t xml:space="preserve"> “Psychosocial Stimulation Improves the Development of Undernourished Children in Rural Bangladesh”, The Journal of Nutrition, Ingestive Behavior and Neurosciences.</w:t>
      </w:r>
    </w:p>
    <w:p w:rsidR="007439F4" w:rsidRPr="00AD2DE2" w:rsidRDefault="007439F4" w:rsidP="00902E4B">
      <w:pPr>
        <w:spacing w:after="0" w:line="240" w:lineRule="auto"/>
        <w:ind w:left="288" w:hanging="288"/>
        <w:jc w:val="both"/>
        <w:rPr>
          <w:rFonts w:ascii="Times New Roman" w:hAnsi="Times New Roman"/>
          <w:sz w:val="24"/>
          <w:szCs w:val="24"/>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 xml:space="preserve">Harris-Van Keuren, C. </w:t>
      </w:r>
      <w:r w:rsidR="00106BA5" w:rsidRPr="00C9535C">
        <w:rPr>
          <w:rFonts w:ascii="Times New Roman" w:hAnsi="Times New Roman"/>
          <w:sz w:val="24"/>
          <w:szCs w:val="24"/>
          <w:lang w:val="es-ES"/>
        </w:rPr>
        <w:t>&amp;</w:t>
      </w:r>
      <w:r w:rsidRPr="00C9535C">
        <w:rPr>
          <w:rFonts w:ascii="Times New Roman" w:hAnsi="Times New Roman"/>
          <w:sz w:val="24"/>
          <w:szCs w:val="24"/>
          <w:lang w:val="es-ES"/>
        </w:rPr>
        <w:t xml:space="preserve"> D. Rodríguez-Gómez (2013)</w:t>
      </w:r>
      <w:r w:rsidR="00106BA5" w:rsidRPr="00C9535C">
        <w:rPr>
          <w:rFonts w:ascii="Times New Roman" w:hAnsi="Times New Roman"/>
          <w:sz w:val="24"/>
          <w:szCs w:val="24"/>
          <w:lang w:val="es-ES"/>
        </w:rPr>
        <w:t>,</w:t>
      </w:r>
      <w:r w:rsidRPr="00C9535C">
        <w:rPr>
          <w:rFonts w:ascii="Times New Roman" w:hAnsi="Times New Roman"/>
          <w:sz w:val="24"/>
          <w:szCs w:val="24"/>
          <w:lang w:val="es-ES"/>
        </w:rPr>
        <w:t xml:space="preserve"> “Pautas para el Aprendizaje Temprano en America Latina y el Caribe”. Banco Interamericano de Desarrollo. División de Protección Social y Salud.</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Helburn, S. </w:t>
      </w:r>
      <w:r w:rsidR="00106BA5" w:rsidRPr="00AD2DE2">
        <w:rPr>
          <w:rFonts w:ascii="Times New Roman" w:hAnsi="Times New Roman"/>
          <w:sz w:val="24"/>
          <w:szCs w:val="24"/>
        </w:rPr>
        <w:t>&amp; C.</w:t>
      </w:r>
      <w:r w:rsidRPr="00AD2DE2">
        <w:rPr>
          <w:rFonts w:ascii="Times New Roman" w:hAnsi="Times New Roman"/>
          <w:sz w:val="24"/>
          <w:szCs w:val="24"/>
        </w:rPr>
        <w:t xml:space="preserve"> Howes (1996)</w:t>
      </w:r>
      <w:r w:rsidR="00106BA5" w:rsidRPr="00AD2DE2">
        <w:rPr>
          <w:rFonts w:ascii="Times New Roman" w:hAnsi="Times New Roman"/>
          <w:sz w:val="24"/>
          <w:szCs w:val="24"/>
        </w:rPr>
        <w:t>,</w:t>
      </w:r>
      <w:r w:rsidRPr="00AD2DE2">
        <w:rPr>
          <w:rFonts w:ascii="Times New Roman" w:hAnsi="Times New Roman"/>
          <w:sz w:val="24"/>
          <w:szCs w:val="24"/>
        </w:rPr>
        <w:t xml:space="preserve"> “Child Care Cost and Quality”. Financing Child Care Vol. 6, No. 2.</w:t>
      </w:r>
    </w:p>
    <w:p w:rsidR="007439F4" w:rsidRDefault="007439F4" w:rsidP="00902E4B">
      <w:pPr>
        <w:spacing w:after="0" w:line="240" w:lineRule="auto"/>
        <w:ind w:left="288" w:hanging="288"/>
        <w:jc w:val="both"/>
        <w:rPr>
          <w:rFonts w:ascii="Times New Roman" w:hAnsi="Times New Roman"/>
          <w:sz w:val="24"/>
          <w:szCs w:val="24"/>
        </w:rPr>
      </w:pPr>
    </w:p>
    <w:p w:rsidR="00C90C6E" w:rsidRDefault="00C90C6E" w:rsidP="00C90C6E">
      <w:pPr>
        <w:spacing w:after="0" w:line="240" w:lineRule="auto"/>
        <w:ind w:left="288" w:hanging="288"/>
        <w:jc w:val="both"/>
        <w:rPr>
          <w:rFonts w:ascii="Times New Roman" w:hAnsi="Times New Roman"/>
          <w:sz w:val="24"/>
          <w:szCs w:val="24"/>
        </w:rPr>
      </w:pPr>
      <w:r w:rsidRPr="00C90C6E">
        <w:rPr>
          <w:rFonts w:ascii="Times New Roman" w:hAnsi="Times New Roman"/>
          <w:sz w:val="24"/>
          <w:szCs w:val="24"/>
        </w:rPr>
        <w:t>Hernández A, García-Guerra A, Domínguez CP, García-Feregrino R, Neufeld L.</w:t>
      </w:r>
      <w:r>
        <w:rPr>
          <w:rFonts w:ascii="Times New Roman" w:hAnsi="Times New Roman"/>
          <w:sz w:val="24"/>
          <w:szCs w:val="24"/>
        </w:rPr>
        <w:t xml:space="preserve"> (2008) </w:t>
      </w:r>
      <w:r>
        <w:rPr>
          <w:rFonts w:ascii="Times New Roman" w:hAnsi="Times New Roman"/>
          <w:sz w:val="24"/>
          <w:szCs w:val="24"/>
        </w:rPr>
        <w:br/>
        <w:t>“</w:t>
      </w:r>
      <w:r w:rsidRPr="00C90C6E">
        <w:rPr>
          <w:rFonts w:ascii="Times New Roman" w:hAnsi="Times New Roman"/>
          <w:sz w:val="24"/>
          <w:szCs w:val="24"/>
        </w:rPr>
        <w:t>Effect of three supplements with identical micronutrient content on anemia in pregnant Mexican women</w:t>
      </w:r>
      <w:r>
        <w:rPr>
          <w:rFonts w:ascii="Times New Roman" w:hAnsi="Times New Roman"/>
          <w:sz w:val="24"/>
          <w:szCs w:val="24"/>
        </w:rPr>
        <w:t>”</w:t>
      </w:r>
      <w:r w:rsidRPr="00C90C6E">
        <w:rPr>
          <w:rFonts w:ascii="Times New Roman" w:hAnsi="Times New Roman"/>
          <w:sz w:val="24"/>
          <w:szCs w:val="24"/>
        </w:rPr>
        <w:t xml:space="preserve"> FASEB J April 5, 2008 22:677.8</w:t>
      </w:r>
    </w:p>
    <w:p w:rsidR="00C90C6E" w:rsidRPr="00AD2DE2" w:rsidRDefault="00C90C6E" w:rsidP="00902E4B">
      <w:pPr>
        <w:spacing w:after="0" w:line="240" w:lineRule="auto"/>
        <w:ind w:left="288" w:hanging="288"/>
        <w:jc w:val="both"/>
        <w:rPr>
          <w:rFonts w:ascii="Times New Roman" w:hAnsi="Times New Roman"/>
          <w:sz w:val="24"/>
          <w:szCs w:val="24"/>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INSP (2011)</w:t>
      </w:r>
      <w:r w:rsidR="00106BA5" w:rsidRPr="00C9535C">
        <w:rPr>
          <w:rFonts w:ascii="Times New Roman" w:hAnsi="Times New Roman"/>
          <w:sz w:val="24"/>
          <w:szCs w:val="24"/>
          <w:lang w:val="es-ES"/>
        </w:rPr>
        <w:t>,</w:t>
      </w:r>
      <w:r w:rsidRPr="00C9535C">
        <w:rPr>
          <w:rFonts w:ascii="Times New Roman" w:hAnsi="Times New Roman"/>
          <w:sz w:val="24"/>
          <w:szCs w:val="24"/>
          <w:lang w:val="es-ES"/>
        </w:rPr>
        <w:t xml:space="preserve"> “Evaluación de Impacto del Programa Estancias Infantiles para Apoyar a Madres Trabajadoras”. Informe Final de la Evaluación de Impacto, mimeo.</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INSP (2012)</w:t>
      </w:r>
      <w:r w:rsidR="00106BA5" w:rsidRPr="00C9535C">
        <w:rPr>
          <w:rFonts w:ascii="Times New Roman" w:hAnsi="Times New Roman"/>
          <w:sz w:val="24"/>
          <w:szCs w:val="24"/>
          <w:lang w:val="es-ES"/>
        </w:rPr>
        <w:t>,</w:t>
      </w:r>
      <w:r w:rsidRPr="00C9535C">
        <w:rPr>
          <w:rFonts w:ascii="Times New Roman" w:hAnsi="Times New Roman"/>
          <w:sz w:val="24"/>
          <w:szCs w:val="24"/>
          <w:lang w:val="es-ES"/>
        </w:rPr>
        <w:t xml:space="preserve"> “Evaluación de Impacto del Proyecto el Programa de Educación Inicial no Escolarizada de CONAFE (PEI-CONAFE) en Sinergia con Oportunidades”. Versión Final del Informe, mimeo. </w:t>
      </w:r>
    </w:p>
    <w:p w:rsidR="008A15D5" w:rsidRPr="00C9535C" w:rsidRDefault="008A15D5" w:rsidP="00902E4B">
      <w:pPr>
        <w:spacing w:after="0" w:line="240" w:lineRule="auto"/>
        <w:ind w:left="288" w:hanging="288"/>
        <w:jc w:val="both"/>
        <w:rPr>
          <w:rFonts w:ascii="Times New Roman" w:hAnsi="Times New Roman"/>
          <w:sz w:val="24"/>
          <w:szCs w:val="24"/>
          <w:lang w:val="es-ES"/>
        </w:rPr>
      </w:pPr>
    </w:p>
    <w:p w:rsidR="00153A42" w:rsidRPr="00C9535C" w:rsidRDefault="00153A42"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INSP (2012)</w:t>
      </w:r>
      <w:r w:rsidR="00106BA5" w:rsidRPr="00C9535C">
        <w:rPr>
          <w:rFonts w:ascii="Times New Roman" w:hAnsi="Times New Roman"/>
          <w:sz w:val="24"/>
          <w:szCs w:val="24"/>
          <w:lang w:val="es-ES"/>
        </w:rPr>
        <w:t>,</w:t>
      </w:r>
      <w:r w:rsidRPr="00C9535C">
        <w:rPr>
          <w:rFonts w:ascii="Times New Roman" w:hAnsi="Times New Roman"/>
          <w:sz w:val="24"/>
          <w:szCs w:val="24"/>
          <w:lang w:val="es-ES"/>
        </w:rPr>
        <w:t xml:space="preserve"> “Evaluación de la Estrategia Integral de Atención a la Nutrición (EsIAN) 2012: Informe final de resultados de la implementación y aceptación de la EsIAN”</w:t>
      </w:r>
      <w:r w:rsidR="00106BA5" w:rsidRPr="00C9535C">
        <w:rPr>
          <w:rFonts w:ascii="Times New Roman" w:hAnsi="Times New Roman"/>
          <w:sz w:val="24"/>
          <w:szCs w:val="24"/>
          <w:lang w:val="es-ES"/>
        </w:rPr>
        <w:t xml:space="preserve"> Diciembre de 2012, mimeo.</w:t>
      </w:r>
    </w:p>
    <w:p w:rsidR="00D9445A" w:rsidRPr="00C9535C" w:rsidRDefault="00D9445A" w:rsidP="00902E4B">
      <w:pPr>
        <w:spacing w:after="0" w:line="240" w:lineRule="auto"/>
        <w:ind w:left="288" w:hanging="288"/>
        <w:jc w:val="both"/>
        <w:rPr>
          <w:rFonts w:ascii="Times New Roman" w:hAnsi="Times New Roman"/>
          <w:sz w:val="24"/>
          <w:szCs w:val="24"/>
          <w:lang w:val="es-ES"/>
        </w:rPr>
      </w:pPr>
    </w:p>
    <w:p w:rsidR="007439F4" w:rsidRPr="00AD2DE2" w:rsidRDefault="008A15D5" w:rsidP="00902E4B">
      <w:pPr>
        <w:spacing w:after="0" w:line="240" w:lineRule="auto"/>
        <w:ind w:left="288" w:hanging="288"/>
        <w:jc w:val="both"/>
        <w:rPr>
          <w:rFonts w:ascii="Times New Roman" w:hAnsi="Times New Roman"/>
          <w:sz w:val="24"/>
          <w:szCs w:val="24"/>
        </w:rPr>
      </w:pPr>
      <w:r w:rsidRPr="00C9535C">
        <w:rPr>
          <w:rFonts w:ascii="Times New Roman" w:hAnsi="Times New Roman"/>
          <w:sz w:val="24"/>
          <w:szCs w:val="24"/>
          <w:lang w:val="es-ES"/>
        </w:rPr>
        <w:t>INSP, Oportunidades &amp; SEDESOL (2011), “Efectos de Oportunidades en Salud y Nutrición – evaluación externa del Programa Oportunidades en zonas urbanas (2002-2009)”</w:t>
      </w:r>
      <w:r w:rsidR="00106BA5" w:rsidRPr="00C9535C">
        <w:rPr>
          <w:rFonts w:ascii="Times New Roman" w:hAnsi="Times New Roman"/>
          <w:sz w:val="24"/>
          <w:szCs w:val="24"/>
          <w:lang w:val="es-ES"/>
        </w:rPr>
        <w:t xml:space="preserve">. </w:t>
      </w:r>
      <w:r w:rsidR="00106BA5" w:rsidRPr="00AD2DE2">
        <w:rPr>
          <w:rFonts w:ascii="Times New Roman" w:hAnsi="Times New Roman"/>
          <w:sz w:val="24"/>
          <w:szCs w:val="24"/>
        </w:rPr>
        <w:t>Mimeo.</w:t>
      </w:r>
    </w:p>
    <w:p w:rsidR="008A15D5" w:rsidRPr="00AD2DE2" w:rsidRDefault="008A15D5" w:rsidP="00902E4B">
      <w:pPr>
        <w:spacing w:after="0" w:line="240" w:lineRule="auto"/>
        <w:ind w:left="288" w:hanging="288"/>
        <w:jc w:val="both"/>
        <w:rPr>
          <w:rFonts w:ascii="Times New Roman" w:hAnsi="Times New Roman"/>
          <w:sz w:val="24"/>
          <w:szCs w:val="24"/>
        </w:rPr>
      </w:pPr>
    </w:p>
    <w:p w:rsidR="008E007E" w:rsidRPr="00AD2DE2" w:rsidRDefault="008E007E"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Janssens W. (2008) “Impact Study of the Roving Caregivers Programme: Research Findings”</w:t>
      </w:r>
    </w:p>
    <w:p w:rsidR="007439F4" w:rsidRPr="00AD2DE2" w:rsidRDefault="007439F4" w:rsidP="00902E4B">
      <w:pPr>
        <w:spacing w:after="0" w:line="240" w:lineRule="auto"/>
        <w:ind w:left="288" w:hanging="288"/>
        <w:jc w:val="both"/>
        <w:rPr>
          <w:rFonts w:ascii="Times New Roman" w:hAnsi="Times New Roman"/>
          <w:sz w:val="24"/>
          <w:szCs w:val="24"/>
        </w:rPr>
      </w:pPr>
    </w:p>
    <w:p w:rsidR="00BA565A" w:rsidRPr="00AD2DE2" w:rsidRDefault="00BA565A"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Levy, S. </w:t>
      </w:r>
      <w:r w:rsidR="00106BA5" w:rsidRPr="00AD2DE2">
        <w:rPr>
          <w:rFonts w:ascii="Times New Roman" w:hAnsi="Times New Roman"/>
          <w:sz w:val="24"/>
          <w:szCs w:val="24"/>
        </w:rPr>
        <w:t>&amp;</w:t>
      </w:r>
      <w:r w:rsidRPr="00AD2DE2">
        <w:rPr>
          <w:rFonts w:ascii="Times New Roman" w:hAnsi="Times New Roman"/>
          <w:sz w:val="24"/>
          <w:szCs w:val="24"/>
        </w:rPr>
        <w:t xml:space="preserve"> N. Schady (2013)</w:t>
      </w:r>
      <w:r w:rsidR="00106BA5" w:rsidRPr="00AD2DE2">
        <w:rPr>
          <w:rFonts w:ascii="Times New Roman" w:hAnsi="Times New Roman"/>
          <w:sz w:val="24"/>
          <w:szCs w:val="24"/>
        </w:rPr>
        <w:t>,</w:t>
      </w:r>
      <w:r w:rsidRPr="00AD2DE2">
        <w:rPr>
          <w:rFonts w:ascii="Times New Roman" w:hAnsi="Times New Roman"/>
          <w:sz w:val="24"/>
          <w:szCs w:val="24"/>
        </w:rPr>
        <w:t xml:space="preserve"> ¨Latin America’s Social Policy Challenge: Education, Social Insurance, Redistribution¨, Journal of Economic Perspectives, Volume 27, Number 2, pp. 193–218.</w:t>
      </w:r>
    </w:p>
    <w:p w:rsidR="007439F4" w:rsidRPr="00AD2DE2" w:rsidRDefault="007439F4" w:rsidP="00902E4B">
      <w:pPr>
        <w:spacing w:after="0" w:line="240" w:lineRule="auto"/>
        <w:jc w:val="both"/>
        <w:rPr>
          <w:rFonts w:ascii="Times New Roman" w:hAnsi="Times New Roman"/>
          <w:sz w:val="24"/>
          <w:szCs w:val="24"/>
        </w:rPr>
      </w:pPr>
    </w:p>
    <w:p w:rsidR="008E007E" w:rsidRPr="00C9535C" w:rsidRDefault="008E007E" w:rsidP="00902E4B">
      <w:pPr>
        <w:spacing w:after="0" w:line="240" w:lineRule="auto"/>
        <w:jc w:val="both"/>
        <w:rPr>
          <w:rFonts w:ascii="Times New Roman" w:hAnsi="Times New Roman"/>
          <w:sz w:val="24"/>
          <w:szCs w:val="24"/>
          <w:lang w:val="es-ES"/>
        </w:rPr>
      </w:pPr>
      <w:r w:rsidRPr="00C9535C">
        <w:rPr>
          <w:rFonts w:ascii="Times New Roman" w:hAnsi="Times New Roman"/>
          <w:sz w:val="24"/>
          <w:szCs w:val="24"/>
          <w:lang w:val="es-ES"/>
        </w:rPr>
        <w:t>Martorell, R. (2008) “Efectos de la desnutrición en la salud y desarrollo humano y estrategias efectivas para su prevención”. Salud Pública de México, 2008. 49 (ed especial).</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D37AA2" w:rsidRPr="00C9535C" w:rsidRDefault="00D37AA2"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 xml:space="preserve">Myers, R., </w:t>
      </w:r>
      <w:r w:rsidR="00106BA5" w:rsidRPr="00C9535C">
        <w:rPr>
          <w:rFonts w:ascii="Times New Roman" w:hAnsi="Times New Roman"/>
          <w:sz w:val="24"/>
          <w:szCs w:val="24"/>
          <w:lang w:val="es-ES"/>
        </w:rPr>
        <w:t xml:space="preserve">M. </w:t>
      </w:r>
      <w:r w:rsidRPr="00C9535C">
        <w:rPr>
          <w:rFonts w:ascii="Times New Roman" w:hAnsi="Times New Roman"/>
          <w:sz w:val="24"/>
          <w:szCs w:val="24"/>
          <w:lang w:val="es-ES"/>
        </w:rPr>
        <w:t xml:space="preserve">Martínez, </w:t>
      </w:r>
      <w:r w:rsidR="00106BA5" w:rsidRPr="00C9535C">
        <w:rPr>
          <w:rFonts w:ascii="Times New Roman" w:hAnsi="Times New Roman"/>
          <w:sz w:val="24"/>
          <w:szCs w:val="24"/>
          <w:lang w:val="es-ES"/>
        </w:rPr>
        <w:t>M.A.</w:t>
      </w:r>
      <w:r w:rsidRPr="00C9535C">
        <w:rPr>
          <w:rFonts w:ascii="Times New Roman" w:hAnsi="Times New Roman"/>
          <w:sz w:val="24"/>
          <w:szCs w:val="24"/>
          <w:lang w:val="es-ES"/>
        </w:rPr>
        <w:t xml:space="preserve"> Delgado, </w:t>
      </w:r>
      <w:r w:rsidR="00106BA5" w:rsidRPr="00C9535C">
        <w:rPr>
          <w:rFonts w:ascii="Times New Roman" w:hAnsi="Times New Roman"/>
          <w:sz w:val="24"/>
          <w:szCs w:val="24"/>
          <w:lang w:val="es-ES"/>
        </w:rPr>
        <w:t>J.L. Fernández &amp;</w:t>
      </w:r>
      <w:r w:rsidRPr="00C9535C">
        <w:rPr>
          <w:rFonts w:ascii="Times New Roman" w:hAnsi="Times New Roman"/>
          <w:sz w:val="24"/>
          <w:szCs w:val="24"/>
          <w:lang w:val="es-ES"/>
        </w:rPr>
        <w:t xml:space="preserve"> A. Martínez (2013)</w:t>
      </w:r>
      <w:r w:rsidR="00106BA5" w:rsidRPr="00C9535C">
        <w:rPr>
          <w:rFonts w:ascii="Times New Roman" w:hAnsi="Times New Roman"/>
          <w:sz w:val="24"/>
          <w:szCs w:val="24"/>
          <w:lang w:val="es-ES"/>
        </w:rPr>
        <w:t>,</w:t>
      </w:r>
      <w:r w:rsidRPr="00C9535C">
        <w:rPr>
          <w:rFonts w:ascii="Times New Roman" w:hAnsi="Times New Roman"/>
          <w:sz w:val="24"/>
          <w:szCs w:val="24"/>
          <w:lang w:val="es-ES"/>
        </w:rPr>
        <w:t xml:space="preserve"> “Desarrollo Infantil Temprano en México Diagnóstico y Recomendaciones”. Banco Interamericano de Desarrollo. División de Protección Social y Salud.</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C9535C" w:rsidRDefault="008E007E" w:rsidP="00902E4B">
      <w:pPr>
        <w:spacing w:after="0" w:line="240" w:lineRule="auto"/>
        <w:ind w:left="288" w:hanging="288"/>
        <w:jc w:val="both"/>
        <w:rPr>
          <w:rFonts w:ascii="Times New Roman" w:hAnsi="Times New Roman"/>
          <w:sz w:val="24"/>
          <w:szCs w:val="24"/>
          <w:lang w:val="es-ES"/>
        </w:rPr>
      </w:pPr>
      <w:r w:rsidRPr="00C9535C">
        <w:rPr>
          <w:rFonts w:ascii="Times New Roman" w:hAnsi="Times New Roman"/>
          <w:sz w:val="24"/>
          <w:szCs w:val="24"/>
          <w:lang w:val="es-ES"/>
        </w:rPr>
        <w:t xml:space="preserve">Neufeld L., </w:t>
      </w:r>
      <w:r w:rsidR="00106BA5" w:rsidRPr="00C9535C">
        <w:rPr>
          <w:rFonts w:ascii="Times New Roman" w:hAnsi="Times New Roman"/>
          <w:sz w:val="24"/>
          <w:szCs w:val="24"/>
          <w:lang w:val="es-ES"/>
        </w:rPr>
        <w:t xml:space="preserve">A. </w:t>
      </w:r>
      <w:r w:rsidRPr="00C9535C">
        <w:rPr>
          <w:rFonts w:ascii="Times New Roman" w:hAnsi="Times New Roman"/>
          <w:sz w:val="24"/>
          <w:szCs w:val="24"/>
          <w:lang w:val="es-ES"/>
        </w:rPr>
        <w:t xml:space="preserve">García, </w:t>
      </w:r>
      <w:r w:rsidR="00106BA5" w:rsidRPr="00C9535C">
        <w:rPr>
          <w:rFonts w:ascii="Times New Roman" w:hAnsi="Times New Roman"/>
          <w:sz w:val="24"/>
          <w:szCs w:val="24"/>
          <w:lang w:val="es-ES"/>
        </w:rPr>
        <w:t xml:space="preserve">J. </w:t>
      </w:r>
      <w:r w:rsidRPr="00C9535C">
        <w:rPr>
          <w:rFonts w:ascii="Times New Roman" w:hAnsi="Times New Roman"/>
          <w:sz w:val="24"/>
          <w:szCs w:val="24"/>
          <w:lang w:val="es-ES"/>
        </w:rPr>
        <w:t xml:space="preserve">Leroy, </w:t>
      </w:r>
      <w:r w:rsidR="00106BA5" w:rsidRPr="00C9535C">
        <w:rPr>
          <w:rFonts w:ascii="Times New Roman" w:hAnsi="Times New Roman"/>
          <w:sz w:val="24"/>
          <w:szCs w:val="24"/>
          <w:lang w:val="es-ES"/>
        </w:rPr>
        <w:t xml:space="preserve">M.L </w:t>
      </w:r>
      <w:r w:rsidRPr="00C9535C">
        <w:rPr>
          <w:rFonts w:ascii="Times New Roman" w:hAnsi="Times New Roman"/>
          <w:sz w:val="24"/>
          <w:szCs w:val="24"/>
          <w:lang w:val="es-ES"/>
        </w:rPr>
        <w:t xml:space="preserve">Flores, </w:t>
      </w:r>
      <w:r w:rsidR="00106BA5" w:rsidRPr="00C9535C">
        <w:rPr>
          <w:rFonts w:ascii="Times New Roman" w:hAnsi="Times New Roman"/>
          <w:sz w:val="24"/>
          <w:szCs w:val="24"/>
          <w:lang w:val="es-ES"/>
        </w:rPr>
        <w:t xml:space="preserve">A. </w:t>
      </w:r>
      <w:r w:rsidRPr="00C9535C">
        <w:rPr>
          <w:rFonts w:ascii="Times New Roman" w:hAnsi="Times New Roman"/>
          <w:sz w:val="24"/>
          <w:szCs w:val="24"/>
          <w:lang w:val="es-ES"/>
        </w:rPr>
        <w:t>Fernández</w:t>
      </w:r>
      <w:r w:rsidR="00106BA5" w:rsidRPr="00C9535C">
        <w:rPr>
          <w:rFonts w:ascii="Times New Roman" w:hAnsi="Times New Roman"/>
          <w:sz w:val="24"/>
          <w:szCs w:val="24"/>
          <w:lang w:val="es-ES"/>
        </w:rPr>
        <w:t xml:space="preserve"> &amp; J.</w:t>
      </w:r>
      <w:r w:rsidRPr="00C9535C">
        <w:rPr>
          <w:rFonts w:ascii="Times New Roman" w:hAnsi="Times New Roman"/>
          <w:sz w:val="24"/>
          <w:szCs w:val="24"/>
          <w:lang w:val="es-ES"/>
        </w:rPr>
        <w:t xml:space="preserve"> Rivera (2006), “Impacto del programa Oportunidades en nutrición y alimentación en zonas urbanas de México”. Cuernavaca, Morelos: Instituto Nacional de Salud Pública.</w:t>
      </w:r>
    </w:p>
    <w:p w:rsidR="007439F4" w:rsidRPr="00C9535C" w:rsidRDefault="007439F4" w:rsidP="00902E4B">
      <w:pPr>
        <w:spacing w:after="0" w:line="240" w:lineRule="auto"/>
        <w:ind w:left="288" w:hanging="288"/>
        <w:jc w:val="both"/>
        <w:rPr>
          <w:rFonts w:ascii="Times New Roman" w:hAnsi="Times New Roman"/>
          <w:sz w:val="24"/>
          <w:szCs w:val="24"/>
          <w:lang w:val="es-ES"/>
        </w:rPr>
      </w:pPr>
    </w:p>
    <w:p w:rsidR="008E007E" w:rsidRPr="00AD2DE2" w:rsidRDefault="008E007E" w:rsidP="00902E4B">
      <w:pPr>
        <w:spacing w:after="0" w:line="240" w:lineRule="auto"/>
        <w:ind w:left="288" w:hanging="288"/>
        <w:jc w:val="both"/>
        <w:rPr>
          <w:rFonts w:ascii="Times New Roman" w:hAnsi="Times New Roman"/>
          <w:sz w:val="24"/>
          <w:szCs w:val="24"/>
        </w:rPr>
      </w:pPr>
      <w:r w:rsidRPr="00C9535C">
        <w:rPr>
          <w:rFonts w:ascii="Times New Roman" w:hAnsi="Times New Roman"/>
          <w:sz w:val="24"/>
          <w:szCs w:val="24"/>
          <w:lang w:val="es-ES"/>
        </w:rPr>
        <w:t xml:space="preserve">Neufeld L., </w:t>
      </w:r>
      <w:r w:rsidR="00106BA5" w:rsidRPr="00C9535C">
        <w:rPr>
          <w:rFonts w:ascii="Times New Roman" w:hAnsi="Times New Roman"/>
          <w:sz w:val="24"/>
          <w:szCs w:val="24"/>
          <w:lang w:val="es-ES"/>
        </w:rPr>
        <w:t xml:space="preserve">F. </w:t>
      </w:r>
      <w:r w:rsidRPr="00C9535C">
        <w:rPr>
          <w:rFonts w:ascii="Times New Roman" w:hAnsi="Times New Roman"/>
          <w:sz w:val="24"/>
          <w:szCs w:val="24"/>
          <w:lang w:val="es-ES"/>
        </w:rPr>
        <w:t xml:space="preserve">Mejía, </w:t>
      </w:r>
      <w:r w:rsidR="00106BA5" w:rsidRPr="00C9535C">
        <w:rPr>
          <w:rFonts w:ascii="Times New Roman" w:hAnsi="Times New Roman"/>
          <w:sz w:val="24"/>
          <w:szCs w:val="24"/>
          <w:lang w:val="es-ES"/>
        </w:rPr>
        <w:t xml:space="preserve">A. </w:t>
      </w:r>
      <w:r w:rsidRPr="00C9535C">
        <w:rPr>
          <w:rFonts w:ascii="Times New Roman" w:hAnsi="Times New Roman"/>
          <w:sz w:val="24"/>
          <w:szCs w:val="24"/>
          <w:lang w:val="es-ES"/>
        </w:rPr>
        <w:t xml:space="preserve">Gaxiola, </w:t>
      </w:r>
      <w:r w:rsidR="00106BA5" w:rsidRPr="00C9535C">
        <w:rPr>
          <w:rFonts w:ascii="Times New Roman" w:hAnsi="Times New Roman"/>
          <w:sz w:val="24"/>
          <w:szCs w:val="24"/>
          <w:lang w:val="es-ES"/>
        </w:rPr>
        <w:t xml:space="preserve">A. </w:t>
      </w:r>
      <w:r w:rsidRPr="00C9535C">
        <w:rPr>
          <w:rFonts w:ascii="Times New Roman" w:hAnsi="Times New Roman"/>
          <w:sz w:val="24"/>
          <w:szCs w:val="24"/>
          <w:lang w:val="es-ES"/>
        </w:rPr>
        <w:t xml:space="preserve">García-Guerra, </w:t>
      </w:r>
      <w:r w:rsidR="00106BA5" w:rsidRPr="00C9535C">
        <w:rPr>
          <w:rFonts w:ascii="Times New Roman" w:hAnsi="Times New Roman"/>
          <w:sz w:val="24"/>
          <w:szCs w:val="24"/>
          <w:lang w:val="es-ES"/>
        </w:rPr>
        <w:t xml:space="preserve">I. Méndez &amp; C. </w:t>
      </w:r>
      <w:r w:rsidRPr="00C9535C">
        <w:rPr>
          <w:rFonts w:ascii="Times New Roman" w:hAnsi="Times New Roman"/>
          <w:sz w:val="24"/>
          <w:szCs w:val="24"/>
          <w:lang w:val="es-ES"/>
        </w:rPr>
        <w:t xml:space="preserve">Domínguez (2007), “Diagnostico situacional del estado de  Nutrición de niños menores de 2 años de edad y sus madres, beneficiarios de Oportunidades en Zonas rurales”, En: Evaluación Externa del Programa de Desarrollo Humano Oportunidades 2007-2008, C.d.I.e.E.y. Encuestas, Editor. </w:t>
      </w:r>
      <w:r w:rsidRPr="00AD2DE2">
        <w:rPr>
          <w:rFonts w:ascii="Times New Roman" w:hAnsi="Times New Roman"/>
          <w:sz w:val="24"/>
          <w:szCs w:val="24"/>
        </w:rPr>
        <w:t>2007, Instituto Nacional de Salud Pública: Cuernavaca, Morelos</w:t>
      </w:r>
    </w:p>
    <w:p w:rsidR="007439F4" w:rsidRPr="00AD2DE2" w:rsidRDefault="007439F4" w:rsidP="00902E4B">
      <w:pPr>
        <w:spacing w:after="0" w:line="240" w:lineRule="auto"/>
        <w:ind w:left="288" w:hanging="288"/>
        <w:jc w:val="both"/>
        <w:rPr>
          <w:rFonts w:ascii="Times New Roman" w:hAnsi="Times New Roman"/>
          <w:sz w:val="24"/>
          <w:szCs w:val="24"/>
        </w:rPr>
      </w:pPr>
    </w:p>
    <w:p w:rsidR="00D37AA2" w:rsidRPr="00AD2DE2" w:rsidRDefault="00D37AA2"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Powell, C. </w:t>
      </w:r>
      <w:r w:rsidR="00106BA5" w:rsidRPr="00AD2DE2">
        <w:rPr>
          <w:rFonts w:ascii="Times New Roman" w:hAnsi="Times New Roman"/>
          <w:sz w:val="24"/>
          <w:szCs w:val="24"/>
        </w:rPr>
        <w:t>&amp; S.</w:t>
      </w:r>
      <w:r w:rsidRPr="00AD2DE2">
        <w:rPr>
          <w:rFonts w:ascii="Times New Roman" w:hAnsi="Times New Roman"/>
          <w:sz w:val="24"/>
          <w:szCs w:val="24"/>
        </w:rPr>
        <w:t xml:space="preserve"> Grantham-McGregor (1989)</w:t>
      </w:r>
      <w:r w:rsidR="00106BA5" w:rsidRPr="00AD2DE2">
        <w:rPr>
          <w:rFonts w:ascii="Times New Roman" w:hAnsi="Times New Roman"/>
          <w:sz w:val="24"/>
          <w:szCs w:val="24"/>
        </w:rPr>
        <w:t>,</w:t>
      </w:r>
      <w:r w:rsidRPr="00AD2DE2">
        <w:rPr>
          <w:rFonts w:ascii="Times New Roman" w:hAnsi="Times New Roman"/>
          <w:sz w:val="24"/>
          <w:szCs w:val="24"/>
        </w:rPr>
        <w:t xml:space="preserve"> “Home Visiting of Varying Frequency and Child Development” en Pediatrics, 84(1), 157-164.</w:t>
      </w:r>
    </w:p>
    <w:p w:rsidR="007439F4" w:rsidRPr="00AD2DE2" w:rsidRDefault="007439F4" w:rsidP="00902E4B">
      <w:pPr>
        <w:spacing w:after="0" w:line="240" w:lineRule="auto"/>
        <w:ind w:left="288" w:hanging="288"/>
        <w:jc w:val="both"/>
        <w:rPr>
          <w:rFonts w:ascii="Times New Roman" w:hAnsi="Times New Roman"/>
          <w:sz w:val="24"/>
          <w:szCs w:val="24"/>
        </w:rPr>
      </w:pPr>
    </w:p>
    <w:p w:rsidR="00D37AA2" w:rsidRPr="00AD2DE2" w:rsidRDefault="00D37AA2"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Rosero J. </w:t>
      </w:r>
      <w:r w:rsidR="00106BA5" w:rsidRPr="00AD2DE2">
        <w:rPr>
          <w:rFonts w:ascii="Times New Roman" w:hAnsi="Times New Roman"/>
          <w:sz w:val="24"/>
          <w:szCs w:val="24"/>
        </w:rPr>
        <w:t>&amp; H.</w:t>
      </w:r>
      <w:r w:rsidRPr="00AD2DE2">
        <w:rPr>
          <w:rFonts w:ascii="Times New Roman" w:hAnsi="Times New Roman"/>
          <w:sz w:val="24"/>
          <w:szCs w:val="24"/>
        </w:rPr>
        <w:t xml:space="preserve"> Hosterbeek (2011)</w:t>
      </w:r>
      <w:r w:rsidR="00106BA5" w:rsidRPr="00AD2DE2">
        <w:rPr>
          <w:rFonts w:ascii="Times New Roman" w:hAnsi="Times New Roman"/>
          <w:sz w:val="24"/>
          <w:szCs w:val="24"/>
        </w:rPr>
        <w:t>,</w:t>
      </w:r>
      <w:r w:rsidRPr="00AD2DE2">
        <w:rPr>
          <w:rFonts w:ascii="Times New Roman" w:hAnsi="Times New Roman"/>
          <w:sz w:val="24"/>
          <w:szCs w:val="24"/>
        </w:rPr>
        <w:t xml:space="preserve"> “Trade-offs between different early childhood interventions: Evidence from Ecuador”.</w:t>
      </w:r>
    </w:p>
    <w:p w:rsidR="007439F4" w:rsidRPr="00AD2DE2" w:rsidRDefault="007439F4" w:rsidP="00902E4B">
      <w:pPr>
        <w:spacing w:after="0" w:line="240" w:lineRule="auto"/>
        <w:jc w:val="both"/>
        <w:rPr>
          <w:rFonts w:ascii="Times New Roman" w:hAnsi="Times New Roman"/>
          <w:sz w:val="24"/>
          <w:szCs w:val="24"/>
        </w:rPr>
      </w:pPr>
    </w:p>
    <w:p w:rsidR="00BA565A" w:rsidRPr="00AD2DE2" w:rsidRDefault="00BA565A" w:rsidP="00902E4B">
      <w:pPr>
        <w:spacing w:after="0" w:line="240" w:lineRule="auto"/>
        <w:jc w:val="both"/>
        <w:rPr>
          <w:rFonts w:ascii="Times New Roman" w:hAnsi="Times New Roman"/>
          <w:sz w:val="24"/>
          <w:szCs w:val="24"/>
        </w:rPr>
      </w:pPr>
      <w:r w:rsidRPr="00AD2DE2">
        <w:rPr>
          <w:rFonts w:ascii="Times New Roman" w:hAnsi="Times New Roman"/>
          <w:sz w:val="24"/>
          <w:szCs w:val="24"/>
        </w:rPr>
        <w:t>Schady, N. (2013)</w:t>
      </w:r>
      <w:r w:rsidR="00106BA5" w:rsidRPr="00AD2DE2">
        <w:rPr>
          <w:rFonts w:ascii="Times New Roman" w:hAnsi="Times New Roman"/>
          <w:sz w:val="24"/>
          <w:szCs w:val="24"/>
        </w:rPr>
        <w:t>,</w:t>
      </w:r>
      <w:r w:rsidRPr="00AD2DE2">
        <w:rPr>
          <w:rFonts w:ascii="Times New Roman" w:hAnsi="Times New Roman"/>
          <w:sz w:val="24"/>
          <w:szCs w:val="24"/>
        </w:rPr>
        <w:t xml:space="preserve"> ¨Latin America: Challenges for Social Policy¨ Presentation at the Inter-American Development Bank internal seminar.</w:t>
      </w:r>
    </w:p>
    <w:p w:rsidR="007439F4" w:rsidRPr="00AD2DE2" w:rsidRDefault="007439F4" w:rsidP="00902E4B">
      <w:pPr>
        <w:spacing w:after="0" w:line="240" w:lineRule="auto"/>
        <w:ind w:left="288" w:hanging="288"/>
        <w:jc w:val="both"/>
        <w:rPr>
          <w:rFonts w:ascii="Times New Roman" w:hAnsi="Times New Roman"/>
          <w:sz w:val="24"/>
          <w:szCs w:val="24"/>
        </w:rPr>
      </w:pPr>
    </w:p>
    <w:p w:rsidR="00AD1F84" w:rsidRPr="00AD2DE2" w:rsidRDefault="00AD1F84"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Urzua S. </w:t>
      </w:r>
      <w:r w:rsidR="00106BA5" w:rsidRPr="00AD2DE2">
        <w:rPr>
          <w:rFonts w:ascii="Times New Roman" w:hAnsi="Times New Roman"/>
          <w:sz w:val="24"/>
          <w:szCs w:val="24"/>
        </w:rPr>
        <w:t>&amp;</w:t>
      </w:r>
      <w:r w:rsidRPr="00AD2DE2">
        <w:rPr>
          <w:rFonts w:ascii="Times New Roman" w:hAnsi="Times New Roman"/>
          <w:sz w:val="24"/>
          <w:szCs w:val="24"/>
        </w:rPr>
        <w:t xml:space="preserve"> G</w:t>
      </w:r>
      <w:r w:rsidR="00106BA5" w:rsidRPr="00AD2DE2">
        <w:rPr>
          <w:rFonts w:ascii="Times New Roman" w:hAnsi="Times New Roman"/>
          <w:sz w:val="24"/>
          <w:szCs w:val="24"/>
        </w:rPr>
        <w:t xml:space="preserve">. </w:t>
      </w:r>
      <w:r w:rsidRPr="00AD2DE2">
        <w:rPr>
          <w:rFonts w:ascii="Times New Roman" w:hAnsi="Times New Roman"/>
          <w:sz w:val="24"/>
          <w:szCs w:val="24"/>
        </w:rPr>
        <w:t>Veramendi (2010)</w:t>
      </w:r>
      <w:r w:rsidR="00106BA5" w:rsidRPr="00AD2DE2">
        <w:rPr>
          <w:rFonts w:ascii="Times New Roman" w:hAnsi="Times New Roman"/>
          <w:sz w:val="24"/>
          <w:szCs w:val="24"/>
        </w:rPr>
        <w:t>,</w:t>
      </w:r>
      <w:r w:rsidRPr="00AD2DE2">
        <w:rPr>
          <w:rFonts w:ascii="Times New Roman" w:hAnsi="Times New Roman"/>
          <w:sz w:val="24"/>
          <w:szCs w:val="24"/>
        </w:rPr>
        <w:t xml:space="preserve"> “The Impact of Out-of-Home Childcare Centers on Early Childhood Development”.</w:t>
      </w:r>
    </w:p>
    <w:p w:rsidR="007439F4" w:rsidRPr="00AD2DE2" w:rsidRDefault="007439F4" w:rsidP="00902E4B">
      <w:pPr>
        <w:spacing w:after="0" w:line="240" w:lineRule="auto"/>
        <w:ind w:left="288" w:hanging="288"/>
        <w:jc w:val="both"/>
        <w:rPr>
          <w:rFonts w:ascii="Times New Roman" w:hAnsi="Times New Roman"/>
          <w:sz w:val="24"/>
          <w:szCs w:val="24"/>
        </w:rPr>
      </w:pPr>
    </w:p>
    <w:p w:rsidR="00AD1F84" w:rsidRPr="00AD2DE2" w:rsidRDefault="00AD1F84"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Watanabe K., </w:t>
      </w:r>
      <w:r w:rsidR="00106BA5" w:rsidRPr="00AD2DE2">
        <w:rPr>
          <w:rFonts w:ascii="Times New Roman" w:hAnsi="Times New Roman"/>
          <w:sz w:val="24"/>
          <w:szCs w:val="24"/>
        </w:rPr>
        <w:t xml:space="preserve">R. </w:t>
      </w:r>
      <w:r w:rsidRPr="00AD2DE2">
        <w:rPr>
          <w:rFonts w:ascii="Times New Roman" w:hAnsi="Times New Roman"/>
          <w:sz w:val="24"/>
          <w:szCs w:val="24"/>
        </w:rPr>
        <w:t>Flores,</w:t>
      </w:r>
      <w:r w:rsidR="00106BA5" w:rsidRPr="00AD2DE2">
        <w:rPr>
          <w:rFonts w:ascii="Times New Roman" w:hAnsi="Times New Roman"/>
          <w:sz w:val="24"/>
          <w:szCs w:val="24"/>
        </w:rPr>
        <w:t xml:space="preserve"> J.</w:t>
      </w:r>
      <w:r w:rsidRPr="00AD2DE2">
        <w:rPr>
          <w:rFonts w:ascii="Times New Roman" w:hAnsi="Times New Roman"/>
          <w:sz w:val="24"/>
          <w:szCs w:val="24"/>
        </w:rPr>
        <w:t xml:space="preserve"> Fujiwara</w:t>
      </w:r>
      <w:r w:rsidR="00106BA5" w:rsidRPr="00AD2DE2">
        <w:rPr>
          <w:rFonts w:ascii="Times New Roman" w:hAnsi="Times New Roman"/>
          <w:sz w:val="24"/>
          <w:szCs w:val="24"/>
        </w:rPr>
        <w:t xml:space="preserve"> </w:t>
      </w:r>
      <w:r w:rsidR="00B8453B" w:rsidRPr="00AD2DE2">
        <w:rPr>
          <w:rFonts w:ascii="Times New Roman" w:hAnsi="Times New Roman"/>
          <w:sz w:val="24"/>
          <w:szCs w:val="24"/>
        </w:rPr>
        <w:t>&amp;</w:t>
      </w:r>
      <w:r w:rsidR="00106BA5" w:rsidRPr="00AD2DE2">
        <w:rPr>
          <w:rFonts w:ascii="Times New Roman" w:hAnsi="Times New Roman"/>
          <w:sz w:val="24"/>
          <w:szCs w:val="24"/>
        </w:rPr>
        <w:t xml:space="preserve"> L. </w:t>
      </w:r>
      <w:r w:rsidRPr="00AD2DE2">
        <w:rPr>
          <w:rFonts w:ascii="Times New Roman" w:hAnsi="Times New Roman"/>
          <w:sz w:val="24"/>
          <w:szCs w:val="24"/>
        </w:rPr>
        <w:t>Thi Huong Tran (2005)</w:t>
      </w:r>
      <w:r w:rsidR="00106BA5" w:rsidRPr="00AD2DE2">
        <w:rPr>
          <w:rFonts w:ascii="Times New Roman" w:hAnsi="Times New Roman"/>
          <w:sz w:val="24"/>
          <w:szCs w:val="24"/>
        </w:rPr>
        <w:t>,</w:t>
      </w:r>
      <w:r w:rsidRPr="00AD2DE2">
        <w:rPr>
          <w:rFonts w:ascii="Times New Roman" w:hAnsi="Times New Roman"/>
          <w:sz w:val="24"/>
          <w:szCs w:val="24"/>
        </w:rPr>
        <w:t xml:space="preserve"> “Early Childhood Development Interventions and Cognitive Development of Young Children in Rural Vietnam”. The Journal of Nutrition.</w:t>
      </w:r>
    </w:p>
    <w:p w:rsidR="007439F4" w:rsidRPr="00AD2DE2" w:rsidRDefault="007439F4" w:rsidP="00902E4B">
      <w:pPr>
        <w:spacing w:after="0" w:line="240" w:lineRule="auto"/>
        <w:ind w:left="288" w:hanging="288"/>
        <w:jc w:val="both"/>
        <w:rPr>
          <w:rFonts w:ascii="Times New Roman" w:hAnsi="Times New Roman"/>
          <w:sz w:val="24"/>
          <w:szCs w:val="24"/>
        </w:rPr>
      </w:pPr>
    </w:p>
    <w:p w:rsidR="00AD1F84" w:rsidRPr="00AD2DE2" w:rsidRDefault="00AD1F84" w:rsidP="00902E4B">
      <w:pPr>
        <w:spacing w:after="0" w:line="240" w:lineRule="auto"/>
        <w:ind w:left="288" w:hanging="288"/>
        <w:jc w:val="both"/>
        <w:rPr>
          <w:rFonts w:ascii="Times New Roman" w:hAnsi="Times New Roman"/>
          <w:sz w:val="24"/>
          <w:szCs w:val="24"/>
        </w:rPr>
      </w:pPr>
      <w:r w:rsidRPr="00AD2DE2">
        <w:rPr>
          <w:rFonts w:ascii="Times New Roman" w:hAnsi="Times New Roman"/>
          <w:sz w:val="24"/>
          <w:szCs w:val="24"/>
        </w:rPr>
        <w:t xml:space="preserve">Xingming J, </w:t>
      </w:r>
      <w:r w:rsidR="00106BA5" w:rsidRPr="00AD2DE2">
        <w:rPr>
          <w:rFonts w:ascii="Times New Roman" w:hAnsi="Times New Roman"/>
          <w:sz w:val="24"/>
          <w:szCs w:val="24"/>
        </w:rPr>
        <w:t xml:space="preserve">S. </w:t>
      </w:r>
      <w:r w:rsidRPr="00AD2DE2">
        <w:rPr>
          <w:rFonts w:ascii="Times New Roman" w:hAnsi="Times New Roman"/>
          <w:sz w:val="24"/>
          <w:szCs w:val="24"/>
        </w:rPr>
        <w:t xml:space="preserve">Yajuan, </w:t>
      </w:r>
      <w:r w:rsidR="00106BA5" w:rsidRPr="00AD2DE2">
        <w:rPr>
          <w:rFonts w:ascii="Times New Roman" w:hAnsi="Times New Roman"/>
          <w:sz w:val="24"/>
          <w:szCs w:val="24"/>
        </w:rPr>
        <w:t xml:space="preserve">J. </w:t>
      </w:r>
      <w:r w:rsidRPr="00AD2DE2">
        <w:rPr>
          <w:rFonts w:ascii="Times New Roman" w:hAnsi="Times New Roman"/>
          <w:sz w:val="24"/>
          <w:szCs w:val="24"/>
        </w:rPr>
        <w:t>Fan</w:t>
      </w:r>
      <w:r w:rsidR="00106BA5" w:rsidRPr="00AD2DE2">
        <w:rPr>
          <w:rFonts w:ascii="Times New Roman" w:hAnsi="Times New Roman"/>
          <w:sz w:val="24"/>
          <w:szCs w:val="24"/>
        </w:rPr>
        <w:t>, M.</w:t>
      </w:r>
      <w:r w:rsidRPr="00AD2DE2">
        <w:rPr>
          <w:rFonts w:ascii="Times New Roman" w:hAnsi="Times New Roman"/>
          <w:sz w:val="24"/>
          <w:szCs w:val="24"/>
        </w:rPr>
        <w:t xml:space="preserve"> Jun, </w:t>
      </w:r>
      <w:r w:rsidR="00106BA5" w:rsidRPr="00AD2DE2">
        <w:rPr>
          <w:rFonts w:ascii="Times New Roman" w:hAnsi="Times New Roman"/>
          <w:sz w:val="24"/>
          <w:szCs w:val="24"/>
        </w:rPr>
        <w:t xml:space="preserve">C. </w:t>
      </w:r>
      <w:r w:rsidRPr="00AD2DE2">
        <w:rPr>
          <w:rFonts w:ascii="Times New Roman" w:hAnsi="Times New Roman"/>
          <w:sz w:val="24"/>
          <w:szCs w:val="24"/>
        </w:rPr>
        <w:t>Morgan</w:t>
      </w:r>
      <w:r w:rsidR="00106BA5" w:rsidRPr="00AD2DE2">
        <w:rPr>
          <w:rFonts w:ascii="Times New Roman" w:hAnsi="Times New Roman"/>
          <w:sz w:val="24"/>
          <w:szCs w:val="24"/>
        </w:rPr>
        <w:t xml:space="preserve"> &amp; S.</w:t>
      </w:r>
      <w:r w:rsidRPr="00AD2DE2">
        <w:rPr>
          <w:rFonts w:ascii="Times New Roman" w:hAnsi="Times New Roman"/>
          <w:sz w:val="24"/>
          <w:szCs w:val="24"/>
        </w:rPr>
        <w:t xml:space="preserve"> Xiaoming (2007)</w:t>
      </w:r>
      <w:r w:rsidR="00106BA5" w:rsidRPr="00AD2DE2">
        <w:rPr>
          <w:rFonts w:ascii="Times New Roman" w:hAnsi="Times New Roman"/>
          <w:sz w:val="24"/>
          <w:szCs w:val="24"/>
        </w:rPr>
        <w:t>,</w:t>
      </w:r>
      <w:r w:rsidRPr="00AD2DE2">
        <w:rPr>
          <w:rFonts w:ascii="Times New Roman" w:hAnsi="Times New Roman"/>
          <w:sz w:val="24"/>
          <w:szCs w:val="24"/>
        </w:rPr>
        <w:t xml:space="preserve"> “Care for Development” Intervention in Rural China: A Prospective Follow-up Study” Journal of Development, Behavior Pediatrics  28:213–218.</w:t>
      </w:r>
    </w:p>
    <w:sectPr w:rsidR="00AD1F84" w:rsidRPr="00AD2DE2" w:rsidSect="00F26BA9">
      <w:headerReference w:type="default" r:id="rId18"/>
      <w:footerReference w:type="default" r:id="rId19"/>
      <w:pgSz w:w="12240" w:h="15840"/>
      <w:pgMar w:top="1440" w:right="1440" w:bottom="1440" w:left="1627"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C33" w:rsidRDefault="00EE0C33" w:rsidP="00CF5271">
      <w:pPr>
        <w:spacing w:after="0" w:line="240" w:lineRule="auto"/>
      </w:pPr>
      <w:r>
        <w:separator/>
      </w:r>
    </w:p>
  </w:endnote>
  <w:endnote w:type="continuationSeparator" w:id="0">
    <w:p w:rsidR="00EE0C33" w:rsidRDefault="00EE0C33"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33" w:rsidRPr="007E1BE2" w:rsidRDefault="00EE0C33" w:rsidP="00696875">
    <w:pPr>
      <w:pStyle w:val="Footer"/>
      <w:pBdr>
        <w:top w:val="single" w:sz="4" w:space="1" w:color="auto"/>
      </w:pBd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C33" w:rsidRDefault="00EE0C33" w:rsidP="00CF5271">
      <w:pPr>
        <w:spacing w:after="0" w:line="240" w:lineRule="auto"/>
      </w:pPr>
      <w:r>
        <w:separator/>
      </w:r>
    </w:p>
  </w:footnote>
  <w:footnote w:type="continuationSeparator" w:id="0">
    <w:p w:rsidR="00EE0C33" w:rsidRDefault="00EE0C33" w:rsidP="00CF5271">
      <w:pPr>
        <w:spacing w:after="0" w:line="240" w:lineRule="auto"/>
      </w:pPr>
      <w:r>
        <w:continuationSeparator/>
      </w:r>
    </w:p>
  </w:footnote>
  <w:footnote w:id="1">
    <w:p w:rsidR="00EE0C33" w:rsidRPr="004F487F" w:rsidRDefault="00EE0C33" w:rsidP="00AD1F84">
      <w:pPr>
        <w:pStyle w:val="FootnoteText"/>
        <w:rPr>
          <w:rFonts w:ascii="Times New Roman" w:hAnsi="Times New Roman"/>
          <w:sz w:val="20"/>
          <w:szCs w:val="20"/>
          <w:lang w:val="es-ES"/>
        </w:rPr>
      </w:pPr>
      <w:r w:rsidRPr="004F487F">
        <w:rPr>
          <w:rStyle w:val="FootnoteReference"/>
          <w:rFonts w:ascii="Times New Roman" w:hAnsi="Times New Roman"/>
          <w:sz w:val="20"/>
          <w:szCs w:val="20"/>
          <w:lang w:val="es-ES"/>
        </w:rPr>
        <w:footnoteRef/>
      </w:r>
      <w:r w:rsidRPr="004F487F">
        <w:rPr>
          <w:rFonts w:ascii="Times New Roman" w:hAnsi="Times New Roman"/>
          <w:sz w:val="20"/>
          <w:szCs w:val="20"/>
          <w:lang w:val="es-ES"/>
        </w:rPr>
        <w:t xml:space="preserve"> Información entregada por el PDHO.</w:t>
      </w:r>
    </w:p>
  </w:footnote>
  <w:footnote w:id="2">
    <w:p w:rsidR="00EE0C33" w:rsidRPr="004F487F" w:rsidRDefault="00EE0C33" w:rsidP="00AD1F84">
      <w:pPr>
        <w:pStyle w:val="FootnoteText"/>
        <w:rPr>
          <w:rFonts w:ascii="Times New Roman" w:hAnsi="Times New Roman"/>
          <w:sz w:val="20"/>
          <w:szCs w:val="20"/>
          <w:lang w:val="es-ES"/>
        </w:rPr>
      </w:pPr>
      <w:r w:rsidRPr="004F487F">
        <w:rPr>
          <w:rStyle w:val="FootnoteReference"/>
          <w:rFonts w:ascii="Times New Roman" w:hAnsi="Times New Roman"/>
          <w:sz w:val="20"/>
          <w:szCs w:val="20"/>
          <w:lang w:val="es-ES"/>
        </w:rPr>
        <w:footnoteRef/>
      </w:r>
      <w:r w:rsidRPr="004F487F">
        <w:rPr>
          <w:rFonts w:ascii="Times New Roman" w:hAnsi="Times New Roman"/>
          <w:sz w:val="20"/>
          <w:szCs w:val="20"/>
          <w:lang w:val="es-ES"/>
        </w:rPr>
        <w:t xml:space="preserve"> Información descargada del sitio web del PDHO.</w:t>
      </w:r>
    </w:p>
  </w:footnote>
  <w:footnote w:id="3">
    <w:p w:rsidR="00EE0C33" w:rsidRPr="004F487F" w:rsidRDefault="00EE0C33" w:rsidP="00754161">
      <w:pPr>
        <w:pStyle w:val="FootnoteText"/>
        <w:jc w:val="both"/>
        <w:rPr>
          <w:rFonts w:ascii="Times New Roman" w:hAnsi="Times New Roman"/>
          <w:sz w:val="20"/>
          <w:szCs w:val="20"/>
          <w:lang w:val="es-ES"/>
        </w:rPr>
      </w:pPr>
      <w:r w:rsidRPr="004F487F">
        <w:rPr>
          <w:rStyle w:val="FootnoteReference"/>
          <w:rFonts w:ascii="Times New Roman" w:hAnsi="Times New Roman"/>
          <w:sz w:val="20"/>
          <w:szCs w:val="20"/>
          <w:lang w:val="es-ES"/>
        </w:rPr>
        <w:footnoteRef/>
      </w:r>
      <w:r w:rsidRPr="004F487F">
        <w:rPr>
          <w:rFonts w:ascii="Times New Roman" w:hAnsi="Times New Roman"/>
          <w:sz w:val="20"/>
          <w:szCs w:val="20"/>
          <w:lang w:val="es-ES"/>
        </w:rPr>
        <w:t xml:space="preserve"> En Attanasio y Espinosa (2010) este incremento tiene básicamente efectos sólo en la matrícula de estudiantes mujeres en Ecatepec.</w:t>
      </w:r>
    </w:p>
  </w:footnote>
  <w:footnote w:id="4">
    <w:p w:rsidR="00EE0C33" w:rsidRPr="004F487F" w:rsidRDefault="00EE0C33" w:rsidP="00AD1F84">
      <w:pPr>
        <w:pStyle w:val="FootnoteText"/>
        <w:jc w:val="both"/>
        <w:rPr>
          <w:rFonts w:ascii="Times New Roman" w:hAnsi="Times New Roman"/>
          <w:sz w:val="20"/>
          <w:szCs w:val="20"/>
          <w:lang w:val="es-ES"/>
        </w:rPr>
      </w:pPr>
      <w:r w:rsidRPr="004F487F">
        <w:rPr>
          <w:rStyle w:val="FootnoteReference"/>
          <w:rFonts w:ascii="Times New Roman" w:hAnsi="Times New Roman"/>
          <w:sz w:val="20"/>
          <w:szCs w:val="20"/>
          <w:lang w:val="es-ES"/>
        </w:rPr>
        <w:footnoteRef/>
      </w:r>
      <w:r w:rsidRPr="004F487F">
        <w:rPr>
          <w:rFonts w:ascii="Times New Roman" w:hAnsi="Times New Roman"/>
          <w:sz w:val="20"/>
          <w:szCs w:val="20"/>
          <w:lang w:val="es-ES"/>
        </w:rPr>
        <w:t xml:space="preserve"> Varios de estos estudios se resumen en INSP-Oportunidades-SEDESOL (2011).</w:t>
      </w:r>
    </w:p>
  </w:footnote>
  <w:footnote w:id="5">
    <w:p w:rsidR="00EE0C33" w:rsidRPr="004F487F" w:rsidRDefault="00EE0C33" w:rsidP="007B6506">
      <w:pPr>
        <w:pStyle w:val="FootnoteText"/>
        <w:jc w:val="both"/>
        <w:rPr>
          <w:rFonts w:ascii="Times New Roman" w:hAnsi="Times New Roman"/>
          <w:sz w:val="20"/>
          <w:szCs w:val="20"/>
          <w:lang w:val="es-ES"/>
        </w:rPr>
      </w:pPr>
      <w:r w:rsidRPr="004F487F">
        <w:rPr>
          <w:rStyle w:val="FootnoteReference"/>
          <w:rFonts w:ascii="Times New Roman" w:hAnsi="Times New Roman"/>
          <w:sz w:val="20"/>
          <w:szCs w:val="20"/>
          <w:lang w:val="es-ES"/>
        </w:rPr>
        <w:footnoteRef/>
      </w:r>
      <w:r w:rsidRPr="004F487F">
        <w:rPr>
          <w:rFonts w:ascii="Times New Roman" w:hAnsi="Times New Roman"/>
          <w:sz w:val="20"/>
          <w:szCs w:val="20"/>
          <w:lang w:val="es-ES"/>
        </w:rPr>
        <w:t xml:space="preserve"> El nombre completo del estudio es “Eficacia de tres tipos de suplemento nutricional para mejorar el crecimiento, desarrollo y estado de micronutrimentos de niños menores de 2 años y el estado de micronutrimentos y ganancia de peso en mujeres embarazadas” y fue realizado entre 2005 – 2007.</w:t>
      </w:r>
    </w:p>
  </w:footnote>
  <w:footnote w:id="6">
    <w:p w:rsidR="00AB09CE" w:rsidRPr="004E10F8" w:rsidRDefault="00AB09CE" w:rsidP="00CF23CD">
      <w:pPr>
        <w:pStyle w:val="FootnoteText"/>
        <w:jc w:val="both"/>
        <w:rPr>
          <w:rFonts w:ascii="Times New Roman" w:hAnsi="Times New Roman"/>
          <w:sz w:val="22"/>
          <w:szCs w:val="22"/>
          <w:lang w:val="es-ES_tradnl"/>
        </w:rPr>
      </w:pPr>
      <w:r w:rsidRPr="00CF23CD">
        <w:rPr>
          <w:rStyle w:val="FootnoteReference"/>
          <w:rFonts w:ascii="Times New Roman" w:hAnsi="Times New Roman"/>
        </w:rPr>
        <w:footnoteRef/>
      </w:r>
      <w:r w:rsidRPr="00CF23CD">
        <w:rPr>
          <w:rFonts w:ascii="Times New Roman" w:hAnsi="Times New Roman"/>
        </w:rPr>
        <w:t xml:space="preserve"> </w:t>
      </w:r>
      <w:r w:rsidRPr="004E10F8">
        <w:rPr>
          <w:rFonts w:ascii="Times New Roman" w:hAnsi="Times New Roman"/>
          <w:sz w:val="22"/>
          <w:szCs w:val="22"/>
        </w:rPr>
        <w:t>García-Guerra et al. (2008)</w:t>
      </w:r>
      <w:r w:rsidRPr="004E10F8">
        <w:rPr>
          <w:rFonts w:ascii="Times New Roman" w:hAnsi="Times New Roman"/>
          <w:sz w:val="22"/>
          <w:szCs w:val="22"/>
          <w:lang w:val="es-ES_tradnl"/>
        </w:rPr>
        <w:t xml:space="preserve"> muestra además resultados 4 meses post-intervención y  Hernández et al. (2008) muetra además resultados a la semana 37 de embarazo. </w:t>
      </w:r>
    </w:p>
  </w:footnote>
  <w:footnote w:id="7">
    <w:p w:rsidR="004E10F8" w:rsidRPr="004E10F8" w:rsidRDefault="004E10F8">
      <w:pPr>
        <w:pStyle w:val="FootnoteText"/>
        <w:rPr>
          <w:rFonts w:ascii="Times New Roman" w:hAnsi="Times New Roman"/>
          <w:sz w:val="22"/>
          <w:szCs w:val="22"/>
        </w:rPr>
      </w:pPr>
      <w:r w:rsidRPr="004E10F8">
        <w:rPr>
          <w:rStyle w:val="FootnoteReference"/>
          <w:rFonts w:ascii="Times New Roman" w:hAnsi="Times New Roman"/>
          <w:sz w:val="22"/>
          <w:szCs w:val="22"/>
        </w:rPr>
        <w:footnoteRef/>
      </w:r>
      <w:r w:rsidRPr="004E10F8">
        <w:rPr>
          <w:rFonts w:ascii="Times New Roman" w:hAnsi="Times New Roman"/>
          <w:sz w:val="22"/>
          <w:szCs w:val="22"/>
        </w:rPr>
        <w:t xml:space="preserve"> </w:t>
      </w:r>
      <w:r w:rsidRPr="004E10F8">
        <w:rPr>
          <w:rFonts w:ascii="Times New Roman" w:hAnsi="Times New Roman"/>
          <w:sz w:val="22"/>
          <w:szCs w:val="22"/>
          <w:lang w:val="es-ES"/>
        </w:rPr>
        <w:t xml:space="preserve">Esto se documenta en el studio </w:t>
      </w:r>
      <w:r w:rsidRPr="004E10F8">
        <w:rPr>
          <w:rFonts w:ascii="Times New Roman" w:hAnsi="Times New Roman"/>
          <w:sz w:val="22"/>
          <w:szCs w:val="22"/>
        </w:rPr>
        <w:t xml:space="preserve">“Eficacia de tres tipos de suplemento nutricional para mejorar el crecimiento, desarrollo y estado de micronutrimentos de niños menores de 2 años y el estado de micronutrimentos y ganancia de peso en mujeres embarazadas” realizado </w:t>
      </w:r>
      <w:r w:rsidRPr="004E10F8">
        <w:rPr>
          <w:rFonts w:ascii="Times New Roman" w:hAnsi="Times New Roman"/>
          <w:sz w:val="22"/>
          <w:szCs w:val="22"/>
          <w:lang w:val="es-ES"/>
        </w:rPr>
        <w:t>por el INSP</w:t>
      </w:r>
      <w:r w:rsidRPr="004E10F8">
        <w:rPr>
          <w:rFonts w:ascii="Times New Roman" w:hAnsi="Times New Roman"/>
          <w:sz w:val="22"/>
          <w:szCs w:val="22"/>
        </w:rPr>
        <w:t>.</w:t>
      </w:r>
    </w:p>
  </w:footnote>
  <w:footnote w:id="8">
    <w:p w:rsidR="00EE0C33" w:rsidRPr="004F487F" w:rsidRDefault="00EE0C33" w:rsidP="00AD1F84">
      <w:pPr>
        <w:pStyle w:val="FootnoteText"/>
        <w:rPr>
          <w:rFonts w:ascii="Times New Roman" w:hAnsi="Times New Roman"/>
          <w:sz w:val="20"/>
          <w:szCs w:val="20"/>
          <w:lang w:val="es-ES"/>
        </w:rPr>
      </w:pPr>
      <w:r w:rsidRPr="004F487F">
        <w:rPr>
          <w:rStyle w:val="FootnoteReference"/>
          <w:rFonts w:ascii="Times New Roman" w:hAnsi="Times New Roman"/>
          <w:sz w:val="20"/>
          <w:szCs w:val="20"/>
          <w:lang w:val="es-ES"/>
        </w:rPr>
        <w:footnoteRef/>
      </w:r>
      <w:r w:rsidRPr="004F487F">
        <w:rPr>
          <w:rFonts w:ascii="Times New Roman" w:hAnsi="Times New Roman"/>
          <w:sz w:val="20"/>
          <w:szCs w:val="20"/>
          <w:lang w:val="es-ES"/>
        </w:rPr>
        <w:t xml:space="preserve"> Para mayor detalle sobre la oferta de estos servicios y programas, revisar Myers et al. (2013).</w:t>
      </w:r>
    </w:p>
  </w:footnote>
  <w:footnote w:id="9">
    <w:p w:rsidR="00EE0C33" w:rsidRPr="004F487F" w:rsidRDefault="00EE0C33" w:rsidP="0081540F">
      <w:pPr>
        <w:pStyle w:val="FootnoteText"/>
        <w:jc w:val="both"/>
        <w:rPr>
          <w:rFonts w:ascii="Times New Roman" w:hAnsi="Times New Roman"/>
          <w:sz w:val="20"/>
          <w:szCs w:val="20"/>
          <w:lang w:val="es-ES_tradnl"/>
        </w:rPr>
      </w:pPr>
      <w:r w:rsidRPr="004F487F">
        <w:rPr>
          <w:rStyle w:val="FootnoteReference"/>
          <w:rFonts w:ascii="Times New Roman" w:hAnsi="Times New Roman"/>
          <w:sz w:val="20"/>
          <w:szCs w:val="20"/>
        </w:rPr>
        <w:footnoteRef/>
      </w:r>
      <w:r w:rsidRPr="004F487F">
        <w:rPr>
          <w:rFonts w:ascii="Times New Roman" w:hAnsi="Times New Roman"/>
          <w:sz w:val="20"/>
          <w:szCs w:val="20"/>
        </w:rPr>
        <w:t xml:space="preserve"> </w:t>
      </w:r>
      <w:r w:rsidRPr="004F487F">
        <w:rPr>
          <w:rFonts w:ascii="Times New Roman" w:hAnsi="Times New Roman"/>
          <w:sz w:val="20"/>
          <w:szCs w:val="20"/>
          <w:lang w:val="es-ES_tradnl"/>
        </w:rPr>
        <w:t>La evaluación del PEI-CONAFE (INSP, 2012) no menciona explícitamente las pruebas de desarrollo infantil consideradas ni la escala de medición de los puntajes en las pruebas. Sin embargo, los valores medios al momento de la línea de base son los siguientes: en comunicación, 13.4 para el grupo de intervención y 14.1 para el de control; en motricidad, 11.9 para el grupo de intervención y 12.6 para el de control; y, en percepción, 14.9 para el grupo de intervención y 15.6 para el de control.</w:t>
      </w:r>
    </w:p>
  </w:footnote>
  <w:footnote w:id="10">
    <w:p w:rsidR="00EE0C33" w:rsidRPr="004F487F" w:rsidRDefault="00EE0C33" w:rsidP="00AB11A7">
      <w:pPr>
        <w:pStyle w:val="FootnoteText"/>
        <w:jc w:val="both"/>
        <w:rPr>
          <w:rFonts w:ascii="Times New Roman" w:hAnsi="Times New Roman"/>
          <w:sz w:val="20"/>
          <w:szCs w:val="20"/>
          <w:lang w:val="es-ES_tradnl"/>
        </w:rPr>
      </w:pPr>
      <w:r w:rsidRPr="004F487F">
        <w:rPr>
          <w:rStyle w:val="FootnoteReference"/>
          <w:rFonts w:ascii="Times New Roman" w:hAnsi="Times New Roman"/>
          <w:sz w:val="20"/>
          <w:szCs w:val="20"/>
        </w:rPr>
        <w:footnoteRef/>
      </w:r>
      <w:r w:rsidRPr="004F487F">
        <w:rPr>
          <w:rFonts w:ascii="Times New Roman" w:hAnsi="Times New Roman"/>
          <w:sz w:val="20"/>
          <w:szCs w:val="20"/>
        </w:rPr>
        <w:t xml:space="preserve"> </w:t>
      </w:r>
      <w:r w:rsidRPr="004F487F">
        <w:rPr>
          <w:rFonts w:ascii="Times New Roman" w:hAnsi="Times New Roman"/>
          <w:sz w:val="20"/>
          <w:szCs w:val="20"/>
          <w:lang w:val="es-ES_tradnl"/>
        </w:rPr>
        <w:t xml:space="preserve">La evidencia revisada por las autoras de varios programas de desarrollo infantil en diversos países en desarrollo y en población en desventaja apunta a que las intervenciones más efectivas son aquellas realizadas en edad temprana. Sin embargo, la evidencia es limitada sobre cuál es el momento óptimo para comenzar una intervención.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1477648756"/>
      <w:docPartObj>
        <w:docPartGallery w:val="Page Numbers (Top of Page)"/>
        <w:docPartUnique/>
      </w:docPartObj>
    </w:sdtPr>
    <w:sdtEndPr/>
    <w:sdtContent>
      <w:p w:rsidR="00EE0C33" w:rsidRDefault="00EE0C33">
        <w:pPr>
          <w:pStyle w:val="Header"/>
          <w:jc w:val="right"/>
          <w:rPr>
            <w:rFonts w:ascii="Times New Roman" w:hAnsi="Times New Roman"/>
            <w:sz w:val="20"/>
            <w:szCs w:val="20"/>
          </w:rPr>
        </w:pPr>
        <w:r>
          <w:rPr>
            <w:rFonts w:ascii="Times New Roman" w:hAnsi="Times New Roman"/>
            <w:sz w:val="20"/>
            <w:szCs w:val="20"/>
          </w:rPr>
          <w:t>ME-L1091</w:t>
        </w:r>
      </w:p>
      <w:p w:rsidR="00EE0C33" w:rsidRPr="004F487F" w:rsidRDefault="00EE0C33">
        <w:pPr>
          <w:pStyle w:val="Header"/>
          <w:jc w:val="right"/>
          <w:rPr>
            <w:rFonts w:ascii="Times New Roman" w:hAnsi="Times New Roman"/>
            <w:sz w:val="20"/>
            <w:szCs w:val="20"/>
          </w:rPr>
        </w:pPr>
        <w:r w:rsidRPr="004F487F">
          <w:rPr>
            <w:rFonts w:ascii="Times New Roman" w:hAnsi="Times New Roman"/>
            <w:sz w:val="20"/>
            <w:szCs w:val="20"/>
          </w:rPr>
          <w:t xml:space="preserve">Page </w:t>
        </w:r>
        <w:r w:rsidRPr="004F487F">
          <w:rPr>
            <w:rFonts w:ascii="Times New Roman" w:hAnsi="Times New Roman"/>
            <w:bCs/>
            <w:sz w:val="20"/>
            <w:szCs w:val="20"/>
          </w:rPr>
          <w:fldChar w:fldCharType="begin"/>
        </w:r>
        <w:r w:rsidRPr="004F487F">
          <w:rPr>
            <w:rFonts w:ascii="Times New Roman" w:hAnsi="Times New Roman"/>
            <w:bCs/>
            <w:sz w:val="20"/>
            <w:szCs w:val="20"/>
          </w:rPr>
          <w:instrText xml:space="preserve"> PAGE </w:instrText>
        </w:r>
        <w:r w:rsidRPr="004F487F">
          <w:rPr>
            <w:rFonts w:ascii="Times New Roman" w:hAnsi="Times New Roman"/>
            <w:bCs/>
            <w:sz w:val="20"/>
            <w:szCs w:val="20"/>
          </w:rPr>
          <w:fldChar w:fldCharType="separate"/>
        </w:r>
        <w:r w:rsidR="003F731F">
          <w:rPr>
            <w:rFonts w:ascii="Times New Roman" w:hAnsi="Times New Roman"/>
            <w:bCs/>
            <w:noProof/>
            <w:sz w:val="20"/>
            <w:szCs w:val="20"/>
          </w:rPr>
          <w:t>1</w:t>
        </w:r>
        <w:r w:rsidRPr="004F487F">
          <w:rPr>
            <w:rFonts w:ascii="Times New Roman" w:hAnsi="Times New Roman"/>
            <w:bCs/>
            <w:sz w:val="20"/>
            <w:szCs w:val="20"/>
          </w:rPr>
          <w:fldChar w:fldCharType="end"/>
        </w:r>
        <w:r w:rsidRPr="004F487F">
          <w:rPr>
            <w:rFonts w:ascii="Times New Roman" w:hAnsi="Times New Roman"/>
            <w:sz w:val="20"/>
            <w:szCs w:val="20"/>
          </w:rPr>
          <w:t xml:space="preserve"> of </w:t>
        </w:r>
        <w:r w:rsidRPr="004F487F">
          <w:rPr>
            <w:rFonts w:ascii="Times New Roman" w:hAnsi="Times New Roman"/>
            <w:bCs/>
            <w:sz w:val="20"/>
            <w:szCs w:val="20"/>
          </w:rPr>
          <w:fldChar w:fldCharType="begin"/>
        </w:r>
        <w:r w:rsidRPr="004F487F">
          <w:rPr>
            <w:rFonts w:ascii="Times New Roman" w:hAnsi="Times New Roman"/>
            <w:bCs/>
            <w:sz w:val="20"/>
            <w:szCs w:val="20"/>
          </w:rPr>
          <w:instrText xml:space="preserve"> NUMPAGES  </w:instrText>
        </w:r>
        <w:r w:rsidRPr="004F487F">
          <w:rPr>
            <w:rFonts w:ascii="Times New Roman" w:hAnsi="Times New Roman"/>
            <w:bCs/>
            <w:sz w:val="20"/>
            <w:szCs w:val="20"/>
          </w:rPr>
          <w:fldChar w:fldCharType="separate"/>
        </w:r>
        <w:r w:rsidR="003F731F">
          <w:rPr>
            <w:rFonts w:ascii="Times New Roman" w:hAnsi="Times New Roman"/>
            <w:bCs/>
            <w:noProof/>
            <w:sz w:val="20"/>
            <w:szCs w:val="20"/>
          </w:rPr>
          <w:t>28</w:t>
        </w:r>
        <w:r w:rsidRPr="004F487F">
          <w:rPr>
            <w:rFonts w:ascii="Times New Roman" w:hAnsi="Times New Roman"/>
            <w:bCs/>
            <w:sz w:val="20"/>
            <w:szCs w:val="20"/>
          </w:rPr>
          <w:fldChar w:fldCharType="end"/>
        </w:r>
      </w:p>
    </w:sdtContent>
  </w:sdt>
  <w:p w:rsidR="00EE0C33" w:rsidRDefault="00EE0C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864B8"/>
    <w:multiLevelType w:val="hybridMultilevel"/>
    <w:tmpl w:val="770EE658"/>
    <w:lvl w:ilvl="0" w:tplc="631828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95A4F"/>
    <w:multiLevelType w:val="hybridMultilevel"/>
    <w:tmpl w:val="80743F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1C121F"/>
    <w:multiLevelType w:val="hybridMultilevel"/>
    <w:tmpl w:val="BDC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7E57F2"/>
    <w:multiLevelType w:val="hybridMultilevel"/>
    <w:tmpl w:val="67C21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CF7463"/>
    <w:multiLevelType w:val="hybridMultilevel"/>
    <w:tmpl w:val="B1F6D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294AD3"/>
    <w:multiLevelType w:val="hybridMultilevel"/>
    <w:tmpl w:val="048E2A62"/>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42F740AB"/>
    <w:multiLevelType w:val="hybridMultilevel"/>
    <w:tmpl w:val="22A0B4C4"/>
    <w:lvl w:ilvl="0" w:tplc="720473A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C928FB"/>
    <w:multiLevelType w:val="hybridMultilevel"/>
    <w:tmpl w:val="D9B8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nsid w:val="5B452B34"/>
    <w:multiLevelType w:val="hybridMultilevel"/>
    <w:tmpl w:val="35C636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6727022C"/>
    <w:multiLevelType w:val="multilevel"/>
    <w:tmpl w:val="13EA714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nsid w:val="67F331E6"/>
    <w:multiLevelType w:val="hybridMultilevel"/>
    <w:tmpl w:val="E2545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8665699"/>
    <w:multiLevelType w:val="hybridMultilevel"/>
    <w:tmpl w:val="F552F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D72907"/>
    <w:multiLevelType w:val="hybridMultilevel"/>
    <w:tmpl w:val="7952B304"/>
    <w:lvl w:ilvl="0" w:tplc="8CAC088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2">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14"/>
  </w:num>
  <w:num w:numId="4">
    <w:abstractNumId w:val="23"/>
  </w:num>
  <w:num w:numId="5">
    <w:abstractNumId w:val="8"/>
  </w:num>
  <w:num w:numId="6">
    <w:abstractNumId w:val="4"/>
  </w:num>
  <w:num w:numId="7">
    <w:abstractNumId w:val="21"/>
  </w:num>
  <w:num w:numId="8">
    <w:abstractNumId w:val="3"/>
  </w:num>
  <w:num w:numId="9">
    <w:abstractNumId w:val="11"/>
  </w:num>
  <w:num w:numId="10">
    <w:abstractNumId w:val="12"/>
  </w:num>
  <w:num w:numId="11">
    <w:abstractNumId w:val="20"/>
  </w:num>
  <w:num w:numId="12">
    <w:abstractNumId w:val="22"/>
  </w:num>
  <w:num w:numId="13">
    <w:abstractNumId w:val="16"/>
  </w:num>
  <w:num w:numId="14">
    <w:abstractNumId w:val="15"/>
  </w:num>
  <w:num w:numId="15">
    <w:abstractNumId w:val="1"/>
  </w:num>
  <w:num w:numId="16">
    <w:abstractNumId w:val="19"/>
  </w:num>
  <w:num w:numId="17">
    <w:abstractNumId w:val="17"/>
  </w:num>
  <w:num w:numId="18">
    <w:abstractNumId w:val="5"/>
  </w:num>
  <w:num w:numId="19">
    <w:abstractNumId w:val="9"/>
  </w:num>
  <w:num w:numId="20">
    <w:abstractNumId w:val="6"/>
  </w:num>
  <w:num w:numId="21">
    <w:abstractNumId w:val="18"/>
  </w:num>
  <w:num w:numId="22">
    <w:abstractNumId w:val="2"/>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7DDA"/>
    <w:rsid w:val="00013ADF"/>
    <w:rsid w:val="00035395"/>
    <w:rsid w:val="000449FB"/>
    <w:rsid w:val="00046570"/>
    <w:rsid w:val="000517F3"/>
    <w:rsid w:val="00072FC8"/>
    <w:rsid w:val="00077291"/>
    <w:rsid w:val="0009458D"/>
    <w:rsid w:val="00097798"/>
    <w:rsid w:val="000B124C"/>
    <w:rsid w:val="000E2783"/>
    <w:rsid w:val="000F4BF7"/>
    <w:rsid w:val="000F5EF7"/>
    <w:rsid w:val="000F7F9F"/>
    <w:rsid w:val="0010240F"/>
    <w:rsid w:val="00106BA5"/>
    <w:rsid w:val="00111647"/>
    <w:rsid w:val="00113764"/>
    <w:rsid w:val="00117112"/>
    <w:rsid w:val="00126F06"/>
    <w:rsid w:val="001274B0"/>
    <w:rsid w:val="00153A42"/>
    <w:rsid w:val="00171A01"/>
    <w:rsid w:val="001721F7"/>
    <w:rsid w:val="001851EE"/>
    <w:rsid w:val="00197AA0"/>
    <w:rsid w:val="001B32A0"/>
    <w:rsid w:val="001B4BAA"/>
    <w:rsid w:val="001B523A"/>
    <w:rsid w:val="001C1D74"/>
    <w:rsid w:val="001C3DCA"/>
    <w:rsid w:val="00202316"/>
    <w:rsid w:val="00215114"/>
    <w:rsid w:val="002312B1"/>
    <w:rsid w:val="002613DA"/>
    <w:rsid w:val="002C15C1"/>
    <w:rsid w:val="002D19E0"/>
    <w:rsid w:val="002D6F26"/>
    <w:rsid w:val="002E5308"/>
    <w:rsid w:val="0030418A"/>
    <w:rsid w:val="00327636"/>
    <w:rsid w:val="00341215"/>
    <w:rsid w:val="003508DC"/>
    <w:rsid w:val="00384689"/>
    <w:rsid w:val="003905D5"/>
    <w:rsid w:val="003B04EC"/>
    <w:rsid w:val="003B6FD5"/>
    <w:rsid w:val="003C0446"/>
    <w:rsid w:val="003E7911"/>
    <w:rsid w:val="003F731F"/>
    <w:rsid w:val="004374B3"/>
    <w:rsid w:val="004463FF"/>
    <w:rsid w:val="0044790D"/>
    <w:rsid w:val="004A7317"/>
    <w:rsid w:val="004B321D"/>
    <w:rsid w:val="004D391A"/>
    <w:rsid w:val="004E10F8"/>
    <w:rsid w:val="004E43B8"/>
    <w:rsid w:val="004F487F"/>
    <w:rsid w:val="00513138"/>
    <w:rsid w:val="00526CD3"/>
    <w:rsid w:val="00543D5F"/>
    <w:rsid w:val="00580C2E"/>
    <w:rsid w:val="005B084C"/>
    <w:rsid w:val="005C2188"/>
    <w:rsid w:val="005F49E3"/>
    <w:rsid w:val="005F7A38"/>
    <w:rsid w:val="006072B1"/>
    <w:rsid w:val="0062213F"/>
    <w:rsid w:val="00633C0C"/>
    <w:rsid w:val="00637A31"/>
    <w:rsid w:val="006530C6"/>
    <w:rsid w:val="006551D9"/>
    <w:rsid w:val="00666FAB"/>
    <w:rsid w:val="006809F3"/>
    <w:rsid w:val="0069256C"/>
    <w:rsid w:val="00696875"/>
    <w:rsid w:val="006968AE"/>
    <w:rsid w:val="006A588A"/>
    <w:rsid w:val="006A7F71"/>
    <w:rsid w:val="006B2012"/>
    <w:rsid w:val="006C19CD"/>
    <w:rsid w:val="006D3EF7"/>
    <w:rsid w:val="00706EC1"/>
    <w:rsid w:val="00710548"/>
    <w:rsid w:val="00714BD4"/>
    <w:rsid w:val="00742C55"/>
    <w:rsid w:val="007439F4"/>
    <w:rsid w:val="0075030E"/>
    <w:rsid w:val="00754161"/>
    <w:rsid w:val="007545D8"/>
    <w:rsid w:val="00766390"/>
    <w:rsid w:val="0076691D"/>
    <w:rsid w:val="0079317E"/>
    <w:rsid w:val="007B6506"/>
    <w:rsid w:val="007D751A"/>
    <w:rsid w:val="007E1BE2"/>
    <w:rsid w:val="00814497"/>
    <w:rsid w:val="0081540F"/>
    <w:rsid w:val="0081630A"/>
    <w:rsid w:val="008269B6"/>
    <w:rsid w:val="00835C31"/>
    <w:rsid w:val="008664EA"/>
    <w:rsid w:val="00887714"/>
    <w:rsid w:val="008A15D5"/>
    <w:rsid w:val="008A3C64"/>
    <w:rsid w:val="008B2CB8"/>
    <w:rsid w:val="008D78F7"/>
    <w:rsid w:val="008E007E"/>
    <w:rsid w:val="00902E4B"/>
    <w:rsid w:val="0091287F"/>
    <w:rsid w:val="00920B52"/>
    <w:rsid w:val="00940D9B"/>
    <w:rsid w:val="00976BAA"/>
    <w:rsid w:val="00984A6E"/>
    <w:rsid w:val="009D7D1D"/>
    <w:rsid w:val="009F096D"/>
    <w:rsid w:val="009F2EE8"/>
    <w:rsid w:val="009F5F4A"/>
    <w:rsid w:val="00A1474F"/>
    <w:rsid w:val="00A23A6E"/>
    <w:rsid w:val="00A26BA4"/>
    <w:rsid w:val="00A60074"/>
    <w:rsid w:val="00AA0D69"/>
    <w:rsid w:val="00AB09CE"/>
    <w:rsid w:val="00AB11A7"/>
    <w:rsid w:val="00AB7C37"/>
    <w:rsid w:val="00AC2CE3"/>
    <w:rsid w:val="00AC5430"/>
    <w:rsid w:val="00AC754A"/>
    <w:rsid w:val="00AD1F84"/>
    <w:rsid w:val="00AD2DE2"/>
    <w:rsid w:val="00AD52FC"/>
    <w:rsid w:val="00AE2CA9"/>
    <w:rsid w:val="00AE3218"/>
    <w:rsid w:val="00B00BD1"/>
    <w:rsid w:val="00B0273A"/>
    <w:rsid w:val="00B449E9"/>
    <w:rsid w:val="00B8453B"/>
    <w:rsid w:val="00B9231D"/>
    <w:rsid w:val="00B9283C"/>
    <w:rsid w:val="00B93925"/>
    <w:rsid w:val="00BA565A"/>
    <w:rsid w:val="00BB4A7D"/>
    <w:rsid w:val="00BB4DF5"/>
    <w:rsid w:val="00BC73EA"/>
    <w:rsid w:val="00BE443C"/>
    <w:rsid w:val="00BE565E"/>
    <w:rsid w:val="00BF16EC"/>
    <w:rsid w:val="00BF6147"/>
    <w:rsid w:val="00BF70A2"/>
    <w:rsid w:val="00BF7E6A"/>
    <w:rsid w:val="00C32A84"/>
    <w:rsid w:val="00C34B4E"/>
    <w:rsid w:val="00C768B6"/>
    <w:rsid w:val="00C90C6E"/>
    <w:rsid w:val="00C9535C"/>
    <w:rsid w:val="00C96AF4"/>
    <w:rsid w:val="00CA576E"/>
    <w:rsid w:val="00CC020C"/>
    <w:rsid w:val="00CE4356"/>
    <w:rsid w:val="00CE7D2C"/>
    <w:rsid w:val="00CF23CD"/>
    <w:rsid w:val="00CF5271"/>
    <w:rsid w:val="00CF6F12"/>
    <w:rsid w:val="00D01C5C"/>
    <w:rsid w:val="00D25F03"/>
    <w:rsid w:val="00D26AE3"/>
    <w:rsid w:val="00D332FF"/>
    <w:rsid w:val="00D37AA2"/>
    <w:rsid w:val="00D531FF"/>
    <w:rsid w:val="00D70075"/>
    <w:rsid w:val="00D741D9"/>
    <w:rsid w:val="00D85624"/>
    <w:rsid w:val="00D9445A"/>
    <w:rsid w:val="00D94EAB"/>
    <w:rsid w:val="00DA03C6"/>
    <w:rsid w:val="00DB6772"/>
    <w:rsid w:val="00DB696F"/>
    <w:rsid w:val="00DE7DBF"/>
    <w:rsid w:val="00DF3C59"/>
    <w:rsid w:val="00E34F2A"/>
    <w:rsid w:val="00E35045"/>
    <w:rsid w:val="00E54D19"/>
    <w:rsid w:val="00E56540"/>
    <w:rsid w:val="00E963D1"/>
    <w:rsid w:val="00E96C79"/>
    <w:rsid w:val="00EB01DA"/>
    <w:rsid w:val="00EB08D1"/>
    <w:rsid w:val="00EC2018"/>
    <w:rsid w:val="00ED593C"/>
    <w:rsid w:val="00ED6EAA"/>
    <w:rsid w:val="00EE0318"/>
    <w:rsid w:val="00EE0C33"/>
    <w:rsid w:val="00EE39AF"/>
    <w:rsid w:val="00F00DCE"/>
    <w:rsid w:val="00F15770"/>
    <w:rsid w:val="00F26BA9"/>
    <w:rsid w:val="00F43736"/>
    <w:rsid w:val="00F65CEE"/>
    <w:rsid w:val="00F91D17"/>
    <w:rsid w:val="00FA0D06"/>
    <w:rsid w:val="00FD3957"/>
    <w:rsid w:val="00FE5D89"/>
    <w:rsid w:val="00FF5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30E"/>
    <w:pPr>
      <w:spacing w:after="200" w:line="276" w:lineRule="auto"/>
    </w:pPr>
    <w:rPr>
      <w:sz w:val="22"/>
      <w:szCs w:val="22"/>
    </w:rPr>
  </w:style>
  <w:style w:type="paragraph" w:styleId="Heading1">
    <w:name w:val="heading 1"/>
    <w:basedOn w:val="Normal"/>
    <w:next w:val="Normal"/>
    <w:link w:val="Heading1Char"/>
    <w:uiPriority w:val="9"/>
    <w:qFormat/>
    <w:rsid w:val="007E1BE2"/>
    <w:pPr>
      <w:keepNext/>
      <w:autoSpaceDE w:val="0"/>
      <w:autoSpaceDN w:val="0"/>
      <w:adjustRightInd w:val="0"/>
      <w:spacing w:after="0" w:line="240" w:lineRule="auto"/>
      <w:jc w:val="center"/>
      <w:outlineLvl w:val="0"/>
    </w:pPr>
    <w:rPr>
      <w:rFonts w:ascii="Times New Roman" w:hAnsi="Times New Roman"/>
      <w:b/>
      <w:bCs/>
      <w:smallCaps/>
      <w:noProof/>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Car,nota,pie,independiente,Letrero,margen,footnote,fn Car Car,fn Car Car Car Car Car Car"/>
    <w:basedOn w:val="Normal"/>
    <w:link w:val="FootnoteTextChar"/>
    <w:uiPriority w:val="99"/>
    <w:unhideWhenUsed/>
    <w:rsid w:val="00902F77"/>
    <w:pPr>
      <w:spacing w:after="0" w:line="240" w:lineRule="auto"/>
    </w:pPr>
    <w:rPr>
      <w:sz w:val="24"/>
      <w:szCs w:val="24"/>
      <w:lang w:val="x-none" w:eastAsia="x-none"/>
    </w:rPr>
  </w:style>
  <w:style w:type="character" w:customStyle="1" w:styleId="FootnoteTextChar">
    <w:name w:val="Footnote Text Char"/>
    <w:aliases w:val="fn Char,Car Char,nota Char,pie Char,independiente Char,Letrero Char,margen Char,footnote Char,fn Car Car Char,fn Car Car Car Car Car Car Char"/>
    <w:link w:val="FootnoteText"/>
    <w:uiPriority w:val="99"/>
    <w:rsid w:val="00902F77"/>
    <w:rPr>
      <w:sz w:val="24"/>
      <w:szCs w:val="24"/>
    </w:rPr>
  </w:style>
  <w:style w:type="character" w:styleId="FootnoteReference">
    <w:name w:val="footnote reference"/>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CommentTextChar">
    <w:name w:val="Comment Text Char"/>
    <w:basedOn w:val="DefaultParagraphFont"/>
    <w:link w:val="CommentText"/>
    <w:uiPriority w:val="99"/>
    <w:rsid w:val="009365EC"/>
  </w:style>
  <w:style w:type="paragraph" w:styleId="CommentSubject">
    <w:name w:val="annotation subject"/>
    <w:basedOn w:val="CommentText"/>
    <w:next w:val="CommentText"/>
    <w:link w:val="CommentSubjectChar"/>
    <w:rsid w:val="009365EC"/>
    <w:rPr>
      <w:b/>
      <w:bCs/>
      <w:lang w:val="x-none" w:eastAsia="x-none"/>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1Char">
    <w:name w:val="Heading 1 Char"/>
    <w:link w:val="Heading1"/>
    <w:uiPriority w:val="9"/>
    <w:rsid w:val="007E1BE2"/>
    <w:rPr>
      <w:rFonts w:ascii="Times New Roman" w:hAnsi="Times New Roman"/>
      <w:b/>
      <w:bCs/>
      <w:smallCaps/>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30E"/>
    <w:pPr>
      <w:spacing w:after="200" w:line="276" w:lineRule="auto"/>
    </w:pPr>
    <w:rPr>
      <w:sz w:val="22"/>
      <w:szCs w:val="22"/>
    </w:rPr>
  </w:style>
  <w:style w:type="paragraph" w:styleId="Heading1">
    <w:name w:val="heading 1"/>
    <w:basedOn w:val="Normal"/>
    <w:next w:val="Normal"/>
    <w:link w:val="Heading1Char"/>
    <w:uiPriority w:val="9"/>
    <w:qFormat/>
    <w:rsid w:val="007E1BE2"/>
    <w:pPr>
      <w:keepNext/>
      <w:autoSpaceDE w:val="0"/>
      <w:autoSpaceDN w:val="0"/>
      <w:adjustRightInd w:val="0"/>
      <w:spacing w:after="0" w:line="240" w:lineRule="auto"/>
      <w:jc w:val="center"/>
      <w:outlineLvl w:val="0"/>
    </w:pPr>
    <w:rPr>
      <w:rFonts w:ascii="Times New Roman" w:hAnsi="Times New Roman"/>
      <w:b/>
      <w:bCs/>
      <w:smallCaps/>
      <w:noProof/>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Car,nota,pie,independiente,Letrero,margen,footnote,fn Car Car,fn Car Car Car Car Car Car"/>
    <w:basedOn w:val="Normal"/>
    <w:link w:val="FootnoteTextChar"/>
    <w:uiPriority w:val="99"/>
    <w:unhideWhenUsed/>
    <w:rsid w:val="00902F77"/>
    <w:pPr>
      <w:spacing w:after="0" w:line="240" w:lineRule="auto"/>
    </w:pPr>
    <w:rPr>
      <w:sz w:val="24"/>
      <w:szCs w:val="24"/>
      <w:lang w:val="x-none" w:eastAsia="x-none"/>
    </w:rPr>
  </w:style>
  <w:style w:type="character" w:customStyle="1" w:styleId="FootnoteTextChar">
    <w:name w:val="Footnote Text Char"/>
    <w:aliases w:val="fn Char,Car Char,nota Char,pie Char,independiente Char,Letrero Char,margen Char,footnote Char,fn Car Car Char,fn Car Car Car Car Car Car Char"/>
    <w:link w:val="FootnoteText"/>
    <w:uiPriority w:val="99"/>
    <w:rsid w:val="00902F77"/>
    <w:rPr>
      <w:sz w:val="24"/>
      <w:szCs w:val="24"/>
    </w:rPr>
  </w:style>
  <w:style w:type="character" w:styleId="FootnoteReference">
    <w:name w:val="footnote reference"/>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CommentTextChar">
    <w:name w:val="Comment Text Char"/>
    <w:basedOn w:val="DefaultParagraphFont"/>
    <w:link w:val="CommentText"/>
    <w:uiPriority w:val="99"/>
    <w:rsid w:val="009365EC"/>
  </w:style>
  <w:style w:type="paragraph" w:styleId="CommentSubject">
    <w:name w:val="annotation subject"/>
    <w:basedOn w:val="CommentText"/>
    <w:next w:val="CommentText"/>
    <w:link w:val="CommentSubjectChar"/>
    <w:rsid w:val="009365EC"/>
    <w:rPr>
      <w:b/>
      <w:bCs/>
      <w:lang w:val="x-none" w:eastAsia="x-none"/>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1Char">
    <w:name w:val="Heading 1 Char"/>
    <w:link w:val="Heading1"/>
    <w:uiPriority w:val="9"/>
    <w:rsid w:val="007E1BE2"/>
    <w:rPr>
      <w:rFonts w:ascii="Times New Roman" w:hAnsi="Times New Roman"/>
      <w:b/>
      <w:bCs/>
      <w:smallCap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90704">
      <w:bodyDiv w:val="1"/>
      <w:marLeft w:val="0"/>
      <w:marRight w:val="0"/>
      <w:marTop w:val="0"/>
      <w:marBottom w:val="0"/>
      <w:divBdr>
        <w:top w:val="none" w:sz="0" w:space="0" w:color="auto"/>
        <w:left w:val="none" w:sz="0" w:space="0" w:color="auto"/>
        <w:bottom w:val="none" w:sz="0" w:space="0" w:color="auto"/>
        <w:right w:val="none" w:sz="0" w:space="0" w:color="auto"/>
      </w:divBdr>
    </w:div>
    <w:div w:id="1060639088">
      <w:bodyDiv w:val="1"/>
      <w:marLeft w:val="0"/>
      <w:marRight w:val="0"/>
      <w:marTop w:val="0"/>
      <w:marBottom w:val="0"/>
      <w:divBdr>
        <w:top w:val="none" w:sz="0" w:space="0" w:color="auto"/>
        <w:left w:val="none" w:sz="0" w:space="0" w:color="auto"/>
        <w:bottom w:val="none" w:sz="0" w:space="0" w:color="auto"/>
        <w:right w:val="none" w:sz="0" w:space="0" w:color="auto"/>
      </w:divBdr>
    </w:div>
    <w:div w:id="1227766836">
      <w:bodyDiv w:val="1"/>
      <w:marLeft w:val="0"/>
      <w:marRight w:val="0"/>
      <w:marTop w:val="0"/>
      <w:marBottom w:val="0"/>
      <w:divBdr>
        <w:top w:val="none" w:sz="0" w:space="0" w:color="auto"/>
        <w:left w:val="none" w:sz="0" w:space="0" w:color="auto"/>
        <w:bottom w:val="none" w:sz="0" w:space="0" w:color="auto"/>
        <w:right w:val="none" w:sz="0" w:space="0" w:color="auto"/>
      </w:divBdr>
    </w:div>
    <w:div w:id="1293638919">
      <w:bodyDiv w:val="1"/>
      <w:marLeft w:val="0"/>
      <w:marRight w:val="0"/>
      <w:marTop w:val="0"/>
      <w:marBottom w:val="0"/>
      <w:divBdr>
        <w:top w:val="none" w:sz="0" w:space="0" w:color="auto"/>
        <w:left w:val="none" w:sz="0" w:space="0" w:color="auto"/>
        <w:bottom w:val="none" w:sz="0" w:space="0" w:color="auto"/>
        <w:right w:val="none" w:sz="0" w:space="0" w:color="auto"/>
      </w:divBdr>
    </w:div>
    <w:div w:id="1637838124">
      <w:bodyDiv w:val="1"/>
      <w:marLeft w:val="0"/>
      <w:marRight w:val="0"/>
      <w:marTop w:val="0"/>
      <w:marBottom w:val="0"/>
      <w:divBdr>
        <w:top w:val="none" w:sz="0" w:space="0" w:color="auto"/>
        <w:left w:val="none" w:sz="0" w:space="0" w:color="auto"/>
        <w:bottom w:val="none" w:sz="0" w:space="0" w:color="auto"/>
        <w:right w:val="none" w:sz="0" w:space="0" w:color="auto"/>
      </w:divBdr>
    </w:div>
    <w:div w:id="174348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6.emf"/><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customXml" Target="../customXml/item3.xml"/><Relationship Id="rId10" Type="http://schemas.openxmlformats.org/officeDocument/2006/relationships/chart" Target="charts/chart2.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cid:image001.png@01CE62BF.AE1F8560" TargetMode="External"/><Relationship Id="rId22"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rnovella\AppData\Local\Microsoft\Windows\Temporary%20Internet%20Files\Content.Outlook\32YBMKSD\rafael.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rnovella\AppData\Local\Microsoft\Windows\Temporary%20Internet%20Files\Content.Outlook\32YBMKSD\rafael.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en-US" baseline="0"/>
              <a:t>Poblaciones Grandes</a:t>
            </a:r>
            <a:endParaRPr lang="en-US"/>
          </a:p>
        </c:rich>
      </c:tx>
      <c:layout/>
      <c:overlay val="0"/>
    </c:title>
    <c:autoTitleDeleted val="0"/>
    <c:plotArea>
      <c:layout/>
      <c:lineChart>
        <c:grouping val="standard"/>
        <c:varyColors val="0"/>
        <c:ser>
          <c:idx val="0"/>
          <c:order val="0"/>
          <c:tx>
            <c:v>A 10 años</c:v>
          </c:tx>
          <c:marker>
            <c:symbol val="none"/>
          </c:marker>
          <c:cat>
            <c:numRef>
              <c:f>[rafael.xlsx]Sheet1!$A$3:$A$30</c:f>
              <c:numCache>
                <c:formatCode>General</c:formatCode>
                <c:ptCount val="28"/>
                <c:pt idx="0">
                  <c:v>2006</c:v>
                </c:pt>
                <c:pt idx="4">
                  <c:v>2007</c:v>
                </c:pt>
                <c:pt idx="8">
                  <c:v>2008</c:v>
                </c:pt>
                <c:pt idx="12">
                  <c:v>2009</c:v>
                </c:pt>
                <c:pt idx="16">
                  <c:v>2010</c:v>
                </c:pt>
                <c:pt idx="20">
                  <c:v>2011</c:v>
                </c:pt>
                <c:pt idx="24">
                  <c:v>2012</c:v>
                </c:pt>
              </c:numCache>
            </c:numRef>
          </c:cat>
          <c:val>
            <c:numRef>
              <c:f>[rafael.xlsx]Sheet1!$E$3:$E$30</c:f>
              <c:numCache>
                <c:formatCode>General</c:formatCode>
                <c:ptCount val="28"/>
                <c:pt idx="0">
                  <c:v>0.98981260000000004</c:v>
                </c:pt>
                <c:pt idx="1">
                  <c:v>0.99164269999999999</c:v>
                </c:pt>
                <c:pt idx="2">
                  <c:v>0.98967830000000001</c:v>
                </c:pt>
                <c:pt idx="3">
                  <c:v>0.99236440000000004</c:v>
                </c:pt>
                <c:pt idx="4">
                  <c:v>0.99068029999999996</c:v>
                </c:pt>
                <c:pt idx="5">
                  <c:v>0.98933910000000003</c:v>
                </c:pt>
                <c:pt idx="6">
                  <c:v>0.99185060000000003</c:v>
                </c:pt>
                <c:pt idx="7">
                  <c:v>0.99531849999999999</c:v>
                </c:pt>
                <c:pt idx="8">
                  <c:v>0.99149480000000001</c:v>
                </c:pt>
                <c:pt idx="9">
                  <c:v>0.98712060000000001</c:v>
                </c:pt>
                <c:pt idx="10">
                  <c:v>0.99044500000000002</c:v>
                </c:pt>
                <c:pt idx="11">
                  <c:v>0.99164909999999995</c:v>
                </c:pt>
                <c:pt idx="12">
                  <c:v>0.99180029999999997</c:v>
                </c:pt>
                <c:pt idx="13">
                  <c:v>0.99074010000000001</c:v>
                </c:pt>
                <c:pt idx="14">
                  <c:v>0.98986980000000002</c:v>
                </c:pt>
                <c:pt idx="15">
                  <c:v>0.99454969999999998</c:v>
                </c:pt>
                <c:pt idx="16">
                  <c:v>0.99468769999999995</c:v>
                </c:pt>
                <c:pt idx="17">
                  <c:v>0.98905790000000005</c:v>
                </c:pt>
                <c:pt idx="18">
                  <c:v>0.99006499999999997</c:v>
                </c:pt>
                <c:pt idx="19">
                  <c:v>0.98983739999999998</c:v>
                </c:pt>
                <c:pt idx="20">
                  <c:v>0.98908419999999997</c:v>
                </c:pt>
                <c:pt idx="21">
                  <c:v>0.9879348</c:v>
                </c:pt>
                <c:pt idx="22">
                  <c:v>0.99490080000000003</c:v>
                </c:pt>
                <c:pt idx="23">
                  <c:v>0.9938612</c:v>
                </c:pt>
                <c:pt idx="24">
                  <c:v>0.99296850000000003</c:v>
                </c:pt>
                <c:pt idx="25">
                  <c:v>0.99123470000000002</c:v>
                </c:pt>
                <c:pt idx="26">
                  <c:v>0.99255090000000001</c:v>
                </c:pt>
                <c:pt idx="27">
                  <c:v>0.99187309999999995</c:v>
                </c:pt>
              </c:numCache>
            </c:numRef>
          </c:val>
          <c:smooth val="0"/>
        </c:ser>
        <c:ser>
          <c:idx val="1"/>
          <c:order val="1"/>
          <c:tx>
            <c:v>A 15 años</c:v>
          </c:tx>
          <c:marker>
            <c:symbol val="none"/>
          </c:marker>
          <c:cat>
            <c:numRef>
              <c:f>[rafael.xlsx]Sheet1!$A$3:$A$30</c:f>
              <c:numCache>
                <c:formatCode>General</c:formatCode>
                <c:ptCount val="28"/>
                <c:pt idx="0">
                  <c:v>2006</c:v>
                </c:pt>
                <c:pt idx="4">
                  <c:v>2007</c:v>
                </c:pt>
                <c:pt idx="8">
                  <c:v>2008</c:v>
                </c:pt>
                <c:pt idx="12">
                  <c:v>2009</c:v>
                </c:pt>
                <c:pt idx="16">
                  <c:v>2010</c:v>
                </c:pt>
                <c:pt idx="20">
                  <c:v>2011</c:v>
                </c:pt>
                <c:pt idx="24">
                  <c:v>2012</c:v>
                </c:pt>
              </c:numCache>
            </c:numRef>
          </c:cat>
          <c:val>
            <c:numRef>
              <c:f>[rafael.xlsx]Sheet1!$F$3:$F$30</c:f>
              <c:numCache>
                <c:formatCode>General</c:formatCode>
                <c:ptCount val="28"/>
                <c:pt idx="0">
                  <c:v>0.84189890000000001</c:v>
                </c:pt>
                <c:pt idx="1">
                  <c:v>0.85404789999999997</c:v>
                </c:pt>
                <c:pt idx="2">
                  <c:v>0.85026570000000001</c:v>
                </c:pt>
                <c:pt idx="3">
                  <c:v>0.83079460000000005</c:v>
                </c:pt>
                <c:pt idx="4">
                  <c:v>0.83977400000000002</c:v>
                </c:pt>
                <c:pt idx="5">
                  <c:v>0.85398189999999996</c:v>
                </c:pt>
                <c:pt idx="6">
                  <c:v>0.85684800000000005</c:v>
                </c:pt>
                <c:pt idx="7">
                  <c:v>0.84570920000000005</c:v>
                </c:pt>
                <c:pt idx="8">
                  <c:v>0.84813119999999997</c:v>
                </c:pt>
                <c:pt idx="9">
                  <c:v>0.84991320000000004</c:v>
                </c:pt>
                <c:pt idx="10">
                  <c:v>0.86512460000000002</c:v>
                </c:pt>
                <c:pt idx="11">
                  <c:v>0.84394290000000005</c:v>
                </c:pt>
                <c:pt idx="12">
                  <c:v>0.86011979999999999</c:v>
                </c:pt>
                <c:pt idx="13">
                  <c:v>0.87883069999999996</c:v>
                </c:pt>
                <c:pt idx="14">
                  <c:v>0.86987250000000005</c:v>
                </c:pt>
                <c:pt idx="15">
                  <c:v>0.85143829999999998</c:v>
                </c:pt>
                <c:pt idx="16">
                  <c:v>0.86565740000000002</c:v>
                </c:pt>
                <c:pt idx="17">
                  <c:v>0.87691889999999995</c:v>
                </c:pt>
                <c:pt idx="18">
                  <c:v>0.85897389999999996</c:v>
                </c:pt>
                <c:pt idx="19">
                  <c:v>0.84836</c:v>
                </c:pt>
                <c:pt idx="20">
                  <c:v>0.86725490000000005</c:v>
                </c:pt>
                <c:pt idx="21">
                  <c:v>0.8868549</c:v>
                </c:pt>
                <c:pt idx="22">
                  <c:v>0.87671359999999998</c:v>
                </c:pt>
                <c:pt idx="23">
                  <c:v>0.86771929999999997</c:v>
                </c:pt>
                <c:pt idx="24">
                  <c:v>0.85809559999999996</c:v>
                </c:pt>
                <c:pt idx="25">
                  <c:v>0.87012670000000003</c:v>
                </c:pt>
                <c:pt idx="26">
                  <c:v>0.88102230000000004</c:v>
                </c:pt>
                <c:pt idx="27">
                  <c:v>0.88793129999999998</c:v>
                </c:pt>
              </c:numCache>
            </c:numRef>
          </c:val>
          <c:smooth val="0"/>
        </c:ser>
        <c:ser>
          <c:idx val="2"/>
          <c:order val="2"/>
          <c:tx>
            <c:v>A 20 años</c:v>
          </c:tx>
          <c:marker>
            <c:symbol val="none"/>
          </c:marker>
          <c:cat>
            <c:numRef>
              <c:f>[rafael.xlsx]Sheet1!$A$3:$A$30</c:f>
              <c:numCache>
                <c:formatCode>General</c:formatCode>
                <c:ptCount val="28"/>
                <c:pt idx="0">
                  <c:v>2006</c:v>
                </c:pt>
                <c:pt idx="4">
                  <c:v>2007</c:v>
                </c:pt>
                <c:pt idx="8">
                  <c:v>2008</c:v>
                </c:pt>
                <c:pt idx="12">
                  <c:v>2009</c:v>
                </c:pt>
                <c:pt idx="16">
                  <c:v>2010</c:v>
                </c:pt>
                <c:pt idx="20">
                  <c:v>2011</c:v>
                </c:pt>
                <c:pt idx="24">
                  <c:v>2012</c:v>
                </c:pt>
              </c:numCache>
            </c:numRef>
          </c:cat>
          <c:val>
            <c:numRef>
              <c:f>[rafael.xlsx]Sheet1!$G$3:$G$30</c:f>
              <c:numCache>
                <c:formatCode>General</c:formatCode>
                <c:ptCount val="28"/>
                <c:pt idx="0">
                  <c:v>0.4829949</c:v>
                </c:pt>
                <c:pt idx="1">
                  <c:v>0.46477469999999999</c:v>
                </c:pt>
                <c:pt idx="2">
                  <c:v>0.46594029999999997</c:v>
                </c:pt>
                <c:pt idx="3">
                  <c:v>0.45257829999999999</c:v>
                </c:pt>
                <c:pt idx="4">
                  <c:v>0.44436059999999999</c:v>
                </c:pt>
                <c:pt idx="5">
                  <c:v>0.43800359999999999</c:v>
                </c:pt>
                <c:pt idx="6">
                  <c:v>0.42989309999999997</c:v>
                </c:pt>
                <c:pt idx="7">
                  <c:v>0.45496399999999998</c:v>
                </c:pt>
                <c:pt idx="8">
                  <c:v>0.4488297</c:v>
                </c:pt>
                <c:pt idx="9">
                  <c:v>0.45868049999999999</c:v>
                </c:pt>
                <c:pt idx="10">
                  <c:v>0.4337664</c:v>
                </c:pt>
                <c:pt idx="11">
                  <c:v>0.4538297</c:v>
                </c:pt>
                <c:pt idx="12">
                  <c:v>0.46018589999999998</c:v>
                </c:pt>
                <c:pt idx="13">
                  <c:v>0.45548620000000001</c:v>
                </c:pt>
                <c:pt idx="14">
                  <c:v>0.46164359999999999</c:v>
                </c:pt>
                <c:pt idx="15">
                  <c:v>0.4600417</c:v>
                </c:pt>
                <c:pt idx="16">
                  <c:v>0.47570780000000001</c:v>
                </c:pt>
                <c:pt idx="17">
                  <c:v>0.47152620000000001</c:v>
                </c:pt>
                <c:pt idx="18">
                  <c:v>0.46898990000000002</c:v>
                </c:pt>
                <c:pt idx="19">
                  <c:v>0.46024720000000002</c:v>
                </c:pt>
                <c:pt idx="20">
                  <c:v>0.46599659999999998</c:v>
                </c:pt>
                <c:pt idx="21">
                  <c:v>0.48858479999999999</c:v>
                </c:pt>
                <c:pt idx="22">
                  <c:v>0.53004280000000004</c:v>
                </c:pt>
                <c:pt idx="23">
                  <c:v>0.48858889999999999</c:v>
                </c:pt>
                <c:pt idx="24">
                  <c:v>0.4928477</c:v>
                </c:pt>
                <c:pt idx="25">
                  <c:v>0.48769499999999999</c:v>
                </c:pt>
                <c:pt idx="26">
                  <c:v>0.46320040000000001</c:v>
                </c:pt>
                <c:pt idx="27">
                  <c:v>0.46498390000000001</c:v>
                </c:pt>
              </c:numCache>
            </c:numRef>
          </c:val>
          <c:smooth val="0"/>
        </c:ser>
        <c:dLbls>
          <c:showLegendKey val="0"/>
          <c:showVal val="0"/>
          <c:showCatName val="0"/>
          <c:showSerName val="0"/>
          <c:showPercent val="0"/>
          <c:showBubbleSize val="0"/>
        </c:dLbls>
        <c:marker val="1"/>
        <c:smooth val="0"/>
        <c:axId val="70331776"/>
        <c:axId val="70341760"/>
      </c:lineChart>
      <c:catAx>
        <c:axId val="70331776"/>
        <c:scaling>
          <c:orientation val="minMax"/>
        </c:scaling>
        <c:delete val="0"/>
        <c:axPos val="b"/>
        <c:numFmt formatCode="General" sourceLinked="1"/>
        <c:majorTickMark val="none"/>
        <c:minorTickMark val="none"/>
        <c:tickLblPos val="nextTo"/>
        <c:crossAx val="70341760"/>
        <c:crosses val="autoZero"/>
        <c:auto val="1"/>
        <c:lblAlgn val="ctr"/>
        <c:lblOffset val="100"/>
        <c:noMultiLvlLbl val="0"/>
      </c:catAx>
      <c:valAx>
        <c:axId val="70341760"/>
        <c:scaling>
          <c:orientation val="minMax"/>
          <c:max val="1"/>
        </c:scaling>
        <c:delete val="0"/>
        <c:axPos val="l"/>
        <c:majorGridlines/>
        <c:title>
          <c:tx>
            <c:rich>
              <a:bodyPr/>
              <a:lstStyle/>
              <a:p>
                <a:pPr>
                  <a:defRPr/>
                </a:pPr>
                <a:r>
                  <a:rPr lang="en-US"/>
                  <a:t>PORCENTAJE</a:t>
                </a:r>
              </a:p>
            </c:rich>
          </c:tx>
          <c:layout/>
          <c:overlay val="0"/>
        </c:title>
        <c:numFmt formatCode="General" sourceLinked="1"/>
        <c:majorTickMark val="none"/>
        <c:minorTickMark val="none"/>
        <c:tickLblPos val="nextTo"/>
        <c:crossAx val="7033177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en-US"/>
              <a:t>Poblaciones Pequeñas</a:t>
            </a:r>
          </a:p>
        </c:rich>
      </c:tx>
      <c:layout/>
      <c:overlay val="0"/>
    </c:title>
    <c:autoTitleDeleted val="0"/>
    <c:plotArea>
      <c:layout/>
      <c:lineChart>
        <c:grouping val="standard"/>
        <c:varyColors val="0"/>
        <c:ser>
          <c:idx val="0"/>
          <c:order val="0"/>
          <c:tx>
            <c:v>A 10 años</c:v>
          </c:tx>
          <c:marker>
            <c:symbol val="none"/>
          </c:marker>
          <c:cat>
            <c:numRef>
              <c:f>[rafael.xlsx]Sheet1!$A$3:$A$30</c:f>
              <c:numCache>
                <c:formatCode>General</c:formatCode>
                <c:ptCount val="28"/>
                <c:pt idx="0">
                  <c:v>2006</c:v>
                </c:pt>
                <c:pt idx="4">
                  <c:v>2007</c:v>
                </c:pt>
                <c:pt idx="8">
                  <c:v>2008</c:v>
                </c:pt>
                <c:pt idx="12">
                  <c:v>2009</c:v>
                </c:pt>
                <c:pt idx="16">
                  <c:v>2010</c:v>
                </c:pt>
                <c:pt idx="20">
                  <c:v>2011</c:v>
                </c:pt>
                <c:pt idx="24">
                  <c:v>2012</c:v>
                </c:pt>
              </c:numCache>
            </c:numRef>
          </c:cat>
          <c:val>
            <c:numRef>
              <c:f>[rafael.xlsx]Sheet1!$H$3:$H$30</c:f>
              <c:numCache>
                <c:formatCode>General</c:formatCode>
                <c:ptCount val="28"/>
                <c:pt idx="0">
                  <c:v>0.97671359999999996</c:v>
                </c:pt>
                <c:pt idx="1">
                  <c:v>0.9786222</c:v>
                </c:pt>
                <c:pt idx="2">
                  <c:v>0.98674879999999998</c:v>
                </c:pt>
                <c:pt idx="3">
                  <c:v>0.98099360000000002</c:v>
                </c:pt>
                <c:pt idx="4">
                  <c:v>0.97947269999999997</c:v>
                </c:pt>
                <c:pt idx="5">
                  <c:v>0.97282179999999996</c:v>
                </c:pt>
                <c:pt idx="6">
                  <c:v>0.97698660000000004</c:v>
                </c:pt>
                <c:pt idx="7">
                  <c:v>0.97684369999999998</c:v>
                </c:pt>
                <c:pt idx="8">
                  <c:v>0.97342879999999998</c:v>
                </c:pt>
                <c:pt idx="9">
                  <c:v>0.97527520000000001</c:v>
                </c:pt>
                <c:pt idx="10">
                  <c:v>0.98698399999999997</c:v>
                </c:pt>
                <c:pt idx="11">
                  <c:v>0.98091269999999997</c:v>
                </c:pt>
                <c:pt idx="12">
                  <c:v>0.97561410000000004</c:v>
                </c:pt>
                <c:pt idx="13">
                  <c:v>0.97668509999999997</c:v>
                </c:pt>
                <c:pt idx="14">
                  <c:v>0.98117529999999997</c:v>
                </c:pt>
                <c:pt idx="15">
                  <c:v>0.9847072</c:v>
                </c:pt>
                <c:pt idx="16">
                  <c:v>0.98467459999999996</c:v>
                </c:pt>
                <c:pt idx="17">
                  <c:v>0.98341009999999995</c:v>
                </c:pt>
                <c:pt idx="18">
                  <c:v>0.98694780000000004</c:v>
                </c:pt>
                <c:pt idx="19">
                  <c:v>0.98119889999999998</c:v>
                </c:pt>
                <c:pt idx="20">
                  <c:v>0.98672309999999996</c:v>
                </c:pt>
                <c:pt idx="21">
                  <c:v>0.98901459999999997</c:v>
                </c:pt>
                <c:pt idx="22">
                  <c:v>0.9855062</c:v>
                </c:pt>
                <c:pt idx="23">
                  <c:v>0.99056180000000005</c:v>
                </c:pt>
                <c:pt idx="24">
                  <c:v>0.98568739999999999</c:v>
                </c:pt>
                <c:pt idx="25">
                  <c:v>0.98726550000000002</c:v>
                </c:pt>
                <c:pt idx="26">
                  <c:v>0.98270709999999994</c:v>
                </c:pt>
                <c:pt idx="27">
                  <c:v>0.9882592</c:v>
                </c:pt>
              </c:numCache>
            </c:numRef>
          </c:val>
          <c:smooth val="0"/>
        </c:ser>
        <c:ser>
          <c:idx val="1"/>
          <c:order val="1"/>
          <c:tx>
            <c:v>A 15 años</c:v>
          </c:tx>
          <c:marker>
            <c:symbol val="none"/>
          </c:marker>
          <c:cat>
            <c:numRef>
              <c:f>[rafael.xlsx]Sheet1!$A$3:$A$30</c:f>
              <c:numCache>
                <c:formatCode>General</c:formatCode>
                <c:ptCount val="28"/>
                <c:pt idx="0">
                  <c:v>2006</c:v>
                </c:pt>
                <c:pt idx="4">
                  <c:v>2007</c:v>
                </c:pt>
                <c:pt idx="8">
                  <c:v>2008</c:v>
                </c:pt>
                <c:pt idx="12">
                  <c:v>2009</c:v>
                </c:pt>
                <c:pt idx="16">
                  <c:v>2010</c:v>
                </c:pt>
                <c:pt idx="20">
                  <c:v>2011</c:v>
                </c:pt>
                <c:pt idx="24">
                  <c:v>2012</c:v>
                </c:pt>
              </c:numCache>
            </c:numRef>
          </c:cat>
          <c:val>
            <c:numRef>
              <c:f>[rafael.xlsx]Sheet1!$I$3:$I$30</c:f>
              <c:numCache>
                <c:formatCode>General</c:formatCode>
                <c:ptCount val="28"/>
                <c:pt idx="0">
                  <c:v>0.64227080000000003</c:v>
                </c:pt>
                <c:pt idx="1">
                  <c:v>0.65726989999999996</c:v>
                </c:pt>
                <c:pt idx="2">
                  <c:v>0.64342739999999998</c:v>
                </c:pt>
                <c:pt idx="3">
                  <c:v>0.65100279999999999</c:v>
                </c:pt>
                <c:pt idx="4">
                  <c:v>0.67131160000000001</c:v>
                </c:pt>
                <c:pt idx="5">
                  <c:v>0.70713380000000003</c:v>
                </c:pt>
                <c:pt idx="6">
                  <c:v>0.67013250000000002</c:v>
                </c:pt>
                <c:pt idx="7">
                  <c:v>0.63202950000000002</c:v>
                </c:pt>
                <c:pt idx="8">
                  <c:v>0.66512990000000005</c:v>
                </c:pt>
                <c:pt idx="9">
                  <c:v>0.69021949999999999</c:v>
                </c:pt>
                <c:pt idx="10">
                  <c:v>0.67152210000000001</c:v>
                </c:pt>
                <c:pt idx="11">
                  <c:v>0.65360280000000004</c:v>
                </c:pt>
                <c:pt idx="12">
                  <c:v>0.68999520000000003</c:v>
                </c:pt>
                <c:pt idx="13">
                  <c:v>0.72384950000000003</c:v>
                </c:pt>
                <c:pt idx="14">
                  <c:v>0.71886969999999994</c:v>
                </c:pt>
                <c:pt idx="15">
                  <c:v>0.68037060000000005</c:v>
                </c:pt>
                <c:pt idx="16">
                  <c:v>0.69694929999999999</c:v>
                </c:pt>
                <c:pt idx="17">
                  <c:v>0.73041929999999999</c:v>
                </c:pt>
                <c:pt idx="18">
                  <c:v>0.70485319999999996</c:v>
                </c:pt>
                <c:pt idx="19">
                  <c:v>0.6802781</c:v>
                </c:pt>
                <c:pt idx="20">
                  <c:v>0.70771410000000001</c:v>
                </c:pt>
                <c:pt idx="21">
                  <c:v>0.71692350000000005</c:v>
                </c:pt>
                <c:pt idx="22">
                  <c:v>0.70420839999999996</c:v>
                </c:pt>
                <c:pt idx="23">
                  <c:v>0.68833719999999998</c:v>
                </c:pt>
                <c:pt idx="24">
                  <c:v>0.70769179999999998</c:v>
                </c:pt>
                <c:pt idx="25">
                  <c:v>0.73600370000000004</c:v>
                </c:pt>
                <c:pt idx="26">
                  <c:v>0.72715160000000001</c:v>
                </c:pt>
                <c:pt idx="27">
                  <c:v>0.74567859999999997</c:v>
                </c:pt>
              </c:numCache>
            </c:numRef>
          </c:val>
          <c:smooth val="0"/>
        </c:ser>
        <c:ser>
          <c:idx val="2"/>
          <c:order val="2"/>
          <c:tx>
            <c:v>A 20 años</c:v>
          </c:tx>
          <c:marker>
            <c:symbol val="none"/>
          </c:marker>
          <c:cat>
            <c:numRef>
              <c:f>[rafael.xlsx]Sheet1!$A$3:$A$30</c:f>
              <c:numCache>
                <c:formatCode>General</c:formatCode>
                <c:ptCount val="28"/>
                <c:pt idx="0">
                  <c:v>2006</c:v>
                </c:pt>
                <c:pt idx="4">
                  <c:v>2007</c:v>
                </c:pt>
                <c:pt idx="8">
                  <c:v>2008</c:v>
                </c:pt>
                <c:pt idx="12">
                  <c:v>2009</c:v>
                </c:pt>
                <c:pt idx="16">
                  <c:v>2010</c:v>
                </c:pt>
                <c:pt idx="20">
                  <c:v>2011</c:v>
                </c:pt>
                <c:pt idx="24">
                  <c:v>2012</c:v>
                </c:pt>
              </c:numCache>
            </c:numRef>
          </c:cat>
          <c:val>
            <c:numRef>
              <c:f>[rafael.xlsx]Sheet1!$J$3:$J$30</c:f>
              <c:numCache>
                <c:formatCode>General</c:formatCode>
                <c:ptCount val="28"/>
                <c:pt idx="0">
                  <c:v>0.14532690000000001</c:v>
                </c:pt>
                <c:pt idx="1">
                  <c:v>0.16058620000000001</c:v>
                </c:pt>
                <c:pt idx="2">
                  <c:v>0.14193259999999999</c:v>
                </c:pt>
                <c:pt idx="3">
                  <c:v>0.14354829999999999</c:v>
                </c:pt>
                <c:pt idx="4">
                  <c:v>0.14465610000000001</c:v>
                </c:pt>
                <c:pt idx="5">
                  <c:v>0.1454772</c:v>
                </c:pt>
                <c:pt idx="6">
                  <c:v>0.14550260000000001</c:v>
                </c:pt>
                <c:pt idx="7">
                  <c:v>0.15732570000000001</c:v>
                </c:pt>
                <c:pt idx="8">
                  <c:v>0.14100889999999999</c:v>
                </c:pt>
                <c:pt idx="9">
                  <c:v>0.14787230000000001</c:v>
                </c:pt>
                <c:pt idx="10">
                  <c:v>0.14376169999999999</c:v>
                </c:pt>
                <c:pt idx="11">
                  <c:v>0.15472369999999999</c:v>
                </c:pt>
                <c:pt idx="12">
                  <c:v>0.1554027</c:v>
                </c:pt>
                <c:pt idx="13">
                  <c:v>0.1804366</c:v>
                </c:pt>
                <c:pt idx="14">
                  <c:v>0.15053050000000001</c:v>
                </c:pt>
                <c:pt idx="15">
                  <c:v>0.15154509999999999</c:v>
                </c:pt>
                <c:pt idx="16">
                  <c:v>0.14274619999999999</c:v>
                </c:pt>
                <c:pt idx="17">
                  <c:v>0.1395188</c:v>
                </c:pt>
                <c:pt idx="18">
                  <c:v>0.1516827</c:v>
                </c:pt>
                <c:pt idx="19">
                  <c:v>0.13941049999999999</c:v>
                </c:pt>
                <c:pt idx="20">
                  <c:v>0.14596339999999999</c:v>
                </c:pt>
                <c:pt idx="21">
                  <c:v>0.15578349999999999</c:v>
                </c:pt>
                <c:pt idx="22">
                  <c:v>0.1661147</c:v>
                </c:pt>
                <c:pt idx="23">
                  <c:v>0.17496970000000001</c:v>
                </c:pt>
                <c:pt idx="24">
                  <c:v>0.1545424</c:v>
                </c:pt>
                <c:pt idx="25">
                  <c:v>0.14906030000000001</c:v>
                </c:pt>
                <c:pt idx="26">
                  <c:v>0.15896969999999999</c:v>
                </c:pt>
                <c:pt idx="27">
                  <c:v>0.1704686</c:v>
                </c:pt>
              </c:numCache>
            </c:numRef>
          </c:val>
          <c:smooth val="0"/>
        </c:ser>
        <c:dLbls>
          <c:showLegendKey val="0"/>
          <c:showVal val="0"/>
          <c:showCatName val="0"/>
          <c:showSerName val="0"/>
          <c:showPercent val="0"/>
          <c:showBubbleSize val="0"/>
        </c:dLbls>
        <c:marker val="1"/>
        <c:smooth val="0"/>
        <c:axId val="70380544"/>
        <c:axId val="70914816"/>
      </c:lineChart>
      <c:catAx>
        <c:axId val="70380544"/>
        <c:scaling>
          <c:orientation val="minMax"/>
        </c:scaling>
        <c:delete val="0"/>
        <c:axPos val="b"/>
        <c:numFmt formatCode="General" sourceLinked="1"/>
        <c:majorTickMark val="none"/>
        <c:minorTickMark val="none"/>
        <c:tickLblPos val="nextTo"/>
        <c:crossAx val="70914816"/>
        <c:crosses val="autoZero"/>
        <c:auto val="1"/>
        <c:lblAlgn val="ctr"/>
        <c:lblOffset val="100"/>
        <c:noMultiLvlLbl val="0"/>
      </c:catAx>
      <c:valAx>
        <c:axId val="70914816"/>
        <c:scaling>
          <c:orientation val="minMax"/>
          <c:max val="1"/>
        </c:scaling>
        <c:delete val="0"/>
        <c:axPos val="l"/>
        <c:majorGridlines/>
        <c:title>
          <c:tx>
            <c:rich>
              <a:bodyPr/>
              <a:lstStyle/>
              <a:p>
                <a:pPr>
                  <a:defRPr/>
                </a:pPr>
                <a:r>
                  <a:rPr lang="en-US"/>
                  <a:t>PORCENTAJE</a:t>
                </a:r>
              </a:p>
            </c:rich>
          </c:tx>
          <c:layout/>
          <c:overlay val="0"/>
        </c:title>
        <c:numFmt formatCode="General" sourceLinked="1"/>
        <c:majorTickMark val="none"/>
        <c:minorTickMark val="none"/>
        <c:tickLblPos val="nextTo"/>
        <c:crossAx val="70380544"/>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FD364311FDE8A4CB0878E21BE7C8AC3" ma:contentTypeVersion="0" ma:contentTypeDescription="A content type to manage public (operations) IDB documents" ma:contentTypeScope="" ma:versionID="ea9df1161bc27f7f17d7c1b18370fc50">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37816055</IDBDocs_x0020_Number>
    <Document_x0020_Author xmlns="9c571b2f-e523-4ab2-ba2e-09e151a03ef4">Araujo, Maria Caridad</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F682168-E8B2-4201-8C4E-CBA7ED27CAD2}"/>
</file>

<file path=customXml/itemProps2.xml><?xml version="1.0" encoding="utf-8"?>
<ds:datastoreItem xmlns:ds="http://schemas.openxmlformats.org/officeDocument/2006/customXml" ds:itemID="{C556B6BE-7D7C-497D-8C53-918615DFE569}"/>
</file>

<file path=customXml/itemProps3.xml><?xml version="1.0" encoding="utf-8"?>
<ds:datastoreItem xmlns:ds="http://schemas.openxmlformats.org/officeDocument/2006/customXml" ds:itemID="{A13878F7-7C34-4A00-830D-7F983E0DF467}"/>
</file>

<file path=customXml/itemProps4.xml><?xml version="1.0" encoding="utf-8"?>
<ds:datastoreItem xmlns:ds="http://schemas.openxmlformats.org/officeDocument/2006/customXml" ds:itemID="{8ADBCC28-E96F-4CCE-8159-9F80FDF3CCB2}"/>
</file>

<file path=customXml/itemProps5.xml><?xml version="1.0" encoding="utf-8"?>
<ds:datastoreItem xmlns:ds="http://schemas.openxmlformats.org/officeDocument/2006/customXml" ds:itemID="{7D5A0E3F-B910-4C89-B81A-4D7E69A3CD23}"/>
</file>

<file path=customXml/itemProps6.xml><?xml version="1.0" encoding="utf-8"?>
<ds:datastoreItem xmlns:ds="http://schemas.openxmlformats.org/officeDocument/2006/customXml" ds:itemID="{8D2733F2-F0B1-4CC0-AEAB-DE36C020616B}"/>
</file>

<file path=docProps/app.xml><?xml version="1.0" encoding="utf-8"?>
<Properties xmlns="http://schemas.openxmlformats.org/officeDocument/2006/extended-properties" xmlns:vt="http://schemas.openxmlformats.org/officeDocument/2006/docPropsVTypes">
  <Template>Normal.dotm</Template>
  <TotalTime>0</TotalTime>
  <Pages>28</Pages>
  <Words>9758</Words>
  <Characters>55624</Characters>
  <Application>Microsoft Office Word</Application>
  <DocSecurity>4</DocSecurity>
  <Lines>463</Lines>
  <Paragraphs>130</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65252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Analisis Economico</dc:title>
  <dc:creator>shakirahc</dc:creator>
  <cp:lastModifiedBy>Inter-American Development Bank</cp:lastModifiedBy>
  <cp:revision>2</cp:revision>
  <cp:lastPrinted>2013-06-07T17:57:00Z</cp:lastPrinted>
  <dcterms:created xsi:type="dcterms:W3CDTF">2013-06-26T14:23:00Z</dcterms:created>
  <dcterms:modified xsi:type="dcterms:W3CDTF">2013-06-26T14:23:00Z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0x01010046CF21643EE8D14686A648AA6DAD089200EFD364311FDE8A4CB0878E21BE7C8AC3</vt:lpwstr>
  </property>
  <property fmtid="{D5CDD505-2E9C-101B-9397-08002B2CF9AE}" pid="9" name="TaxKeywordTaxHTField">
    <vt:lpwstr/>
  </property>
  <property fmtid="{D5CDD505-2E9C-101B-9397-08002B2CF9AE}" pid="10" name="Series Operations IDB">
    <vt:lpwstr>7;#Unclassified|a6dff32e-d477-44cd-a56b-85efe9e0a56c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7;#Unclassified|a6dff32e-d477-44cd-a56b-85efe9e0a56c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8;#IDBDocs|cca77002-e150-4b2d-ab1f-1d7a7cdcae16</vt:lpwstr>
  </property>
</Properties>
</file>