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7A" w:rsidRPr="00227C44" w:rsidRDefault="00E9527A" w:rsidP="00E9527A">
      <w:pPr>
        <w:rPr>
          <w:b/>
          <w:lang w:val="es-ES"/>
        </w:rPr>
      </w:pPr>
      <w:r>
        <w:rPr>
          <w:b/>
          <w:lang w:val="es-ES"/>
        </w:rPr>
        <w:t>Anexo II</w:t>
      </w:r>
      <w:bookmarkStart w:id="0" w:name="_GoBack"/>
      <w:bookmarkEnd w:id="0"/>
      <w:r w:rsidRPr="00F358DC">
        <w:rPr>
          <w:b/>
          <w:lang w:val="es-ES"/>
        </w:rPr>
        <w:t>. Resumen de los Términos de Referencia para la TC RG-T2258</w:t>
      </w:r>
    </w:p>
    <w:tbl>
      <w:tblPr>
        <w:tblW w:w="13174" w:type="dxa"/>
        <w:jc w:val="center"/>
        <w:tblInd w:w="-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1840"/>
        <w:gridCol w:w="2764"/>
        <w:gridCol w:w="2816"/>
        <w:gridCol w:w="2160"/>
        <w:gridCol w:w="1727"/>
      </w:tblGrid>
      <w:tr w:rsidR="00E9527A" w:rsidRPr="00E85A5F" w:rsidTr="001415A0">
        <w:trPr>
          <w:trHeight w:val="665"/>
          <w:jc w:val="center"/>
        </w:trPr>
        <w:tc>
          <w:tcPr>
            <w:tcW w:w="1867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Subc</w:t>
            </w: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omponente / Actividad</w:t>
            </w:r>
          </w:p>
        </w:tc>
        <w:tc>
          <w:tcPr>
            <w:tcW w:w="1840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Antecedentes</w:t>
            </w:r>
          </w:p>
        </w:tc>
        <w:tc>
          <w:tcPr>
            <w:tcW w:w="2764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Objetivo</w:t>
            </w:r>
          </w:p>
        </w:tc>
        <w:tc>
          <w:tcPr>
            <w:tcW w:w="2816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 xml:space="preserve">Tipo de contrato, plazos, criterio de selección 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Actividades</w:t>
            </w:r>
          </w:p>
        </w:tc>
        <w:tc>
          <w:tcPr>
            <w:tcW w:w="1727" w:type="dxa"/>
            <w:shd w:val="clear" w:color="auto" w:fill="DBE5F1" w:themeFill="accent1" w:themeFillTint="33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</w:pPr>
            <w:r w:rsidRPr="00227C44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ES"/>
              </w:rPr>
              <w:t>Productos</w:t>
            </w:r>
          </w:p>
        </w:tc>
      </w:tr>
      <w:tr w:rsidR="00E9527A" w:rsidRPr="000D6C5C" w:rsidTr="001415A0">
        <w:trPr>
          <w:jc w:val="center"/>
        </w:trPr>
        <w:tc>
          <w:tcPr>
            <w:tcW w:w="1867" w:type="dxa"/>
            <w:vMerge w:val="restart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1.1 Trabajo de investigación: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Mapeo de las funciones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 e Informe de Diagnóstico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</w:t>
            </w: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40" w:type="dxa"/>
            <w:vMerge w:val="restart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El objetivo de este subcomponente es identificar, estudiar en detalle y sistematizar conocimiento e información sobre las funciones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LAC.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B45C03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_tradnl"/>
              </w:rPr>
            </w:pPr>
          </w:p>
        </w:tc>
        <w:tc>
          <w:tcPr>
            <w:tcW w:w="2764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Analizar y sistematizar  la literatura existente, lograr un mapeo de las funciones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los países de LAC, tanto de sus aspectos de derecho (marco legal formal) como de hecho, para entender el contexto en cada país en detalle; identificar exactamente los clientes potenciales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y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identificar posibles </w:t>
            </w:r>
            <w:proofErr w:type="spellStart"/>
            <w:r w:rsidRPr="00FC08C5">
              <w:rPr>
                <w:rFonts w:ascii="Arial Narrow" w:hAnsi="Arial Narrow"/>
                <w:i/>
                <w:color w:val="000000" w:themeColor="text1"/>
                <w:sz w:val="16"/>
                <w:szCs w:val="16"/>
                <w:lang w:val="es-ES"/>
              </w:rPr>
              <w:t>champions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para la Red en cada país e identificar áreas con mayor demanda para el apoyo del Banco.</w:t>
            </w:r>
          </w:p>
        </w:tc>
        <w:tc>
          <w:tcPr>
            <w:tcW w:w="2816" w:type="dxa"/>
          </w:tcPr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es</w:t>
            </w: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individual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es</w:t>
            </w: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internacional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es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senior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(2)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120</w:t>
            </w: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días (total)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Comienzo: Mayo 1, 2013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Final: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Septiembre</w:t>
            </w: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, 201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3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Maestría en administración pública, economía o campo similar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Experiencia de más de 10 años en gestión pública en LAC e idealmente experiencia en trabajos previos con instituciones del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en LAC o OCDE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B45C03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_tradnl"/>
              </w:rPr>
            </w:pPr>
            <w:r w:rsidRPr="00B45C03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_tradnl"/>
              </w:rPr>
              <w:t>Español e inglés esenciales</w:t>
            </w:r>
          </w:p>
          <w:p w:rsidR="00E9527A" w:rsidRPr="00B45C03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_tradnl"/>
              </w:rPr>
            </w:pPr>
          </w:p>
          <w:p w:rsidR="00E9527A" w:rsidRPr="00B45C03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_tradnl"/>
              </w:rPr>
            </w:pPr>
            <w:r w:rsidRPr="00B45C03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_tradnl"/>
              </w:rPr>
              <w:t>Paquete incluirá gastos de viaje</w:t>
            </w:r>
          </w:p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(i) Revisión bibliográfica; 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(ii) M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arco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onceptual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; 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(iii) 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Diseño, administración y seguimiento del cuestionario estándar para instituciones del </w:t>
            </w:r>
            <w:proofErr w:type="spellStart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LAC.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(iv)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Visitas técnicas o video conferencias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de seguimiento 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con los países. 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(v) 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Clasificación y consolidación de la información de la encuesta.</w:t>
            </w:r>
          </w:p>
        </w:tc>
        <w:tc>
          <w:tcPr>
            <w:tcW w:w="1727" w:type="dxa"/>
          </w:tcPr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Marco conceptual completo</w:t>
            </w:r>
          </w:p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Encuesta </w:t>
            </w:r>
            <w:proofErr w:type="spellStart"/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-LAC completa para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al menos </w:t>
            </w:r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10 países</w:t>
            </w:r>
          </w:p>
          <w:p w:rsidR="00E9527A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Diagnóstico completo</w:t>
            </w:r>
          </w:p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Insumos para p</w:t>
            </w:r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ublicación como </w:t>
            </w:r>
            <w:proofErr w:type="spellStart"/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working</w:t>
            </w:r>
            <w:proofErr w:type="spellEnd"/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C08C5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paper</w:t>
            </w:r>
            <w:proofErr w:type="spellEnd"/>
          </w:p>
          <w:p w:rsidR="00E9527A" w:rsidRPr="00FC08C5" w:rsidRDefault="00E9527A" w:rsidP="001415A0">
            <w:pPr>
              <w:pStyle w:val="NoSpacing"/>
              <w:rPr>
                <w:sz w:val="16"/>
                <w:szCs w:val="16"/>
                <w:lang w:val="es-ES"/>
              </w:rPr>
            </w:pPr>
          </w:p>
        </w:tc>
      </w:tr>
      <w:tr w:rsidR="00E9527A" w:rsidRPr="000D6C5C" w:rsidTr="001415A0">
        <w:trPr>
          <w:jc w:val="center"/>
        </w:trPr>
        <w:tc>
          <w:tcPr>
            <w:tcW w:w="1867" w:type="dxa"/>
            <w:vMerge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40" w:type="dxa"/>
            <w:vMerge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764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Apoyar en la revisión bibliográfica, el seguimiento a la encuesta, sistematización de las respuestas de la encuesta, liaison con la OCDE</w:t>
            </w:r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 individual junior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20 días total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Comienzo: Mayo 1, 2013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Final: Junio 30, 2013</w:t>
            </w:r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Apoyo en actividades de los consultores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senior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(ver arriba)</w:t>
            </w:r>
          </w:p>
        </w:tc>
        <w:tc>
          <w:tcPr>
            <w:tcW w:w="1727" w:type="dxa"/>
          </w:tcPr>
          <w:p w:rsidR="00E9527A" w:rsidRPr="00FC08C5" w:rsidRDefault="00E9527A" w:rsidP="001415A0">
            <w:pPr>
              <w:pStyle w:val="NoSpacing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Apoyo a los productos de los consultores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senior</w:t>
            </w:r>
            <w:proofErr w:type="spellEnd"/>
          </w:p>
        </w:tc>
      </w:tr>
      <w:tr w:rsidR="00E9527A" w:rsidRPr="000D6C5C" w:rsidTr="001415A0">
        <w:trPr>
          <w:jc w:val="center"/>
        </w:trPr>
        <w:tc>
          <w:tcPr>
            <w:tcW w:w="1867" w:type="dxa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1.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2</w:t>
            </w:r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Paper</w:t>
            </w:r>
            <w:proofErr w:type="spellEnd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de Posicionamiento sobre apoyo al Centro de Gobierno </w:t>
            </w:r>
          </w:p>
        </w:tc>
        <w:tc>
          <w:tcPr>
            <w:tcW w:w="1840" w:type="dxa"/>
            <w:vMerge w:val="restart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El objetivo de este subcomponente es sistematizar y diseminar conocimiento e información sobre las funciones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 así como posibles áreas de apoyo del Banco</w:t>
            </w:r>
          </w:p>
        </w:tc>
        <w:tc>
          <w:tcPr>
            <w:tcW w:w="2764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Comité de expertos técnicos, ex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practitioners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, para apoyar a equipo del Banco en la preparación de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working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paper</w:t>
            </w:r>
            <w:proofErr w:type="spellEnd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y menú de posibles intervenciones para apoyo a </w:t>
            </w:r>
            <w:proofErr w:type="spellStart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 w:rsidRPr="003A5649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en LAC desde el Banco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. Edición, diseño y publicación del informe.</w:t>
            </w:r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Consultores individuales internacionales (5)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20 días total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Comienzo: Septiembre 1, 2013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Final: Octubre 31, 2013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Maestría en administración pública, economía o campo similar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(perfil de ex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practitioners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en diferentes países de LAC u OCDE)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Experiencia de más de 10 años en gestión pública en LAC e idealmente experiencia en trabajos previos con instituciones del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en LAC o OCDE.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Paquete puede incluir gastos de viaje a Washington</w:t>
            </w:r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Comentarios a insumo borrador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631DBC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Participación en preparación del informe a través de proveer ejemplos concretos de problemáticas</w:t>
            </w:r>
          </w:p>
        </w:tc>
        <w:tc>
          <w:tcPr>
            <w:tcW w:w="1727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Apoyo al equipo del Banco en preparación del Position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Paper</w:t>
            </w:r>
            <w:proofErr w:type="spellEnd"/>
          </w:p>
        </w:tc>
      </w:tr>
      <w:tr w:rsidR="00E9527A" w:rsidRPr="000D6C5C" w:rsidTr="001415A0">
        <w:trPr>
          <w:jc w:val="center"/>
        </w:trPr>
        <w:tc>
          <w:tcPr>
            <w:tcW w:w="1867" w:type="dxa"/>
          </w:tcPr>
          <w:p w:rsidR="00E9527A" w:rsidRPr="00227C44" w:rsidRDefault="00E9527A" w:rsidP="001415A0">
            <w:pPr>
              <w:spacing w:after="0" w:line="0" w:lineRule="atLeast"/>
              <w:jc w:val="center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1.3 Edición, traducción,  diseño, impresión</w:t>
            </w:r>
            <w:r w:rsidRPr="00227C44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840" w:type="dxa"/>
            <w:vMerge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764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Edición, traducción,  diseño, impresión</w:t>
            </w:r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Consultores individuales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10 días total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Comienzo: Octubre 1, 2013</w:t>
            </w: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Final: Octubre 31, 2013</w:t>
            </w:r>
          </w:p>
        </w:tc>
        <w:tc>
          <w:tcPr>
            <w:tcW w:w="2160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Edición, Traducción, Diseño, Impresión,</w:t>
            </w:r>
          </w:p>
        </w:tc>
        <w:tc>
          <w:tcPr>
            <w:tcW w:w="1727" w:type="dxa"/>
          </w:tcPr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Paper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de posicionamiento editado, traducido, con diseño gráfico, impreso</w:t>
            </w:r>
          </w:p>
        </w:tc>
      </w:tr>
      <w:tr w:rsidR="00E9527A" w:rsidRPr="003A5649" w:rsidTr="001415A0">
        <w:trPr>
          <w:jc w:val="center"/>
        </w:trPr>
        <w:tc>
          <w:tcPr>
            <w:tcW w:w="1867" w:type="dxa"/>
          </w:tcPr>
          <w:p w:rsidR="00E9527A" w:rsidRPr="00ED32B7" w:rsidRDefault="00E9527A" w:rsidP="001415A0">
            <w:pPr>
              <w:pStyle w:val="NoSpacing"/>
              <w:jc w:val="both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ED32B7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lastRenderedPageBreak/>
              <w:t>2.1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ED32B7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Conceptualización y facilitación de los eventos anuales de la red. </w:t>
            </w:r>
          </w:p>
          <w:p w:rsidR="00E9527A" w:rsidRPr="00227C44" w:rsidRDefault="00E9527A" w:rsidP="001415A0">
            <w:pPr>
              <w:spacing w:after="0" w:line="0" w:lineRule="atLeast"/>
              <w:jc w:val="center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4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El objetivo de este subcomponente es apoyar la conceptualización, organización, facilitación, y sistematización de los encuentros de la red. 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3A5649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764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 w:rsidRPr="00ED32B7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Identifica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r</w:t>
            </w:r>
            <w:r w:rsidRPr="00ED32B7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posibles participantes, preparación de agendas y material técnico en base a los productos del componente 1 y del primer evento anual (en el caso del segundo evento). Facilitación y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preparación de material de apoyo y un</w:t>
            </w:r>
            <w:r w:rsidRPr="00ED32B7"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informe resumen de cada evento.</w:t>
            </w:r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Consultores individuales nivel “lead” (1) y nivel junior (1)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Comienzo: 3 meses antes de cada encuentro,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part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-time.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Final: 1 mes después de cada encuentro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Perfil lead: ex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practitioner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reconocido internacionalmente en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Preparación de agenda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Preparación invitaciones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Facilitación del evento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Preparación de informe de resumen o notas del evento</w:t>
            </w:r>
          </w:p>
        </w:tc>
        <w:tc>
          <w:tcPr>
            <w:tcW w:w="1727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Agenda del evento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Material técnico de apoyo al evento diseminado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Resumen del evento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E9527A" w:rsidRPr="000D6C5C" w:rsidTr="001415A0">
        <w:trPr>
          <w:jc w:val="center"/>
        </w:trPr>
        <w:tc>
          <w:tcPr>
            <w:tcW w:w="1867" w:type="dxa"/>
          </w:tcPr>
          <w:p w:rsidR="00E9527A" w:rsidRPr="00227C44" w:rsidRDefault="00E9527A" w:rsidP="001415A0">
            <w:pPr>
              <w:spacing w:after="0" w:line="0" w:lineRule="atLeast"/>
              <w:jc w:val="center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2.3 Diseminación</w:t>
            </w:r>
          </w:p>
        </w:tc>
        <w:tc>
          <w:tcPr>
            <w:tcW w:w="1840" w:type="dxa"/>
          </w:tcPr>
          <w:p w:rsidR="00E9527A" w:rsidRPr="00ED32B7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El objetivo de este subcomponente es diseminar la red y promocionar el trabajo del Banco apoyando a los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</w:p>
        </w:tc>
        <w:tc>
          <w:tcPr>
            <w:tcW w:w="2764" w:type="dxa"/>
          </w:tcPr>
          <w:p w:rsidR="00E9527A" w:rsidRPr="00ED32B7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Preparar una estrategia de comunicación, preparar un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website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con foro para miembros de la red. </w:t>
            </w:r>
          </w:p>
        </w:tc>
        <w:tc>
          <w:tcPr>
            <w:tcW w:w="2816" w:type="dxa"/>
          </w:tcPr>
          <w:p w:rsidR="00E9527A" w:rsidRPr="00227C44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Consultores individuales expertos en comunicación</w:t>
            </w:r>
          </w:p>
        </w:tc>
        <w:tc>
          <w:tcPr>
            <w:tcW w:w="2160" w:type="dxa"/>
          </w:tcPr>
          <w:p w:rsidR="00E9527A" w:rsidRPr="00ED32B7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Diseño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website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 y su contenido</w:t>
            </w:r>
          </w:p>
        </w:tc>
        <w:tc>
          <w:tcPr>
            <w:tcW w:w="1727" w:type="dxa"/>
          </w:tcPr>
          <w:p w:rsidR="00E9527A" w:rsidRPr="00ED32B7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Website en funcionamiento y actualizado</w:t>
            </w:r>
          </w:p>
        </w:tc>
      </w:tr>
      <w:tr w:rsidR="00E9527A" w:rsidRPr="000D6C5C" w:rsidTr="001415A0">
        <w:trPr>
          <w:jc w:val="center"/>
        </w:trPr>
        <w:tc>
          <w:tcPr>
            <w:tcW w:w="1867" w:type="dxa"/>
          </w:tcPr>
          <w:p w:rsidR="00E9527A" w:rsidRDefault="00E9527A" w:rsidP="001415A0">
            <w:pPr>
              <w:spacing w:after="0" w:line="0" w:lineRule="atLeast"/>
              <w:jc w:val="center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3.1 Desarrollo de contenidos del curso</w:t>
            </w:r>
          </w:p>
        </w:tc>
        <w:tc>
          <w:tcPr>
            <w:tcW w:w="184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El objetivo de este subcomponente es diseñar la estructura del programa y desarrollar los contenidos del curso de capacitación para funcionarios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</w:p>
        </w:tc>
        <w:tc>
          <w:tcPr>
            <w:tcW w:w="2764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Diseñar estructura final del programa en base a borrador (Anexo 2), y desarrollar los contenidos y materiales para el dictado del curso (presentaciones, manual para los instructores,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etc</w:t>
            </w:r>
            <w:proofErr w:type="spellEnd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).</w:t>
            </w:r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Consultores individuales internacionales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senior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+ Consultores individuales internacionales Lead (perfil de ex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practitioners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)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 w:rsidRPr="00FC08C5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Maestría en administración pública, economía o campo similar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Experiencia de más de 10 años en gestión pública en LAC e idealmente experiencia en trabajos previos con instituciones del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en LAC o OCDE</w:t>
            </w:r>
          </w:p>
          <w:p w:rsidR="00E9527A" w:rsidRPr="00FC08C5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Español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inglés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esenciales</w:t>
            </w:r>
            <w:proofErr w:type="spellEnd"/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Ajustes a la estructura del curso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Preparación del material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Preparación de estudios de caso</w:t>
            </w: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</w:p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Preparación de ejemplos concretos de la problemática de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</w:p>
        </w:tc>
        <w:tc>
          <w:tcPr>
            <w:tcW w:w="1727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Curso diseñado y ajustado (luego del primer encuentro de la red)</w:t>
            </w:r>
          </w:p>
        </w:tc>
      </w:tr>
      <w:tr w:rsidR="00E9527A" w:rsidRPr="00ED32B7" w:rsidTr="001415A0">
        <w:trPr>
          <w:jc w:val="center"/>
        </w:trPr>
        <w:tc>
          <w:tcPr>
            <w:tcW w:w="1867" w:type="dxa"/>
          </w:tcPr>
          <w:p w:rsidR="00E9527A" w:rsidRDefault="00E9527A" w:rsidP="001415A0">
            <w:pPr>
              <w:spacing w:after="0" w:line="0" w:lineRule="atLeast"/>
              <w:jc w:val="center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3.3 Dictado del curso</w:t>
            </w:r>
          </w:p>
        </w:tc>
        <w:tc>
          <w:tcPr>
            <w:tcW w:w="184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El objetivo de este subcomponente es financiar los instructores y expertos que participen en el dictado del curso</w:t>
            </w:r>
          </w:p>
        </w:tc>
        <w:tc>
          <w:tcPr>
            <w:tcW w:w="2764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Impartir el curso a dos rondas de funcionarios del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</w:p>
        </w:tc>
        <w:tc>
          <w:tcPr>
            <w:tcW w:w="2816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Consultores individuales internacionales lead (perfil de ex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practitioners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 xml:space="preserve"> en LAC o OCDE en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CdG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ES"/>
              </w:rPr>
              <w:t>) y consultores expertos técnicos</w:t>
            </w:r>
          </w:p>
        </w:tc>
        <w:tc>
          <w:tcPr>
            <w:tcW w:w="2160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 xml:space="preserve">Dictar dos rondas del curso </w:t>
            </w:r>
          </w:p>
        </w:tc>
        <w:tc>
          <w:tcPr>
            <w:tcW w:w="1727" w:type="dxa"/>
          </w:tcPr>
          <w:p w:rsidR="00E9527A" w:rsidRDefault="00E9527A" w:rsidP="001415A0">
            <w:pPr>
              <w:spacing w:after="0" w:line="0" w:lineRule="atLeast"/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es-ES"/>
              </w:rPr>
              <w:t>Curso impartido</w:t>
            </w:r>
          </w:p>
        </w:tc>
      </w:tr>
    </w:tbl>
    <w:p w:rsidR="00854B6B" w:rsidRDefault="00854B6B"/>
    <w:sectPr w:rsidR="00854B6B" w:rsidSect="00E952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7A"/>
    <w:rsid w:val="00854B6B"/>
    <w:rsid w:val="00E9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27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527A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27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527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694E583D1B0904EA3259A6EA1106EA7" ma:contentTypeVersion="17" ma:contentTypeDescription="The base project type from which other project content types inherit their information." ma:contentTypeScope="" ma:versionID="2213e0d164109710a83e7fc2f02424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9213739f919661422df68e4f287f0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37685502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IFD/ICS</Division_x0020_or_x0020_Unit>
    <Approval_x0020_Number xmlns="cdc7663a-08f0-4737-9e8c-148ce897a09c" xsi:nil="true"/>
    <Document_x0020_Author xmlns="cdc7663a-08f0-4737-9e8c-148ce897a09c">Lafuente, Mariano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RG-T2258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WORDPOPlan of Operations0N</Migration_x0020_Info>
    <Operation_x0020_Type xmlns="cdc7663a-08f0-4737-9e8c-148ce897a09c" xsi:nil="true"/>
    <Record_x0020_Number xmlns="cdc7663a-08f0-4737-9e8c-148ce897a09c">R0002949172</Record_x0020_Number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EZSHARE-1982390049-23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https://idbg.sharepoint.com/teams/EZ-RG-TCP/RG-T2258/_layouts/15/DocIdRedir.aspx?ID=EZSHARE-1982390049-23</Url>
      <Description>EZSHARE-1982390049-23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694E583D1B0904EA3259A6EA1106EA7" ma:contentTypeVersion="2086" ma:contentTypeDescription="The base project type from which other project content types inherit their information." ma:contentTypeScope="" ma:versionID="24e77baa5291823b8087ed4488a7b8f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e414d5818e9991a0392be15aa4275a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25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679AC5B-6C13-4BC4-B310-C6EF8392D34A}"/>
</file>

<file path=customXml/itemProps2.xml><?xml version="1.0" encoding="utf-8"?>
<ds:datastoreItem xmlns:ds="http://schemas.openxmlformats.org/officeDocument/2006/customXml" ds:itemID="{61CA4576-B347-4544-BB98-C9C423E4BB6D}"/>
</file>

<file path=customXml/itemProps3.xml><?xml version="1.0" encoding="utf-8"?>
<ds:datastoreItem xmlns:ds="http://schemas.openxmlformats.org/officeDocument/2006/customXml" ds:itemID="{317BDC79-07B6-442C-8A50-7D57EE0689DB}"/>
</file>

<file path=customXml/itemProps4.xml><?xml version="1.0" encoding="utf-8"?>
<ds:datastoreItem xmlns:ds="http://schemas.openxmlformats.org/officeDocument/2006/customXml" ds:itemID="{CCC98F58-8C8F-454A-8826-FA1B1C882002}"/>
</file>

<file path=customXml/itemProps5.xml><?xml version="1.0" encoding="utf-8"?>
<ds:datastoreItem xmlns:ds="http://schemas.openxmlformats.org/officeDocument/2006/customXml" ds:itemID="{E8A73DAA-39D3-4B0D-9E74-8F9CFDB1E288}"/>
</file>

<file path=customXml/itemProps6.xml><?xml version="1.0" encoding="utf-8"?>
<ds:datastoreItem xmlns:ds="http://schemas.openxmlformats.org/officeDocument/2006/customXml" ds:itemID="{F328EA2B-B821-449F-85F4-6632C8926AF6}"/>
</file>

<file path=customXml/itemProps7.xml><?xml version="1.0" encoding="utf-8"?>
<ds:datastoreItem xmlns:ds="http://schemas.openxmlformats.org/officeDocument/2006/customXml" ds:itemID="{576FC5B1-AA01-41DE-8FE2-4AC6C4005AF3}"/>
</file>

<file path=customXml/itemProps8.xml><?xml version="1.0" encoding="utf-8"?>
<ds:datastoreItem xmlns:ds="http://schemas.openxmlformats.org/officeDocument/2006/customXml" ds:itemID="{88EC34DD-0486-4B6A-97A2-919E66CD6A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892</Words>
  <Characters>5090</Characters>
  <Application>Microsoft Office Word</Application>
  <DocSecurity>0</DocSecurity>
  <Lines>42</Lines>
  <Paragraphs>11</Paragraphs>
  <ScaleCrop>false</ScaleCrop>
  <Company>Inter-American Development Bank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subject/>
  <dc:creator>Test</dc:creator>
  <cp:keywords/>
  <dc:description/>
  <cp:lastModifiedBy>Test</cp:lastModifiedBy>
  <cp:revision>1</cp:revision>
  <dcterms:created xsi:type="dcterms:W3CDTF">2013-04-02T20:42:00Z</dcterms:created>
  <dcterms:modified xsi:type="dcterms:W3CDTF">2013-04-02T20:45:00Z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0x010100ACF722E9F6B0B149B0CD8BE2560A6672000694E583D1B0904EA3259A6EA1106EA7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2300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Plan of Operations</vt:lpwstr>
  </property>
  <property fmtid="{D5CDD505-2E9C-101B-9397-08002B2CF9AE}" pid="24" name="Webtopic">
    <vt:lpwstr>Management;Public Sector Management and Support</vt:lpwstr>
  </property>
  <property fmtid="{D5CDD505-2E9C-101B-9397-08002B2CF9AE}" pid="26" name="Disclosed">
    <vt:bool>true</vt:bool>
  </property>
  <property fmtid="{D5CDD505-2E9C-101B-9397-08002B2CF9AE}" pid="27" name="_dlc_DocIdItemGuid">
    <vt:lpwstr>f46471d2-55e1-4b8f-9766-d317309e5265</vt:lpwstr>
  </property>
</Properties>
</file>