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B6B" w:rsidRDefault="00854B6B"/>
    <w:p w:rsidR="00024EF1" w:rsidRPr="004C7855" w:rsidRDefault="00024EF1" w:rsidP="00024EF1">
      <w:pPr>
        <w:autoSpaceDE w:val="0"/>
        <w:autoSpaceDN w:val="0"/>
        <w:adjustRightInd w:val="0"/>
        <w:spacing w:after="0" w:line="240" w:lineRule="auto"/>
        <w:rPr>
          <w:b/>
          <w:lang w:val="es-ES"/>
        </w:rPr>
      </w:pPr>
      <w:r w:rsidRPr="004C7855">
        <w:rPr>
          <w:b/>
          <w:lang w:val="es-ES"/>
        </w:rPr>
        <w:t xml:space="preserve">Anexo 2. CURSO DE GESTIÓN PARA INSTITUCIONES DEL CENTRO DE GOBIERNO: </w:t>
      </w:r>
      <w:r w:rsidRPr="004C7855">
        <w:rPr>
          <w:b/>
          <w:lang w:val="es-ES"/>
        </w:rPr>
        <w:br/>
        <w:t>COORDINACIÓN GUBERNAMENTAL, DEFINICIÓN Y SEGU</w:t>
      </w:r>
      <w:bookmarkStart w:id="0" w:name="_GoBack"/>
      <w:bookmarkEnd w:id="0"/>
      <w:r w:rsidRPr="004C7855">
        <w:rPr>
          <w:b/>
          <w:lang w:val="es-ES"/>
        </w:rPr>
        <w:t xml:space="preserve">IMIENTO DE PRIORIDADES </w:t>
      </w:r>
    </w:p>
    <w:p w:rsidR="00024EF1" w:rsidRPr="001E7D7B" w:rsidRDefault="00024EF1" w:rsidP="00024EF1">
      <w:pPr>
        <w:spacing w:after="0" w:line="240" w:lineRule="auto"/>
        <w:jc w:val="both"/>
        <w:rPr>
          <w:b/>
          <w:lang w:val="es-ES"/>
        </w:rPr>
      </w:pPr>
    </w:p>
    <w:p w:rsidR="00024EF1" w:rsidRDefault="00024EF1" w:rsidP="00024EF1">
      <w:pPr>
        <w:autoSpaceDE w:val="0"/>
        <w:autoSpaceDN w:val="0"/>
        <w:adjustRightInd w:val="0"/>
        <w:spacing w:after="0" w:line="240" w:lineRule="auto"/>
        <w:jc w:val="both"/>
        <w:rPr>
          <w:i/>
          <w:lang w:val="es-ES"/>
        </w:rPr>
      </w:pPr>
      <w:r>
        <w:rPr>
          <w:i/>
          <w:lang w:val="es-ES"/>
        </w:rPr>
        <w:t>E</w:t>
      </w:r>
      <w:r w:rsidRPr="001E7D7B">
        <w:rPr>
          <w:i/>
          <w:lang w:val="es-ES"/>
        </w:rPr>
        <w:t xml:space="preserve">structura curricular de curso ejecutivo de formación </w:t>
      </w:r>
      <w:r>
        <w:rPr>
          <w:i/>
          <w:lang w:val="es-ES"/>
        </w:rPr>
        <w:t xml:space="preserve">enfocado en el fortalecimiento de las instituciones del Centro de Gobierno, </w:t>
      </w:r>
      <w:r w:rsidRPr="00484DE4">
        <w:rPr>
          <w:i/>
          <w:lang w:val="es-ES"/>
        </w:rPr>
        <w:t>usualmente ubicado en</w:t>
      </w:r>
      <w:r>
        <w:rPr>
          <w:i/>
          <w:lang w:val="es-ES"/>
        </w:rPr>
        <w:t xml:space="preserve"> el caso de América Latina en</w:t>
      </w:r>
      <w:r w:rsidRPr="00484DE4">
        <w:rPr>
          <w:i/>
          <w:lang w:val="es-ES"/>
        </w:rPr>
        <w:t xml:space="preserve"> la oficina d</w:t>
      </w:r>
      <w:r>
        <w:rPr>
          <w:i/>
          <w:lang w:val="es-ES"/>
        </w:rPr>
        <w:t xml:space="preserve">e la Presidencia o Primer Ministro a nivel nacional, o en la oficina del Gobernador o del Alcalde a nivel </w:t>
      </w:r>
      <w:proofErr w:type="spellStart"/>
      <w:r>
        <w:rPr>
          <w:i/>
          <w:lang w:val="es-ES"/>
        </w:rPr>
        <w:t>subnacional</w:t>
      </w:r>
      <w:proofErr w:type="spellEnd"/>
      <w:r>
        <w:rPr>
          <w:i/>
          <w:lang w:val="es-ES"/>
        </w:rPr>
        <w:t>.</w:t>
      </w:r>
      <w:r w:rsidRPr="00484DE4">
        <w:rPr>
          <w:i/>
          <w:lang w:val="es-ES"/>
        </w:rPr>
        <w:t xml:space="preserve"> </w:t>
      </w:r>
    </w:p>
    <w:p w:rsidR="00024EF1" w:rsidRDefault="00024EF1" w:rsidP="00024EF1">
      <w:pPr>
        <w:spacing w:after="0" w:line="240" w:lineRule="auto"/>
        <w:jc w:val="both"/>
        <w:rPr>
          <w:b/>
          <w:lang w:val="es-ES"/>
        </w:rPr>
      </w:pPr>
    </w:p>
    <w:p w:rsidR="00024EF1" w:rsidRPr="00127132" w:rsidRDefault="00024EF1" w:rsidP="00024EF1">
      <w:pPr>
        <w:spacing w:after="0" w:line="240" w:lineRule="auto"/>
        <w:jc w:val="both"/>
        <w:rPr>
          <w:b/>
          <w:sz w:val="24"/>
          <w:lang w:val="es-ES"/>
        </w:rPr>
      </w:pPr>
      <w:r w:rsidRPr="00127132">
        <w:rPr>
          <w:b/>
          <w:sz w:val="24"/>
          <w:lang w:val="es-ES"/>
        </w:rPr>
        <w:t>Introducción</w:t>
      </w:r>
    </w:p>
    <w:p w:rsidR="00024EF1" w:rsidRDefault="00024EF1" w:rsidP="00024EF1">
      <w:pPr>
        <w:autoSpaceDE w:val="0"/>
        <w:autoSpaceDN w:val="0"/>
        <w:adjustRightInd w:val="0"/>
        <w:spacing w:after="0" w:line="240" w:lineRule="auto"/>
        <w:jc w:val="both"/>
        <w:rPr>
          <w:lang w:val="es-ES"/>
        </w:rPr>
      </w:pPr>
      <w:r>
        <w:rPr>
          <w:lang w:val="es-ES"/>
        </w:rPr>
        <w:t>Las instituciones de Centro de Gobierno en América Latina presentan debilidades comparadas con sus pares en países de la OCDE. L</w:t>
      </w:r>
      <w:r w:rsidRPr="004D0090">
        <w:rPr>
          <w:lang w:val="es-ES"/>
        </w:rPr>
        <w:t>a autoridad política suele poseer poco conocimiento técnico sobre políticas</w:t>
      </w:r>
      <w:r>
        <w:rPr>
          <w:lang w:val="es-ES"/>
        </w:rPr>
        <w:t xml:space="preserve"> públicas</w:t>
      </w:r>
      <w:r w:rsidRPr="004D0090">
        <w:rPr>
          <w:lang w:val="es-ES"/>
        </w:rPr>
        <w:t xml:space="preserve"> y, a menudo, tiene un débil compromiso con una formulación de políticas </w:t>
      </w:r>
      <w:r>
        <w:rPr>
          <w:lang w:val="es-ES"/>
        </w:rPr>
        <w:t xml:space="preserve">técnicamente </w:t>
      </w:r>
      <w:r w:rsidRPr="004D0090">
        <w:rPr>
          <w:lang w:val="es-ES"/>
        </w:rPr>
        <w:t>sólida</w:t>
      </w:r>
      <w:r>
        <w:rPr>
          <w:lang w:val="es-ES"/>
        </w:rPr>
        <w:t xml:space="preserve"> capaz de resolver problemas crecientemente complejos y multidimensionales</w:t>
      </w:r>
      <w:r w:rsidRPr="004D0090">
        <w:rPr>
          <w:lang w:val="es-ES"/>
        </w:rPr>
        <w:t>.</w:t>
      </w:r>
      <w:r>
        <w:rPr>
          <w:lang w:val="es-ES"/>
        </w:rPr>
        <w:t xml:space="preserve"> L</w:t>
      </w:r>
      <w:r w:rsidRPr="006543D9">
        <w:rPr>
          <w:lang w:val="es-ES"/>
        </w:rPr>
        <w:t>as oficinas presidenciales</w:t>
      </w:r>
      <w:r>
        <w:rPr>
          <w:lang w:val="es-ES"/>
        </w:rPr>
        <w:t xml:space="preserve">, </w:t>
      </w:r>
      <w:r w:rsidRPr="004D0090">
        <w:rPr>
          <w:lang w:val="es-ES"/>
        </w:rPr>
        <w:t>normalmen</w:t>
      </w:r>
      <w:r>
        <w:rPr>
          <w:lang w:val="es-ES"/>
        </w:rPr>
        <w:t>te fuerte en asuntos políticos (</w:t>
      </w:r>
      <w:r w:rsidRPr="004D0090">
        <w:rPr>
          <w:lang w:val="es-ES"/>
        </w:rPr>
        <w:t>incluyendo el manejo de relaciones con otros poderes y niveles de gobierno y la coordinación del respaldo político</w:t>
      </w:r>
      <w:r>
        <w:rPr>
          <w:lang w:val="es-ES"/>
        </w:rPr>
        <w:t>)</w:t>
      </w:r>
      <w:r w:rsidRPr="006543D9">
        <w:rPr>
          <w:lang w:val="es-ES"/>
        </w:rPr>
        <w:t xml:space="preserve"> tienden a ser más políticas que analíticas.</w:t>
      </w:r>
      <w:r>
        <w:rPr>
          <w:lang w:val="es-ES"/>
        </w:rPr>
        <w:t xml:space="preserve"> De hecho, l</w:t>
      </w:r>
      <w:r w:rsidRPr="004D0090">
        <w:rPr>
          <w:lang w:val="es-ES"/>
        </w:rPr>
        <w:t xml:space="preserve">as secretarías técnicas en la oficina presidencial </w:t>
      </w:r>
      <w:r>
        <w:rPr>
          <w:lang w:val="es-ES"/>
        </w:rPr>
        <w:t>no son comunes y l</w:t>
      </w:r>
      <w:r w:rsidRPr="004D0090">
        <w:rPr>
          <w:lang w:val="es-ES"/>
        </w:rPr>
        <w:t xml:space="preserve">os gabinetes </w:t>
      </w:r>
      <w:r>
        <w:rPr>
          <w:lang w:val="es-ES"/>
        </w:rPr>
        <w:t>son poco utilizados</w:t>
      </w:r>
      <w:r w:rsidRPr="004D0090">
        <w:rPr>
          <w:lang w:val="es-ES"/>
        </w:rPr>
        <w:t xml:space="preserve"> como órganos deliberativos </w:t>
      </w:r>
      <w:r>
        <w:rPr>
          <w:lang w:val="es-ES"/>
        </w:rPr>
        <w:t>o</w:t>
      </w:r>
      <w:r w:rsidRPr="004D0090">
        <w:rPr>
          <w:lang w:val="es-ES"/>
        </w:rPr>
        <w:t xml:space="preserve"> de toma de decisiones</w:t>
      </w:r>
      <w:r>
        <w:rPr>
          <w:lang w:val="es-ES"/>
        </w:rPr>
        <w:t xml:space="preserve"> sobre políticas</w:t>
      </w:r>
      <w:r w:rsidRPr="004D0090">
        <w:rPr>
          <w:lang w:val="es-ES"/>
        </w:rPr>
        <w:t>.</w:t>
      </w:r>
      <w:r>
        <w:rPr>
          <w:lang w:val="es-ES"/>
        </w:rPr>
        <w:t xml:space="preserve"> La capacidad de coordinación por parte de las oficinas de presidencia de las acciones de un número creciente de ministerios, agencias y organismos desconcentrados es limitada, y su vinculación a un plan estratégico de gobierno o plan de desarrollo es comúnmente débil.</w:t>
      </w:r>
    </w:p>
    <w:p w:rsidR="00024EF1" w:rsidRDefault="00024EF1" w:rsidP="00024EF1">
      <w:pPr>
        <w:autoSpaceDE w:val="0"/>
        <w:autoSpaceDN w:val="0"/>
        <w:adjustRightInd w:val="0"/>
        <w:spacing w:after="0" w:line="240" w:lineRule="auto"/>
        <w:jc w:val="both"/>
        <w:rPr>
          <w:lang w:val="es-ES"/>
        </w:rPr>
      </w:pPr>
    </w:p>
    <w:p w:rsidR="00024EF1" w:rsidRDefault="00024EF1" w:rsidP="00024EF1">
      <w:pPr>
        <w:autoSpaceDE w:val="0"/>
        <w:autoSpaceDN w:val="0"/>
        <w:adjustRightInd w:val="0"/>
        <w:spacing w:after="0" w:line="240" w:lineRule="auto"/>
        <w:jc w:val="both"/>
        <w:rPr>
          <w:lang w:val="es-ES"/>
        </w:rPr>
      </w:pPr>
      <w:r>
        <w:rPr>
          <w:lang w:val="es-ES"/>
        </w:rPr>
        <w:t>A su vez, dos de los principales organismos técnicos que apoyan al Centro de Gobierno tienen sus limitaciones. Por un lado, l</w:t>
      </w:r>
      <w:r w:rsidRPr="004D0090">
        <w:rPr>
          <w:lang w:val="es-ES"/>
        </w:rPr>
        <w:t>os ministerios de Hacienda s</w:t>
      </w:r>
      <w:r>
        <w:rPr>
          <w:lang w:val="es-ES"/>
        </w:rPr>
        <w:t>uelen ser</w:t>
      </w:r>
      <w:r w:rsidRPr="004D0090">
        <w:rPr>
          <w:lang w:val="es-ES"/>
        </w:rPr>
        <w:t xml:space="preserve"> relativamente fuertes en asuntos de políticas, pero tienden a tener un punto de vista predominantemente fiscal</w:t>
      </w:r>
      <w:r>
        <w:rPr>
          <w:lang w:val="es-ES"/>
        </w:rPr>
        <w:t>, valorando poco otros aspectos de las políticas sectoriales</w:t>
      </w:r>
      <w:r w:rsidRPr="004D0090">
        <w:rPr>
          <w:lang w:val="es-ES"/>
        </w:rPr>
        <w:t>.</w:t>
      </w:r>
      <w:r>
        <w:rPr>
          <w:lang w:val="es-ES"/>
        </w:rPr>
        <w:t xml:space="preserve"> Por otro, l</w:t>
      </w:r>
      <w:r w:rsidRPr="006543D9">
        <w:rPr>
          <w:lang w:val="es-ES"/>
        </w:rPr>
        <w:t>as instituciones de planificación</w:t>
      </w:r>
      <w:r>
        <w:rPr>
          <w:lang w:val="es-ES"/>
        </w:rPr>
        <w:t xml:space="preserve">, que apoyan la coordinación gubernamental y seguimiento de prioridades, </w:t>
      </w:r>
      <w:r w:rsidRPr="006543D9">
        <w:rPr>
          <w:lang w:val="es-ES"/>
        </w:rPr>
        <w:t xml:space="preserve"> pueden contar con capacidades analíticas, pero no cuentan </w:t>
      </w:r>
      <w:r>
        <w:rPr>
          <w:lang w:val="es-ES"/>
        </w:rPr>
        <w:t>normalmente</w:t>
      </w:r>
      <w:r w:rsidRPr="006543D9">
        <w:rPr>
          <w:lang w:val="es-ES"/>
        </w:rPr>
        <w:t xml:space="preserve"> con una fuerte influencia en las oficinas presidenciales o en la política </w:t>
      </w:r>
      <w:r>
        <w:rPr>
          <w:lang w:val="es-ES"/>
        </w:rPr>
        <w:t>fiscal</w:t>
      </w:r>
      <w:r w:rsidRPr="006543D9">
        <w:rPr>
          <w:lang w:val="es-ES"/>
        </w:rPr>
        <w:t>.</w:t>
      </w:r>
      <w:r w:rsidRPr="00991941">
        <w:rPr>
          <w:lang w:val="es-ES"/>
        </w:rPr>
        <w:t xml:space="preserve"> </w:t>
      </w:r>
    </w:p>
    <w:p w:rsidR="00024EF1" w:rsidRDefault="00024EF1" w:rsidP="00024EF1">
      <w:pPr>
        <w:autoSpaceDE w:val="0"/>
        <w:autoSpaceDN w:val="0"/>
        <w:adjustRightInd w:val="0"/>
        <w:spacing w:after="0" w:line="240" w:lineRule="auto"/>
        <w:jc w:val="both"/>
        <w:rPr>
          <w:lang w:val="es-ES"/>
        </w:rPr>
      </w:pPr>
    </w:p>
    <w:p w:rsidR="00024EF1" w:rsidRDefault="00024EF1" w:rsidP="00024EF1">
      <w:pPr>
        <w:autoSpaceDE w:val="0"/>
        <w:autoSpaceDN w:val="0"/>
        <w:adjustRightInd w:val="0"/>
        <w:spacing w:after="0" w:line="240" w:lineRule="auto"/>
        <w:jc w:val="both"/>
        <w:rPr>
          <w:lang w:val="es-ES"/>
        </w:rPr>
      </w:pPr>
      <w:r w:rsidRPr="006543D9">
        <w:rPr>
          <w:lang w:val="es-ES"/>
        </w:rPr>
        <w:t xml:space="preserve">Como parte de su movimiento hacia </w:t>
      </w:r>
      <w:r>
        <w:rPr>
          <w:lang w:val="es-ES"/>
        </w:rPr>
        <w:t>una</w:t>
      </w:r>
      <w:r w:rsidRPr="006543D9">
        <w:rPr>
          <w:lang w:val="es-ES"/>
        </w:rPr>
        <w:t xml:space="preserve"> gestión </w:t>
      </w:r>
      <w:r>
        <w:rPr>
          <w:lang w:val="es-ES"/>
        </w:rPr>
        <w:t>pública que genere</w:t>
      </w:r>
      <w:r w:rsidRPr="006543D9">
        <w:rPr>
          <w:lang w:val="es-ES"/>
        </w:rPr>
        <w:t xml:space="preserve"> resultados</w:t>
      </w:r>
      <w:r>
        <w:rPr>
          <w:lang w:val="es-ES"/>
        </w:rPr>
        <w:t xml:space="preserve"> para los ciudadanos</w:t>
      </w:r>
      <w:r w:rsidRPr="006543D9">
        <w:rPr>
          <w:lang w:val="es-ES"/>
        </w:rPr>
        <w:t xml:space="preserve">, </w:t>
      </w:r>
      <w:r>
        <w:rPr>
          <w:lang w:val="es-ES"/>
        </w:rPr>
        <w:t xml:space="preserve">hay iniciativas innovadoras de </w:t>
      </w:r>
      <w:r w:rsidRPr="006543D9">
        <w:rPr>
          <w:lang w:val="es-ES"/>
        </w:rPr>
        <w:t>los gobiernos de</w:t>
      </w:r>
      <w:r>
        <w:rPr>
          <w:lang w:val="es-ES"/>
        </w:rPr>
        <w:t xml:space="preserve"> la OCDE y de</w:t>
      </w:r>
      <w:r w:rsidRPr="006543D9">
        <w:rPr>
          <w:lang w:val="es-ES"/>
        </w:rPr>
        <w:t xml:space="preserve"> América Latina </w:t>
      </w:r>
      <w:r>
        <w:rPr>
          <w:lang w:val="es-ES"/>
        </w:rPr>
        <w:t xml:space="preserve">intentando </w:t>
      </w:r>
      <w:r w:rsidRPr="006543D9">
        <w:rPr>
          <w:lang w:val="es-ES"/>
        </w:rPr>
        <w:t>recurr</w:t>
      </w:r>
      <w:r>
        <w:rPr>
          <w:lang w:val="es-ES"/>
        </w:rPr>
        <w:t>ir</w:t>
      </w:r>
      <w:r w:rsidRPr="006543D9">
        <w:rPr>
          <w:lang w:val="es-ES"/>
        </w:rPr>
        <w:t xml:space="preserve"> cada vez más a un ciclo de políticas públicas más racional</w:t>
      </w:r>
      <w:r>
        <w:rPr>
          <w:lang w:val="es-ES"/>
        </w:rPr>
        <w:t xml:space="preserve"> y a una mejor coordinación de la acción del estado</w:t>
      </w:r>
      <w:r w:rsidRPr="006543D9">
        <w:rPr>
          <w:lang w:val="es-ES"/>
        </w:rPr>
        <w:t xml:space="preserve"> – y a la mejora de la capacidad técnica a tal efecto – aunque el proceso continúa siendo mayormente débil. </w:t>
      </w:r>
      <w:r>
        <w:rPr>
          <w:lang w:val="es-ES"/>
        </w:rPr>
        <w:t xml:space="preserve"> La propuesta del BID es apoyar a las iniciativas en curso y promover nuevas acciones a partir de la sistematización y diseminación del conocimiento disponible y del diálogo directo con los gobiernos sobre el tema.</w:t>
      </w:r>
    </w:p>
    <w:p w:rsidR="00024EF1" w:rsidRDefault="00024EF1" w:rsidP="00024EF1">
      <w:pPr>
        <w:spacing w:after="0" w:line="240" w:lineRule="auto"/>
        <w:jc w:val="both"/>
        <w:rPr>
          <w:b/>
          <w:sz w:val="24"/>
          <w:lang w:val="es-ES"/>
        </w:rPr>
      </w:pPr>
    </w:p>
    <w:p w:rsidR="00024EF1" w:rsidRPr="001E7D7B" w:rsidRDefault="00024EF1" w:rsidP="00024EF1">
      <w:pPr>
        <w:spacing w:after="0" w:line="240" w:lineRule="auto"/>
        <w:jc w:val="both"/>
        <w:rPr>
          <w:b/>
          <w:sz w:val="24"/>
          <w:lang w:val="es-ES"/>
        </w:rPr>
      </w:pPr>
      <w:r w:rsidRPr="001E7D7B">
        <w:rPr>
          <w:b/>
          <w:sz w:val="24"/>
          <w:lang w:val="es-ES"/>
        </w:rPr>
        <w:t>Objetivo general</w:t>
      </w:r>
    </w:p>
    <w:p w:rsidR="00024EF1" w:rsidRDefault="00024EF1" w:rsidP="00024EF1">
      <w:pPr>
        <w:spacing w:after="0" w:line="240" w:lineRule="auto"/>
        <w:jc w:val="both"/>
        <w:rPr>
          <w:lang w:val="es-ES"/>
        </w:rPr>
      </w:pPr>
      <w:r w:rsidRPr="001E7D7B">
        <w:rPr>
          <w:lang w:val="es-ES"/>
        </w:rPr>
        <w:t xml:space="preserve">Fortalecer las capacidades y competencias profesionales de equipos de </w:t>
      </w:r>
      <w:r>
        <w:rPr>
          <w:lang w:val="es-ES"/>
        </w:rPr>
        <w:t>funcionarios</w:t>
      </w:r>
      <w:r w:rsidRPr="001E7D7B">
        <w:rPr>
          <w:lang w:val="es-ES"/>
        </w:rPr>
        <w:t xml:space="preserve"> </w:t>
      </w:r>
      <w:r>
        <w:rPr>
          <w:lang w:val="es-ES"/>
        </w:rPr>
        <w:t xml:space="preserve">de instituciones de instituciones del </w:t>
      </w:r>
      <w:r>
        <w:rPr>
          <w:i/>
          <w:lang w:val="es-ES"/>
        </w:rPr>
        <w:t>Centro de Gobierno</w:t>
      </w:r>
      <w:r>
        <w:rPr>
          <w:lang w:val="es-ES"/>
        </w:rPr>
        <w:t xml:space="preserve"> </w:t>
      </w:r>
      <w:r w:rsidRPr="001E7D7B">
        <w:rPr>
          <w:lang w:val="es-ES"/>
        </w:rPr>
        <w:t>en conceptos, herramientas y estrategias</w:t>
      </w:r>
      <w:r>
        <w:rPr>
          <w:lang w:val="es-ES"/>
        </w:rPr>
        <w:t xml:space="preserve"> para apoyar la toma de decisión sobre políticas públicas, la coordinación de la acción gubernamental y la definición, seguimiento y comunicación del cumplimiento de las prioridades de gobierno.</w:t>
      </w:r>
    </w:p>
    <w:p w:rsidR="00024EF1" w:rsidRPr="001E7D7B" w:rsidRDefault="00024EF1" w:rsidP="00024EF1">
      <w:pPr>
        <w:spacing w:after="0" w:line="240" w:lineRule="auto"/>
        <w:jc w:val="both"/>
        <w:rPr>
          <w:lang w:val="es-ES"/>
        </w:rPr>
      </w:pPr>
    </w:p>
    <w:p w:rsidR="00024EF1" w:rsidRPr="001E7D7B" w:rsidRDefault="00024EF1" w:rsidP="00024EF1">
      <w:pPr>
        <w:spacing w:after="0" w:line="240" w:lineRule="auto"/>
        <w:jc w:val="both"/>
        <w:rPr>
          <w:b/>
          <w:sz w:val="24"/>
          <w:lang w:val="es-ES"/>
        </w:rPr>
      </w:pPr>
      <w:r w:rsidRPr="001E7D7B">
        <w:rPr>
          <w:b/>
          <w:sz w:val="24"/>
          <w:lang w:val="es-ES"/>
        </w:rPr>
        <w:t>Público objetivo</w:t>
      </w:r>
    </w:p>
    <w:p w:rsidR="00024EF1" w:rsidRDefault="00024EF1" w:rsidP="00024EF1">
      <w:pPr>
        <w:spacing w:after="0" w:line="240" w:lineRule="auto"/>
        <w:jc w:val="both"/>
        <w:rPr>
          <w:lang w:val="es-ES"/>
        </w:rPr>
      </w:pPr>
      <w:r w:rsidRPr="001E7D7B">
        <w:rPr>
          <w:lang w:val="es-ES"/>
        </w:rPr>
        <w:t>El curso está dirigido a funcionarios de niveles altos y medios</w:t>
      </w:r>
      <w:r>
        <w:rPr>
          <w:lang w:val="es-ES"/>
        </w:rPr>
        <w:t xml:space="preserve"> (vice ministros o asesores)</w:t>
      </w:r>
      <w:r w:rsidRPr="001E7D7B">
        <w:rPr>
          <w:lang w:val="es-ES"/>
        </w:rPr>
        <w:t xml:space="preserve"> de</w:t>
      </w:r>
      <w:r>
        <w:rPr>
          <w:lang w:val="es-ES"/>
        </w:rPr>
        <w:t xml:space="preserve"> instituciones del </w:t>
      </w:r>
      <w:r>
        <w:rPr>
          <w:i/>
          <w:lang w:val="es-ES"/>
        </w:rPr>
        <w:t>Centro de Gobierno</w:t>
      </w:r>
      <w:r w:rsidRPr="001E7D7B">
        <w:rPr>
          <w:lang w:val="es-ES"/>
        </w:rPr>
        <w:t xml:space="preserve"> </w:t>
      </w:r>
      <w:r>
        <w:rPr>
          <w:lang w:val="es-ES"/>
        </w:rPr>
        <w:t xml:space="preserve">(Oficinas o Ministerios de la autoridad máxima del poder ejecutivo a nivel </w:t>
      </w:r>
      <w:r>
        <w:rPr>
          <w:lang w:val="es-ES"/>
        </w:rPr>
        <w:lastRenderedPageBreak/>
        <w:t xml:space="preserve">nacional o </w:t>
      </w:r>
      <w:proofErr w:type="spellStart"/>
      <w:r>
        <w:rPr>
          <w:lang w:val="es-ES"/>
        </w:rPr>
        <w:t>subnacional</w:t>
      </w:r>
      <w:proofErr w:type="spellEnd"/>
      <w:r>
        <w:rPr>
          <w:lang w:val="es-ES"/>
        </w:rPr>
        <w:t>). Estas instituciones son</w:t>
      </w:r>
      <w:r w:rsidRPr="001E7D7B">
        <w:rPr>
          <w:lang w:val="es-ES"/>
        </w:rPr>
        <w:t xml:space="preserve"> </w:t>
      </w:r>
      <w:r>
        <w:rPr>
          <w:lang w:val="es-ES"/>
        </w:rPr>
        <w:t>r</w:t>
      </w:r>
      <w:r w:rsidRPr="001E7D7B">
        <w:rPr>
          <w:lang w:val="es-ES"/>
        </w:rPr>
        <w:t xml:space="preserve">esponsables de </w:t>
      </w:r>
      <w:r>
        <w:rPr>
          <w:lang w:val="es-ES"/>
        </w:rPr>
        <w:t>asesorar la toma de decisiones de la máxima autoridad política, coordinar la acción gubernamental, e identificar, dar seguimiento y asegurar el cumplimiento de los resultados de la gestión</w:t>
      </w:r>
      <w:r w:rsidRPr="001E7D7B">
        <w:rPr>
          <w:lang w:val="es-ES"/>
        </w:rPr>
        <w:t>.</w:t>
      </w:r>
      <w:r>
        <w:rPr>
          <w:lang w:val="es-ES"/>
        </w:rPr>
        <w:t xml:space="preserve"> El curso priorizará a los países de acuerdo al tiempo restante en la administración, apuntando a la participación de las nuevas autoridades o, cuando fuera adecuado, de un equipo de transición. </w:t>
      </w:r>
    </w:p>
    <w:p w:rsidR="00024EF1" w:rsidRPr="001E7D7B" w:rsidRDefault="00024EF1" w:rsidP="00024EF1">
      <w:pPr>
        <w:spacing w:after="0" w:line="240" w:lineRule="auto"/>
        <w:jc w:val="both"/>
        <w:rPr>
          <w:lang w:val="es-ES"/>
        </w:rPr>
      </w:pPr>
    </w:p>
    <w:p w:rsidR="00024EF1" w:rsidRPr="001E7D7B" w:rsidRDefault="00024EF1" w:rsidP="00024EF1">
      <w:pPr>
        <w:spacing w:after="0" w:line="240" w:lineRule="auto"/>
        <w:jc w:val="both"/>
        <w:rPr>
          <w:b/>
          <w:sz w:val="24"/>
          <w:lang w:val="es-ES"/>
        </w:rPr>
      </w:pPr>
      <w:r w:rsidRPr="001E7D7B">
        <w:rPr>
          <w:b/>
          <w:sz w:val="24"/>
          <w:lang w:val="es-ES"/>
        </w:rPr>
        <w:t>Tiempo de duración</w:t>
      </w:r>
    </w:p>
    <w:p w:rsidR="00024EF1" w:rsidRPr="001E7D7B" w:rsidRDefault="00024EF1" w:rsidP="00024EF1">
      <w:pPr>
        <w:spacing w:after="0" w:line="240" w:lineRule="auto"/>
        <w:jc w:val="both"/>
        <w:rPr>
          <w:lang w:val="es-ES"/>
        </w:rPr>
      </w:pPr>
      <w:r w:rsidRPr="001E7D7B">
        <w:rPr>
          <w:lang w:val="es-ES"/>
        </w:rPr>
        <w:t xml:space="preserve">La duración aproximada del curso es de </w:t>
      </w:r>
      <w:r>
        <w:rPr>
          <w:lang w:val="es-ES"/>
        </w:rPr>
        <w:t>4</w:t>
      </w:r>
      <w:r w:rsidRPr="001E7D7B">
        <w:rPr>
          <w:lang w:val="es-ES"/>
        </w:rPr>
        <w:t xml:space="preserve"> </w:t>
      </w:r>
      <w:r>
        <w:rPr>
          <w:lang w:val="es-ES"/>
        </w:rPr>
        <w:t>días</w:t>
      </w:r>
      <w:r w:rsidRPr="001E7D7B">
        <w:rPr>
          <w:lang w:val="es-ES"/>
        </w:rPr>
        <w:t>, presencial,</w:t>
      </w:r>
      <w:r>
        <w:rPr>
          <w:lang w:val="es-ES"/>
        </w:rPr>
        <w:t xml:space="preserve"> precedida de lectura de material de referencia y preparación de un documento para identificar desafíos prácticos en su país, y</w:t>
      </w:r>
      <w:r w:rsidRPr="001E7D7B">
        <w:rPr>
          <w:lang w:val="es-ES"/>
        </w:rPr>
        <w:t xml:space="preserve"> seguida por </w:t>
      </w:r>
      <w:r>
        <w:rPr>
          <w:lang w:val="es-ES"/>
        </w:rPr>
        <w:t>una encuesta a completar luego del curso de forma virtual.</w:t>
      </w:r>
      <w:r w:rsidRPr="001E7D7B">
        <w:rPr>
          <w:lang w:val="es-ES"/>
        </w:rPr>
        <w:t xml:space="preserve"> </w:t>
      </w:r>
    </w:p>
    <w:p w:rsidR="00024EF1" w:rsidRDefault="00024EF1" w:rsidP="00024EF1">
      <w:pPr>
        <w:spacing w:after="0" w:line="240" w:lineRule="auto"/>
        <w:jc w:val="both"/>
        <w:rPr>
          <w:lang w:val="es-ES"/>
        </w:rPr>
      </w:pPr>
    </w:p>
    <w:p w:rsidR="00024EF1" w:rsidRPr="001E7D7B" w:rsidRDefault="00024EF1" w:rsidP="00024EF1">
      <w:pPr>
        <w:spacing w:after="0" w:line="240" w:lineRule="auto"/>
        <w:jc w:val="both"/>
        <w:rPr>
          <w:lang w:val="es-ES"/>
        </w:rPr>
      </w:pPr>
    </w:p>
    <w:p w:rsidR="00024EF1" w:rsidRDefault="00024EF1" w:rsidP="00024EF1">
      <w:pPr>
        <w:spacing w:after="0" w:line="240" w:lineRule="auto"/>
        <w:jc w:val="center"/>
        <w:rPr>
          <w:b/>
          <w:sz w:val="24"/>
          <w:lang w:val="es-ES"/>
        </w:rPr>
      </w:pPr>
      <w:r w:rsidRPr="001E7D7B">
        <w:rPr>
          <w:b/>
          <w:sz w:val="24"/>
          <w:lang w:val="es-ES"/>
        </w:rPr>
        <w:t>ESTRUCTURA CURRICULAR DEL CURSO</w:t>
      </w:r>
    </w:p>
    <w:p w:rsidR="00024EF1" w:rsidRDefault="00024EF1" w:rsidP="00024EF1">
      <w:pPr>
        <w:spacing w:after="0" w:line="240" w:lineRule="auto"/>
        <w:jc w:val="both"/>
        <w:rPr>
          <w:b/>
          <w:sz w:val="24"/>
          <w:lang w:val="es-ES"/>
        </w:rPr>
      </w:pPr>
    </w:p>
    <w:p w:rsidR="00024EF1" w:rsidRDefault="00024EF1" w:rsidP="00024EF1">
      <w:pPr>
        <w:spacing w:after="0" w:line="240" w:lineRule="auto"/>
        <w:jc w:val="both"/>
        <w:rPr>
          <w:b/>
          <w:sz w:val="24"/>
          <w:lang w:val="es-ES"/>
        </w:rPr>
      </w:pPr>
      <w:r>
        <w:rPr>
          <w:b/>
          <w:sz w:val="24"/>
          <w:lang w:val="es-ES"/>
        </w:rPr>
        <w:t xml:space="preserve">Módulo 1. El ciclo de las políticas públicas y los procesos de toma de decisión </w:t>
      </w:r>
      <w:r w:rsidRPr="00542386">
        <w:rPr>
          <w:b/>
          <w:color w:val="FF0000"/>
          <w:sz w:val="24"/>
          <w:lang w:val="es-ES"/>
        </w:rPr>
        <w:t>(</w:t>
      </w:r>
      <w:r>
        <w:rPr>
          <w:b/>
          <w:color w:val="FF0000"/>
          <w:sz w:val="24"/>
          <w:lang w:val="es-ES"/>
        </w:rPr>
        <w:t xml:space="preserve">1 </w:t>
      </w:r>
      <w:r w:rsidRPr="00542386">
        <w:rPr>
          <w:b/>
          <w:color w:val="FF0000"/>
          <w:sz w:val="24"/>
          <w:lang w:val="es-ES"/>
        </w:rPr>
        <w:t>día)</w:t>
      </w:r>
    </w:p>
    <w:p w:rsidR="00024EF1" w:rsidRDefault="00024EF1" w:rsidP="00024EF1">
      <w:pPr>
        <w:spacing w:after="0" w:line="240" w:lineRule="auto"/>
        <w:jc w:val="both"/>
        <w:rPr>
          <w:b/>
          <w:sz w:val="24"/>
          <w:lang w:val="es-ES"/>
        </w:rPr>
      </w:pPr>
      <w:r>
        <w:rPr>
          <w:b/>
          <w:color w:val="404040" w:themeColor="text1" w:themeTint="BF"/>
          <w:lang w:val="es-ES"/>
        </w:rPr>
        <w:pict>
          <v:rect id="_x0000_i1025" style="width:0;height:1.5pt" o:hralign="center" o:hrstd="t" o:hr="t" fillcolor="#aca899" stroked="f"/>
        </w:pict>
      </w:r>
    </w:p>
    <w:p w:rsidR="00024EF1" w:rsidRDefault="00024EF1" w:rsidP="00024EF1">
      <w:pPr>
        <w:spacing w:after="0" w:line="240" w:lineRule="auto"/>
        <w:jc w:val="both"/>
        <w:rPr>
          <w:sz w:val="24"/>
          <w:lang w:val="es-ES"/>
        </w:rPr>
      </w:pPr>
      <w:r w:rsidRPr="001B6551">
        <w:rPr>
          <w:b/>
          <w:color w:val="404040" w:themeColor="text1" w:themeTint="BF"/>
          <w:lang w:val="es-ES"/>
        </w:rPr>
        <w:t>Objetivo</w:t>
      </w:r>
      <w:r>
        <w:rPr>
          <w:b/>
          <w:color w:val="404040" w:themeColor="text1" w:themeTint="BF"/>
          <w:lang w:val="es-ES"/>
        </w:rPr>
        <w:t xml:space="preserve"> del Módulo</w:t>
      </w:r>
      <w:r w:rsidRPr="001B6551">
        <w:rPr>
          <w:sz w:val="24"/>
          <w:lang w:val="es-ES"/>
        </w:rPr>
        <w:t>:</w:t>
      </w:r>
      <w:r>
        <w:rPr>
          <w:sz w:val="24"/>
          <w:lang w:val="es-ES"/>
        </w:rPr>
        <w:t xml:space="preserve"> </w:t>
      </w:r>
    </w:p>
    <w:p w:rsidR="00024EF1" w:rsidRPr="004E4AA2" w:rsidRDefault="00024EF1" w:rsidP="00024EF1">
      <w:pPr>
        <w:spacing w:after="0" w:line="240" w:lineRule="auto"/>
        <w:jc w:val="both"/>
        <w:rPr>
          <w:i/>
          <w:lang w:val="es-ES"/>
        </w:rPr>
      </w:pPr>
      <w:r>
        <w:rPr>
          <w:i/>
          <w:lang w:val="es-ES"/>
        </w:rPr>
        <w:t>Introducir el ciclo de las políticas públicas, i</w:t>
      </w:r>
      <w:r w:rsidRPr="004E4AA2">
        <w:rPr>
          <w:i/>
          <w:lang w:val="es-ES"/>
        </w:rPr>
        <w:t>dentificar los elementos que condicionan los procesos decisorios en la alta administración públic</w:t>
      </w:r>
      <w:r>
        <w:rPr>
          <w:i/>
          <w:lang w:val="es-ES"/>
        </w:rPr>
        <w:t>a y presentar metodologías y herramientas tecnológicas para el apoyo a la toma de decisiones en el Estado.</w:t>
      </w:r>
    </w:p>
    <w:p w:rsidR="00024EF1" w:rsidRDefault="00024EF1" w:rsidP="00024EF1">
      <w:pPr>
        <w:spacing w:after="0" w:line="240" w:lineRule="auto"/>
        <w:jc w:val="both"/>
        <w:rPr>
          <w:b/>
          <w:color w:val="1F497D" w:themeColor="text2"/>
          <w:lang w:val="es-ES"/>
        </w:rPr>
      </w:pPr>
    </w:p>
    <w:p w:rsidR="00024EF1" w:rsidRDefault="00024EF1" w:rsidP="00024EF1">
      <w:pPr>
        <w:spacing w:after="0" w:line="240" w:lineRule="auto"/>
        <w:jc w:val="both"/>
        <w:rPr>
          <w:b/>
          <w:color w:val="1F497D" w:themeColor="text2"/>
          <w:lang w:val="es-ES"/>
        </w:rPr>
      </w:pPr>
      <w:r>
        <w:rPr>
          <w:b/>
          <w:color w:val="1F497D" w:themeColor="text2"/>
          <w:lang w:val="es-ES"/>
        </w:rPr>
        <w:t>Ejercicio Virtual I (previo al curso)</w:t>
      </w:r>
    </w:p>
    <w:p w:rsidR="00024EF1" w:rsidRDefault="00024EF1" w:rsidP="00024EF1">
      <w:pPr>
        <w:spacing w:after="0" w:line="240" w:lineRule="auto"/>
        <w:jc w:val="both"/>
        <w:rPr>
          <w:b/>
          <w:color w:val="1F497D" w:themeColor="text2"/>
          <w:lang w:val="es-ES"/>
        </w:rPr>
      </w:pPr>
      <w:r w:rsidRPr="003C237D">
        <w:rPr>
          <w:u w:val="single"/>
          <w:lang w:val="es-ES"/>
        </w:rPr>
        <w:t>Objetivo de aprendizaje:</w:t>
      </w:r>
      <w:r>
        <w:rPr>
          <w:lang w:val="es-ES"/>
        </w:rPr>
        <w:t xml:space="preserve"> Familiarizarse con literatura básica sobre el ciclo de las políticas públicas y el Centro de Gobierno. Preparación de documento breve identificando desafíos básicos del contexto del participante.</w:t>
      </w:r>
    </w:p>
    <w:p w:rsidR="00024EF1" w:rsidRDefault="00024EF1" w:rsidP="00024EF1">
      <w:pPr>
        <w:spacing w:after="0" w:line="240" w:lineRule="auto"/>
        <w:jc w:val="both"/>
        <w:rPr>
          <w:b/>
          <w:color w:val="1F497D" w:themeColor="text2"/>
          <w:lang w:val="es-ES"/>
        </w:rPr>
      </w:pPr>
    </w:p>
    <w:p w:rsidR="00024EF1" w:rsidRDefault="00024EF1" w:rsidP="00024EF1">
      <w:pPr>
        <w:spacing w:after="0" w:line="240" w:lineRule="auto"/>
        <w:jc w:val="both"/>
        <w:rPr>
          <w:b/>
          <w:color w:val="1F497D" w:themeColor="text2"/>
          <w:lang w:val="es-ES"/>
        </w:rPr>
      </w:pPr>
      <w:r w:rsidRPr="004E4AA2">
        <w:rPr>
          <w:b/>
          <w:color w:val="1F497D" w:themeColor="text2"/>
          <w:lang w:val="es-ES"/>
        </w:rPr>
        <w:t xml:space="preserve">Unidad </w:t>
      </w:r>
      <w:r>
        <w:rPr>
          <w:b/>
          <w:color w:val="1F497D" w:themeColor="text2"/>
          <w:lang w:val="es-ES"/>
        </w:rPr>
        <w:t>No. 1</w:t>
      </w:r>
      <w:r w:rsidRPr="004E4AA2">
        <w:rPr>
          <w:b/>
          <w:color w:val="1F497D" w:themeColor="text2"/>
          <w:lang w:val="es-ES"/>
        </w:rPr>
        <w:t xml:space="preserve">: </w:t>
      </w:r>
      <w:r>
        <w:rPr>
          <w:b/>
          <w:color w:val="1F497D" w:themeColor="text2"/>
          <w:lang w:val="es-ES"/>
        </w:rPr>
        <w:t>Introducción: el Ciclo de las Políticas Públicas y el Centro de Gobierno</w:t>
      </w:r>
    </w:p>
    <w:p w:rsidR="00024EF1" w:rsidRDefault="00024EF1" w:rsidP="00024EF1">
      <w:pPr>
        <w:spacing w:after="0" w:line="240" w:lineRule="auto"/>
        <w:ind w:left="720"/>
        <w:jc w:val="both"/>
        <w:rPr>
          <w:b/>
          <w:color w:val="1F497D" w:themeColor="text2"/>
          <w:lang w:val="es-ES"/>
        </w:rPr>
      </w:pPr>
      <w:r w:rsidRPr="002969CE">
        <w:rPr>
          <w:u w:val="single"/>
          <w:lang w:val="es-ES"/>
        </w:rPr>
        <w:t>Objetivo de aprendizaje</w:t>
      </w:r>
      <w:r>
        <w:rPr>
          <w:u w:val="single"/>
          <w:lang w:val="es-ES"/>
        </w:rPr>
        <w:t>:</w:t>
      </w:r>
      <w:r w:rsidRPr="003C237D">
        <w:rPr>
          <w:lang w:val="es-ES"/>
        </w:rPr>
        <w:t xml:space="preserve"> </w:t>
      </w:r>
      <w:r>
        <w:rPr>
          <w:lang w:val="es-ES"/>
        </w:rPr>
        <w:t>Introducir conceptos básicos sobre el ciclo de las políticas públicas, el Centro de Gobierno. Comprender la importancia del uso de las evidencias y de la evaluación (ex ante y ex post) dentro del ciclo de las políticas públicas y el rol del Centro de Gobierno en este ejercicio. Comprender el rol del Centro de Gobierno de interlocución con actores privados (lobbies, grupos de interés, sociedad civil) e institucionales (Congreso) en el día a día y su influencia en llevar a cabo su mandato.</w:t>
      </w:r>
    </w:p>
    <w:p w:rsidR="00024EF1" w:rsidRDefault="00024EF1" w:rsidP="00024EF1">
      <w:pPr>
        <w:spacing w:after="0" w:line="240" w:lineRule="auto"/>
        <w:jc w:val="both"/>
        <w:rPr>
          <w:b/>
          <w:color w:val="1F497D" w:themeColor="text2"/>
          <w:lang w:val="es-ES"/>
        </w:rPr>
      </w:pPr>
    </w:p>
    <w:p w:rsidR="00024EF1" w:rsidRDefault="00024EF1" w:rsidP="00024EF1">
      <w:pPr>
        <w:spacing w:after="0" w:line="240" w:lineRule="auto"/>
        <w:jc w:val="both"/>
        <w:rPr>
          <w:b/>
          <w:color w:val="1F497D" w:themeColor="text2"/>
          <w:lang w:val="es-ES"/>
        </w:rPr>
      </w:pPr>
      <w:r w:rsidRPr="001B6551">
        <w:rPr>
          <w:b/>
          <w:color w:val="1F497D" w:themeColor="text2"/>
          <w:lang w:val="es-ES"/>
        </w:rPr>
        <w:t xml:space="preserve">Unidad </w:t>
      </w:r>
      <w:r>
        <w:rPr>
          <w:b/>
          <w:color w:val="1F497D" w:themeColor="text2"/>
          <w:lang w:val="es-ES"/>
        </w:rPr>
        <w:t>2</w:t>
      </w:r>
      <w:r w:rsidRPr="001B6551">
        <w:rPr>
          <w:b/>
          <w:color w:val="1F497D" w:themeColor="text2"/>
          <w:lang w:val="es-ES"/>
        </w:rPr>
        <w:t xml:space="preserve">. </w:t>
      </w:r>
      <w:r>
        <w:rPr>
          <w:b/>
          <w:color w:val="1F497D" w:themeColor="text2"/>
          <w:lang w:val="es-ES"/>
        </w:rPr>
        <w:t>La toma de decisiones en el sector público</w:t>
      </w:r>
    </w:p>
    <w:p w:rsidR="00024EF1" w:rsidRDefault="00024EF1" w:rsidP="00024EF1">
      <w:pPr>
        <w:spacing w:after="0" w:line="240" w:lineRule="auto"/>
        <w:ind w:left="720"/>
        <w:jc w:val="both"/>
        <w:rPr>
          <w:lang w:val="es-ES"/>
        </w:rPr>
      </w:pPr>
      <w:r w:rsidRPr="001B6551">
        <w:rPr>
          <w:u w:val="single"/>
          <w:lang w:val="es-ES"/>
        </w:rPr>
        <w:t>Objetivo de aprendizaje</w:t>
      </w:r>
      <w:r>
        <w:rPr>
          <w:lang w:val="es-ES"/>
        </w:rPr>
        <w:t>: Aspectos conceptuales de e</w:t>
      </w:r>
      <w:r w:rsidRPr="001B6551">
        <w:rPr>
          <w:lang w:val="es-ES"/>
        </w:rPr>
        <w:t>structuración, lógica técnica y racionalidad política</w:t>
      </w:r>
      <w:r>
        <w:rPr>
          <w:lang w:val="es-ES"/>
        </w:rPr>
        <w:t>.</w:t>
      </w:r>
    </w:p>
    <w:p w:rsidR="00024EF1" w:rsidRDefault="00024EF1" w:rsidP="00024EF1">
      <w:pPr>
        <w:spacing w:after="0" w:line="240" w:lineRule="auto"/>
        <w:jc w:val="both"/>
        <w:rPr>
          <w:b/>
          <w:color w:val="1F497D" w:themeColor="text2"/>
          <w:lang w:val="es-ES"/>
        </w:rPr>
      </w:pPr>
    </w:p>
    <w:p w:rsidR="00024EF1" w:rsidRDefault="00024EF1" w:rsidP="00024EF1">
      <w:pPr>
        <w:spacing w:after="0" w:line="240" w:lineRule="auto"/>
        <w:jc w:val="both"/>
        <w:rPr>
          <w:b/>
          <w:color w:val="1F497D" w:themeColor="text2"/>
          <w:lang w:val="es-ES"/>
        </w:rPr>
      </w:pPr>
      <w:r w:rsidRPr="001B6551">
        <w:rPr>
          <w:b/>
          <w:color w:val="1F497D" w:themeColor="text2"/>
          <w:lang w:val="es-ES"/>
        </w:rPr>
        <w:t xml:space="preserve">Unidad </w:t>
      </w:r>
      <w:r>
        <w:rPr>
          <w:b/>
          <w:color w:val="1F497D" w:themeColor="text2"/>
          <w:lang w:val="es-ES"/>
        </w:rPr>
        <w:t>3</w:t>
      </w:r>
      <w:r w:rsidRPr="001B6551">
        <w:rPr>
          <w:b/>
          <w:color w:val="1F497D" w:themeColor="text2"/>
          <w:lang w:val="es-ES"/>
        </w:rPr>
        <w:t xml:space="preserve">. Herramientas </w:t>
      </w:r>
      <w:r>
        <w:rPr>
          <w:b/>
          <w:color w:val="1F497D" w:themeColor="text2"/>
          <w:lang w:val="es-ES"/>
        </w:rPr>
        <w:t xml:space="preserve">metodológicas y </w:t>
      </w:r>
      <w:r w:rsidRPr="001B6551">
        <w:rPr>
          <w:b/>
          <w:color w:val="1F497D" w:themeColor="text2"/>
          <w:lang w:val="es-ES"/>
        </w:rPr>
        <w:t>tecnológicas de apoyo a la toma de decisión: ventajas</w:t>
      </w:r>
      <w:r>
        <w:rPr>
          <w:b/>
          <w:color w:val="1F497D" w:themeColor="text2"/>
          <w:lang w:val="es-ES"/>
        </w:rPr>
        <w:t xml:space="preserve"> y limitaciones</w:t>
      </w:r>
    </w:p>
    <w:p w:rsidR="00024EF1" w:rsidRPr="003C237D" w:rsidRDefault="00024EF1" w:rsidP="00024EF1">
      <w:pPr>
        <w:spacing w:after="0" w:line="240" w:lineRule="auto"/>
        <w:ind w:left="720"/>
        <w:jc w:val="both"/>
        <w:rPr>
          <w:lang w:val="es-ES"/>
        </w:rPr>
      </w:pPr>
      <w:r w:rsidRPr="003C237D">
        <w:rPr>
          <w:u w:val="single"/>
          <w:lang w:val="es-ES"/>
        </w:rPr>
        <w:t>Objetivo de aprendizaje:</w:t>
      </w:r>
      <w:r w:rsidRPr="003C237D">
        <w:rPr>
          <w:lang w:val="es-ES"/>
        </w:rPr>
        <w:t xml:space="preserve"> </w:t>
      </w:r>
      <w:r>
        <w:rPr>
          <w:lang w:val="es-ES"/>
        </w:rPr>
        <w:t xml:space="preserve">Analizar ventajas y limitaciones de herramientas tecnológicas disponibles en el mercado, como tableros de control de mando, para la toma de decisiones, y herramientas básicas de gestión (balance </w:t>
      </w:r>
      <w:proofErr w:type="spellStart"/>
      <w:r>
        <w:rPr>
          <w:lang w:val="es-ES"/>
        </w:rPr>
        <w:t>scorecard</w:t>
      </w:r>
      <w:proofErr w:type="spellEnd"/>
      <w:r>
        <w:rPr>
          <w:lang w:val="es-ES"/>
        </w:rPr>
        <w:t>, FODA).</w:t>
      </w:r>
    </w:p>
    <w:p w:rsidR="00024EF1" w:rsidRDefault="00024EF1" w:rsidP="00024EF1">
      <w:pPr>
        <w:spacing w:after="0" w:line="240" w:lineRule="auto"/>
        <w:ind w:left="720"/>
        <w:jc w:val="both"/>
        <w:rPr>
          <w:lang w:val="es-ES"/>
        </w:rPr>
      </w:pPr>
      <w:r>
        <w:rPr>
          <w:lang w:val="es-ES"/>
        </w:rPr>
        <w:t xml:space="preserve"> </w:t>
      </w:r>
    </w:p>
    <w:p w:rsidR="00024EF1" w:rsidRDefault="00024EF1" w:rsidP="00024EF1">
      <w:pPr>
        <w:spacing w:after="0" w:line="240" w:lineRule="auto"/>
        <w:jc w:val="both"/>
        <w:rPr>
          <w:b/>
          <w:color w:val="1F497D" w:themeColor="text2"/>
          <w:lang w:val="es-ES"/>
        </w:rPr>
      </w:pPr>
      <w:r>
        <w:rPr>
          <w:b/>
          <w:color w:val="1F497D" w:themeColor="text2"/>
          <w:lang w:val="es-ES"/>
        </w:rPr>
        <w:t>Mercado de Experiencias</w:t>
      </w:r>
    </w:p>
    <w:p w:rsidR="00024EF1" w:rsidRDefault="00024EF1" w:rsidP="00024EF1">
      <w:pPr>
        <w:spacing w:after="0" w:line="240" w:lineRule="auto"/>
        <w:ind w:left="720"/>
        <w:jc w:val="both"/>
        <w:rPr>
          <w:lang w:val="es-ES"/>
        </w:rPr>
      </w:pPr>
      <w:r w:rsidRPr="003C237D">
        <w:rPr>
          <w:u w:val="single"/>
          <w:lang w:val="es-ES"/>
        </w:rPr>
        <w:t>Objetivo de aprendizaje:</w:t>
      </w:r>
      <w:r>
        <w:rPr>
          <w:lang w:val="es-ES"/>
        </w:rPr>
        <w:t xml:space="preserve"> Breve presentación (5 minutos) del documento preparado en el Ejercicio Previo durante el almuerzo del día 1.</w:t>
      </w:r>
    </w:p>
    <w:p w:rsidR="00024EF1" w:rsidRDefault="00024EF1" w:rsidP="00024EF1">
      <w:pPr>
        <w:spacing w:after="0" w:line="240" w:lineRule="auto"/>
        <w:jc w:val="both"/>
        <w:rPr>
          <w:b/>
          <w:sz w:val="24"/>
          <w:lang w:val="es-ES"/>
        </w:rPr>
      </w:pPr>
    </w:p>
    <w:p w:rsidR="00024EF1" w:rsidRDefault="00024EF1" w:rsidP="00024EF1">
      <w:pPr>
        <w:spacing w:after="0" w:line="240" w:lineRule="auto"/>
        <w:jc w:val="both"/>
        <w:rPr>
          <w:b/>
          <w:sz w:val="24"/>
          <w:lang w:val="es-ES"/>
        </w:rPr>
      </w:pPr>
    </w:p>
    <w:p w:rsidR="00024EF1" w:rsidRDefault="00024EF1" w:rsidP="00024EF1">
      <w:pPr>
        <w:spacing w:after="0" w:line="240" w:lineRule="auto"/>
        <w:jc w:val="both"/>
        <w:rPr>
          <w:b/>
          <w:sz w:val="24"/>
          <w:lang w:val="es-ES"/>
        </w:rPr>
      </w:pPr>
    </w:p>
    <w:p w:rsidR="00024EF1" w:rsidRPr="001E7D7B" w:rsidRDefault="00024EF1" w:rsidP="00024EF1">
      <w:pPr>
        <w:spacing w:after="0" w:line="240" w:lineRule="auto"/>
        <w:jc w:val="both"/>
        <w:rPr>
          <w:b/>
          <w:sz w:val="24"/>
          <w:lang w:val="es-ES"/>
        </w:rPr>
      </w:pPr>
      <w:r w:rsidRPr="001E7D7B">
        <w:rPr>
          <w:b/>
          <w:sz w:val="24"/>
          <w:lang w:val="es-ES"/>
        </w:rPr>
        <w:t>Módulo No.</w:t>
      </w:r>
      <w:r>
        <w:rPr>
          <w:b/>
          <w:sz w:val="24"/>
          <w:lang w:val="es-ES"/>
        </w:rPr>
        <w:t>2</w:t>
      </w:r>
      <w:r w:rsidRPr="001E7D7B">
        <w:rPr>
          <w:b/>
          <w:sz w:val="24"/>
          <w:lang w:val="es-ES"/>
        </w:rPr>
        <w:t xml:space="preserve">. </w:t>
      </w:r>
      <w:r>
        <w:rPr>
          <w:b/>
          <w:sz w:val="24"/>
          <w:lang w:val="es-ES"/>
        </w:rPr>
        <w:t xml:space="preserve">Identificación de prioridades de gestión y formalización de compromisos para mejor rendición de cuentas y mayor eficiencia y efectividad gubernamental  </w:t>
      </w:r>
      <w:r w:rsidRPr="00542386">
        <w:rPr>
          <w:b/>
          <w:color w:val="FF0000"/>
          <w:sz w:val="24"/>
          <w:lang w:val="es-ES"/>
        </w:rPr>
        <w:t>(</w:t>
      </w:r>
      <w:r>
        <w:rPr>
          <w:b/>
          <w:color w:val="FF0000"/>
          <w:sz w:val="24"/>
          <w:lang w:val="es-ES"/>
        </w:rPr>
        <w:t xml:space="preserve">1.5 </w:t>
      </w:r>
      <w:r w:rsidRPr="00542386">
        <w:rPr>
          <w:b/>
          <w:color w:val="FF0000"/>
          <w:sz w:val="24"/>
          <w:lang w:val="es-ES"/>
        </w:rPr>
        <w:t>día</w:t>
      </w:r>
      <w:r>
        <w:rPr>
          <w:b/>
          <w:color w:val="FF0000"/>
          <w:sz w:val="24"/>
          <w:lang w:val="es-ES"/>
        </w:rPr>
        <w:t>s</w:t>
      </w:r>
      <w:r w:rsidRPr="00542386">
        <w:rPr>
          <w:b/>
          <w:color w:val="FF0000"/>
          <w:sz w:val="24"/>
          <w:lang w:val="es-ES"/>
        </w:rPr>
        <w:t>)</w:t>
      </w:r>
    </w:p>
    <w:p w:rsidR="00024EF1" w:rsidRDefault="00024EF1" w:rsidP="00024EF1">
      <w:pPr>
        <w:spacing w:after="0" w:line="240" w:lineRule="auto"/>
        <w:jc w:val="both"/>
        <w:rPr>
          <w:b/>
          <w:color w:val="404040" w:themeColor="text1" w:themeTint="BF"/>
          <w:lang w:val="es-ES"/>
        </w:rPr>
      </w:pPr>
      <w:r>
        <w:rPr>
          <w:b/>
          <w:color w:val="404040" w:themeColor="text1" w:themeTint="BF"/>
          <w:lang w:val="es-ES"/>
        </w:rPr>
        <w:pict>
          <v:rect id="_x0000_i1026" style="width:0;height:1.5pt" o:hralign="center" o:hrstd="t" o:hr="t" fillcolor="#aca899" stroked="f"/>
        </w:pict>
      </w:r>
    </w:p>
    <w:p w:rsidR="00024EF1" w:rsidRPr="001E7D7B" w:rsidRDefault="00024EF1" w:rsidP="00024EF1">
      <w:pPr>
        <w:spacing w:after="0" w:line="240" w:lineRule="auto"/>
        <w:jc w:val="both"/>
        <w:rPr>
          <w:b/>
          <w:color w:val="404040" w:themeColor="text1" w:themeTint="BF"/>
          <w:lang w:val="es-ES"/>
        </w:rPr>
      </w:pPr>
      <w:r w:rsidRPr="001E7D7B">
        <w:rPr>
          <w:b/>
          <w:color w:val="404040" w:themeColor="text1" w:themeTint="BF"/>
          <w:lang w:val="es-ES"/>
        </w:rPr>
        <w:t>Objetivo del Módulo</w:t>
      </w:r>
    </w:p>
    <w:p w:rsidR="00024EF1" w:rsidRPr="001E7D7B" w:rsidRDefault="00024EF1" w:rsidP="00024EF1">
      <w:pPr>
        <w:spacing w:after="0" w:line="240" w:lineRule="auto"/>
        <w:jc w:val="both"/>
        <w:rPr>
          <w:i/>
          <w:lang w:val="es-ES"/>
        </w:rPr>
      </w:pPr>
      <w:r>
        <w:rPr>
          <w:i/>
          <w:lang w:val="es-ES"/>
        </w:rPr>
        <w:t>Mejorar la capacidad para bajar promesas de campaña, plataformas electorales y planes de gobierno en ejes estratégicos de máxima prioridad que puedan ser asignados a instituciones específicas, con indicadores y metas monitoreadas en el tiempo y fáciles de comprender para la ciudadanía.</w:t>
      </w:r>
    </w:p>
    <w:p w:rsidR="00024EF1" w:rsidRPr="001E7D7B" w:rsidRDefault="00024EF1" w:rsidP="00024EF1">
      <w:pPr>
        <w:spacing w:after="0" w:line="240" w:lineRule="auto"/>
        <w:jc w:val="both"/>
        <w:rPr>
          <w:lang w:val="es-ES"/>
        </w:rPr>
      </w:pPr>
    </w:p>
    <w:p w:rsidR="00024EF1" w:rsidRPr="001E7D7B" w:rsidRDefault="00024EF1" w:rsidP="00024EF1">
      <w:pPr>
        <w:spacing w:after="0" w:line="240" w:lineRule="auto"/>
        <w:jc w:val="both"/>
        <w:rPr>
          <w:b/>
          <w:color w:val="1F497D" w:themeColor="text2"/>
          <w:lang w:val="es-ES"/>
        </w:rPr>
      </w:pPr>
      <w:r w:rsidRPr="001E7D7B">
        <w:rPr>
          <w:b/>
          <w:color w:val="1F497D" w:themeColor="text2"/>
          <w:lang w:val="es-ES"/>
        </w:rPr>
        <w:t xml:space="preserve">Unidad No.1.  </w:t>
      </w:r>
      <w:r>
        <w:rPr>
          <w:b/>
          <w:color w:val="1F497D" w:themeColor="text2"/>
          <w:lang w:val="es-ES"/>
        </w:rPr>
        <w:t>Introducción</w:t>
      </w:r>
    </w:p>
    <w:p w:rsidR="00024EF1" w:rsidRPr="001E7D7B" w:rsidRDefault="00024EF1" w:rsidP="00024EF1">
      <w:pPr>
        <w:spacing w:after="0" w:line="240" w:lineRule="auto"/>
        <w:ind w:left="720"/>
        <w:jc w:val="both"/>
        <w:rPr>
          <w:lang w:val="es-ES"/>
        </w:rPr>
      </w:pPr>
      <w:r w:rsidRPr="001E7D7B">
        <w:rPr>
          <w:u w:val="single"/>
          <w:lang w:val="es-ES"/>
        </w:rPr>
        <w:t xml:space="preserve">Objetivo de </w:t>
      </w:r>
      <w:r>
        <w:rPr>
          <w:u w:val="single"/>
          <w:lang w:val="es-ES"/>
        </w:rPr>
        <w:t>aprendizaje</w:t>
      </w:r>
      <w:r w:rsidRPr="001E7D7B">
        <w:rPr>
          <w:lang w:val="es-ES"/>
        </w:rPr>
        <w:t xml:space="preserve">: </w:t>
      </w:r>
      <w:r>
        <w:rPr>
          <w:lang w:val="es-ES"/>
        </w:rPr>
        <w:t>Marco conceptual;</w:t>
      </w:r>
      <w:r w:rsidRPr="00906788">
        <w:rPr>
          <w:lang w:val="es-ES"/>
        </w:rPr>
        <w:t xml:space="preserve"> </w:t>
      </w:r>
      <w:r>
        <w:rPr>
          <w:lang w:val="es-ES"/>
        </w:rPr>
        <w:t>d</w:t>
      </w:r>
      <w:r w:rsidRPr="00906788">
        <w:rPr>
          <w:lang w:val="es-ES"/>
        </w:rPr>
        <w:t>iagnóstico</w:t>
      </w:r>
      <w:r>
        <w:rPr>
          <w:lang w:val="es-ES"/>
        </w:rPr>
        <w:t xml:space="preserve"> y problemática</w:t>
      </w:r>
      <w:r w:rsidRPr="001E7D7B">
        <w:rPr>
          <w:lang w:val="es-ES"/>
        </w:rPr>
        <w:t>.</w:t>
      </w:r>
      <w:r>
        <w:rPr>
          <w:lang w:val="es-ES"/>
        </w:rPr>
        <w:t xml:space="preserve"> Antecedentes internacionales. Relevancia para América Latina. </w:t>
      </w:r>
    </w:p>
    <w:p w:rsidR="00024EF1" w:rsidRPr="001E7D7B" w:rsidRDefault="00024EF1" w:rsidP="00024EF1">
      <w:pPr>
        <w:spacing w:after="0" w:line="240" w:lineRule="auto"/>
        <w:jc w:val="both"/>
        <w:rPr>
          <w:lang w:val="es-ES"/>
        </w:rPr>
      </w:pPr>
    </w:p>
    <w:p w:rsidR="00024EF1" w:rsidRPr="001E7D7B" w:rsidRDefault="00024EF1" w:rsidP="00024EF1">
      <w:pPr>
        <w:spacing w:after="0" w:line="240" w:lineRule="auto"/>
        <w:jc w:val="both"/>
        <w:rPr>
          <w:b/>
          <w:color w:val="1F497D" w:themeColor="text2"/>
          <w:lang w:val="es-ES"/>
        </w:rPr>
      </w:pPr>
      <w:r w:rsidRPr="001E7D7B">
        <w:rPr>
          <w:b/>
          <w:color w:val="1F497D" w:themeColor="text2"/>
          <w:lang w:val="es-ES"/>
        </w:rPr>
        <w:t xml:space="preserve">Unidad No.2. </w:t>
      </w:r>
      <w:r>
        <w:rPr>
          <w:b/>
          <w:color w:val="1F497D" w:themeColor="text2"/>
          <w:lang w:val="es-ES"/>
        </w:rPr>
        <w:t>Identificación de las prioridades de gestión: determinación de los ejes estratégicos, acciones, indicadores y metas con plazos concretos</w:t>
      </w:r>
    </w:p>
    <w:p w:rsidR="00024EF1" w:rsidRPr="001E7D7B" w:rsidRDefault="00024EF1" w:rsidP="00024EF1">
      <w:pPr>
        <w:spacing w:after="0" w:line="240" w:lineRule="auto"/>
        <w:ind w:left="720"/>
        <w:jc w:val="both"/>
        <w:rPr>
          <w:lang w:val="es-ES"/>
        </w:rPr>
      </w:pPr>
      <w:r w:rsidRPr="001E7D7B">
        <w:rPr>
          <w:u w:val="single"/>
          <w:lang w:val="es-ES"/>
        </w:rPr>
        <w:t>Objetivo de aprendizaje</w:t>
      </w:r>
      <w:r w:rsidRPr="001E7D7B">
        <w:rPr>
          <w:lang w:val="es-ES"/>
        </w:rPr>
        <w:t xml:space="preserve">: </w:t>
      </w:r>
      <w:r>
        <w:rPr>
          <w:lang w:val="es-ES"/>
        </w:rPr>
        <w:t>Conocer y aplicar herramientas para identificar y planificar los objetivos estratégicos, áreas prioritarias y/o ejes de intervención, así como sus acciones. Alineación entre plan y presupuesto. Análisis de la importancia de los sistemas estadísticos y f</w:t>
      </w:r>
      <w:r w:rsidRPr="001E7D7B">
        <w:rPr>
          <w:lang w:val="es-ES"/>
        </w:rPr>
        <w:t>amiliarización con</w:t>
      </w:r>
      <w:r>
        <w:rPr>
          <w:lang w:val="es-ES"/>
        </w:rPr>
        <w:t xml:space="preserve"> metodologías para la participación ciudadana y el diseño de indicadores de desempeño confiables, con metas, plazos, recursos y responsables concretos.</w:t>
      </w:r>
    </w:p>
    <w:p w:rsidR="00024EF1" w:rsidRPr="001E7D7B" w:rsidRDefault="00024EF1" w:rsidP="00024EF1">
      <w:pPr>
        <w:spacing w:after="0" w:line="240" w:lineRule="auto"/>
        <w:ind w:left="720"/>
        <w:jc w:val="both"/>
        <w:rPr>
          <w:lang w:val="es-ES"/>
        </w:rPr>
      </w:pPr>
    </w:p>
    <w:p w:rsidR="00024EF1" w:rsidRPr="001E7D7B" w:rsidRDefault="00024EF1" w:rsidP="00024EF1">
      <w:pPr>
        <w:spacing w:after="0" w:line="240" w:lineRule="auto"/>
        <w:jc w:val="both"/>
        <w:rPr>
          <w:b/>
          <w:color w:val="1F497D" w:themeColor="text2"/>
          <w:lang w:val="es-ES"/>
        </w:rPr>
      </w:pPr>
      <w:r w:rsidRPr="001E7D7B">
        <w:rPr>
          <w:b/>
          <w:color w:val="1F497D" w:themeColor="text2"/>
          <w:lang w:val="es-ES"/>
        </w:rPr>
        <w:t>Unidad No.</w:t>
      </w:r>
      <w:r>
        <w:rPr>
          <w:b/>
          <w:color w:val="1F497D" w:themeColor="text2"/>
          <w:lang w:val="es-ES"/>
        </w:rPr>
        <w:t>3</w:t>
      </w:r>
      <w:r w:rsidRPr="001E7D7B">
        <w:rPr>
          <w:b/>
          <w:color w:val="1F497D" w:themeColor="text2"/>
          <w:lang w:val="es-ES"/>
        </w:rPr>
        <w:t xml:space="preserve">. </w:t>
      </w:r>
      <w:r>
        <w:rPr>
          <w:b/>
          <w:color w:val="1F497D" w:themeColor="text2"/>
          <w:lang w:val="es-ES"/>
        </w:rPr>
        <w:t>Formalización de los compromisos para una mejor rendición de cuentas. Análisis de herramientas: Contratos de gestión</w:t>
      </w:r>
    </w:p>
    <w:p w:rsidR="00024EF1" w:rsidRDefault="00024EF1" w:rsidP="00024EF1">
      <w:pPr>
        <w:spacing w:after="0" w:line="240" w:lineRule="auto"/>
        <w:ind w:left="720"/>
        <w:jc w:val="both"/>
        <w:rPr>
          <w:lang w:val="es-ES"/>
        </w:rPr>
      </w:pPr>
      <w:r w:rsidRPr="001E7D7B">
        <w:rPr>
          <w:u w:val="single"/>
          <w:lang w:val="es-ES"/>
        </w:rPr>
        <w:t>Objetivo de aprendizaje</w:t>
      </w:r>
      <w:r w:rsidRPr="001E7D7B">
        <w:rPr>
          <w:lang w:val="es-ES"/>
        </w:rPr>
        <w:t xml:space="preserve">: </w:t>
      </w:r>
      <w:r>
        <w:rPr>
          <w:lang w:val="es-ES"/>
        </w:rPr>
        <w:t>Familiarización con las ventajas y desventajas de diferentes modelos de</w:t>
      </w:r>
      <w:r w:rsidRPr="00330854">
        <w:rPr>
          <w:lang w:val="es-ES"/>
        </w:rPr>
        <w:t xml:space="preserve"> contratos de gestión </w:t>
      </w:r>
      <w:r>
        <w:rPr>
          <w:lang w:val="es-ES"/>
        </w:rPr>
        <w:t>aplicados</w:t>
      </w:r>
      <w:r w:rsidRPr="00330854">
        <w:rPr>
          <w:lang w:val="es-ES"/>
        </w:rPr>
        <w:t xml:space="preserve"> </w:t>
      </w:r>
      <w:r>
        <w:rPr>
          <w:lang w:val="es-ES"/>
        </w:rPr>
        <w:t>internacionalmente como instrumento para</w:t>
      </w:r>
      <w:r w:rsidRPr="00330854">
        <w:rPr>
          <w:lang w:val="es-ES"/>
        </w:rPr>
        <w:t xml:space="preserve"> institucionalizar la determinación de responsables por el alcance de las metas de gobierno</w:t>
      </w:r>
      <w:r>
        <w:rPr>
          <w:lang w:val="es-ES"/>
        </w:rPr>
        <w:t xml:space="preserve"> (ejemplos: Minas Gerais en Brasil, ejemplos varios de países de la OCDE). Herramientas entre Centro de Gobierno y ministerios y agencias sectoriales. Herramientas entre gobierno central y gobiernos </w:t>
      </w:r>
      <w:proofErr w:type="spellStart"/>
      <w:r>
        <w:rPr>
          <w:lang w:val="es-ES"/>
        </w:rPr>
        <w:t>subnacionales</w:t>
      </w:r>
      <w:proofErr w:type="spellEnd"/>
      <w:r>
        <w:rPr>
          <w:lang w:val="es-ES"/>
        </w:rPr>
        <w:t>.</w:t>
      </w:r>
    </w:p>
    <w:p w:rsidR="00024EF1" w:rsidRDefault="00024EF1" w:rsidP="00024EF1">
      <w:pPr>
        <w:spacing w:after="0" w:line="240" w:lineRule="auto"/>
        <w:ind w:left="720"/>
        <w:jc w:val="both"/>
        <w:rPr>
          <w:lang w:val="es-ES"/>
        </w:rPr>
      </w:pPr>
    </w:p>
    <w:p w:rsidR="00024EF1" w:rsidRPr="002969CE" w:rsidRDefault="00024EF1" w:rsidP="00024EF1">
      <w:pPr>
        <w:spacing w:after="0" w:line="240" w:lineRule="auto"/>
        <w:jc w:val="both"/>
        <w:rPr>
          <w:lang w:val="es-ES_tradnl"/>
        </w:rPr>
      </w:pPr>
      <w:r>
        <w:rPr>
          <w:b/>
          <w:color w:val="1F497D" w:themeColor="text2"/>
          <w:lang w:val="es-ES"/>
        </w:rPr>
        <w:t>Unidad No. 4 Mecanismos de rendición de cuentas de resultados prioritarios de gestión</w:t>
      </w:r>
    </w:p>
    <w:p w:rsidR="00024EF1" w:rsidRPr="002969CE" w:rsidRDefault="00024EF1" w:rsidP="00024EF1">
      <w:pPr>
        <w:spacing w:after="0" w:line="240" w:lineRule="auto"/>
        <w:ind w:left="720"/>
        <w:jc w:val="both"/>
        <w:rPr>
          <w:lang w:val="es-ES"/>
        </w:rPr>
      </w:pPr>
      <w:r w:rsidRPr="002969CE">
        <w:rPr>
          <w:u w:val="single"/>
          <w:lang w:val="es-ES"/>
        </w:rPr>
        <w:t>Objetivo de aprendizaje:</w:t>
      </w:r>
      <w:r>
        <w:rPr>
          <w:lang w:val="es-ES"/>
        </w:rPr>
        <w:t xml:space="preserve"> </w:t>
      </w:r>
      <w:r w:rsidRPr="002969CE">
        <w:rPr>
          <w:lang w:val="es-ES"/>
        </w:rPr>
        <w:t>Presentar diferentes mecanismos de rendición de cuentas de los resultados de gestión a la ciudadanía</w:t>
      </w:r>
      <w:r>
        <w:rPr>
          <w:lang w:val="es-ES"/>
        </w:rPr>
        <w:t>. Casos de Reino Unido y Malasia.</w:t>
      </w:r>
    </w:p>
    <w:p w:rsidR="00024EF1" w:rsidRDefault="00024EF1" w:rsidP="00024EF1">
      <w:pPr>
        <w:spacing w:after="0" w:line="240" w:lineRule="auto"/>
        <w:jc w:val="both"/>
        <w:rPr>
          <w:b/>
          <w:color w:val="1F497D" w:themeColor="text2"/>
          <w:lang w:val="es-ES"/>
        </w:rPr>
      </w:pPr>
    </w:p>
    <w:p w:rsidR="00024EF1" w:rsidRDefault="00024EF1" w:rsidP="00024EF1">
      <w:pPr>
        <w:spacing w:after="0" w:line="240" w:lineRule="auto"/>
        <w:jc w:val="both"/>
        <w:rPr>
          <w:b/>
          <w:color w:val="1F497D" w:themeColor="text2"/>
          <w:lang w:val="es-ES"/>
        </w:rPr>
      </w:pPr>
      <w:r w:rsidRPr="006752D4">
        <w:rPr>
          <w:b/>
          <w:color w:val="1F497D" w:themeColor="text2"/>
          <w:lang w:val="es-ES"/>
        </w:rPr>
        <w:t xml:space="preserve">Unidad No. </w:t>
      </w:r>
      <w:r>
        <w:rPr>
          <w:b/>
          <w:color w:val="1F497D" w:themeColor="text2"/>
          <w:lang w:val="es-ES"/>
        </w:rPr>
        <w:t>5. El uso de la evaluación en el diseño de nuevas políticas</w:t>
      </w:r>
    </w:p>
    <w:p w:rsidR="00024EF1" w:rsidRPr="001C4F65" w:rsidRDefault="00024EF1" w:rsidP="00024EF1">
      <w:pPr>
        <w:spacing w:after="0" w:line="240" w:lineRule="auto"/>
        <w:ind w:left="720"/>
        <w:jc w:val="both"/>
        <w:rPr>
          <w:lang w:val="es-ES"/>
        </w:rPr>
      </w:pPr>
      <w:r w:rsidRPr="004E4AA2">
        <w:rPr>
          <w:u w:val="single"/>
          <w:lang w:val="es-ES"/>
        </w:rPr>
        <w:t>Objetivo de aprendizaje</w:t>
      </w:r>
      <w:r>
        <w:rPr>
          <w:lang w:val="es-ES"/>
        </w:rPr>
        <w:t>: Explorar mecanismos específicos para integrar los resultados de evaluación de programas y políticas en el diseño de nuevas políticas (A través de la presentación de c</w:t>
      </w:r>
      <w:r w:rsidRPr="001C4F65">
        <w:rPr>
          <w:lang w:val="es-ES"/>
        </w:rPr>
        <w:t>asos</w:t>
      </w:r>
      <w:r>
        <w:rPr>
          <w:lang w:val="es-ES"/>
        </w:rPr>
        <w:t xml:space="preserve"> -</w:t>
      </w:r>
      <w:r w:rsidRPr="001C4F65">
        <w:rPr>
          <w:lang w:val="es-ES"/>
        </w:rPr>
        <w:t xml:space="preserve"> </w:t>
      </w:r>
      <w:r>
        <w:rPr>
          <w:lang w:val="es-ES"/>
        </w:rPr>
        <w:t>s</w:t>
      </w:r>
      <w:r w:rsidRPr="001C4F65">
        <w:rPr>
          <w:lang w:val="es-ES"/>
        </w:rPr>
        <w:t>erán</w:t>
      </w:r>
      <w:r>
        <w:rPr>
          <w:lang w:val="es-ES"/>
        </w:rPr>
        <w:t xml:space="preserve"> adaptados al público objetivo, por ejemplo: </w:t>
      </w:r>
      <w:r w:rsidRPr="001C4F65">
        <w:rPr>
          <w:lang w:val="es-ES"/>
        </w:rPr>
        <w:t>México, Sudáfrica, etc</w:t>
      </w:r>
      <w:r>
        <w:rPr>
          <w:lang w:val="es-ES"/>
        </w:rPr>
        <w:t>.</w:t>
      </w:r>
      <w:r w:rsidRPr="001C4F65">
        <w:rPr>
          <w:lang w:val="es-ES"/>
        </w:rPr>
        <w:t>)</w:t>
      </w:r>
    </w:p>
    <w:p w:rsidR="00024EF1" w:rsidRDefault="00024EF1" w:rsidP="00024EF1">
      <w:pPr>
        <w:spacing w:after="0" w:line="240" w:lineRule="auto"/>
        <w:jc w:val="both"/>
        <w:rPr>
          <w:b/>
          <w:color w:val="1F497D" w:themeColor="text2"/>
          <w:lang w:val="es-ES"/>
        </w:rPr>
      </w:pPr>
    </w:p>
    <w:p w:rsidR="00024EF1" w:rsidRPr="00DB41A9" w:rsidRDefault="00024EF1" w:rsidP="00024EF1">
      <w:pPr>
        <w:spacing w:after="0" w:line="240" w:lineRule="auto"/>
        <w:jc w:val="both"/>
        <w:rPr>
          <w:b/>
          <w:color w:val="1F497D" w:themeColor="text2"/>
          <w:lang w:val="es-ES"/>
        </w:rPr>
      </w:pPr>
      <w:r w:rsidRPr="00DB41A9">
        <w:rPr>
          <w:b/>
          <w:color w:val="1F497D" w:themeColor="text2"/>
          <w:lang w:val="es-ES"/>
        </w:rPr>
        <w:t>Mercado de Experiencias</w:t>
      </w:r>
    </w:p>
    <w:p w:rsidR="00024EF1" w:rsidRDefault="00024EF1" w:rsidP="00024EF1">
      <w:pPr>
        <w:spacing w:after="0" w:line="240" w:lineRule="auto"/>
        <w:ind w:left="720"/>
        <w:jc w:val="both"/>
        <w:rPr>
          <w:b/>
          <w:sz w:val="24"/>
          <w:lang w:val="es-ES"/>
        </w:rPr>
      </w:pPr>
      <w:r w:rsidRPr="004E4AA2">
        <w:rPr>
          <w:u w:val="single"/>
          <w:lang w:val="es-ES"/>
        </w:rPr>
        <w:t>Objetivo de aprendizaje</w:t>
      </w:r>
      <w:r w:rsidRPr="004E4AA2">
        <w:rPr>
          <w:lang w:val="es-ES"/>
        </w:rPr>
        <w:t>:</w:t>
      </w:r>
      <w:r>
        <w:rPr>
          <w:lang w:val="es-ES"/>
        </w:rPr>
        <w:t xml:space="preserve"> Participantes de países seleccionados se refieren a sus experiencias en la identificación de las prioridades de gestión y formalización de compromisos para rendición de cuentas durante el almuerzo del día 2. </w:t>
      </w:r>
    </w:p>
    <w:p w:rsidR="00024EF1" w:rsidRDefault="00024EF1" w:rsidP="00024EF1">
      <w:pPr>
        <w:spacing w:after="0" w:line="240" w:lineRule="auto"/>
        <w:jc w:val="both"/>
        <w:rPr>
          <w:b/>
          <w:color w:val="1F497D" w:themeColor="text2"/>
          <w:lang w:val="es-ES"/>
        </w:rPr>
      </w:pPr>
    </w:p>
    <w:p w:rsidR="00024EF1" w:rsidRDefault="00024EF1" w:rsidP="00024EF1">
      <w:pPr>
        <w:spacing w:after="0" w:line="240" w:lineRule="auto"/>
        <w:jc w:val="both"/>
        <w:rPr>
          <w:b/>
          <w:color w:val="1F497D" w:themeColor="text2"/>
          <w:lang w:val="es-ES"/>
        </w:rPr>
      </w:pPr>
    </w:p>
    <w:p w:rsidR="00024EF1" w:rsidRDefault="00024EF1" w:rsidP="00024EF1">
      <w:pPr>
        <w:spacing w:after="0" w:line="240" w:lineRule="auto"/>
        <w:jc w:val="both"/>
        <w:rPr>
          <w:b/>
          <w:sz w:val="24"/>
          <w:lang w:val="es-ES"/>
        </w:rPr>
      </w:pPr>
      <w:r>
        <w:rPr>
          <w:b/>
          <w:sz w:val="24"/>
          <w:lang w:val="es-ES"/>
        </w:rPr>
        <w:lastRenderedPageBreak/>
        <w:t xml:space="preserve">Módulo 3.  Coordinación de la acción gubernamental desde el Centro de Gobierno </w:t>
      </w:r>
      <w:r w:rsidRPr="00542386">
        <w:rPr>
          <w:b/>
          <w:color w:val="FF0000"/>
          <w:sz w:val="24"/>
          <w:lang w:val="es-ES"/>
        </w:rPr>
        <w:t>(</w:t>
      </w:r>
      <w:r>
        <w:rPr>
          <w:b/>
          <w:color w:val="FF0000"/>
          <w:sz w:val="24"/>
          <w:lang w:val="es-ES"/>
        </w:rPr>
        <w:t xml:space="preserve">1 </w:t>
      </w:r>
      <w:r w:rsidRPr="00542386">
        <w:rPr>
          <w:b/>
          <w:color w:val="FF0000"/>
          <w:sz w:val="24"/>
          <w:lang w:val="es-ES"/>
        </w:rPr>
        <w:t>día)</w:t>
      </w:r>
    </w:p>
    <w:p w:rsidR="00024EF1" w:rsidRDefault="00024EF1" w:rsidP="00024EF1">
      <w:pPr>
        <w:spacing w:after="0" w:line="240" w:lineRule="auto"/>
        <w:jc w:val="both"/>
        <w:rPr>
          <w:sz w:val="24"/>
          <w:lang w:val="es-ES"/>
        </w:rPr>
      </w:pPr>
      <w:r>
        <w:rPr>
          <w:b/>
          <w:color w:val="404040" w:themeColor="text1" w:themeTint="BF"/>
          <w:lang w:val="es-ES"/>
        </w:rPr>
        <w:pict>
          <v:rect id="_x0000_i1027" style="width:0;height:1.5pt" o:hralign="center" o:hrstd="t" o:hr="t" fillcolor="#aca899" stroked="f"/>
        </w:pict>
      </w:r>
    </w:p>
    <w:p w:rsidR="00024EF1" w:rsidRDefault="00024EF1" w:rsidP="00024EF1">
      <w:pPr>
        <w:spacing w:after="0" w:line="240" w:lineRule="auto"/>
        <w:jc w:val="both"/>
        <w:rPr>
          <w:sz w:val="24"/>
          <w:lang w:val="es-ES"/>
        </w:rPr>
      </w:pPr>
      <w:r w:rsidRPr="001B6551">
        <w:rPr>
          <w:b/>
          <w:color w:val="404040" w:themeColor="text1" w:themeTint="BF"/>
          <w:lang w:val="es-ES"/>
        </w:rPr>
        <w:t>Objetivo</w:t>
      </w:r>
      <w:r>
        <w:rPr>
          <w:b/>
          <w:color w:val="404040" w:themeColor="text1" w:themeTint="BF"/>
          <w:lang w:val="es-ES"/>
        </w:rPr>
        <w:t xml:space="preserve"> del Módulo</w:t>
      </w:r>
      <w:r w:rsidRPr="001B6551">
        <w:rPr>
          <w:sz w:val="24"/>
          <w:lang w:val="es-ES"/>
        </w:rPr>
        <w:t>:</w:t>
      </w:r>
      <w:r>
        <w:rPr>
          <w:sz w:val="24"/>
          <w:lang w:val="es-ES"/>
        </w:rPr>
        <w:t xml:space="preserve"> </w:t>
      </w:r>
    </w:p>
    <w:p w:rsidR="00024EF1" w:rsidRDefault="00024EF1" w:rsidP="00024EF1">
      <w:pPr>
        <w:spacing w:after="0" w:line="240" w:lineRule="auto"/>
        <w:jc w:val="both"/>
        <w:rPr>
          <w:i/>
          <w:lang w:val="es-ES"/>
        </w:rPr>
      </w:pPr>
      <w:r w:rsidRPr="004E4AA2">
        <w:rPr>
          <w:i/>
          <w:lang w:val="es-ES"/>
        </w:rPr>
        <w:t>Destacar la importancia de la función de coordinación para garantizar la alineación estratégica</w:t>
      </w:r>
      <w:r>
        <w:rPr>
          <w:i/>
          <w:lang w:val="es-ES"/>
        </w:rPr>
        <w:t>, coherencia y calidad</w:t>
      </w:r>
      <w:r w:rsidRPr="004E4AA2">
        <w:rPr>
          <w:i/>
          <w:lang w:val="es-ES"/>
        </w:rPr>
        <w:t xml:space="preserve"> de la acción de gobierno.</w:t>
      </w:r>
    </w:p>
    <w:p w:rsidR="00024EF1" w:rsidRPr="004E4AA2" w:rsidRDefault="00024EF1" w:rsidP="00024EF1">
      <w:pPr>
        <w:spacing w:after="0" w:line="240" w:lineRule="auto"/>
        <w:jc w:val="both"/>
        <w:rPr>
          <w:i/>
          <w:lang w:val="es-ES"/>
        </w:rPr>
      </w:pPr>
    </w:p>
    <w:p w:rsidR="00024EF1" w:rsidRDefault="00024EF1" w:rsidP="00024EF1">
      <w:pPr>
        <w:spacing w:after="0" w:line="240" w:lineRule="auto"/>
        <w:jc w:val="both"/>
        <w:rPr>
          <w:sz w:val="24"/>
          <w:lang w:val="es-ES"/>
        </w:rPr>
      </w:pPr>
      <w:r w:rsidRPr="001B6551">
        <w:rPr>
          <w:b/>
          <w:color w:val="1F497D" w:themeColor="text2"/>
          <w:lang w:val="es-ES"/>
        </w:rPr>
        <w:t>Unidad 1: La necesidad de una mejor coordinación gubernamen</w:t>
      </w:r>
      <w:r>
        <w:rPr>
          <w:b/>
          <w:color w:val="1F497D" w:themeColor="text2"/>
          <w:lang w:val="es-ES"/>
        </w:rPr>
        <w:t>tal desde el Centro de Gobierno</w:t>
      </w:r>
    </w:p>
    <w:p w:rsidR="00024EF1" w:rsidRPr="004E4AA2" w:rsidRDefault="00024EF1" w:rsidP="00024EF1">
      <w:pPr>
        <w:spacing w:after="0" w:line="240" w:lineRule="auto"/>
        <w:ind w:left="720"/>
        <w:jc w:val="both"/>
        <w:rPr>
          <w:lang w:val="es-ES"/>
        </w:rPr>
      </w:pPr>
      <w:r w:rsidRPr="004E4AA2">
        <w:rPr>
          <w:u w:val="single"/>
          <w:lang w:val="es-ES"/>
        </w:rPr>
        <w:t>Objetivo de aprendizaje</w:t>
      </w:r>
      <w:r w:rsidRPr="004E4AA2">
        <w:rPr>
          <w:lang w:val="es-ES"/>
        </w:rPr>
        <w:t>: Comprender los incentivos a la fragmentación institucional y la importancia de la coordinación. Analizar la influencia de la Nueva Gerencia Pública en la fragmentación institucional</w:t>
      </w:r>
      <w:r>
        <w:rPr>
          <w:lang w:val="es-ES"/>
        </w:rPr>
        <w:t xml:space="preserve">, el enfoque </w:t>
      </w:r>
      <w:proofErr w:type="spellStart"/>
      <w:r w:rsidRPr="004D2171">
        <w:rPr>
          <w:i/>
          <w:lang w:val="es-ES"/>
        </w:rPr>
        <w:t>whole</w:t>
      </w:r>
      <w:proofErr w:type="spellEnd"/>
      <w:r w:rsidRPr="004D2171">
        <w:rPr>
          <w:i/>
          <w:lang w:val="es-ES"/>
        </w:rPr>
        <w:t>-of-</w:t>
      </w:r>
      <w:proofErr w:type="spellStart"/>
      <w:r w:rsidRPr="004D2171">
        <w:rPr>
          <w:i/>
          <w:lang w:val="es-ES"/>
        </w:rPr>
        <w:t>government</w:t>
      </w:r>
      <w:proofErr w:type="spellEnd"/>
      <w:r w:rsidRPr="004E4AA2">
        <w:rPr>
          <w:lang w:val="es-ES"/>
        </w:rPr>
        <w:t xml:space="preserve"> y las tendencias pendulares </w:t>
      </w:r>
      <w:r>
        <w:rPr>
          <w:lang w:val="es-ES"/>
        </w:rPr>
        <w:t>de</w:t>
      </w:r>
      <w:r w:rsidRPr="004E4AA2">
        <w:rPr>
          <w:lang w:val="es-ES"/>
        </w:rPr>
        <w:t xml:space="preserve"> concentración </w:t>
      </w:r>
      <w:r>
        <w:rPr>
          <w:lang w:val="es-ES"/>
        </w:rPr>
        <w:t>vs</w:t>
      </w:r>
      <w:r w:rsidRPr="004E4AA2">
        <w:rPr>
          <w:lang w:val="es-ES"/>
        </w:rPr>
        <w:t xml:space="preserve"> fragmentación de la administración en países de la OCDE y de América Latina.</w:t>
      </w:r>
    </w:p>
    <w:p w:rsidR="00024EF1" w:rsidRDefault="00024EF1" w:rsidP="00024EF1">
      <w:pPr>
        <w:spacing w:after="0" w:line="240" w:lineRule="auto"/>
        <w:jc w:val="both"/>
        <w:rPr>
          <w:sz w:val="24"/>
          <w:lang w:val="es-ES"/>
        </w:rPr>
      </w:pPr>
    </w:p>
    <w:p w:rsidR="00024EF1" w:rsidRPr="001B6551" w:rsidRDefault="00024EF1" w:rsidP="00024EF1">
      <w:pPr>
        <w:spacing w:after="0" w:line="240" w:lineRule="auto"/>
        <w:jc w:val="both"/>
        <w:rPr>
          <w:sz w:val="24"/>
          <w:lang w:val="es-ES"/>
        </w:rPr>
      </w:pPr>
      <w:r w:rsidRPr="001B6551">
        <w:rPr>
          <w:b/>
          <w:color w:val="1F497D" w:themeColor="text2"/>
          <w:lang w:val="es-ES"/>
        </w:rPr>
        <w:t>Unidad 2: Modelos y herramientas de apoyo a la coordinación gubernamental</w:t>
      </w:r>
    </w:p>
    <w:p w:rsidR="00024EF1" w:rsidRDefault="00024EF1" w:rsidP="00024EF1">
      <w:pPr>
        <w:spacing w:after="0" w:line="240" w:lineRule="auto"/>
        <w:ind w:left="720"/>
        <w:jc w:val="both"/>
        <w:rPr>
          <w:lang w:val="es-ES"/>
        </w:rPr>
      </w:pPr>
      <w:r w:rsidRPr="004E4AA2">
        <w:rPr>
          <w:u w:val="single"/>
          <w:lang w:val="es-ES"/>
        </w:rPr>
        <w:t>Objetivo de aprendizaje</w:t>
      </w:r>
      <w:r w:rsidRPr="004E4AA2">
        <w:rPr>
          <w:lang w:val="es-ES"/>
        </w:rPr>
        <w:t xml:space="preserve">: Familiarizarse con </w:t>
      </w:r>
      <w:r>
        <w:rPr>
          <w:lang w:val="es-ES"/>
        </w:rPr>
        <w:t>modelos institucionales y herramientas para la coordinación gubernamental como la evaluación ex-ante de políticas públicas, análisis de impacto, coordinación de gabinete, cámaras sectoriales, consejos de asesores, salas de situación, etc.</w:t>
      </w:r>
    </w:p>
    <w:p w:rsidR="00024EF1" w:rsidRDefault="00024EF1" w:rsidP="00024EF1">
      <w:pPr>
        <w:spacing w:after="0" w:line="240" w:lineRule="auto"/>
        <w:ind w:left="720"/>
        <w:jc w:val="both"/>
        <w:rPr>
          <w:lang w:val="es-ES"/>
        </w:rPr>
      </w:pPr>
    </w:p>
    <w:p w:rsidR="00024EF1" w:rsidRPr="00DB41A9" w:rsidRDefault="00024EF1" w:rsidP="00024EF1">
      <w:pPr>
        <w:spacing w:after="0" w:line="240" w:lineRule="auto"/>
        <w:jc w:val="both"/>
        <w:rPr>
          <w:b/>
          <w:color w:val="1F497D" w:themeColor="text2"/>
          <w:lang w:val="es-ES"/>
        </w:rPr>
      </w:pPr>
      <w:r w:rsidRPr="00DB41A9">
        <w:rPr>
          <w:b/>
          <w:color w:val="1F497D" w:themeColor="text2"/>
          <w:lang w:val="es-ES"/>
        </w:rPr>
        <w:t>Mercado de Experiencias</w:t>
      </w:r>
    </w:p>
    <w:p w:rsidR="00024EF1" w:rsidRDefault="00024EF1" w:rsidP="00024EF1">
      <w:pPr>
        <w:spacing w:after="0" w:line="240" w:lineRule="auto"/>
        <w:ind w:left="720"/>
        <w:jc w:val="both"/>
        <w:rPr>
          <w:b/>
          <w:sz w:val="24"/>
          <w:lang w:val="es-ES"/>
        </w:rPr>
      </w:pPr>
      <w:r w:rsidRPr="004E4AA2">
        <w:rPr>
          <w:u w:val="single"/>
          <w:lang w:val="es-ES"/>
        </w:rPr>
        <w:t>Objetivo de aprendizaje</w:t>
      </w:r>
      <w:r w:rsidRPr="004E4AA2">
        <w:rPr>
          <w:lang w:val="es-ES"/>
        </w:rPr>
        <w:t>:</w:t>
      </w:r>
      <w:r>
        <w:rPr>
          <w:lang w:val="es-ES"/>
        </w:rPr>
        <w:t xml:space="preserve"> Participantes de países seleccionados se refieren al desafío de la coordinación gubernamental del Centro de Gobierno en sus países durante el almuerzo del día 3.</w:t>
      </w:r>
    </w:p>
    <w:p w:rsidR="00024EF1" w:rsidRDefault="00024EF1" w:rsidP="00024EF1">
      <w:pPr>
        <w:spacing w:after="0" w:line="240" w:lineRule="auto"/>
        <w:jc w:val="both"/>
        <w:rPr>
          <w:b/>
          <w:color w:val="1F497D" w:themeColor="text2"/>
          <w:lang w:val="es-ES"/>
        </w:rPr>
      </w:pPr>
    </w:p>
    <w:p w:rsidR="00024EF1" w:rsidRDefault="00024EF1" w:rsidP="00024EF1">
      <w:pPr>
        <w:spacing w:after="0" w:line="240" w:lineRule="auto"/>
        <w:jc w:val="both"/>
        <w:rPr>
          <w:b/>
          <w:color w:val="1F497D" w:themeColor="text2"/>
          <w:lang w:val="es-ES"/>
        </w:rPr>
      </w:pPr>
    </w:p>
    <w:p w:rsidR="00024EF1" w:rsidRPr="001E7D7B" w:rsidRDefault="00024EF1" w:rsidP="00024EF1">
      <w:pPr>
        <w:spacing w:after="0" w:line="240" w:lineRule="auto"/>
        <w:jc w:val="both"/>
        <w:rPr>
          <w:b/>
          <w:lang w:val="es-ES"/>
        </w:rPr>
      </w:pPr>
      <w:r w:rsidRPr="001E7D7B">
        <w:rPr>
          <w:b/>
          <w:sz w:val="24"/>
          <w:lang w:val="es-ES"/>
        </w:rPr>
        <w:t>Módulo No.</w:t>
      </w:r>
      <w:r>
        <w:rPr>
          <w:b/>
          <w:sz w:val="24"/>
          <w:lang w:val="es-ES"/>
        </w:rPr>
        <w:t xml:space="preserve">4. Aspectos Institucionales: Unidades de Resultados de Gestión (URG) o </w:t>
      </w:r>
      <w:proofErr w:type="spellStart"/>
      <w:r w:rsidRPr="00212249">
        <w:rPr>
          <w:b/>
          <w:i/>
          <w:sz w:val="24"/>
          <w:lang w:val="es-ES"/>
        </w:rPr>
        <w:t>Delivery</w:t>
      </w:r>
      <w:proofErr w:type="spellEnd"/>
      <w:r w:rsidRPr="00212249">
        <w:rPr>
          <w:b/>
          <w:i/>
          <w:sz w:val="24"/>
          <w:lang w:val="es-ES"/>
        </w:rPr>
        <w:t xml:space="preserve"> </w:t>
      </w:r>
      <w:proofErr w:type="spellStart"/>
      <w:r w:rsidRPr="00212249">
        <w:rPr>
          <w:b/>
          <w:i/>
          <w:sz w:val="24"/>
          <w:lang w:val="es-ES"/>
        </w:rPr>
        <w:t>Units</w:t>
      </w:r>
      <w:proofErr w:type="spellEnd"/>
      <w:r>
        <w:rPr>
          <w:b/>
          <w:i/>
          <w:sz w:val="24"/>
          <w:lang w:val="es-ES"/>
        </w:rPr>
        <w:t xml:space="preserve"> </w:t>
      </w:r>
      <w:r>
        <w:rPr>
          <w:b/>
          <w:sz w:val="24"/>
          <w:lang w:val="es-ES"/>
        </w:rPr>
        <w:t xml:space="preserve">y otros mecanismos organizacionales para el Centro de Gobierno </w:t>
      </w:r>
      <w:r w:rsidRPr="00542386">
        <w:rPr>
          <w:b/>
          <w:color w:val="FF0000"/>
          <w:sz w:val="24"/>
          <w:lang w:val="es-ES"/>
        </w:rPr>
        <w:t>(</w:t>
      </w:r>
      <w:r>
        <w:rPr>
          <w:b/>
          <w:color w:val="FF0000"/>
          <w:sz w:val="24"/>
          <w:lang w:val="es-ES"/>
        </w:rPr>
        <w:t xml:space="preserve">0.5 </w:t>
      </w:r>
      <w:r w:rsidRPr="00542386">
        <w:rPr>
          <w:b/>
          <w:color w:val="FF0000"/>
          <w:sz w:val="24"/>
          <w:lang w:val="es-ES"/>
        </w:rPr>
        <w:t>día</w:t>
      </w:r>
      <w:r>
        <w:rPr>
          <w:b/>
          <w:color w:val="FF0000"/>
          <w:sz w:val="24"/>
          <w:lang w:val="es-ES"/>
        </w:rPr>
        <w:t>s</w:t>
      </w:r>
      <w:r w:rsidRPr="00542386">
        <w:rPr>
          <w:b/>
          <w:color w:val="FF0000"/>
          <w:sz w:val="24"/>
          <w:lang w:val="es-ES"/>
        </w:rPr>
        <w:t>)</w:t>
      </w:r>
    </w:p>
    <w:p w:rsidR="00024EF1" w:rsidRDefault="00024EF1" w:rsidP="00024EF1">
      <w:pPr>
        <w:spacing w:after="0" w:line="240" w:lineRule="auto"/>
        <w:jc w:val="both"/>
        <w:rPr>
          <w:lang w:val="es-ES"/>
        </w:rPr>
      </w:pPr>
      <w:r>
        <w:rPr>
          <w:b/>
          <w:color w:val="404040" w:themeColor="text1" w:themeTint="BF"/>
          <w:lang w:val="es-ES"/>
        </w:rPr>
        <w:pict>
          <v:rect id="_x0000_i1028" style="width:0;height:1.5pt" o:hralign="center" o:hrstd="t" o:hr="t" fillcolor="#aca899" stroked="f"/>
        </w:pict>
      </w:r>
    </w:p>
    <w:p w:rsidR="00024EF1" w:rsidRPr="001E7D7B" w:rsidRDefault="00024EF1" w:rsidP="00024EF1">
      <w:pPr>
        <w:spacing w:after="0" w:line="240" w:lineRule="auto"/>
        <w:jc w:val="both"/>
        <w:rPr>
          <w:b/>
          <w:color w:val="404040" w:themeColor="text1" w:themeTint="BF"/>
          <w:lang w:val="es-ES"/>
        </w:rPr>
      </w:pPr>
      <w:r w:rsidRPr="001E7D7B">
        <w:rPr>
          <w:b/>
          <w:color w:val="404040" w:themeColor="text1" w:themeTint="BF"/>
          <w:lang w:val="es-ES"/>
        </w:rPr>
        <w:t>Objetivo del Módulo</w:t>
      </w:r>
    </w:p>
    <w:p w:rsidR="00024EF1" w:rsidRPr="001E7D7B" w:rsidRDefault="00024EF1" w:rsidP="00024EF1">
      <w:pPr>
        <w:spacing w:after="0" w:line="240" w:lineRule="auto"/>
        <w:jc w:val="both"/>
        <w:rPr>
          <w:i/>
          <w:lang w:val="es-ES"/>
        </w:rPr>
      </w:pPr>
      <w:r>
        <w:rPr>
          <w:i/>
          <w:lang w:val="es-ES"/>
        </w:rPr>
        <w:t xml:space="preserve">Presentar experiencias internacionales de montaje de unidades de resultados de gestión o </w:t>
      </w:r>
      <w:proofErr w:type="spellStart"/>
      <w:r>
        <w:rPr>
          <w:i/>
          <w:lang w:val="es-ES"/>
        </w:rPr>
        <w:t>delivery</w:t>
      </w:r>
      <w:proofErr w:type="spellEnd"/>
      <w:r>
        <w:rPr>
          <w:i/>
          <w:lang w:val="es-ES"/>
        </w:rPr>
        <w:t xml:space="preserve"> </w:t>
      </w:r>
      <w:proofErr w:type="spellStart"/>
      <w:r>
        <w:rPr>
          <w:i/>
          <w:lang w:val="es-ES"/>
        </w:rPr>
        <w:t>units</w:t>
      </w:r>
      <w:proofErr w:type="spellEnd"/>
      <w:r>
        <w:rPr>
          <w:i/>
          <w:lang w:val="es-ES"/>
        </w:rPr>
        <w:t xml:space="preserve"> incluyendo: (i) opciones de estructura organizativa;  (ii) perfiles del personal; (iii) interacción con ministerios sectoriales y sistemas para el mecanismo de reportes; (v) lecciones aprendidas y principales desafíos para su implementación; (iv) costos estimados de la unidad.</w:t>
      </w:r>
    </w:p>
    <w:p w:rsidR="00024EF1" w:rsidRDefault="00024EF1" w:rsidP="00024EF1">
      <w:pPr>
        <w:spacing w:after="0" w:line="240" w:lineRule="auto"/>
        <w:jc w:val="both"/>
        <w:rPr>
          <w:lang w:val="es-ES"/>
        </w:rPr>
      </w:pPr>
    </w:p>
    <w:p w:rsidR="00024EF1" w:rsidRDefault="00024EF1" w:rsidP="00024EF1">
      <w:pPr>
        <w:spacing w:after="0" w:line="240" w:lineRule="auto"/>
        <w:jc w:val="both"/>
        <w:rPr>
          <w:b/>
          <w:color w:val="1F497D" w:themeColor="text2"/>
          <w:lang w:val="es-ES"/>
        </w:rPr>
      </w:pPr>
      <w:r w:rsidRPr="004E4AA2">
        <w:rPr>
          <w:b/>
          <w:color w:val="1F497D" w:themeColor="text2"/>
          <w:lang w:val="es-ES"/>
        </w:rPr>
        <w:t xml:space="preserve">Unidad </w:t>
      </w:r>
      <w:r>
        <w:rPr>
          <w:b/>
          <w:color w:val="1F497D" w:themeColor="text2"/>
          <w:lang w:val="es-ES"/>
        </w:rPr>
        <w:t xml:space="preserve">No. </w:t>
      </w:r>
      <w:r w:rsidRPr="004E4AA2">
        <w:rPr>
          <w:b/>
          <w:color w:val="1F497D" w:themeColor="text2"/>
          <w:lang w:val="es-ES"/>
        </w:rPr>
        <w:t xml:space="preserve">1: </w:t>
      </w:r>
      <w:r>
        <w:rPr>
          <w:b/>
          <w:color w:val="1F497D" w:themeColor="text2"/>
          <w:lang w:val="es-ES"/>
        </w:rPr>
        <w:t xml:space="preserve">Aspectos institucionales </w:t>
      </w:r>
      <w:r w:rsidRPr="004E4AA2">
        <w:rPr>
          <w:b/>
          <w:color w:val="1F497D" w:themeColor="text2"/>
          <w:lang w:val="es-ES"/>
        </w:rPr>
        <w:t>para el seguimiento de prioridades y la ge</w:t>
      </w:r>
      <w:r>
        <w:rPr>
          <w:b/>
          <w:color w:val="1F497D" w:themeColor="text2"/>
          <w:lang w:val="es-ES"/>
        </w:rPr>
        <w:t>stión de riesgos.  Mapeo de la cadena de entrega de servicios en sectores prioritarios.</w:t>
      </w:r>
    </w:p>
    <w:p w:rsidR="00024EF1" w:rsidRPr="004E4AA2" w:rsidRDefault="00024EF1" w:rsidP="00024EF1">
      <w:pPr>
        <w:spacing w:after="0" w:line="240" w:lineRule="auto"/>
        <w:ind w:left="720"/>
        <w:jc w:val="both"/>
        <w:rPr>
          <w:b/>
          <w:color w:val="1F497D" w:themeColor="text2"/>
          <w:lang w:val="es-ES"/>
        </w:rPr>
      </w:pPr>
      <w:r w:rsidRPr="002969CE">
        <w:rPr>
          <w:u w:val="single"/>
          <w:lang w:val="es-ES"/>
        </w:rPr>
        <w:t>Objetivo de aprendizaje:</w:t>
      </w:r>
      <w:r>
        <w:rPr>
          <w:lang w:val="es-ES"/>
        </w:rPr>
        <w:t xml:space="preserve"> Analizar opciones organizacionales, perfiles de personal y costos de para llevar a cabo las funciones descriptas en módulos anteriores. </w:t>
      </w:r>
      <w:proofErr w:type="spellStart"/>
      <w:r w:rsidRPr="00314A04">
        <w:rPr>
          <w:i/>
          <w:lang w:val="es-ES"/>
        </w:rPr>
        <w:t>Delivery</w:t>
      </w:r>
      <w:proofErr w:type="spellEnd"/>
      <w:r w:rsidRPr="00314A04">
        <w:rPr>
          <w:i/>
          <w:lang w:val="es-ES"/>
        </w:rPr>
        <w:t xml:space="preserve"> </w:t>
      </w:r>
      <w:proofErr w:type="spellStart"/>
      <w:r w:rsidRPr="00314A04">
        <w:rPr>
          <w:i/>
          <w:lang w:val="es-ES"/>
        </w:rPr>
        <w:t>Units</w:t>
      </w:r>
      <w:proofErr w:type="spellEnd"/>
      <w:r>
        <w:rPr>
          <w:lang w:val="es-ES"/>
        </w:rPr>
        <w:t xml:space="preserve">, gabinetes de crisis, sala de situación. </w:t>
      </w:r>
      <w:r w:rsidRPr="002969CE">
        <w:rPr>
          <w:lang w:val="es-ES"/>
        </w:rPr>
        <w:t>Mejorar la comprensión de los actores, instituciones, pasos y mecanismos para la entrega de servicios de máxima prioridad</w:t>
      </w:r>
      <w:r>
        <w:rPr>
          <w:lang w:val="es-ES"/>
        </w:rPr>
        <w:t xml:space="preserve"> (incluyendo la asignación de los recursos necesarios)</w:t>
      </w:r>
      <w:r w:rsidRPr="002969CE">
        <w:rPr>
          <w:lang w:val="es-ES"/>
        </w:rPr>
        <w:t>, con el fin de poder determinar potenciales cuellos de botella para el alcance de los objetivos</w:t>
      </w:r>
      <w:r>
        <w:rPr>
          <w:lang w:val="es-ES"/>
        </w:rPr>
        <w:t xml:space="preserve"> y asegurar una mejor interacción con instituciones sectoriales.</w:t>
      </w:r>
    </w:p>
    <w:p w:rsidR="00024EF1" w:rsidRDefault="00024EF1" w:rsidP="00024EF1">
      <w:pPr>
        <w:spacing w:after="0" w:line="240" w:lineRule="auto"/>
        <w:jc w:val="both"/>
        <w:rPr>
          <w:lang w:val="es-ES"/>
        </w:rPr>
      </w:pPr>
    </w:p>
    <w:p w:rsidR="00024EF1" w:rsidRDefault="00024EF1" w:rsidP="00024EF1">
      <w:pPr>
        <w:spacing w:after="0" w:line="240" w:lineRule="auto"/>
        <w:jc w:val="both"/>
        <w:rPr>
          <w:b/>
          <w:color w:val="1F497D" w:themeColor="text2"/>
          <w:lang w:val="es-ES"/>
        </w:rPr>
      </w:pPr>
      <w:r w:rsidRPr="001E7D7B">
        <w:rPr>
          <w:b/>
          <w:color w:val="1F497D" w:themeColor="text2"/>
          <w:lang w:val="es-ES"/>
        </w:rPr>
        <w:t>Unidad No.</w:t>
      </w:r>
      <w:r>
        <w:rPr>
          <w:b/>
          <w:color w:val="1F497D" w:themeColor="text2"/>
          <w:lang w:val="es-ES"/>
        </w:rPr>
        <w:t>2</w:t>
      </w:r>
      <w:r w:rsidRPr="001E7D7B">
        <w:rPr>
          <w:b/>
          <w:color w:val="1F497D" w:themeColor="text2"/>
          <w:lang w:val="es-ES"/>
        </w:rPr>
        <w:t xml:space="preserve">. </w:t>
      </w:r>
      <w:r>
        <w:rPr>
          <w:b/>
          <w:color w:val="1F497D" w:themeColor="text2"/>
          <w:lang w:val="es-ES"/>
        </w:rPr>
        <w:t xml:space="preserve">Casos. Serán adaptados al público objetivo, por ejemplo, </w:t>
      </w:r>
      <w:proofErr w:type="spellStart"/>
      <w:r>
        <w:rPr>
          <w:b/>
          <w:color w:val="1F497D" w:themeColor="text2"/>
          <w:lang w:val="es-ES"/>
        </w:rPr>
        <w:t>subnacional</w:t>
      </w:r>
      <w:proofErr w:type="spellEnd"/>
      <w:r>
        <w:rPr>
          <w:b/>
          <w:color w:val="1F497D" w:themeColor="text2"/>
          <w:lang w:val="es-ES"/>
        </w:rPr>
        <w:t xml:space="preserve"> para su presentación en países como Brasil; esfuerzos en países C y D; otros países del Commonwealth para el </w:t>
      </w:r>
      <w:proofErr w:type="spellStart"/>
      <w:r>
        <w:rPr>
          <w:b/>
          <w:color w:val="1F497D" w:themeColor="text2"/>
          <w:lang w:val="es-ES"/>
        </w:rPr>
        <w:t>Caribe.Potencialmente</w:t>
      </w:r>
      <w:proofErr w:type="spellEnd"/>
      <w:r>
        <w:rPr>
          <w:b/>
          <w:color w:val="1F497D" w:themeColor="text2"/>
          <w:lang w:val="es-ES"/>
        </w:rPr>
        <w:t xml:space="preserve"> se incluirían: (i) </w:t>
      </w:r>
      <w:r w:rsidRPr="00DB41A9">
        <w:rPr>
          <w:b/>
          <w:color w:val="1F497D" w:themeColor="text2"/>
          <w:lang w:val="es-ES"/>
        </w:rPr>
        <w:t xml:space="preserve"> </w:t>
      </w:r>
      <w:r>
        <w:rPr>
          <w:b/>
          <w:color w:val="1F497D" w:themeColor="text2"/>
          <w:lang w:val="es-ES"/>
        </w:rPr>
        <w:t xml:space="preserve">Reino Unido: </w:t>
      </w:r>
      <w:r w:rsidRPr="007C0DF0">
        <w:rPr>
          <w:b/>
          <w:i/>
          <w:color w:val="1F497D" w:themeColor="text2"/>
          <w:lang w:val="es-ES"/>
        </w:rPr>
        <w:t xml:space="preserve">Prime </w:t>
      </w:r>
      <w:proofErr w:type="spellStart"/>
      <w:r w:rsidRPr="007C0DF0">
        <w:rPr>
          <w:b/>
          <w:i/>
          <w:color w:val="1F497D" w:themeColor="text2"/>
          <w:lang w:val="es-ES"/>
        </w:rPr>
        <w:t>Minister’s</w:t>
      </w:r>
      <w:proofErr w:type="spellEnd"/>
      <w:r>
        <w:rPr>
          <w:b/>
          <w:color w:val="1F497D" w:themeColor="text2"/>
          <w:lang w:val="es-ES"/>
        </w:rPr>
        <w:t xml:space="preserve"> </w:t>
      </w:r>
      <w:proofErr w:type="spellStart"/>
      <w:r w:rsidRPr="007C0DF0">
        <w:rPr>
          <w:b/>
          <w:i/>
          <w:color w:val="1F497D" w:themeColor="text2"/>
          <w:lang w:val="es-ES"/>
        </w:rPr>
        <w:t>Delivery</w:t>
      </w:r>
      <w:proofErr w:type="spellEnd"/>
      <w:r w:rsidRPr="007C0DF0">
        <w:rPr>
          <w:b/>
          <w:i/>
          <w:color w:val="1F497D" w:themeColor="text2"/>
          <w:lang w:val="es-ES"/>
        </w:rPr>
        <w:t xml:space="preserve"> </w:t>
      </w:r>
      <w:proofErr w:type="spellStart"/>
      <w:r w:rsidRPr="007C0DF0">
        <w:rPr>
          <w:b/>
          <w:i/>
          <w:color w:val="1F497D" w:themeColor="text2"/>
          <w:lang w:val="es-ES"/>
        </w:rPr>
        <w:t>Unit</w:t>
      </w:r>
      <w:proofErr w:type="spellEnd"/>
      <w:r>
        <w:rPr>
          <w:b/>
          <w:i/>
          <w:color w:val="1F497D" w:themeColor="text2"/>
          <w:lang w:val="es-ES"/>
        </w:rPr>
        <w:t xml:space="preserve"> </w:t>
      </w:r>
      <w:r>
        <w:rPr>
          <w:b/>
          <w:color w:val="1F497D" w:themeColor="text2"/>
          <w:lang w:val="es-ES"/>
        </w:rPr>
        <w:t>; (ii)</w:t>
      </w:r>
      <w:r w:rsidRPr="00DB41A9">
        <w:rPr>
          <w:b/>
          <w:color w:val="1F497D" w:themeColor="text2"/>
          <w:lang w:val="es-ES"/>
        </w:rPr>
        <w:t xml:space="preserve"> </w:t>
      </w:r>
      <w:r>
        <w:rPr>
          <w:b/>
          <w:color w:val="1F497D" w:themeColor="text2"/>
          <w:lang w:val="es-ES"/>
        </w:rPr>
        <w:t>Chile: La Unidad Presidencial de Gestión del Cumplimiento (SEGPRES). Podría incluirse además Malasia (PEMANDU).</w:t>
      </w:r>
    </w:p>
    <w:p w:rsidR="00024EF1" w:rsidRPr="00477EE7" w:rsidRDefault="00024EF1" w:rsidP="00024EF1">
      <w:pPr>
        <w:spacing w:after="0" w:line="240" w:lineRule="auto"/>
        <w:ind w:left="720"/>
        <w:jc w:val="both"/>
        <w:rPr>
          <w:lang w:val="es-ES"/>
        </w:rPr>
      </w:pPr>
      <w:r w:rsidRPr="002969CE">
        <w:rPr>
          <w:u w:val="single"/>
          <w:lang w:val="es-ES"/>
        </w:rPr>
        <w:lastRenderedPageBreak/>
        <w:t>Objetivo de aprendizaje:</w:t>
      </w:r>
      <w:r>
        <w:rPr>
          <w:lang w:val="es-ES"/>
        </w:rPr>
        <w:t xml:space="preserve"> Lecciones aprendidas y principales desafíos para su implementación. Aspectos organizacionales. </w:t>
      </w:r>
      <w:r w:rsidRPr="00477EE7">
        <w:rPr>
          <w:lang w:val="es-ES"/>
        </w:rPr>
        <w:t xml:space="preserve">La presentación de estas experiencias podría </w:t>
      </w:r>
      <w:r>
        <w:rPr>
          <w:lang w:val="es-ES"/>
        </w:rPr>
        <w:t>incluir</w:t>
      </w:r>
      <w:r w:rsidRPr="00477EE7">
        <w:rPr>
          <w:lang w:val="es-ES"/>
        </w:rPr>
        <w:t xml:space="preserve"> video conferencias con funcionarios de </w:t>
      </w:r>
      <w:r>
        <w:rPr>
          <w:lang w:val="es-ES"/>
        </w:rPr>
        <w:t>Centro de Gobierno</w:t>
      </w:r>
      <w:r w:rsidRPr="00477EE7">
        <w:rPr>
          <w:lang w:val="es-ES"/>
        </w:rPr>
        <w:t xml:space="preserve"> de estos países</w:t>
      </w:r>
      <w:r>
        <w:rPr>
          <w:lang w:val="es-ES"/>
        </w:rPr>
        <w:t xml:space="preserve"> durante almuerzo del día 4.</w:t>
      </w:r>
    </w:p>
    <w:p w:rsidR="00024EF1" w:rsidRDefault="00024EF1" w:rsidP="00024EF1">
      <w:pPr>
        <w:spacing w:after="0" w:line="240" w:lineRule="auto"/>
        <w:jc w:val="both"/>
        <w:rPr>
          <w:lang w:val="es-ES"/>
        </w:rPr>
      </w:pPr>
    </w:p>
    <w:p w:rsidR="00024EF1" w:rsidRDefault="00024EF1" w:rsidP="00024EF1">
      <w:pPr>
        <w:spacing w:after="0" w:line="240" w:lineRule="auto"/>
        <w:jc w:val="both"/>
        <w:rPr>
          <w:lang w:val="es-ES"/>
        </w:rPr>
      </w:pPr>
    </w:p>
    <w:p w:rsidR="00024EF1" w:rsidRDefault="00024EF1" w:rsidP="00024EF1">
      <w:pPr>
        <w:spacing w:after="0" w:line="240" w:lineRule="auto"/>
        <w:jc w:val="both"/>
        <w:rPr>
          <w:lang w:val="es-ES"/>
        </w:rPr>
      </w:pPr>
    </w:p>
    <w:p w:rsidR="00024EF1" w:rsidRDefault="00024EF1" w:rsidP="00024EF1">
      <w:pPr>
        <w:spacing w:after="0" w:line="240" w:lineRule="auto"/>
        <w:jc w:val="both"/>
        <w:rPr>
          <w:lang w:val="es-ES"/>
        </w:rPr>
      </w:pPr>
      <w:r w:rsidRPr="001E7D7B">
        <w:rPr>
          <w:b/>
          <w:sz w:val="24"/>
          <w:lang w:val="es-ES"/>
        </w:rPr>
        <w:t>Módulo No.</w:t>
      </w:r>
      <w:r>
        <w:rPr>
          <w:b/>
          <w:sz w:val="24"/>
          <w:lang w:val="es-ES"/>
        </w:rPr>
        <w:t>5. Trabajo virtual luego de completado el curso</w:t>
      </w:r>
    </w:p>
    <w:p w:rsidR="00024EF1" w:rsidRDefault="00024EF1" w:rsidP="00024EF1">
      <w:pPr>
        <w:spacing w:after="0" w:line="240" w:lineRule="auto"/>
        <w:jc w:val="both"/>
        <w:rPr>
          <w:lang w:val="es-ES"/>
        </w:rPr>
      </w:pPr>
      <w:r>
        <w:rPr>
          <w:b/>
          <w:color w:val="404040" w:themeColor="text1" w:themeTint="BF"/>
          <w:lang w:val="es-ES"/>
        </w:rPr>
        <w:pict>
          <v:rect id="_x0000_i1029" style="width:0;height:1.5pt" o:hralign="center" o:hrstd="t" o:hr="t" fillcolor="#aca899" stroked="f"/>
        </w:pict>
      </w:r>
    </w:p>
    <w:p w:rsidR="00024EF1" w:rsidRDefault="00024EF1" w:rsidP="00024EF1">
      <w:pPr>
        <w:spacing w:after="0" w:line="240" w:lineRule="auto"/>
        <w:jc w:val="both"/>
        <w:rPr>
          <w:b/>
          <w:color w:val="1F497D" w:themeColor="text2"/>
          <w:lang w:val="es-ES"/>
        </w:rPr>
      </w:pPr>
      <w:r>
        <w:rPr>
          <w:b/>
          <w:color w:val="1F497D" w:themeColor="text2"/>
          <w:lang w:val="es-ES"/>
        </w:rPr>
        <w:t>Ejercicio Virtual II (1 mes luego de completado el curso)</w:t>
      </w:r>
    </w:p>
    <w:p w:rsidR="00024EF1" w:rsidRPr="00ED04FB" w:rsidRDefault="00024EF1" w:rsidP="00024EF1">
      <w:pPr>
        <w:spacing w:after="0" w:line="240" w:lineRule="auto"/>
        <w:jc w:val="both"/>
        <w:rPr>
          <w:rFonts w:cstheme="minorHAnsi"/>
          <w:lang w:val="es-ES"/>
        </w:rPr>
      </w:pPr>
      <w:r>
        <w:rPr>
          <w:lang w:val="es-ES"/>
        </w:rPr>
        <w:t>Encuesta a los participantes indicando qué innovaciones, herramientas o conocimientos concretos del curso están siendo aplicados o analizados para ser aplicados en el trabajo de la institución de los participantes, con posibilidad de seguimiento vía video conferencia con un equipo de especialistas del Banco.</w:t>
      </w:r>
    </w:p>
    <w:p w:rsidR="00024EF1" w:rsidRDefault="00024EF1" w:rsidP="00024EF1">
      <w:pPr>
        <w:rPr>
          <w:lang w:val="es-ES"/>
        </w:rPr>
      </w:pPr>
      <w:r>
        <w:rPr>
          <w:lang w:val="es-ES"/>
        </w:rPr>
        <w:br w:type="page"/>
      </w:r>
    </w:p>
    <w:sectPr w:rsidR="00024EF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EF1" w:rsidRDefault="00024EF1" w:rsidP="00024EF1">
      <w:pPr>
        <w:spacing w:after="0" w:line="240" w:lineRule="auto"/>
      </w:pPr>
      <w:r>
        <w:separator/>
      </w:r>
    </w:p>
  </w:endnote>
  <w:endnote w:type="continuationSeparator" w:id="0">
    <w:p w:rsidR="00024EF1" w:rsidRDefault="00024EF1" w:rsidP="00024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EF1" w:rsidRDefault="00024EF1" w:rsidP="00024EF1">
      <w:pPr>
        <w:spacing w:after="0" w:line="240" w:lineRule="auto"/>
      </w:pPr>
      <w:r>
        <w:separator/>
      </w:r>
    </w:p>
  </w:footnote>
  <w:footnote w:type="continuationSeparator" w:id="0">
    <w:p w:rsidR="00024EF1" w:rsidRDefault="00024EF1" w:rsidP="00024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EF1" w:rsidRPr="006978F4" w:rsidRDefault="00024EF1" w:rsidP="006978F4">
    <w:pPr>
      <w:spacing w:after="0" w:line="240" w:lineRule="auto"/>
      <w:ind w:left="360"/>
      <w:jc w:val="right"/>
      <w:rPr>
        <w:lang w:val="pt-BR"/>
      </w:rPr>
    </w:pPr>
    <w:r w:rsidRPr="006978F4">
      <w:rPr>
        <w:lang w:val="pt-BR"/>
      </w:rPr>
      <w:t xml:space="preserve">ANEXO. Programa Borrador Curso Centro de </w:t>
    </w:r>
    <w:r w:rsidRPr="006978F4">
      <w:rPr>
        <w:lang w:val="es-ES_tradnl"/>
      </w:rPr>
      <w:t>Gobier</w:t>
    </w:r>
    <w:r w:rsidR="006978F4" w:rsidRPr="006978F4">
      <w:rPr>
        <w:lang w:val="es-ES_tradnl"/>
      </w:rPr>
      <w:t>n</w:t>
    </w:r>
    <w:r w:rsidRPr="006978F4">
      <w:rPr>
        <w:lang w:val="es-ES_tradnl"/>
      </w:rPr>
      <w:t>o</w:t>
    </w:r>
  </w:p>
  <w:p w:rsidR="00024EF1" w:rsidRPr="006978F4" w:rsidRDefault="00024EF1" w:rsidP="00024EF1">
    <w:pPr>
      <w:pStyle w:val="Header"/>
      <w:jc w:val="right"/>
      <w:rPr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65631"/>
    <w:multiLevelType w:val="hybridMultilevel"/>
    <w:tmpl w:val="4A9A8568"/>
    <w:lvl w:ilvl="0" w:tplc="7452ED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s-E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EF1"/>
    <w:rsid w:val="00024EF1"/>
    <w:rsid w:val="006978F4"/>
    <w:rsid w:val="00854B6B"/>
    <w:rsid w:val="00B8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EF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aliases w:val="paragraph,p,PARAGRAPH,PG,pa,at"/>
    <w:basedOn w:val="BodyTextIndent"/>
    <w:link w:val="ParagraphChar"/>
    <w:rsid w:val="00024EF1"/>
    <w:pPr>
      <w:tabs>
        <w:tab w:val="num" w:pos="720"/>
      </w:tabs>
      <w:spacing w:before="120" w:line="240" w:lineRule="auto"/>
      <w:ind w:left="720" w:hanging="720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es-ES_tradnl" w:eastAsia="x-none"/>
    </w:rPr>
  </w:style>
  <w:style w:type="character" w:customStyle="1" w:styleId="ParagraphChar">
    <w:name w:val="Paragraph Char"/>
    <w:link w:val="Paragraph"/>
    <w:rsid w:val="00024EF1"/>
    <w:rPr>
      <w:rFonts w:ascii="Times New Roman" w:eastAsia="Times New Roman" w:hAnsi="Times New Roman" w:cs="Times New Roman"/>
      <w:sz w:val="24"/>
      <w:szCs w:val="20"/>
      <w:lang w:val="es-ES_tradnl" w:eastAsia="x-none"/>
    </w:rPr>
  </w:style>
  <w:style w:type="character" w:styleId="Hyperlink">
    <w:name w:val="Hyperlink"/>
    <w:basedOn w:val="DefaultParagraphFont"/>
    <w:uiPriority w:val="99"/>
    <w:unhideWhenUsed/>
    <w:rsid w:val="00024EF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024EF1"/>
    <w:pPr>
      <w:spacing w:after="0" w:line="240" w:lineRule="auto"/>
    </w:pPr>
    <w:rPr>
      <w:rFonts w:eastAsiaTheme="minorEastAsia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24EF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24EF1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024E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EF1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024E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4EF1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024E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EF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aliases w:val="paragraph,p,PARAGRAPH,PG,pa,at"/>
    <w:basedOn w:val="BodyTextIndent"/>
    <w:link w:val="ParagraphChar"/>
    <w:rsid w:val="00024EF1"/>
    <w:pPr>
      <w:tabs>
        <w:tab w:val="num" w:pos="720"/>
      </w:tabs>
      <w:spacing w:before="120" w:line="240" w:lineRule="auto"/>
      <w:ind w:left="720" w:hanging="720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es-ES_tradnl" w:eastAsia="x-none"/>
    </w:rPr>
  </w:style>
  <w:style w:type="character" w:customStyle="1" w:styleId="ParagraphChar">
    <w:name w:val="Paragraph Char"/>
    <w:link w:val="Paragraph"/>
    <w:rsid w:val="00024EF1"/>
    <w:rPr>
      <w:rFonts w:ascii="Times New Roman" w:eastAsia="Times New Roman" w:hAnsi="Times New Roman" w:cs="Times New Roman"/>
      <w:sz w:val="24"/>
      <w:szCs w:val="20"/>
      <w:lang w:val="es-ES_tradnl" w:eastAsia="x-none"/>
    </w:rPr>
  </w:style>
  <w:style w:type="character" w:styleId="Hyperlink">
    <w:name w:val="Hyperlink"/>
    <w:basedOn w:val="DefaultParagraphFont"/>
    <w:uiPriority w:val="99"/>
    <w:unhideWhenUsed/>
    <w:rsid w:val="00024EF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024EF1"/>
    <w:pPr>
      <w:spacing w:after="0" w:line="240" w:lineRule="auto"/>
    </w:pPr>
    <w:rPr>
      <w:rFonts w:eastAsiaTheme="minorEastAsia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24EF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24EF1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024E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EF1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024E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4EF1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024E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17" Type="http://schemas.openxmlformats.org/officeDocument/2006/relationships/customXml" Target="../customXml/item8.xml"/><Relationship Id="rId2" Type="http://schemas.openxmlformats.org/officeDocument/2006/relationships/styles" Target="styles.xml"/><Relationship Id="rId16" Type="http://schemas.openxmlformats.org/officeDocument/2006/relationships/customXml" Target="../customXml/item6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37685588</IDBDocs_x0020_Number>
    <TaxCatchAll xmlns="cdc7663a-08f0-4737-9e8c-148ce897a09c"/>
    <Phase xmlns="cdc7663a-08f0-4737-9e8c-148ce897a09c" xsi:nil="true"/>
    <SISCOR_x0020_Number xmlns="cdc7663a-08f0-4737-9e8c-148ce897a09c" xsi:nil="true"/>
    <Division_x0020_or_x0020_Unit xmlns="cdc7663a-08f0-4737-9e8c-148ce897a09c">IFD/ICS</Division_x0020_or_x0020_Unit>
    <Approval_x0020_Number xmlns="cdc7663a-08f0-4737-9e8c-148ce897a09c" xsi:nil="true"/>
    <Document_x0020_Author xmlns="cdc7663a-08f0-4737-9e8c-148ce897a09c">Lafuente, Mariano</Document_x0020_Author>
    <Fiscal_x0020_Year_x0020_IDB xmlns="cdc7663a-08f0-4737-9e8c-148ce897a09c">2013</Fiscal_x0020_Year_x0020_IDB>
    <Other_x0020_Author xmlns="cdc7663a-08f0-4737-9e8c-148ce897a09c" xsi:nil="true"/>
    <Project_x0020_Number xmlns="cdc7663a-08f0-4737-9e8c-148ce897a09c">RG-T2258</Project_x0020_Number>
    <Package_x0020_Code xmlns="cdc7663a-08f0-4737-9e8c-148ce897a09c" xsi:nil="true"/>
    <Key_x0020_Document xmlns="cdc7663a-08f0-4737-9e8c-148ce897a09c">false</Key_x0020_Document>
    <Migration_x0020_Info xmlns="cdc7663a-08f0-4737-9e8c-148ce897a09c">MS WORDPOPlan of Operations0N</Migration_x0020_Info>
    <Operation_x0020_Type xmlns="cdc7663a-08f0-4737-9e8c-148ce897a09c" xsi:nil="true"/>
    <Record_x0020_Number xmlns="cdc7663a-08f0-4737-9e8c-148ce897a09c">R0002949174</Record_x0020_Number>
    <Document_x0020_Language_x0020_IDB xmlns="cdc7663a-08f0-4737-9e8c-148ce897a09c">Spanish</Document_x0020_Language_x0020_IDB>
    <Identifier xmlns="cdc7663a-08f0-4737-9e8c-148ce897a09c"> ANNEX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EZSHARE-1982390049-25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https://idbg.sharepoint.com/teams/EZ-RG-TCP/RG-T2258/_layouts/15/DocIdRedir.aspx?ID=EZSHARE-1982390049-25</Url>
      <Description>EZSHARE-1982390049-25</Description>
    </_dlc_DocIdUrl>
    <Related_x0020_SisCor_x0020_Number xmlns="cdc7663a-08f0-4737-9e8c-148ce897a09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0694E583D1B0904EA3259A6EA1106EA7" ma:contentTypeVersion="2086" ma:contentTypeDescription="The base project type from which other project content types inherit their information." ma:contentTypeScope="" ma:versionID="24e77baa5291823b8087ed4488a7b8f8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4e414d5818e9991a0392be15aa4275a3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RG-T2258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6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7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197F6387-E104-4B32-9B59-614E028906B0}"/>
</file>

<file path=customXml/itemProps2.xml><?xml version="1.0" encoding="utf-8"?>
<ds:datastoreItem xmlns:ds="http://schemas.openxmlformats.org/officeDocument/2006/customXml" ds:itemID="{5A87365E-ACCA-453C-8424-9D301D74BE7C}"/>
</file>

<file path=customXml/itemProps3.xml><?xml version="1.0" encoding="utf-8"?>
<ds:datastoreItem xmlns:ds="http://schemas.openxmlformats.org/officeDocument/2006/customXml" ds:itemID="{52CCE2CC-B320-43BD-8B5E-584ED9B5642B}"/>
</file>

<file path=customXml/itemProps4.xml><?xml version="1.0" encoding="utf-8"?>
<ds:datastoreItem xmlns:ds="http://schemas.openxmlformats.org/officeDocument/2006/customXml" ds:itemID="{73E40DD5-EB28-4D54-8FF0-1F565ED960DA}"/>
</file>

<file path=customXml/itemProps5.xml><?xml version="1.0" encoding="utf-8"?>
<ds:datastoreItem xmlns:ds="http://schemas.openxmlformats.org/officeDocument/2006/customXml" ds:itemID="{4058F9C3-0707-4782-B0CB-77C701DC8E5C}"/>
</file>

<file path=customXml/itemProps6.xml><?xml version="1.0" encoding="utf-8"?>
<ds:datastoreItem xmlns:ds="http://schemas.openxmlformats.org/officeDocument/2006/customXml" ds:itemID="{4D1BEBCF-F8B4-4581-9523-AE17C6D5622A}"/>
</file>

<file path=customXml/itemProps7.xml><?xml version="1.0" encoding="utf-8"?>
<ds:datastoreItem xmlns:ds="http://schemas.openxmlformats.org/officeDocument/2006/customXml" ds:itemID="{FC31F85B-73DA-4647-B4AD-9203A46BFAF5}"/>
</file>

<file path=customXml/itemProps8.xml><?xml version="1.0" encoding="utf-8"?>
<ds:datastoreItem xmlns:ds="http://schemas.openxmlformats.org/officeDocument/2006/customXml" ds:itemID="{FB08CF6A-57F0-44C1-8465-465B2C82E6E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1855</Words>
  <Characters>10574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Anexo_  Programa Borrador Curso Centro de Gobierno</dc:title>
  <dc:subject/>
  <dc:creator>Test</dc:creator>
  <cp:keywords/>
  <dc:description/>
  <cp:lastModifiedBy>Test</cp:lastModifiedBy>
  <cp:revision>2</cp:revision>
  <dcterms:created xsi:type="dcterms:W3CDTF">2013-04-02T20:26:00Z</dcterms:created>
  <dcterms:modified xsi:type="dcterms:W3CDTF">2013-04-02T21:03:00Z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0x010100ACF722E9F6B0B149B0CD8BE2560A6672000694E583D1B0904EA3259A6EA1106EA7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2;#Unclassified|a6dff32e-d477-44cd-a56b-85efe9e0a56c</vt:lpwstr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5" name="Sub-Sector">
    <vt:lpwstr/>
  </property>
  <property fmtid="{D5CDD505-2E9C-101B-9397-08002B2CF9AE}" pid="16" name="Order">
    <vt:r8>2500</vt:r8>
  </property>
  <property fmtid="{D5CDD505-2E9C-101B-9397-08002B2CF9AE}" pid="17" name="ATI Undisclose Document Workflow">
    <vt:lpwstr/>
  </property>
  <property fmtid="{D5CDD505-2E9C-101B-9397-08002B2CF9AE}" pid="18" name="ATI Disclose Document Workflow v5">
    <vt:lpwstr/>
  </property>
  <property fmtid="{D5CDD505-2E9C-101B-9397-08002B2CF9AE}" pid="20" name="Disclosure Activity">
    <vt:lpwstr>Plan of Operations</vt:lpwstr>
  </property>
  <property fmtid="{D5CDD505-2E9C-101B-9397-08002B2CF9AE}" pid="24" name="Webtopic">
    <vt:lpwstr>Management;Public Sector Management and Support</vt:lpwstr>
  </property>
  <property fmtid="{D5CDD505-2E9C-101B-9397-08002B2CF9AE}" pid="26" name="Disclosed">
    <vt:bool>true</vt:bool>
  </property>
  <property fmtid="{D5CDD505-2E9C-101B-9397-08002B2CF9AE}" pid="27" name="_dlc_DocIdItemGuid">
    <vt:lpwstr>aecd29eb-1f33-4a72-b08d-1aa6ab3b70d8</vt:lpwstr>
  </property>
</Properties>
</file>