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C49CF" w14:textId="77777777" w:rsidR="00E65B35" w:rsidRPr="00E65B35" w:rsidRDefault="00E65B35" w:rsidP="00E65B35">
      <w:pPr>
        <w:keepNext/>
        <w:tabs>
          <w:tab w:val="left" w:pos="3060"/>
        </w:tabs>
        <w:spacing w:before="240" w:after="0" w:line="240" w:lineRule="auto"/>
        <w:jc w:val="center"/>
        <w:rPr>
          <w:rFonts w:ascii="Arial" w:eastAsia="Times New Roman" w:hAnsi="Arial" w:cs="Arial"/>
          <w:caps/>
          <w:lang w:val="es-ES"/>
        </w:rPr>
      </w:pPr>
      <w:bookmarkStart w:id="0" w:name="_GoBack"/>
      <w:bookmarkEnd w:id="0"/>
      <w:r w:rsidRPr="00E65B35">
        <w:rPr>
          <w:rFonts w:ascii="Arial" w:eastAsia="Times New Roman" w:hAnsi="Arial" w:cs="Arial"/>
          <w:b/>
          <w:smallCaps/>
          <w:sz w:val="28"/>
          <w:szCs w:val="28"/>
          <w:lang w:val="es-ES"/>
        </w:rPr>
        <w:t xml:space="preserve">Programa de </w:t>
      </w:r>
      <w:bookmarkStart w:id="1" w:name="_Hlk518668164"/>
      <w:r w:rsidRPr="00E65B35">
        <w:rPr>
          <w:rFonts w:ascii="Arial" w:eastAsia="Times New Roman" w:hAnsi="Arial" w:cs="Arial"/>
          <w:b/>
          <w:smallCaps/>
          <w:sz w:val="28"/>
          <w:szCs w:val="28"/>
          <w:lang w:val="es-ES"/>
        </w:rPr>
        <w:t>Desarrollo de la Infraestructura Vial</w:t>
      </w:r>
      <w:bookmarkEnd w:id="1"/>
    </w:p>
    <w:p w14:paraId="214884A2" w14:textId="77777777" w:rsidR="00E65B35" w:rsidRPr="00E65B35" w:rsidRDefault="00E65B35" w:rsidP="00E65B35">
      <w:pPr>
        <w:tabs>
          <w:tab w:val="left" w:pos="1440"/>
          <w:tab w:val="left" w:pos="3060"/>
        </w:tabs>
        <w:spacing w:after="0" w:line="240" w:lineRule="auto"/>
        <w:jc w:val="center"/>
        <w:rPr>
          <w:rFonts w:ascii="Arial" w:eastAsia="Times New Roman" w:hAnsi="Arial" w:cs="Arial"/>
          <w:b/>
          <w:smallCaps/>
          <w:lang w:val="es-ES"/>
        </w:rPr>
      </w:pPr>
      <w:r w:rsidRPr="00E65B35">
        <w:rPr>
          <w:rFonts w:ascii="Arial" w:eastAsia="Times New Roman" w:hAnsi="Arial" w:cs="Arial"/>
          <w:b/>
          <w:smallCaps/>
          <w:lang w:val="es-ES"/>
        </w:rPr>
        <w:t>(GU-L116</w:t>
      </w:r>
      <w:r w:rsidR="00765DEA">
        <w:rPr>
          <w:rFonts w:ascii="Arial" w:eastAsia="Times New Roman" w:hAnsi="Arial" w:cs="Arial"/>
          <w:b/>
          <w:smallCaps/>
          <w:lang w:val="es-ES"/>
        </w:rPr>
        <w:t>9</w:t>
      </w:r>
      <w:r w:rsidRPr="00E65B35">
        <w:rPr>
          <w:rFonts w:ascii="Arial" w:eastAsia="Times New Roman" w:hAnsi="Arial" w:cs="Arial"/>
          <w:b/>
          <w:smallCaps/>
          <w:lang w:val="es-ES"/>
        </w:rPr>
        <w:t>)</w:t>
      </w:r>
    </w:p>
    <w:p w14:paraId="76150D0C" w14:textId="77777777" w:rsidR="00BA4E56" w:rsidRDefault="00BA4E56" w:rsidP="004B1166">
      <w:pPr>
        <w:spacing w:before="120" w:after="120" w:line="240" w:lineRule="auto"/>
        <w:jc w:val="center"/>
        <w:outlineLvl w:val="1"/>
        <w:rPr>
          <w:rFonts w:ascii="Arial" w:eastAsia="Times New Roman" w:hAnsi="Arial" w:cs="Arial"/>
          <w:b/>
          <w:lang w:val="es-ES"/>
        </w:rPr>
      </w:pPr>
      <w:r>
        <w:rPr>
          <w:rFonts w:ascii="Arial" w:eastAsia="Times New Roman" w:hAnsi="Arial" w:cs="Arial"/>
          <w:b/>
          <w:lang w:val="es-ES"/>
        </w:rPr>
        <w:t>ANEXO DE GENERO</w:t>
      </w:r>
    </w:p>
    <w:p w14:paraId="20A2692B" w14:textId="77777777" w:rsidR="0036501B" w:rsidRDefault="0036501B" w:rsidP="004B1166">
      <w:pPr>
        <w:spacing w:before="120" w:after="120" w:line="240" w:lineRule="auto"/>
        <w:jc w:val="center"/>
        <w:outlineLvl w:val="1"/>
        <w:rPr>
          <w:rFonts w:ascii="Arial" w:eastAsia="Times New Roman" w:hAnsi="Arial" w:cs="Arial"/>
          <w:b/>
          <w:lang w:val="es-ES"/>
        </w:rPr>
      </w:pPr>
    </w:p>
    <w:p w14:paraId="11A94801" w14:textId="77777777" w:rsidR="00131EDD" w:rsidRDefault="00131EDD" w:rsidP="00415F12">
      <w:pPr>
        <w:spacing w:after="0" w:line="240" w:lineRule="auto"/>
        <w:contextualSpacing/>
        <w:rPr>
          <w:rFonts w:ascii="Arial" w:eastAsia="Arial" w:hAnsi="Arial" w:cs="Arial"/>
          <w:b/>
          <w:color w:val="000000"/>
          <w:lang w:val="es-ES"/>
        </w:rPr>
      </w:pPr>
      <w:r>
        <w:rPr>
          <w:rFonts w:ascii="Arial" w:eastAsia="Arial" w:hAnsi="Arial" w:cs="Arial"/>
          <w:b/>
          <w:color w:val="000000"/>
          <w:lang w:val="es-ES"/>
        </w:rPr>
        <w:t>Acciones de Género</w:t>
      </w:r>
      <w:r w:rsidR="0069440C">
        <w:rPr>
          <w:rFonts w:ascii="Arial" w:eastAsia="Arial" w:hAnsi="Arial" w:cs="Arial"/>
          <w:b/>
          <w:color w:val="000000"/>
          <w:lang w:val="es-ES"/>
        </w:rPr>
        <w:t xml:space="preserve"> en la operación</w:t>
      </w:r>
    </w:p>
    <w:p w14:paraId="263BF660" w14:textId="77777777" w:rsidR="00131EDD" w:rsidRDefault="00131EDD" w:rsidP="00415F12">
      <w:pPr>
        <w:spacing w:after="0" w:line="240" w:lineRule="auto"/>
        <w:contextualSpacing/>
        <w:rPr>
          <w:rFonts w:ascii="Arial" w:eastAsia="Arial" w:hAnsi="Arial" w:cs="Arial"/>
          <w:b/>
          <w:color w:val="000000"/>
          <w:lang w:val="es-ES"/>
        </w:rPr>
      </w:pPr>
    </w:p>
    <w:p w14:paraId="65679A90" w14:textId="77777777" w:rsidR="0085588F" w:rsidRPr="0085588F" w:rsidRDefault="0085588F" w:rsidP="00E136F6">
      <w:pPr>
        <w:tabs>
          <w:tab w:val="num" w:pos="720"/>
        </w:tabs>
        <w:spacing w:after="0" w:line="240" w:lineRule="auto"/>
        <w:contextualSpacing/>
        <w:jc w:val="both"/>
        <w:rPr>
          <w:rFonts w:ascii="Arial" w:eastAsia="Arial" w:hAnsi="Arial" w:cs="Arial"/>
          <w:color w:val="000000"/>
          <w:lang w:val="es-ES_tradnl"/>
        </w:rPr>
      </w:pPr>
      <w:r w:rsidRPr="0085588F">
        <w:rPr>
          <w:rFonts w:ascii="Arial" w:eastAsia="Arial" w:hAnsi="Arial" w:cs="Arial"/>
          <w:color w:val="000000"/>
          <w:lang w:val="es-ES_tradnl"/>
        </w:rPr>
        <w:t>E</w:t>
      </w:r>
      <w:r>
        <w:rPr>
          <w:rFonts w:ascii="Arial" w:eastAsia="Arial" w:hAnsi="Arial" w:cs="Arial"/>
          <w:color w:val="000000"/>
          <w:lang w:val="es-ES_tradnl"/>
        </w:rPr>
        <w:t xml:space="preserve">ste programa </w:t>
      </w:r>
      <w:r w:rsidRPr="0085588F">
        <w:rPr>
          <w:rFonts w:ascii="Arial" w:eastAsia="Arial" w:hAnsi="Arial" w:cs="Arial"/>
          <w:color w:val="000000"/>
          <w:lang w:val="es-ES_tradnl"/>
        </w:rPr>
        <w:t>tiene como objetivo</w:t>
      </w:r>
      <w:r w:rsidR="00E136F6">
        <w:rPr>
          <w:rFonts w:ascii="Arial" w:eastAsia="Arial" w:hAnsi="Arial" w:cs="Arial"/>
          <w:color w:val="000000"/>
          <w:lang w:val="es-ES_tradnl"/>
        </w:rPr>
        <w:t>:</w:t>
      </w:r>
      <w:r w:rsidRPr="0085588F">
        <w:rPr>
          <w:rFonts w:ascii="Arial" w:eastAsia="Arial" w:hAnsi="Arial" w:cs="Arial"/>
          <w:color w:val="000000"/>
          <w:lang w:val="es-ES_tradnl"/>
        </w:rPr>
        <w:t xml:space="preserve"> </w:t>
      </w:r>
      <w:r w:rsidR="00A14A44" w:rsidRPr="00A14A44">
        <w:rPr>
          <w:rFonts w:ascii="Arial" w:eastAsia="Arial" w:hAnsi="Arial" w:cs="Arial"/>
          <w:color w:val="000000"/>
          <w:lang w:val="es-ES_tradnl"/>
        </w:rPr>
        <w:t>contribuir con la mejora de la productividad mediante la provisión de infraestructura adecuada y de servicios de transporte seguros y confiables, garantizando su disponibilidad para el acceso a mercados y servicios sociales básicos</w:t>
      </w:r>
      <w:r w:rsidRPr="0085588F">
        <w:rPr>
          <w:rFonts w:ascii="Arial" w:eastAsia="Arial" w:hAnsi="Arial" w:cs="Arial"/>
          <w:color w:val="000000"/>
          <w:lang w:val="es-ES"/>
        </w:rPr>
        <w:t xml:space="preserve">. Sin embargo, como en todo escenario deficiente en cuanto a vialidad, la </w:t>
      </w:r>
      <w:r w:rsidRPr="0085588F">
        <w:rPr>
          <w:rFonts w:ascii="Arial" w:eastAsia="Arial" w:hAnsi="Arial" w:cs="Arial"/>
          <w:color w:val="000000"/>
          <w:lang w:val="es-ES_tradnl"/>
        </w:rPr>
        <w:t xml:space="preserve">falta de acceso a áreas geográficas con mayor dinamismo </w:t>
      </w:r>
      <w:r w:rsidR="00AD7EFD" w:rsidRPr="0085588F">
        <w:rPr>
          <w:rFonts w:ascii="Arial" w:eastAsia="Arial" w:hAnsi="Arial" w:cs="Arial"/>
          <w:color w:val="000000"/>
          <w:lang w:val="es-ES_tradnl"/>
        </w:rPr>
        <w:t>económico</w:t>
      </w:r>
      <w:r w:rsidRPr="0085588F">
        <w:rPr>
          <w:rFonts w:ascii="Arial" w:eastAsia="Arial" w:hAnsi="Arial" w:cs="Arial"/>
          <w:color w:val="000000"/>
          <w:lang w:val="es-ES_tradnl"/>
        </w:rPr>
        <w:t xml:space="preserve"> reduce también las oportunidades de acceder a empleos, comercialización de productos afectando principalmente a las mujeres y los niños. En ese sentido, los proyectos de infraestructura en zonas rurales se convierten en proyectos que, además de mejorar la accesibilidad y conectividad de las comunidades, también generan oportunidades de empleo a las poblaciones locales y pueden ayudar a reducir la pobreza.</w:t>
      </w:r>
    </w:p>
    <w:p w14:paraId="52A17069" w14:textId="77777777" w:rsidR="00DF69AA" w:rsidRPr="0085588F" w:rsidRDefault="00DF69AA" w:rsidP="00A94E3A">
      <w:pPr>
        <w:tabs>
          <w:tab w:val="num" w:pos="720"/>
        </w:tabs>
        <w:spacing w:after="0" w:line="240" w:lineRule="auto"/>
        <w:contextualSpacing/>
        <w:rPr>
          <w:rFonts w:ascii="Arial" w:eastAsia="Arial" w:hAnsi="Arial" w:cs="Arial"/>
          <w:b/>
          <w:color w:val="000000"/>
          <w:lang w:val="es-ES_tradnl"/>
        </w:rPr>
      </w:pPr>
    </w:p>
    <w:p w14:paraId="16624DC7" w14:textId="7CA5065B" w:rsidR="00AD7EFD" w:rsidRPr="00AD7EFD" w:rsidRDefault="0085588F" w:rsidP="00E136F6">
      <w:pPr>
        <w:tabs>
          <w:tab w:val="num" w:pos="720"/>
        </w:tabs>
        <w:spacing w:after="0" w:line="240" w:lineRule="auto"/>
        <w:contextualSpacing/>
        <w:jc w:val="both"/>
        <w:rPr>
          <w:rFonts w:ascii="Arial" w:eastAsia="Arial" w:hAnsi="Arial" w:cs="Arial"/>
          <w:color w:val="000000"/>
          <w:lang w:val="es-ES_tradnl"/>
        </w:rPr>
      </w:pPr>
      <w:r>
        <w:rPr>
          <w:rFonts w:ascii="Arial" w:eastAsia="Arial" w:hAnsi="Arial" w:cs="Arial"/>
          <w:color w:val="000000"/>
          <w:lang w:val="es-ES"/>
        </w:rPr>
        <w:t>Con este marco del proyecto y debido a los retos de la actual operación se ha</w:t>
      </w:r>
      <w:r w:rsidR="00AD7EFD">
        <w:rPr>
          <w:rFonts w:ascii="Arial" w:eastAsia="Arial" w:hAnsi="Arial" w:cs="Arial"/>
          <w:color w:val="000000"/>
          <w:lang w:val="es-ES"/>
        </w:rPr>
        <w:t>n</w:t>
      </w:r>
      <w:r>
        <w:rPr>
          <w:rFonts w:ascii="Arial" w:eastAsia="Arial" w:hAnsi="Arial" w:cs="Arial"/>
          <w:color w:val="000000"/>
          <w:lang w:val="es-ES"/>
        </w:rPr>
        <w:t xml:space="preserve"> propuesto </w:t>
      </w:r>
      <w:r w:rsidR="00540019">
        <w:rPr>
          <w:rFonts w:ascii="Arial" w:eastAsia="Arial" w:hAnsi="Arial" w:cs="Arial"/>
          <w:color w:val="000000"/>
          <w:lang w:val="es-ES"/>
        </w:rPr>
        <w:t>una</w:t>
      </w:r>
      <w:r>
        <w:rPr>
          <w:rFonts w:ascii="Arial" w:eastAsia="Arial" w:hAnsi="Arial" w:cs="Arial"/>
          <w:color w:val="000000"/>
          <w:lang w:val="es-ES"/>
        </w:rPr>
        <w:t xml:space="preserve"> accion para realizar el alineamiento de género y diversidad</w:t>
      </w:r>
      <w:r w:rsidR="00AD7EFD">
        <w:rPr>
          <w:rFonts w:ascii="Arial" w:eastAsia="Arial" w:hAnsi="Arial" w:cs="Arial"/>
          <w:color w:val="000000"/>
          <w:lang w:val="es-ES"/>
        </w:rPr>
        <w:t>: la</w:t>
      </w:r>
      <w:r w:rsidR="00AD7EFD" w:rsidRPr="00AD7EFD">
        <w:rPr>
          <w:rFonts w:ascii="Arial" w:eastAsia="Times New Roman" w:hAnsi="Arial" w:cs="Arial"/>
          <w:lang w:val="es-ES_tradnl"/>
        </w:rPr>
        <w:t xml:space="preserve"> </w:t>
      </w:r>
      <w:r w:rsidR="00AD7EFD" w:rsidRPr="00AD7EFD">
        <w:rPr>
          <w:rFonts w:ascii="Arial" w:eastAsia="Arial" w:hAnsi="Arial" w:cs="Arial"/>
          <w:color w:val="000000"/>
          <w:lang w:val="es-ES_tradnl"/>
        </w:rPr>
        <w:t>participación de mujeres ingenieras</w:t>
      </w:r>
      <w:r w:rsidR="00AD7EFD">
        <w:rPr>
          <w:rFonts w:ascii="Arial" w:eastAsia="Arial" w:hAnsi="Arial" w:cs="Arial"/>
          <w:color w:val="000000"/>
          <w:lang w:val="es-ES_tradnl"/>
        </w:rPr>
        <w:t xml:space="preserve">, especialmente, </w:t>
      </w:r>
      <w:r w:rsidR="00AD7EFD" w:rsidRPr="00AD7EFD">
        <w:rPr>
          <w:rFonts w:ascii="Arial" w:eastAsia="Arial" w:hAnsi="Arial" w:cs="Arial"/>
          <w:color w:val="000000"/>
          <w:lang w:val="es-ES_tradnl"/>
        </w:rPr>
        <w:t>en las tareas de supervisión de diseños técnicos y de obras finalizadas, así como también en posiciones de calidad durante la ejecución de los proyectos.</w:t>
      </w:r>
    </w:p>
    <w:p w14:paraId="627A0E9C" w14:textId="445C1EAA" w:rsidR="00A94E3A" w:rsidRDefault="00AD7EFD" w:rsidP="00A94E3A">
      <w:pPr>
        <w:tabs>
          <w:tab w:val="num" w:pos="720"/>
        </w:tabs>
        <w:spacing w:after="0" w:line="240" w:lineRule="auto"/>
        <w:contextualSpacing/>
        <w:rPr>
          <w:rFonts w:ascii="Arial" w:eastAsia="Arial" w:hAnsi="Arial" w:cs="Arial"/>
          <w:b/>
          <w:color w:val="000000"/>
          <w:lang w:val="es-ES"/>
        </w:rPr>
      </w:pPr>
      <w:r>
        <w:rPr>
          <w:rFonts w:ascii="Arial" w:eastAsia="Arial" w:hAnsi="Arial" w:cs="Arial"/>
          <w:color w:val="000000"/>
          <w:lang w:val="es-ES"/>
        </w:rPr>
        <w:t xml:space="preserve"> </w:t>
      </w:r>
    </w:p>
    <w:p w14:paraId="7F8F53CE" w14:textId="77777777" w:rsidR="00104199" w:rsidRPr="00CC42A7" w:rsidRDefault="00104199" w:rsidP="00104199">
      <w:pPr>
        <w:spacing w:before="120" w:after="120" w:line="240" w:lineRule="auto"/>
        <w:jc w:val="both"/>
        <w:outlineLvl w:val="1"/>
        <w:rPr>
          <w:rFonts w:ascii="Arial" w:hAnsi="Arial" w:cs="Arial"/>
          <w:lang w:val="es-419"/>
        </w:rPr>
      </w:pPr>
      <w:r w:rsidRPr="00CC42A7">
        <w:rPr>
          <w:rFonts w:ascii="Arial" w:hAnsi="Arial" w:cs="Arial"/>
          <w:lang w:val="es-419"/>
        </w:rPr>
        <w:t>Según datos publicados por el INE al año 2006 el 51% de la población guatemalteca se encontraba en condiciones de pobreza, el 15.2% corresponde a pobreza extrema, y el 35.8% restante a pobreza no extrema. Del total de la población en condiciones de pobreza, el 51.5% son mujeres.</w:t>
      </w:r>
      <w:r>
        <w:rPr>
          <w:rStyle w:val="FootnoteReference"/>
          <w:rFonts w:ascii="Arial" w:hAnsi="Arial" w:cs="Arial"/>
          <w:lang w:val="es-419"/>
        </w:rPr>
        <w:footnoteReference w:id="1"/>
      </w:r>
      <w:r w:rsidRPr="00CC42A7">
        <w:rPr>
          <w:rFonts w:ascii="Arial" w:hAnsi="Arial" w:cs="Arial"/>
          <w:lang w:val="es-419"/>
        </w:rPr>
        <w:t>.</w:t>
      </w:r>
    </w:p>
    <w:p w14:paraId="5BFCAED2" w14:textId="491F7901" w:rsidR="005A485B" w:rsidRDefault="00A94E3A" w:rsidP="00E136F6">
      <w:pPr>
        <w:tabs>
          <w:tab w:val="num" w:pos="720"/>
        </w:tabs>
        <w:spacing w:after="0" w:line="240" w:lineRule="auto"/>
        <w:contextualSpacing/>
        <w:jc w:val="both"/>
        <w:rPr>
          <w:rFonts w:ascii="Arial" w:eastAsia="Arial" w:hAnsi="Arial" w:cs="Arial"/>
          <w:color w:val="000000"/>
          <w:lang w:val="es-ES"/>
        </w:rPr>
      </w:pPr>
      <w:r w:rsidRPr="00A94E3A">
        <w:rPr>
          <w:rFonts w:ascii="Arial" w:eastAsia="Arial" w:hAnsi="Arial" w:cs="Arial"/>
          <w:color w:val="000000"/>
          <w:lang w:val="es-ES"/>
        </w:rPr>
        <w:t>En los departamentos donde se ubica la muestra representativa de los caminos a intervenir</w:t>
      </w:r>
      <w:r w:rsidR="00104199">
        <w:rPr>
          <w:rStyle w:val="FootnoteReference"/>
          <w:rFonts w:ascii="Arial" w:eastAsia="Arial" w:hAnsi="Arial" w:cs="Arial"/>
          <w:color w:val="000000"/>
          <w:lang w:val="es-ES"/>
        </w:rPr>
        <w:footnoteReference w:id="2"/>
      </w:r>
      <w:r w:rsidRPr="00A94E3A">
        <w:rPr>
          <w:rFonts w:ascii="Arial" w:eastAsia="Arial" w:hAnsi="Arial" w:cs="Arial"/>
          <w:color w:val="000000"/>
          <w:lang w:val="es-ES"/>
        </w:rPr>
        <w:t xml:space="preserve"> </w:t>
      </w:r>
      <w:proofErr w:type="gramStart"/>
      <w:r w:rsidRPr="00A94E3A">
        <w:rPr>
          <w:rFonts w:ascii="Arial" w:eastAsia="Arial" w:hAnsi="Arial" w:cs="Arial"/>
          <w:color w:val="000000"/>
          <w:lang w:val="es-ES"/>
        </w:rPr>
        <w:t>( Quich</w:t>
      </w:r>
      <w:r w:rsidRPr="00A94E3A">
        <w:rPr>
          <w:rFonts w:ascii="Arial" w:eastAsia="Arial" w:hAnsi="Arial" w:cs="Arial" w:hint="eastAsia"/>
          <w:color w:val="000000"/>
          <w:lang w:val="es-ES"/>
        </w:rPr>
        <w:t>é</w:t>
      </w:r>
      <w:proofErr w:type="gramEnd"/>
      <w:r w:rsidRPr="00A94E3A">
        <w:rPr>
          <w:rFonts w:ascii="Arial" w:eastAsia="Arial" w:hAnsi="Arial" w:cs="Arial"/>
          <w:color w:val="000000"/>
          <w:lang w:val="es-ES"/>
        </w:rPr>
        <w:t xml:space="preserve">, San Marcos y Chimaltenango) se ubican los pueblos Kaqchikel, </w:t>
      </w:r>
      <w:proofErr w:type="spellStart"/>
      <w:r w:rsidRPr="00A94E3A">
        <w:rPr>
          <w:rFonts w:ascii="Arial" w:eastAsia="Arial" w:hAnsi="Arial" w:cs="Arial"/>
          <w:color w:val="000000"/>
          <w:lang w:val="es-ES"/>
        </w:rPr>
        <w:t>Q’anjobal</w:t>
      </w:r>
      <w:proofErr w:type="spellEnd"/>
      <w:r w:rsidRPr="00A94E3A">
        <w:rPr>
          <w:rFonts w:ascii="Arial" w:eastAsia="Arial" w:hAnsi="Arial" w:cs="Arial"/>
          <w:color w:val="000000"/>
          <w:lang w:val="es-ES"/>
        </w:rPr>
        <w:t xml:space="preserve">, </w:t>
      </w:r>
      <w:proofErr w:type="spellStart"/>
      <w:r w:rsidRPr="00A94E3A">
        <w:rPr>
          <w:rFonts w:ascii="Arial" w:eastAsia="Arial" w:hAnsi="Arial" w:cs="Arial"/>
          <w:color w:val="000000"/>
          <w:lang w:val="es-ES"/>
        </w:rPr>
        <w:t>Akateco</w:t>
      </w:r>
      <w:proofErr w:type="spellEnd"/>
      <w:r w:rsidRPr="00A94E3A">
        <w:rPr>
          <w:rFonts w:ascii="Arial" w:eastAsia="Arial" w:hAnsi="Arial" w:cs="Arial"/>
          <w:color w:val="000000"/>
          <w:lang w:val="es-ES"/>
        </w:rPr>
        <w:t xml:space="preserve"> y Chuj donde más de un 50.9% de la población</w:t>
      </w:r>
      <w:r w:rsidRPr="00A94E3A">
        <w:rPr>
          <w:rFonts w:ascii="Arial" w:eastAsia="Arial" w:hAnsi="Arial" w:cs="Arial"/>
          <w:color w:val="000000"/>
          <w:vertAlign w:val="superscript"/>
          <w:lang w:val="es-ES"/>
        </w:rPr>
        <w:footnoteReference w:id="3"/>
      </w:r>
      <w:r w:rsidRPr="00A94E3A">
        <w:rPr>
          <w:rFonts w:ascii="Arial" w:eastAsia="Arial" w:hAnsi="Arial" w:cs="Arial"/>
          <w:color w:val="000000"/>
          <w:lang w:val="es-ES"/>
        </w:rPr>
        <w:t xml:space="preserve"> corresponde a mujeres</w:t>
      </w:r>
      <w:r w:rsidRPr="00A94E3A">
        <w:rPr>
          <w:rFonts w:ascii="Arial" w:eastAsia="Arial" w:hAnsi="Arial" w:cs="Arial"/>
          <w:color w:val="000000"/>
          <w:vertAlign w:val="superscript"/>
          <w:lang w:val="es-ES"/>
        </w:rPr>
        <w:footnoteReference w:id="4"/>
      </w:r>
      <w:r w:rsidRPr="00A94E3A">
        <w:rPr>
          <w:rFonts w:ascii="Arial" w:eastAsia="Arial" w:hAnsi="Arial" w:cs="Arial"/>
          <w:color w:val="000000"/>
          <w:lang w:val="es-ES"/>
        </w:rPr>
        <w:t xml:space="preserve">. </w:t>
      </w:r>
      <w:r w:rsidR="001E2BD1" w:rsidRPr="001E2BD1">
        <w:rPr>
          <w:rFonts w:ascii="Arial" w:eastAsia="Arial" w:hAnsi="Arial" w:cs="Arial"/>
          <w:color w:val="000000"/>
          <w:lang w:val="es-419"/>
        </w:rPr>
        <w:t xml:space="preserve">En el sector agrícola la presencia de mujeres es del 17.5% en 2007 donde existe una </w:t>
      </w:r>
      <w:proofErr w:type="spellStart"/>
      <w:r w:rsidR="001E2BD1" w:rsidRPr="001E2BD1">
        <w:rPr>
          <w:rFonts w:ascii="Arial" w:eastAsia="Arial" w:hAnsi="Arial" w:cs="Arial"/>
          <w:color w:val="000000"/>
          <w:lang w:val="es-419"/>
        </w:rPr>
        <w:t>invisibilización</w:t>
      </w:r>
      <w:proofErr w:type="spellEnd"/>
      <w:r w:rsidR="001E2BD1" w:rsidRPr="001E2BD1">
        <w:rPr>
          <w:rFonts w:ascii="Arial" w:eastAsia="Arial" w:hAnsi="Arial" w:cs="Arial"/>
          <w:color w:val="000000"/>
          <w:lang w:val="es-419"/>
        </w:rPr>
        <w:t xml:space="preserve"> de su participación pues</w:t>
      </w:r>
      <w:r w:rsidR="00695FDF">
        <w:rPr>
          <w:rFonts w:ascii="Arial" w:eastAsia="Arial" w:hAnsi="Arial" w:cs="Arial"/>
          <w:color w:val="000000"/>
          <w:lang w:val="es-419"/>
        </w:rPr>
        <w:t>,</w:t>
      </w:r>
      <w:r w:rsidR="001E2BD1" w:rsidRPr="001E2BD1">
        <w:rPr>
          <w:rFonts w:ascii="Arial" w:eastAsia="Arial" w:hAnsi="Arial" w:cs="Arial"/>
          <w:color w:val="000000"/>
          <w:lang w:val="es-419"/>
        </w:rPr>
        <w:t xml:space="preserve"> en la mayoría de los casos, es considerado como parte del trabajo doméstico o de apoyo al hombre.</w:t>
      </w:r>
      <w:r w:rsidR="005A485B">
        <w:rPr>
          <w:rFonts w:ascii="Arial" w:eastAsia="Arial" w:hAnsi="Arial" w:cs="Arial"/>
          <w:color w:val="000000"/>
          <w:lang w:val="es-419"/>
        </w:rPr>
        <w:t xml:space="preserve"> </w:t>
      </w:r>
    </w:p>
    <w:p w14:paraId="13C6EE61" w14:textId="77777777" w:rsidR="005A485B" w:rsidRDefault="005A485B" w:rsidP="00A94E3A">
      <w:pPr>
        <w:tabs>
          <w:tab w:val="num" w:pos="720"/>
        </w:tabs>
        <w:spacing w:after="0" w:line="240" w:lineRule="auto"/>
        <w:contextualSpacing/>
        <w:rPr>
          <w:rFonts w:ascii="Arial" w:eastAsia="Arial" w:hAnsi="Arial" w:cs="Arial"/>
          <w:color w:val="000000"/>
          <w:lang w:val="es-ES"/>
        </w:rPr>
      </w:pPr>
    </w:p>
    <w:p w14:paraId="5DDBDED5" w14:textId="0FAC2E15" w:rsidR="0016430D" w:rsidRDefault="005A485B" w:rsidP="00A21CCB">
      <w:pPr>
        <w:tabs>
          <w:tab w:val="num" w:pos="720"/>
        </w:tabs>
        <w:spacing w:after="0" w:line="240" w:lineRule="auto"/>
        <w:contextualSpacing/>
        <w:rPr>
          <w:rFonts w:ascii="Arial" w:eastAsia="Arial" w:hAnsi="Arial" w:cs="Arial"/>
          <w:color w:val="000000"/>
          <w:lang w:val="es-ES"/>
        </w:rPr>
      </w:pPr>
      <w:r>
        <w:rPr>
          <w:rFonts w:ascii="Arial" w:eastAsia="Arial" w:hAnsi="Arial" w:cs="Arial"/>
          <w:color w:val="000000"/>
          <w:lang w:val="es-ES"/>
        </w:rPr>
        <w:t xml:space="preserve">Las </w:t>
      </w:r>
      <w:r w:rsidRPr="005A485B">
        <w:rPr>
          <w:rFonts w:ascii="Arial" w:hAnsi="Arial" w:cs="Arial"/>
          <w:lang w:val="es-419"/>
        </w:rPr>
        <w:t>mujeres participan activamente en actividades agrícolas y pecuarias: producción, acopio y procesamiento de alimentos (cereales básicos, hortalizas y frutas</w:t>
      </w:r>
      <w:proofErr w:type="gramStart"/>
      <w:r w:rsidRPr="005A485B">
        <w:rPr>
          <w:rFonts w:ascii="Arial" w:hAnsi="Arial" w:cs="Arial"/>
          <w:lang w:val="es-419"/>
        </w:rPr>
        <w:t>),y</w:t>
      </w:r>
      <w:proofErr w:type="gramEnd"/>
      <w:r w:rsidRPr="005A485B">
        <w:rPr>
          <w:rFonts w:ascii="Arial" w:hAnsi="Arial" w:cs="Arial"/>
          <w:lang w:val="es-419"/>
        </w:rPr>
        <w:t xml:space="preserve"> cuidado del ganado y aves de corral, además de en otras actividades productivas como son la artesanía, agroindustria, mercadeo, costura</w:t>
      </w:r>
      <w:r w:rsidRPr="00A94E3A">
        <w:rPr>
          <w:rFonts w:ascii="Arial" w:eastAsia="Arial" w:hAnsi="Arial" w:cs="Arial"/>
          <w:color w:val="000000"/>
          <w:vertAlign w:val="superscript"/>
          <w:lang w:val="es-ES"/>
        </w:rPr>
        <w:footnoteReference w:id="5"/>
      </w:r>
      <w:r>
        <w:rPr>
          <w:rFonts w:ascii="Arial" w:hAnsi="Arial" w:cs="Arial"/>
          <w:lang w:val="es-419"/>
        </w:rPr>
        <w:t xml:space="preserve">. </w:t>
      </w:r>
      <w:r w:rsidRPr="005A485B">
        <w:rPr>
          <w:rFonts w:ascii="Arial" w:hAnsi="Arial" w:cs="Arial"/>
          <w:lang w:val="es-419"/>
        </w:rPr>
        <w:t xml:space="preserve"> </w:t>
      </w:r>
    </w:p>
    <w:p w14:paraId="68C96B05" w14:textId="77777777" w:rsidR="00A21CCB" w:rsidRDefault="00A21CCB" w:rsidP="00415F12">
      <w:pPr>
        <w:spacing w:after="0" w:line="240" w:lineRule="auto"/>
        <w:contextualSpacing/>
        <w:rPr>
          <w:rFonts w:ascii="Arial" w:eastAsia="Arial" w:hAnsi="Arial" w:cs="Arial"/>
          <w:color w:val="000000"/>
          <w:lang w:val="es-ES"/>
        </w:rPr>
      </w:pPr>
    </w:p>
    <w:p w14:paraId="0776B9AF" w14:textId="1320B4EC" w:rsidR="00D67DFD" w:rsidRPr="00D67DFD" w:rsidRDefault="00A94E3A" w:rsidP="00415F12">
      <w:pPr>
        <w:spacing w:after="0" w:line="240" w:lineRule="auto"/>
        <w:contextualSpacing/>
        <w:rPr>
          <w:rFonts w:ascii="Arial" w:eastAsia="Arial" w:hAnsi="Arial" w:cs="Arial"/>
          <w:b/>
          <w:color w:val="000000"/>
          <w:lang w:val="es-ES"/>
        </w:rPr>
      </w:pPr>
      <w:r>
        <w:rPr>
          <w:rFonts w:ascii="Arial" w:eastAsia="Arial" w:hAnsi="Arial" w:cs="Arial"/>
          <w:b/>
          <w:color w:val="000000"/>
          <w:lang w:val="es-ES"/>
        </w:rPr>
        <w:t>Mujeres en la supervisión de obras.</w:t>
      </w:r>
      <w:r w:rsidR="00D67DFD" w:rsidRPr="00D67DFD">
        <w:rPr>
          <w:rFonts w:ascii="Arial" w:eastAsia="Arial" w:hAnsi="Arial" w:cs="Arial"/>
          <w:b/>
          <w:color w:val="000000"/>
          <w:lang w:val="es-ES"/>
        </w:rPr>
        <w:t xml:space="preserve"> </w:t>
      </w:r>
    </w:p>
    <w:p w14:paraId="70BE110A" w14:textId="77777777" w:rsidR="00C118E8" w:rsidRDefault="00BA4E56" w:rsidP="00AC136E">
      <w:pPr>
        <w:spacing w:before="120" w:after="120" w:line="240" w:lineRule="auto"/>
        <w:jc w:val="both"/>
        <w:outlineLvl w:val="1"/>
        <w:rPr>
          <w:rFonts w:ascii="Arial" w:hAnsi="Arial" w:cs="Arial"/>
          <w:lang w:val="es-419"/>
        </w:rPr>
      </w:pPr>
      <w:r w:rsidRPr="00AC136E">
        <w:rPr>
          <w:rFonts w:ascii="Arial" w:hAnsi="Arial" w:cs="Arial"/>
          <w:lang w:val="es-419"/>
        </w:rPr>
        <w:lastRenderedPageBreak/>
        <w:t>Guatemala cuenta con políticas nacionales en favor de la igualdad de género</w:t>
      </w:r>
      <w:r w:rsidR="001E2BD1">
        <w:rPr>
          <w:rFonts w:ascii="Arial" w:hAnsi="Arial" w:cs="Arial"/>
          <w:lang w:val="es-419"/>
        </w:rPr>
        <w:t>, e</w:t>
      </w:r>
      <w:r w:rsidRPr="00AC136E">
        <w:rPr>
          <w:rFonts w:ascii="Arial" w:hAnsi="Arial" w:cs="Arial"/>
          <w:lang w:val="es-419"/>
        </w:rPr>
        <w:t xml:space="preserve">l principal instrumento es la Política Nacional de Promoción y Desarrollo Integral de las Mujeres en donde consta la aplicación de los derechos económicos, sociales, políticos y culturales de las mujeres mayas, </w:t>
      </w:r>
      <w:proofErr w:type="spellStart"/>
      <w:r w:rsidRPr="00AC136E">
        <w:rPr>
          <w:rFonts w:ascii="Arial" w:hAnsi="Arial" w:cs="Arial"/>
          <w:lang w:val="es-419"/>
        </w:rPr>
        <w:t>xinkas</w:t>
      </w:r>
      <w:proofErr w:type="spellEnd"/>
      <w:r w:rsidRPr="00AC136E">
        <w:rPr>
          <w:rFonts w:ascii="Arial" w:hAnsi="Arial" w:cs="Arial"/>
          <w:lang w:val="es-419"/>
        </w:rPr>
        <w:t xml:space="preserve">, garífunas y mestizas. Se impulsan proyectos para el desarrollo </w:t>
      </w:r>
      <w:r w:rsidR="00ED264E" w:rsidRPr="00AC136E">
        <w:rPr>
          <w:rFonts w:ascii="Arial" w:hAnsi="Arial" w:cs="Arial"/>
          <w:lang w:val="es-419"/>
        </w:rPr>
        <w:t>de capacidades</w:t>
      </w:r>
      <w:r w:rsidRPr="00AC136E">
        <w:rPr>
          <w:rFonts w:ascii="Arial" w:hAnsi="Arial" w:cs="Arial"/>
          <w:lang w:val="es-419"/>
        </w:rPr>
        <w:t xml:space="preserve"> de mujeres para una adecuada incursión al mercado laboral, con mayor acceso a la información, capacitación y seguridad laboral, entre otros temas. Este objetivo se plasma en el Plan de Equidad de Oportunidades 2008 – 2023 donde potencian la autonomía económica y la capacidad productiva y empresarial de las mujeres. </w:t>
      </w:r>
    </w:p>
    <w:p w14:paraId="46A09BC0" w14:textId="77777777" w:rsidR="001E2BD1" w:rsidRPr="001E2BD1" w:rsidRDefault="001E2BD1" w:rsidP="001E2BD1">
      <w:pPr>
        <w:spacing w:before="120" w:after="120" w:line="240" w:lineRule="auto"/>
        <w:jc w:val="both"/>
        <w:outlineLvl w:val="1"/>
        <w:rPr>
          <w:rFonts w:ascii="Arial" w:hAnsi="Arial" w:cs="Arial"/>
          <w:lang w:val="es-ES_tradnl"/>
        </w:rPr>
      </w:pPr>
      <w:r>
        <w:rPr>
          <w:rFonts w:ascii="Arial" w:eastAsia="Times New Roman" w:hAnsi="Arial" w:cs="Arial"/>
          <w:lang w:val="es-ES_tradnl"/>
        </w:rPr>
        <w:t xml:space="preserve">Estos planteamientos de políticas son un paraguas que nos permite plantear cambios hacia la equidad en los proyectos del Banco </w:t>
      </w:r>
      <w:proofErr w:type="gramStart"/>
      <w:r>
        <w:rPr>
          <w:rFonts w:ascii="Arial" w:eastAsia="Times New Roman" w:hAnsi="Arial" w:cs="Arial"/>
          <w:lang w:val="es-ES_tradnl"/>
        </w:rPr>
        <w:t>en relación al</w:t>
      </w:r>
      <w:proofErr w:type="gramEnd"/>
      <w:r>
        <w:rPr>
          <w:rFonts w:ascii="Arial" w:eastAsia="Times New Roman" w:hAnsi="Arial" w:cs="Arial"/>
          <w:lang w:val="es-ES_tradnl"/>
        </w:rPr>
        <w:t xml:space="preserve"> empleo femenino en el transporte. Los datos nos demuestran </w:t>
      </w:r>
      <w:proofErr w:type="gramStart"/>
      <w:r>
        <w:rPr>
          <w:rFonts w:ascii="Arial" w:eastAsia="Times New Roman" w:hAnsi="Arial" w:cs="Arial"/>
          <w:lang w:val="es-ES_tradnl"/>
        </w:rPr>
        <w:t>que</w:t>
      </w:r>
      <w:proofErr w:type="gramEnd"/>
      <w:r>
        <w:rPr>
          <w:rFonts w:ascii="Arial" w:eastAsia="Times New Roman" w:hAnsi="Arial" w:cs="Arial"/>
          <w:lang w:val="es-ES_tradnl"/>
        </w:rPr>
        <w:t xml:space="preserve"> en este sentido, a</w:t>
      </w:r>
      <w:r w:rsidR="002C71AB" w:rsidRPr="002C71AB">
        <w:rPr>
          <w:rFonts w:ascii="Arial" w:eastAsia="Times New Roman" w:hAnsi="Arial" w:cs="Arial"/>
          <w:lang w:val="es-ES_tradnl"/>
        </w:rPr>
        <w:t xml:space="preserve"> nivel nacional la participación de las mujeres en el sector transporte de Guatemala alcanza un 46%, pero se</w:t>
      </w:r>
      <w:r w:rsidR="002C71AB">
        <w:rPr>
          <w:rFonts w:ascii="Arial" w:eastAsia="Times New Roman" w:hAnsi="Arial" w:cs="Arial"/>
          <w:lang w:val="es-ES_tradnl"/>
        </w:rPr>
        <w:t xml:space="preserve"> </w:t>
      </w:r>
      <w:r w:rsidR="002C71AB" w:rsidRPr="002C71AB">
        <w:rPr>
          <w:rFonts w:ascii="Arial" w:eastAsia="Times New Roman" w:hAnsi="Arial" w:cs="Arial"/>
          <w:lang w:val="es-ES_tradnl"/>
        </w:rPr>
        <w:t xml:space="preserve">concentra en empleos informales o de menor calidad. </w:t>
      </w:r>
    </w:p>
    <w:p w14:paraId="1A83FCFA" w14:textId="77777777" w:rsidR="002C71AB" w:rsidRPr="002C71AB" w:rsidRDefault="002C71AB" w:rsidP="002C71AB">
      <w:pPr>
        <w:numPr>
          <w:ilvl w:val="1"/>
          <w:numId w:val="0"/>
        </w:numPr>
        <w:tabs>
          <w:tab w:val="num" w:pos="720"/>
        </w:tabs>
        <w:spacing w:before="120" w:after="120" w:line="240" w:lineRule="auto"/>
        <w:ind w:left="720" w:hanging="720"/>
        <w:jc w:val="both"/>
        <w:outlineLvl w:val="1"/>
        <w:rPr>
          <w:rFonts w:ascii="Arial" w:eastAsia="Times New Roman" w:hAnsi="Arial" w:cs="Arial"/>
          <w:lang w:val="es-ES"/>
        </w:rPr>
      </w:pPr>
    </w:p>
    <w:p w14:paraId="548CCFB2" w14:textId="77777777" w:rsidR="00CA1FEE" w:rsidRPr="00BA4E56" w:rsidRDefault="00CA1FEE" w:rsidP="00C118E8">
      <w:pPr>
        <w:pStyle w:val="Paragraph"/>
        <w:numPr>
          <w:ilvl w:val="0"/>
          <w:numId w:val="0"/>
        </w:numPr>
        <w:rPr>
          <w:rFonts w:ascii="Arial" w:hAnsi="Arial" w:cs="Arial"/>
          <w:sz w:val="22"/>
          <w:szCs w:val="22"/>
        </w:rPr>
      </w:pPr>
      <w:r>
        <w:rPr>
          <w:noProof/>
        </w:rPr>
        <w:drawing>
          <wp:inline distT="0" distB="0" distL="0" distR="0" wp14:anchorId="02F52F66" wp14:editId="13280126">
            <wp:extent cx="3400425" cy="2511425"/>
            <wp:effectExtent l="0" t="0" r="0" b="0"/>
            <wp:docPr id="1" name="Chart 1">
              <a:extLst xmlns:a="http://schemas.openxmlformats.org/drawingml/2006/main">
                <a:ext uri="{FF2B5EF4-FFF2-40B4-BE49-F238E27FC236}">
                  <a16:creationId xmlns:a16="http://schemas.microsoft.com/office/drawing/2014/main" id="{D988932B-2613-4534-BE96-E3358A79EA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908C771" w14:textId="77777777" w:rsidR="00CA1FEE" w:rsidRPr="00CA1FEE" w:rsidRDefault="00CA1FEE" w:rsidP="00CA1FEE">
      <w:pPr>
        <w:pStyle w:val="Paragraph"/>
        <w:numPr>
          <w:ilvl w:val="0"/>
          <w:numId w:val="0"/>
        </w:numPr>
        <w:ind w:left="720"/>
        <w:rPr>
          <w:rFonts w:ascii="Arial" w:hAnsi="Arial" w:cs="Arial"/>
          <w:b/>
          <w:bCs/>
          <w:sz w:val="18"/>
          <w:szCs w:val="18"/>
          <w:lang w:val="es-ES_tradnl"/>
        </w:rPr>
      </w:pPr>
      <w:r w:rsidRPr="00CA1FEE">
        <w:rPr>
          <w:rFonts w:ascii="Arial" w:hAnsi="Arial" w:cs="Arial"/>
          <w:b/>
          <w:bCs/>
          <w:sz w:val="18"/>
          <w:szCs w:val="18"/>
          <w:lang w:val="es-ES_tradnl"/>
        </w:rPr>
        <w:t>Datos: Instituto Nacional de Estadística Guatemala (2014)</w:t>
      </w:r>
    </w:p>
    <w:p w14:paraId="20D8037C" w14:textId="77777777" w:rsidR="00BA4E56" w:rsidRPr="00BA4E56" w:rsidRDefault="00BA4E56" w:rsidP="00BA4E56">
      <w:pPr>
        <w:pStyle w:val="Paragraph"/>
        <w:numPr>
          <w:ilvl w:val="0"/>
          <w:numId w:val="0"/>
        </w:numPr>
        <w:ind w:left="720"/>
        <w:rPr>
          <w:rFonts w:ascii="Arial" w:hAnsi="Arial" w:cs="Arial"/>
          <w:sz w:val="22"/>
          <w:szCs w:val="22"/>
        </w:rPr>
      </w:pPr>
    </w:p>
    <w:p w14:paraId="1A0A5FD3" w14:textId="77777777" w:rsidR="001E2BD1" w:rsidRPr="001E2BD1" w:rsidRDefault="001E2BD1" w:rsidP="001E2BD1">
      <w:pPr>
        <w:spacing w:before="120" w:after="120" w:line="240" w:lineRule="auto"/>
        <w:jc w:val="both"/>
        <w:outlineLvl w:val="1"/>
        <w:rPr>
          <w:rFonts w:ascii="Arial" w:hAnsi="Arial" w:cs="Arial"/>
          <w:lang w:val="es-ES_tradnl"/>
        </w:rPr>
      </w:pPr>
      <w:r w:rsidRPr="002C71AB">
        <w:rPr>
          <w:rFonts w:ascii="Arial" w:eastAsia="Times New Roman" w:hAnsi="Arial" w:cs="Arial"/>
          <w:lang w:val="es-ES_tradnl"/>
        </w:rPr>
        <w:t>Esta situación representa una oportunidad para promover</w:t>
      </w:r>
      <w:r w:rsidRPr="002C71AB">
        <w:rPr>
          <w:rFonts w:ascii="Arial" w:eastAsia="Times New Roman" w:hAnsi="Arial" w:cs="Arial"/>
          <w:vertAlign w:val="superscript"/>
          <w:lang w:val="es-ES_tradnl"/>
        </w:rPr>
        <w:footnoteReference w:id="6"/>
      </w:r>
      <w:r w:rsidRPr="002C71AB">
        <w:rPr>
          <w:rFonts w:ascii="Arial" w:eastAsia="Times New Roman" w:hAnsi="Arial" w:cs="Arial"/>
          <w:lang w:val="es-ES_tradnl"/>
        </w:rPr>
        <w:t xml:space="preserve"> la participación de mujeres </w:t>
      </w:r>
      <w:r>
        <w:rPr>
          <w:rFonts w:ascii="Arial" w:eastAsia="Times New Roman" w:hAnsi="Arial" w:cs="Arial"/>
          <w:lang w:val="es-ES_tradnl"/>
        </w:rPr>
        <w:t xml:space="preserve">ingenieras </w:t>
      </w:r>
      <w:r w:rsidRPr="002C71AB">
        <w:rPr>
          <w:rFonts w:ascii="Arial" w:eastAsia="Times New Roman" w:hAnsi="Arial" w:cs="Arial"/>
          <w:lang w:val="es-ES_tradnl"/>
        </w:rPr>
        <w:t>en perfiles técnicos y de planificación de infraestructura, específicamente en las tareas de supervisión de diseños técnicos y de obras finalizadas, así como también en posiciones de calidad durante la ejecución de los proyectos</w:t>
      </w:r>
      <w:r>
        <w:rPr>
          <w:rFonts w:ascii="Arial" w:hAnsi="Arial" w:cs="Arial"/>
          <w:lang w:val="es-ES_tradnl"/>
        </w:rPr>
        <w:t>.</w:t>
      </w:r>
    </w:p>
    <w:p w14:paraId="0C9322A7" w14:textId="77777777" w:rsidR="00ED264E" w:rsidRPr="00D67DFD" w:rsidRDefault="00295DE2" w:rsidP="00ED264E">
      <w:pPr>
        <w:pStyle w:val="Paragraph"/>
        <w:numPr>
          <w:ilvl w:val="0"/>
          <w:numId w:val="0"/>
        </w:numPr>
        <w:rPr>
          <w:rFonts w:ascii="Arial" w:hAnsi="Arial" w:cs="Arial"/>
          <w:sz w:val="22"/>
          <w:szCs w:val="22"/>
          <w:lang w:val="es-ES_tradnl"/>
        </w:rPr>
      </w:pPr>
      <w:r w:rsidRPr="00295DE2">
        <w:rPr>
          <w:rFonts w:ascii="Arial" w:hAnsi="Arial" w:cs="Arial"/>
          <w:lang w:val="es-ES_tradnl"/>
        </w:rPr>
        <w:t>En ALC, la construcción de infraestructura</w:t>
      </w:r>
      <w:r w:rsidRPr="00295DE2">
        <w:rPr>
          <w:rFonts w:ascii="Arial" w:hAnsi="Arial" w:cs="Arial"/>
          <w:vertAlign w:val="superscript"/>
          <w:lang w:val="en-US"/>
        </w:rPr>
        <w:footnoteReference w:id="7"/>
      </w:r>
      <w:r w:rsidRPr="00295DE2">
        <w:rPr>
          <w:rFonts w:ascii="Arial" w:hAnsi="Arial" w:cs="Arial"/>
          <w:lang w:val="es-ES_tradnl"/>
        </w:rPr>
        <w:t xml:space="preserve"> y la prestación de servicios conexos pueden generar un promedio anual de 40.000 empleos</w:t>
      </w:r>
      <w:r w:rsidRPr="00295DE2">
        <w:rPr>
          <w:rFonts w:ascii="Arial" w:hAnsi="Arial" w:cs="Arial"/>
          <w:vertAlign w:val="superscript"/>
          <w:lang w:val="en-US"/>
        </w:rPr>
        <w:footnoteReference w:id="8"/>
      </w:r>
      <w:r w:rsidRPr="00295DE2">
        <w:rPr>
          <w:rFonts w:ascii="Arial" w:hAnsi="Arial" w:cs="Arial"/>
          <w:lang w:val="es-ES_tradnl"/>
        </w:rPr>
        <w:t xml:space="preserve"> por cada US$1.000 millones invertidos</w:t>
      </w:r>
      <w:r w:rsidRPr="00295DE2">
        <w:rPr>
          <w:rFonts w:ascii="Arial" w:hAnsi="Arial" w:cs="Arial"/>
          <w:vertAlign w:val="superscript"/>
          <w:lang w:val="en-US"/>
        </w:rPr>
        <w:footnoteReference w:id="9"/>
      </w:r>
      <w:r w:rsidRPr="00295DE2">
        <w:rPr>
          <w:rFonts w:ascii="Arial" w:hAnsi="Arial" w:cs="Arial"/>
          <w:lang w:val="es-ES_tradnl"/>
        </w:rPr>
        <w:t>. No obstante,</w:t>
      </w:r>
      <w:r w:rsidRPr="00295DE2">
        <w:rPr>
          <w:rFonts w:ascii="Arial" w:hAnsi="Arial" w:cs="Arial"/>
          <w:vertAlign w:val="superscript"/>
          <w:lang w:val="es-ES_tradnl"/>
        </w:rPr>
        <w:t xml:space="preserve"> </w:t>
      </w:r>
      <w:r w:rsidRPr="00295DE2">
        <w:rPr>
          <w:rFonts w:ascii="Arial" w:hAnsi="Arial" w:cs="Arial"/>
          <w:lang w:val="es-ES_tradnl"/>
        </w:rPr>
        <w:t>la participación de las mujeres de la región en el sector de construcción y transporte no supera el 3%, a pesar de que representan un 50.4%</w:t>
      </w:r>
      <w:r w:rsidRPr="00295DE2">
        <w:rPr>
          <w:rFonts w:ascii="Arial" w:hAnsi="Arial" w:cs="Arial"/>
          <w:vertAlign w:val="superscript"/>
          <w:lang w:val="en-US"/>
        </w:rPr>
        <w:footnoteReference w:id="10"/>
      </w:r>
      <w:r w:rsidRPr="00295DE2">
        <w:rPr>
          <w:rFonts w:ascii="Arial" w:hAnsi="Arial" w:cs="Arial"/>
          <w:vertAlign w:val="superscript"/>
          <w:lang w:val="es-ES_tradnl"/>
        </w:rPr>
        <w:t xml:space="preserve"> </w:t>
      </w:r>
      <w:r w:rsidRPr="00295DE2">
        <w:rPr>
          <w:rFonts w:ascii="Arial" w:hAnsi="Arial" w:cs="Arial"/>
          <w:lang w:val="es-ES_tradnl"/>
        </w:rPr>
        <w:t xml:space="preserve">de la fuerza laboral. A nivel mundial, las tasas de ocupación de hombres y mujeres por sectores económicos </w:t>
      </w:r>
      <w:r w:rsidRPr="00295DE2">
        <w:rPr>
          <w:rFonts w:ascii="Arial" w:hAnsi="Arial" w:cs="Arial"/>
          <w:lang w:val="es-ES_tradnl"/>
        </w:rPr>
        <w:lastRenderedPageBreak/>
        <w:t xml:space="preserve">confirman una </w:t>
      </w:r>
      <w:proofErr w:type="gramStart"/>
      <w:r w:rsidRPr="00295DE2">
        <w:rPr>
          <w:rFonts w:ascii="Arial" w:hAnsi="Arial" w:cs="Arial"/>
          <w:lang w:val="es-ES_tradnl"/>
        </w:rPr>
        <w:t>sub-representación</w:t>
      </w:r>
      <w:proofErr w:type="gramEnd"/>
      <w:r w:rsidRPr="00295DE2">
        <w:rPr>
          <w:rFonts w:ascii="Arial" w:hAnsi="Arial" w:cs="Arial"/>
          <w:lang w:val="es-ES_tradnl"/>
        </w:rPr>
        <w:t xml:space="preserve"> de mujeres en los rubros de construcción y de transporte y, en contraste, una sobrerrepresentación en labores como comercio, turismo y restauración, servicios sociales e industria manufacturera, sectores de más baja productividad y de menores ingresos</w:t>
      </w:r>
      <w:r w:rsidR="00BB0E97">
        <w:rPr>
          <w:rFonts w:ascii="Arial" w:hAnsi="Arial" w:cs="Arial"/>
          <w:lang w:val="es-ES_tradnl"/>
        </w:rPr>
        <w:t>.</w:t>
      </w:r>
      <w:r w:rsidR="00ED264E" w:rsidRPr="00ED264E">
        <w:rPr>
          <w:rFonts w:ascii="Arial" w:hAnsi="Arial" w:cs="Arial"/>
          <w:sz w:val="22"/>
          <w:szCs w:val="22"/>
          <w:lang w:val="es-ES_tradnl"/>
        </w:rPr>
        <w:t xml:space="preserve"> </w:t>
      </w:r>
      <w:r w:rsidR="00ED264E" w:rsidRPr="00E459BE">
        <w:rPr>
          <w:rFonts w:ascii="Arial" w:hAnsi="Arial" w:cs="Arial"/>
          <w:sz w:val="22"/>
          <w:szCs w:val="22"/>
          <w:lang w:val="es-ES_tradnl"/>
        </w:rPr>
        <w:t>La concentración de mujeres y hombres en diferentes ocupaciones constituye uno de los campos más significativos en los que se manifiesta la desigualdad de género en el mercado de trabajo y está estrechamente relacionada con la desigualdad salarial existente.</w:t>
      </w:r>
    </w:p>
    <w:p w14:paraId="1588D0D6" w14:textId="021E2B2E" w:rsidR="00E51951" w:rsidRDefault="00E51951">
      <w:pPr>
        <w:rPr>
          <w:rFonts w:ascii="Arial" w:eastAsia="Times New Roman" w:hAnsi="Arial" w:cs="Arial"/>
          <w:sz w:val="24"/>
          <w:szCs w:val="20"/>
          <w:lang w:val="es-ES_tradnl"/>
        </w:rPr>
      </w:pPr>
      <w:r>
        <w:rPr>
          <w:rFonts w:ascii="Arial" w:hAnsi="Arial" w:cs="Arial"/>
          <w:lang w:val="es-ES_tradnl"/>
        </w:rPr>
        <w:br w:type="page"/>
      </w:r>
    </w:p>
    <w:p w14:paraId="5A6B33BD" w14:textId="77777777" w:rsidR="00295DE2" w:rsidRPr="00295DE2" w:rsidRDefault="00295DE2" w:rsidP="00A14A44">
      <w:pPr>
        <w:pStyle w:val="Paragraph"/>
        <w:numPr>
          <w:ilvl w:val="0"/>
          <w:numId w:val="0"/>
        </w:numPr>
        <w:ind w:left="720"/>
        <w:rPr>
          <w:rFonts w:ascii="Arial" w:hAnsi="Arial" w:cs="Arial"/>
          <w:lang w:val="es-ES_tradnl"/>
        </w:rPr>
      </w:pPr>
    </w:p>
    <w:p w14:paraId="3CC052D2" w14:textId="77777777" w:rsidR="00295DE2" w:rsidRPr="00BB0E97" w:rsidRDefault="00BB0E97" w:rsidP="00A14A44">
      <w:pPr>
        <w:pStyle w:val="Paragraph"/>
        <w:numPr>
          <w:ilvl w:val="0"/>
          <w:numId w:val="0"/>
        </w:numPr>
        <w:ind w:left="720"/>
        <w:rPr>
          <w:rFonts w:ascii="Arial" w:hAnsi="Arial" w:cs="Arial"/>
          <w:b/>
          <w:lang w:val="es-ES_tradnl"/>
        </w:rPr>
      </w:pPr>
      <w:r w:rsidRPr="00BB0E97">
        <w:rPr>
          <w:rFonts w:ascii="Arial" w:hAnsi="Arial" w:cs="Arial"/>
          <w:b/>
          <w:lang w:val="es-ES_tradnl"/>
        </w:rPr>
        <w:t xml:space="preserve">Tabla 3: </w:t>
      </w:r>
      <w:r w:rsidR="00295DE2" w:rsidRPr="00BB0E97">
        <w:rPr>
          <w:rFonts w:ascii="Arial" w:hAnsi="Arial" w:cs="Arial"/>
          <w:b/>
          <w:lang w:val="es-ES_tradnl"/>
        </w:rPr>
        <w:t>Distribución del empleo femenino y masculino según sectores a nivel mundial</w:t>
      </w:r>
    </w:p>
    <w:p w14:paraId="39361B28" w14:textId="77777777" w:rsidR="00295DE2" w:rsidRPr="00295DE2" w:rsidRDefault="00295DE2" w:rsidP="00A14A44">
      <w:pPr>
        <w:pStyle w:val="Paragraph"/>
        <w:numPr>
          <w:ilvl w:val="0"/>
          <w:numId w:val="0"/>
        </w:numPr>
        <w:ind w:left="720"/>
        <w:rPr>
          <w:rFonts w:ascii="Arial" w:hAnsi="Arial" w:cs="Arial"/>
          <w:lang w:val="en-US"/>
        </w:rPr>
      </w:pPr>
      <w:r w:rsidRPr="00295DE2">
        <w:rPr>
          <w:rFonts w:ascii="Arial" w:hAnsi="Arial" w:cs="Arial"/>
          <w:noProof/>
          <w:lang w:val="en-US"/>
        </w:rPr>
        <w:drawing>
          <wp:inline distT="0" distB="0" distL="0" distR="0" wp14:anchorId="5F30E8E7" wp14:editId="7263BCAF">
            <wp:extent cx="3663238" cy="3331845"/>
            <wp:effectExtent l="0" t="0" r="0" b="0"/>
            <wp:docPr id="4"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5"/>
                    <a:srcRect/>
                    <a:stretch>
                      <a:fillRect/>
                    </a:stretch>
                  </pic:blipFill>
                  <pic:spPr>
                    <a:xfrm>
                      <a:off x="0" y="0"/>
                      <a:ext cx="3663238" cy="3331845"/>
                    </a:xfrm>
                    <a:prstGeom prst="rect">
                      <a:avLst/>
                    </a:prstGeom>
                    <a:ln/>
                  </pic:spPr>
                </pic:pic>
              </a:graphicData>
            </a:graphic>
          </wp:inline>
        </w:drawing>
      </w:r>
    </w:p>
    <w:p w14:paraId="6BBC9157" w14:textId="77777777" w:rsidR="008A0B7B" w:rsidRDefault="008A0B7B" w:rsidP="00415F12">
      <w:pPr>
        <w:numPr>
          <w:ilvl w:val="1"/>
          <w:numId w:val="0"/>
        </w:numPr>
        <w:tabs>
          <w:tab w:val="num" w:pos="720"/>
        </w:tabs>
        <w:spacing w:before="120" w:after="120" w:line="240" w:lineRule="auto"/>
        <w:jc w:val="both"/>
        <w:outlineLvl w:val="1"/>
        <w:rPr>
          <w:rFonts w:ascii="Arial" w:eastAsia="Times New Roman" w:hAnsi="Arial" w:cs="Arial"/>
          <w:lang w:val="es-ES"/>
        </w:rPr>
      </w:pPr>
      <w:bookmarkStart w:id="2" w:name="_Hlk518650514"/>
    </w:p>
    <w:p w14:paraId="3C209F35" w14:textId="72591CFA" w:rsidR="008A0B7B" w:rsidRPr="008A0B7B" w:rsidRDefault="0003109E" w:rsidP="008A0B7B">
      <w:pPr>
        <w:numPr>
          <w:ilvl w:val="1"/>
          <w:numId w:val="0"/>
        </w:numPr>
        <w:tabs>
          <w:tab w:val="num" w:pos="720"/>
        </w:tabs>
        <w:spacing w:before="120" w:after="120" w:line="240" w:lineRule="auto"/>
        <w:jc w:val="both"/>
        <w:outlineLvl w:val="1"/>
        <w:rPr>
          <w:rFonts w:ascii="Arial" w:eastAsia="Times New Roman" w:hAnsi="Arial" w:cs="Arial"/>
          <w:lang w:val="es-ES_tradnl"/>
        </w:rPr>
      </w:pPr>
      <w:r>
        <w:rPr>
          <w:rFonts w:ascii="Arial" w:eastAsia="Times New Roman" w:hAnsi="Arial" w:cs="Arial"/>
          <w:lang w:val="es-ES"/>
        </w:rPr>
        <w:t xml:space="preserve">Para finalizar es importante señalar que, </w:t>
      </w:r>
      <w:r w:rsidR="008A0B7B">
        <w:rPr>
          <w:rFonts w:ascii="Arial" w:eastAsia="Times New Roman" w:hAnsi="Arial" w:cs="Arial"/>
          <w:lang w:val="es-ES"/>
        </w:rPr>
        <w:t xml:space="preserve">es indispensable </w:t>
      </w:r>
      <w:r w:rsidR="008A0B7B">
        <w:rPr>
          <w:rFonts w:ascii="Arial" w:eastAsia="Times New Roman" w:hAnsi="Arial" w:cs="Arial"/>
          <w:lang w:val="es-ES_tradnl"/>
        </w:rPr>
        <w:t xml:space="preserve">en vista de </w:t>
      </w:r>
      <w:r w:rsidR="008A0B7B" w:rsidRPr="008A0B7B">
        <w:rPr>
          <w:rFonts w:ascii="Arial" w:eastAsia="Times New Roman" w:hAnsi="Arial" w:cs="Arial"/>
          <w:lang w:val="es-ES_tradnl"/>
        </w:rPr>
        <w:t>las políticas sociales del BID, en particular la Política de Reasentamiento Involuntario y la Política de Pueblos Indígenas, se llevar</w:t>
      </w:r>
      <w:r w:rsidR="008A0B7B">
        <w:rPr>
          <w:rFonts w:ascii="Arial" w:eastAsia="Times New Roman" w:hAnsi="Arial" w:cs="Arial"/>
          <w:lang w:val="es-ES_tradnl"/>
        </w:rPr>
        <w:t>á</w:t>
      </w:r>
      <w:r w:rsidR="008A0B7B" w:rsidRPr="008A0B7B">
        <w:rPr>
          <w:rFonts w:ascii="Arial" w:eastAsia="Times New Roman" w:hAnsi="Arial" w:cs="Arial"/>
          <w:lang w:val="es-ES_tradnl"/>
        </w:rPr>
        <w:t>n una serie de acciones para fortalecer las capacidades del ejecutor en la implementación de estas políticas y en particular se dará especial acompañamiento de parte del Banco en cuanto a: (i) adecuados procesos de comunicación e información a las comunidades sobre los alcances del proyecto y sus posibles impactos; (ii) implementación de los procesos de consulta de acuerdo a la Política de Pueblos Indígenas y al Convenio 169, ratificado por el estado de Guatemala; (iii) identificación temprana de posibles reasentamientos y adecuado manejo de los mismos de manera que no afecten la ejecución del programa; (iv) procesos de capacitación a los equipos técnicos del organismo ejecutor en materia de las políticas sociales y ambientales y (v) procesos de inducción y sensibilización a las empresas sobre la importancia de la implementación de estas políticas. Durante la ejecución del programa, se realizar</w:t>
      </w:r>
      <w:r w:rsidR="00932F7C">
        <w:rPr>
          <w:rFonts w:ascii="Arial" w:eastAsia="Times New Roman" w:hAnsi="Arial" w:cs="Arial"/>
          <w:lang w:val="es-ES_tradnl"/>
        </w:rPr>
        <w:t>á</w:t>
      </w:r>
      <w:r w:rsidR="008A0B7B" w:rsidRPr="008A0B7B">
        <w:rPr>
          <w:rFonts w:ascii="Arial" w:eastAsia="Times New Roman" w:hAnsi="Arial" w:cs="Arial"/>
          <w:lang w:val="es-ES_tradnl"/>
        </w:rPr>
        <w:t xml:space="preserve">n inspecciones periódicas (al menos cada 6 meses) de parte del equipo de GDI y de ESG de manera de asegurar que las políticas se están implementando según lo establecido en el Plan de </w:t>
      </w:r>
      <w:r w:rsidR="006B0782" w:rsidRPr="008A0B7B">
        <w:rPr>
          <w:rFonts w:ascii="Arial" w:eastAsia="Times New Roman" w:hAnsi="Arial" w:cs="Arial"/>
          <w:lang w:val="es-ES_tradnl"/>
        </w:rPr>
        <w:t>Gestión</w:t>
      </w:r>
      <w:r w:rsidR="008A0B7B" w:rsidRPr="008A0B7B">
        <w:rPr>
          <w:rFonts w:ascii="Arial" w:eastAsia="Times New Roman" w:hAnsi="Arial" w:cs="Arial"/>
          <w:lang w:val="es-ES_tradnl"/>
        </w:rPr>
        <w:t xml:space="preserve"> Ambiental y Social.”</w:t>
      </w:r>
    </w:p>
    <w:p w14:paraId="4A887D9C" w14:textId="77777777" w:rsidR="00BA2CF6" w:rsidRPr="005752AF" w:rsidRDefault="00BA2CF6" w:rsidP="00415F12">
      <w:pPr>
        <w:numPr>
          <w:ilvl w:val="1"/>
          <w:numId w:val="0"/>
        </w:numPr>
        <w:tabs>
          <w:tab w:val="num" w:pos="720"/>
        </w:tabs>
        <w:spacing w:before="120" w:after="120" w:line="240" w:lineRule="auto"/>
        <w:jc w:val="both"/>
        <w:outlineLvl w:val="1"/>
        <w:rPr>
          <w:rFonts w:ascii="Arial" w:eastAsia="Times New Roman" w:hAnsi="Arial" w:cs="Arial"/>
          <w:lang w:val="es-419"/>
        </w:rPr>
      </w:pPr>
    </w:p>
    <w:bookmarkEnd w:id="2"/>
    <w:p w14:paraId="71479CD7" w14:textId="77777777" w:rsidR="00CB4F71" w:rsidRPr="00CB4F71" w:rsidRDefault="00CB4F71" w:rsidP="00520F7E">
      <w:pPr>
        <w:spacing w:before="120" w:after="120" w:line="240" w:lineRule="auto"/>
        <w:jc w:val="both"/>
        <w:outlineLvl w:val="1"/>
        <w:rPr>
          <w:rFonts w:ascii="Arial" w:hAnsi="Arial" w:cs="Arial"/>
          <w:lang w:val="es-ES"/>
        </w:rPr>
      </w:pPr>
    </w:p>
    <w:p w14:paraId="6358D5C5" w14:textId="77777777" w:rsidR="00520F7E" w:rsidRDefault="00520F7E" w:rsidP="00BA2CF6">
      <w:pPr>
        <w:pStyle w:val="Paragraph"/>
        <w:numPr>
          <w:ilvl w:val="0"/>
          <w:numId w:val="0"/>
        </w:numPr>
        <w:rPr>
          <w:rFonts w:ascii="Arial" w:hAnsi="Arial" w:cs="Arial"/>
          <w:b/>
          <w:sz w:val="22"/>
          <w:szCs w:val="22"/>
          <w:lang w:val="es-419"/>
        </w:rPr>
      </w:pPr>
    </w:p>
    <w:p w14:paraId="620DD589" w14:textId="77777777" w:rsidR="00520F7E" w:rsidRDefault="00520F7E" w:rsidP="00BA4E56">
      <w:pPr>
        <w:pStyle w:val="Paragraph"/>
        <w:numPr>
          <w:ilvl w:val="0"/>
          <w:numId w:val="0"/>
        </w:numPr>
        <w:ind w:left="720"/>
        <w:rPr>
          <w:rFonts w:ascii="Arial" w:hAnsi="Arial" w:cs="Arial"/>
          <w:b/>
          <w:sz w:val="22"/>
          <w:szCs w:val="22"/>
          <w:lang w:val="es-419"/>
        </w:rPr>
      </w:pPr>
    </w:p>
    <w:p w14:paraId="042579AA" w14:textId="77777777" w:rsidR="00ED4FFE" w:rsidRPr="00BA4E56" w:rsidRDefault="00ED4FFE" w:rsidP="00E51951">
      <w:pPr>
        <w:pStyle w:val="Paragraph"/>
        <w:numPr>
          <w:ilvl w:val="0"/>
          <w:numId w:val="0"/>
        </w:numPr>
        <w:rPr>
          <w:rFonts w:ascii="Arial" w:hAnsi="Arial" w:cs="Arial"/>
          <w:sz w:val="22"/>
          <w:szCs w:val="22"/>
        </w:rPr>
      </w:pPr>
    </w:p>
    <w:p w14:paraId="2CB928E7" w14:textId="77777777" w:rsidR="00553704" w:rsidRPr="00C24A8C" w:rsidRDefault="00553704" w:rsidP="00553704">
      <w:pPr>
        <w:numPr>
          <w:ilvl w:val="1"/>
          <w:numId w:val="0"/>
        </w:numPr>
        <w:tabs>
          <w:tab w:val="num" w:pos="720"/>
        </w:tabs>
        <w:spacing w:before="120" w:after="120" w:line="240" w:lineRule="auto"/>
        <w:ind w:left="720" w:hanging="720"/>
        <w:jc w:val="both"/>
        <w:outlineLvl w:val="1"/>
        <w:rPr>
          <w:lang w:val="es-ES"/>
        </w:rPr>
      </w:pPr>
    </w:p>
    <w:sectPr w:rsidR="00553704" w:rsidRPr="00C24A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59CE6" w14:textId="77777777" w:rsidR="005120C3" w:rsidRDefault="005120C3" w:rsidP="00C24A8C">
      <w:pPr>
        <w:spacing w:after="0" w:line="240" w:lineRule="auto"/>
      </w:pPr>
      <w:r>
        <w:separator/>
      </w:r>
    </w:p>
  </w:endnote>
  <w:endnote w:type="continuationSeparator" w:id="0">
    <w:p w14:paraId="2E22ACA0" w14:textId="77777777" w:rsidR="005120C3" w:rsidRDefault="005120C3" w:rsidP="00C24A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E974A" w14:textId="77777777" w:rsidR="005120C3" w:rsidRDefault="005120C3" w:rsidP="00C24A8C">
      <w:pPr>
        <w:spacing w:after="0" w:line="240" w:lineRule="auto"/>
      </w:pPr>
      <w:r>
        <w:separator/>
      </w:r>
    </w:p>
  </w:footnote>
  <w:footnote w:type="continuationSeparator" w:id="0">
    <w:p w14:paraId="6121FF76" w14:textId="77777777" w:rsidR="005120C3" w:rsidRDefault="005120C3" w:rsidP="00C24A8C">
      <w:pPr>
        <w:spacing w:after="0" w:line="240" w:lineRule="auto"/>
      </w:pPr>
      <w:r>
        <w:continuationSeparator/>
      </w:r>
    </w:p>
  </w:footnote>
  <w:footnote w:id="1">
    <w:p w14:paraId="0BC3ADFD" w14:textId="2B7C8B56" w:rsidR="00104199" w:rsidRPr="00E51951" w:rsidRDefault="00104199" w:rsidP="00E51951">
      <w:pPr>
        <w:pStyle w:val="FootnoteText"/>
        <w:spacing w:after="0"/>
        <w:jc w:val="left"/>
        <w:rPr>
          <w:rFonts w:ascii="Arial" w:hAnsi="Arial" w:cs="Arial"/>
          <w:sz w:val="18"/>
          <w:lang w:val="es-419"/>
        </w:rPr>
      </w:pPr>
      <w:r w:rsidRPr="00E51951">
        <w:rPr>
          <w:rStyle w:val="FootnoteReference"/>
          <w:rFonts w:ascii="Arial" w:hAnsi="Arial" w:cs="Arial"/>
          <w:sz w:val="18"/>
        </w:rPr>
        <w:footnoteRef/>
      </w:r>
      <w:r w:rsidRPr="00E51951">
        <w:rPr>
          <w:rFonts w:ascii="Arial" w:hAnsi="Arial" w:cs="Arial"/>
          <w:sz w:val="18"/>
        </w:rPr>
        <w:t xml:space="preserve"> </w:t>
      </w:r>
      <w:r w:rsidR="00E51951">
        <w:rPr>
          <w:rFonts w:ascii="Arial" w:hAnsi="Arial" w:cs="Arial"/>
          <w:sz w:val="18"/>
        </w:rPr>
        <w:tab/>
      </w:r>
      <w:r w:rsidR="00E51951" w:rsidRPr="00E51951">
        <w:rPr>
          <w:rFonts w:ascii="Arial" w:hAnsi="Arial" w:cs="Arial"/>
          <w:sz w:val="18"/>
          <w:lang w:val="es-419"/>
        </w:rPr>
        <w:t>Política</w:t>
      </w:r>
      <w:r w:rsidRPr="00E51951">
        <w:rPr>
          <w:rFonts w:ascii="Arial" w:hAnsi="Arial" w:cs="Arial"/>
          <w:sz w:val="18"/>
          <w:lang w:val="es-419"/>
        </w:rPr>
        <w:t xml:space="preserve"> Nacional de Promoción y Desarrollo Integral de las Mujeres y Plan de Equidad de Oportunidades 2008-2023. Secretaría Presidencial de la Mujer, Guatemala, Guatemala.  </w:t>
      </w:r>
    </w:p>
  </w:footnote>
  <w:footnote w:id="2">
    <w:p w14:paraId="6CF67662" w14:textId="4DFF0553" w:rsidR="00104199" w:rsidRPr="00E51951" w:rsidRDefault="00104199" w:rsidP="00E51951">
      <w:pPr>
        <w:pStyle w:val="FootnoteText"/>
        <w:spacing w:after="0"/>
        <w:jc w:val="left"/>
        <w:rPr>
          <w:rFonts w:ascii="Arial" w:hAnsi="Arial" w:cs="Arial"/>
          <w:sz w:val="18"/>
          <w:lang w:val="es-ES"/>
        </w:rPr>
      </w:pPr>
      <w:r w:rsidRPr="00E51951">
        <w:rPr>
          <w:rStyle w:val="FootnoteReference"/>
          <w:rFonts w:ascii="Arial" w:hAnsi="Arial" w:cs="Arial"/>
          <w:sz w:val="18"/>
        </w:rPr>
        <w:footnoteRef/>
      </w:r>
      <w:r w:rsidRPr="00E51951">
        <w:rPr>
          <w:rFonts w:ascii="Arial" w:hAnsi="Arial" w:cs="Arial"/>
          <w:sz w:val="18"/>
        </w:rPr>
        <w:t xml:space="preserve"> </w:t>
      </w:r>
      <w:r w:rsidR="00E51951">
        <w:rPr>
          <w:rFonts w:ascii="Arial" w:hAnsi="Arial" w:cs="Arial"/>
          <w:sz w:val="18"/>
        </w:rPr>
        <w:tab/>
      </w:r>
      <w:r w:rsidRPr="00E51951">
        <w:rPr>
          <w:rFonts w:ascii="Arial" w:hAnsi="Arial" w:cs="Arial"/>
          <w:sz w:val="18"/>
          <w:lang w:val="es-ES"/>
        </w:rPr>
        <w:t xml:space="preserve">El programa beneficiará a varios municipios con niveles de pobreza por encima del promedio nacional (particularmente municipios de Huehuetenango). </w:t>
      </w:r>
    </w:p>
  </w:footnote>
  <w:footnote w:id="3">
    <w:p w14:paraId="462885A3" w14:textId="4B7C3272" w:rsidR="00A94E3A" w:rsidRPr="00E51951" w:rsidRDefault="00A94E3A" w:rsidP="00E51951">
      <w:pPr>
        <w:pStyle w:val="FootnoteText"/>
        <w:spacing w:after="0"/>
        <w:jc w:val="left"/>
        <w:rPr>
          <w:rFonts w:ascii="Arial" w:hAnsi="Arial" w:cs="Arial"/>
          <w:sz w:val="18"/>
        </w:rPr>
      </w:pPr>
      <w:r w:rsidRPr="00E51951">
        <w:rPr>
          <w:rStyle w:val="FootnoteReference"/>
          <w:rFonts w:ascii="Arial" w:hAnsi="Arial" w:cs="Arial"/>
          <w:sz w:val="18"/>
        </w:rPr>
        <w:footnoteRef/>
      </w:r>
      <w:r w:rsidRPr="00E51951">
        <w:rPr>
          <w:rFonts w:ascii="Arial" w:hAnsi="Arial" w:cs="Arial"/>
          <w:sz w:val="18"/>
        </w:rPr>
        <w:t xml:space="preserve"> </w:t>
      </w:r>
      <w:r w:rsidR="00E51951">
        <w:rPr>
          <w:rFonts w:ascii="Arial" w:hAnsi="Arial" w:cs="Arial"/>
          <w:sz w:val="18"/>
        </w:rPr>
        <w:tab/>
      </w:r>
      <w:r w:rsidRPr="00E51951">
        <w:rPr>
          <w:rFonts w:ascii="Arial" w:hAnsi="Arial" w:cs="Arial"/>
          <w:color w:val="212121"/>
          <w:sz w:val="18"/>
          <w:shd w:val="clear" w:color="auto" w:fill="FFFFFF"/>
        </w:rPr>
        <w:t>Los pueblos indígenas contribuyen significativamente a la economía nacional en la producción de bienes, especialmente en la agricultura. Han sido y siguen siendo la principal fuente de trabajo agrícola del país (Banco Mundial, 2004a)</w:t>
      </w:r>
    </w:p>
  </w:footnote>
  <w:footnote w:id="4">
    <w:p w14:paraId="1B9B97C2" w14:textId="76A80B77" w:rsidR="00A94E3A" w:rsidRDefault="00A94E3A" w:rsidP="00E51951">
      <w:pPr>
        <w:pStyle w:val="FootnoteText"/>
        <w:spacing w:after="0"/>
        <w:jc w:val="left"/>
      </w:pPr>
      <w:r w:rsidRPr="00E51951">
        <w:rPr>
          <w:rStyle w:val="FootnoteReference"/>
          <w:rFonts w:ascii="Arial" w:hAnsi="Arial" w:cs="Arial"/>
          <w:sz w:val="18"/>
        </w:rPr>
        <w:footnoteRef/>
      </w:r>
      <w:r w:rsidRPr="00E51951">
        <w:rPr>
          <w:rFonts w:ascii="Arial" w:hAnsi="Arial" w:cs="Arial"/>
          <w:sz w:val="18"/>
        </w:rPr>
        <w:t xml:space="preserve"> </w:t>
      </w:r>
      <w:r w:rsidR="00E51951">
        <w:rPr>
          <w:rFonts w:ascii="Arial" w:hAnsi="Arial" w:cs="Arial"/>
          <w:sz w:val="18"/>
        </w:rPr>
        <w:tab/>
      </w:r>
      <w:r w:rsidRPr="00E51951">
        <w:rPr>
          <w:rFonts w:ascii="Arial" w:hAnsi="Arial" w:cs="Arial"/>
          <w:sz w:val="18"/>
        </w:rPr>
        <w:t xml:space="preserve">Las </w:t>
      </w:r>
      <w:r w:rsidR="004B36EE" w:rsidRPr="00E51951">
        <w:rPr>
          <w:rFonts w:ascii="Arial" w:hAnsi="Arial" w:cs="Arial"/>
          <w:sz w:val="18"/>
        </w:rPr>
        <w:t>mujeres</w:t>
      </w:r>
      <w:r w:rsidRPr="00E51951">
        <w:rPr>
          <w:rFonts w:ascii="Arial" w:hAnsi="Arial" w:cs="Arial"/>
          <w:sz w:val="18"/>
        </w:rPr>
        <w:t xml:space="preserve"> </w:t>
      </w:r>
      <w:r w:rsidR="004B36EE" w:rsidRPr="00E51951">
        <w:rPr>
          <w:rFonts w:ascii="Arial" w:hAnsi="Arial" w:cs="Arial"/>
          <w:sz w:val="18"/>
        </w:rPr>
        <w:t>participan en</w:t>
      </w:r>
      <w:r w:rsidRPr="00E51951">
        <w:rPr>
          <w:rFonts w:ascii="Arial" w:hAnsi="Arial" w:cs="Arial"/>
          <w:sz w:val="18"/>
        </w:rPr>
        <w:t xml:space="preserve"> toda la cadena productiva del café, desde la siembra hasta su</w:t>
      </w:r>
      <w:r w:rsidR="004B36EE" w:rsidRPr="00E51951">
        <w:rPr>
          <w:rFonts w:ascii="Arial" w:hAnsi="Arial" w:cs="Arial"/>
          <w:sz w:val="18"/>
        </w:rPr>
        <w:t xml:space="preserve"> comercialización</w:t>
      </w:r>
    </w:p>
  </w:footnote>
  <w:footnote w:id="5">
    <w:p w14:paraId="61999E4D" w14:textId="77777777" w:rsidR="005A485B" w:rsidRPr="00E51951" w:rsidRDefault="005A485B" w:rsidP="00E51951">
      <w:pPr>
        <w:pStyle w:val="FootnoteText"/>
        <w:spacing w:after="0"/>
        <w:rPr>
          <w:rFonts w:ascii="Arial" w:hAnsi="Arial" w:cs="Arial"/>
          <w:sz w:val="18"/>
          <w:szCs w:val="18"/>
        </w:rPr>
      </w:pPr>
      <w:r w:rsidRPr="00E51951">
        <w:rPr>
          <w:rStyle w:val="FootnoteReference"/>
          <w:rFonts w:ascii="Arial" w:hAnsi="Arial" w:cs="Arial"/>
          <w:sz w:val="18"/>
          <w:szCs w:val="18"/>
        </w:rPr>
        <w:footnoteRef/>
      </w:r>
      <w:r w:rsidRPr="00E51951">
        <w:rPr>
          <w:rFonts w:ascii="Arial" w:hAnsi="Arial" w:cs="Arial"/>
          <w:sz w:val="18"/>
          <w:szCs w:val="18"/>
        </w:rPr>
        <w:t xml:space="preserve"> </w:t>
      </w:r>
      <w:proofErr w:type="gramStart"/>
      <w:r w:rsidRPr="00E51951">
        <w:rPr>
          <w:rFonts w:ascii="Arial" w:hAnsi="Arial" w:cs="Arial"/>
          <w:sz w:val="18"/>
          <w:szCs w:val="18"/>
        </w:rPr>
        <w:t>FAO,  El</w:t>
      </w:r>
      <w:proofErr w:type="gramEnd"/>
      <w:r w:rsidRPr="00E51951">
        <w:rPr>
          <w:rFonts w:ascii="Arial" w:hAnsi="Arial" w:cs="Arial"/>
          <w:sz w:val="18"/>
          <w:szCs w:val="18"/>
        </w:rPr>
        <w:t xml:space="preserve"> enfoque de Género en los PESA de Centroamérica</w:t>
      </w:r>
      <w:r w:rsidR="00A82739" w:rsidRPr="00E51951">
        <w:rPr>
          <w:rFonts w:ascii="Arial" w:hAnsi="Arial" w:cs="Arial"/>
          <w:sz w:val="18"/>
          <w:szCs w:val="18"/>
        </w:rPr>
        <w:t>, 2005</w:t>
      </w:r>
    </w:p>
  </w:footnote>
  <w:footnote w:id="6">
    <w:p w14:paraId="04834100" w14:textId="1211051D" w:rsidR="001E2BD1" w:rsidRPr="00E51951" w:rsidRDefault="001E2BD1" w:rsidP="00E51951">
      <w:pPr>
        <w:pStyle w:val="FootnoteText"/>
        <w:spacing w:after="0"/>
        <w:rPr>
          <w:rFonts w:ascii="Arial" w:hAnsi="Arial" w:cs="Arial"/>
          <w:sz w:val="18"/>
          <w:szCs w:val="18"/>
        </w:rPr>
      </w:pPr>
      <w:r w:rsidRPr="00E51951">
        <w:rPr>
          <w:rStyle w:val="FootnoteReference"/>
          <w:rFonts w:ascii="Arial" w:hAnsi="Arial" w:cs="Arial"/>
          <w:sz w:val="18"/>
          <w:szCs w:val="18"/>
        </w:rPr>
        <w:footnoteRef/>
      </w:r>
      <w:r w:rsidRPr="00E51951">
        <w:rPr>
          <w:rFonts w:ascii="Arial" w:hAnsi="Arial" w:cs="Arial"/>
          <w:sz w:val="18"/>
          <w:szCs w:val="18"/>
        </w:rPr>
        <w:t xml:space="preserve"> </w:t>
      </w:r>
      <w:r w:rsidR="00E51951">
        <w:rPr>
          <w:rFonts w:ascii="Arial" w:hAnsi="Arial" w:cs="Arial"/>
          <w:sz w:val="18"/>
          <w:szCs w:val="18"/>
        </w:rPr>
        <w:tab/>
      </w:r>
      <w:r w:rsidRPr="00E51951">
        <w:rPr>
          <w:rFonts w:ascii="Arial" w:hAnsi="Arial" w:cs="Arial"/>
          <w:sz w:val="18"/>
          <w:szCs w:val="18"/>
        </w:rPr>
        <w:t>Esta iniciativa se promoverá con el apoyo del colegio de ingenieros y cualquier otra instancia de formación nacional.</w:t>
      </w:r>
    </w:p>
  </w:footnote>
  <w:footnote w:id="7">
    <w:p w14:paraId="3A615BDE" w14:textId="77777777" w:rsidR="00295DE2" w:rsidRPr="00E51951" w:rsidRDefault="00295DE2" w:rsidP="00E51951">
      <w:pPr>
        <w:spacing w:after="0" w:line="240" w:lineRule="auto"/>
        <w:jc w:val="both"/>
        <w:rPr>
          <w:rFonts w:ascii="Arial" w:hAnsi="Arial" w:cs="Arial"/>
          <w:sz w:val="18"/>
          <w:szCs w:val="18"/>
          <w:lang w:val="es-ES_tradnl"/>
        </w:rPr>
      </w:pPr>
      <w:r w:rsidRPr="00E51951">
        <w:rPr>
          <w:rFonts w:ascii="Arial" w:hAnsi="Arial" w:cs="Arial"/>
          <w:sz w:val="18"/>
          <w:szCs w:val="18"/>
          <w:vertAlign w:val="superscript"/>
        </w:rPr>
        <w:footnoteRef/>
      </w:r>
      <w:r w:rsidRPr="00E51951">
        <w:rPr>
          <w:rFonts w:ascii="Arial" w:hAnsi="Arial" w:cs="Arial"/>
          <w:sz w:val="18"/>
          <w:szCs w:val="18"/>
          <w:lang w:val="es-ES_tradnl"/>
        </w:rPr>
        <w:t xml:space="preserve"> Esto incluye los sectores de transporte, energía, vivienda, agua y saneamiento.</w:t>
      </w:r>
    </w:p>
  </w:footnote>
  <w:footnote w:id="8">
    <w:p w14:paraId="440E1656" w14:textId="77777777" w:rsidR="00295DE2" w:rsidRPr="00E51951" w:rsidRDefault="00295DE2" w:rsidP="00E51951">
      <w:pPr>
        <w:spacing w:after="0" w:line="240" w:lineRule="auto"/>
        <w:jc w:val="both"/>
        <w:rPr>
          <w:rFonts w:ascii="Arial" w:hAnsi="Arial" w:cs="Arial"/>
          <w:sz w:val="18"/>
          <w:szCs w:val="18"/>
          <w:lang w:val="es-ES_tradnl"/>
        </w:rPr>
      </w:pPr>
      <w:r w:rsidRPr="00E51951">
        <w:rPr>
          <w:rFonts w:ascii="Arial" w:hAnsi="Arial" w:cs="Arial"/>
          <w:sz w:val="18"/>
          <w:szCs w:val="18"/>
          <w:vertAlign w:val="superscript"/>
        </w:rPr>
        <w:footnoteRef/>
      </w:r>
      <w:r w:rsidRPr="00E51951">
        <w:rPr>
          <w:rFonts w:ascii="Arial" w:hAnsi="Arial" w:cs="Arial"/>
          <w:sz w:val="18"/>
          <w:szCs w:val="18"/>
          <w:lang w:val="es-ES_tradnl"/>
        </w:rPr>
        <w:t xml:space="preserve"> </w:t>
      </w:r>
      <w:hyperlink r:id="rId1">
        <w:r w:rsidRPr="00E51951">
          <w:rPr>
            <w:rFonts w:ascii="Arial" w:hAnsi="Arial" w:cs="Arial"/>
            <w:color w:val="0000FF"/>
            <w:sz w:val="18"/>
            <w:szCs w:val="18"/>
            <w:u w:val="single"/>
            <w:lang w:val="es-ES_tradnl"/>
          </w:rPr>
          <w:t>Inversión en infraestructura y potencial generador de empleo</w:t>
        </w:r>
      </w:hyperlink>
      <w:r w:rsidRPr="00E51951">
        <w:rPr>
          <w:rFonts w:ascii="Arial" w:hAnsi="Arial" w:cs="Arial"/>
          <w:color w:val="0000FF"/>
          <w:sz w:val="18"/>
          <w:szCs w:val="18"/>
          <w:u w:val="single"/>
          <w:lang w:val="es-ES_tradnl"/>
        </w:rPr>
        <w:t>.</w:t>
      </w:r>
      <w:r w:rsidRPr="00E51951">
        <w:rPr>
          <w:rFonts w:ascii="Arial" w:hAnsi="Arial" w:cs="Arial"/>
          <w:sz w:val="18"/>
          <w:szCs w:val="18"/>
          <w:lang w:val="es-ES_tradnl"/>
        </w:rPr>
        <w:t xml:space="preserve"> </w:t>
      </w:r>
    </w:p>
  </w:footnote>
  <w:footnote w:id="9">
    <w:p w14:paraId="6B7BAE0B" w14:textId="77777777" w:rsidR="00295DE2" w:rsidRPr="00E51951" w:rsidRDefault="00295DE2" w:rsidP="00E51951">
      <w:pPr>
        <w:spacing w:after="0" w:line="240" w:lineRule="auto"/>
        <w:jc w:val="both"/>
        <w:rPr>
          <w:rFonts w:ascii="Arial" w:hAnsi="Arial" w:cs="Arial"/>
          <w:sz w:val="18"/>
          <w:szCs w:val="18"/>
          <w:lang w:val="es-ES_tradnl"/>
        </w:rPr>
      </w:pPr>
      <w:r w:rsidRPr="00E51951">
        <w:rPr>
          <w:rFonts w:ascii="Arial" w:hAnsi="Arial" w:cs="Arial"/>
          <w:sz w:val="18"/>
          <w:szCs w:val="18"/>
          <w:vertAlign w:val="superscript"/>
        </w:rPr>
        <w:footnoteRef/>
      </w:r>
      <w:r w:rsidRPr="00E51951">
        <w:rPr>
          <w:rFonts w:ascii="Arial" w:hAnsi="Arial" w:cs="Arial"/>
          <w:sz w:val="18"/>
          <w:szCs w:val="18"/>
          <w:vertAlign w:val="superscript"/>
          <w:lang w:val="es-ES_tradnl"/>
        </w:rPr>
        <w:t xml:space="preserve"> </w:t>
      </w:r>
      <w:r w:rsidRPr="00E51951">
        <w:rPr>
          <w:rFonts w:ascii="Arial" w:hAnsi="Arial" w:cs="Arial"/>
          <w:sz w:val="18"/>
          <w:szCs w:val="18"/>
          <w:lang w:val="es-ES_tradnl"/>
        </w:rPr>
        <w:t>El sector transporte es el sector de infraestructura que ha concentrado los mayores montos de inversión desde el 2005, alcanzando valores cercanos al 2% del PBI en 2012 (</w:t>
      </w:r>
      <w:hyperlink r:id="rId2">
        <w:r w:rsidRPr="00E51951">
          <w:rPr>
            <w:rFonts w:ascii="Arial" w:hAnsi="Arial" w:cs="Arial"/>
            <w:sz w:val="18"/>
            <w:szCs w:val="18"/>
            <w:lang w:val="es-ES_tradnl"/>
          </w:rPr>
          <w:t>CEPAL 2014</w:t>
        </w:r>
      </w:hyperlink>
      <w:r w:rsidRPr="00E51951">
        <w:rPr>
          <w:rFonts w:ascii="Arial" w:hAnsi="Arial" w:cs="Arial"/>
          <w:sz w:val="18"/>
          <w:szCs w:val="18"/>
          <w:lang w:val="es-ES_tradnl"/>
        </w:rPr>
        <w:t>).</w:t>
      </w:r>
      <w:r w:rsidRPr="00E51951">
        <w:rPr>
          <w:rFonts w:ascii="Arial" w:eastAsia="Calibri" w:hAnsi="Arial" w:cs="Arial"/>
          <w:sz w:val="18"/>
          <w:szCs w:val="18"/>
          <w:lang w:val="es-ES_tradnl"/>
        </w:rPr>
        <w:t xml:space="preserve"> </w:t>
      </w:r>
    </w:p>
  </w:footnote>
  <w:footnote w:id="10">
    <w:p w14:paraId="02D0BCCF" w14:textId="77777777" w:rsidR="00295DE2" w:rsidRPr="00841198" w:rsidRDefault="00295DE2" w:rsidP="00E51951">
      <w:pPr>
        <w:spacing w:after="0" w:line="240" w:lineRule="auto"/>
        <w:rPr>
          <w:lang w:val="es-ES_tradnl"/>
        </w:rPr>
      </w:pPr>
      <w:r w:rsidRPr="00E51951">
        <w:rPr>
          <w:rFonts w:ascii="Arial" w:hAnsi="Arial" w:cs="Arial"/>
          <w:sz w:val="18"/>
          <w:szCs w:val="18"/>
          <w:vertAlign w:val="superscript"/>
        </w:rPr>
        <w:footnoteRef/>
      </w:r>
      <w:r w:rsidRPr="00E51951">
        <w:rPr>
          <w:rFonts w:ascii="Arial" w:hAnsi="Arial" w:cs="Arial"/>
          <w:sz w:val="18"/>
          <w:szCs w:val="18"/>
          <w:lang w:val="es-ES_tradnl"/>
        </w:rPr>
        <w:t xml:space="preserve"> OIT (2013). Trabajo decente e igualdad de género. Santiago, Chile.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21584"/>
    <w:multiLevelType w:val="hybridMultilevel"/>
    <w:tmpl w:val="2FE83E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8456F9"/>
    <w:multiLevelType w:val="multilevel"/>
    <w:tmpl w:val="3B0E0474"/>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9337CF6"/>
    <w:multiLevelType w:val="hybridMultilevel"/>
    <w:tmpl w:val="34B44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9B4991"/>
    <w:multiLevelType w:val="multilevel"/>
    <w:tmpl w:val="7E28322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color w:val="000000" w:themeColor="text1"/>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5CD6374E"/>
    <w:multiLevelType w:val="hybridMultilevel"/>
    <w:tmpl w:val="9AA2C56C"/>
    <w:lvl w:ilvl="0" w:tplc="2D1E35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73163C"/>
    <w:multiLevelType w:val="multilevel"/>
    <w:tmpl w:val="3B0E0474"/>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c0sjQwMzI2NjW0MDJV0lEKTi0uzszPAykwqQUAYwo+wywAAAA="/>
  </w:docVars>
  <w:rsids>
    <w:rsidRoot w:val="00C24A8C"/>
    <w:rsid w:val="00030938"/>
    <w:rsid w:val="00030FEC"/>
    <w:rsid w:val="0003109E"/>
    <w:rsid w:val="00043B8E"/>
    <w:rsid w:val="00044894"/>
    <w:rsid w:val="00051935"/>
    <w:rsid w:val="00063541"/>
    <w:rsid w:val="000E6738"/>
    <w:rsid w:val="000F3F45"/>
    <w:rsid w:val="000F4675"/>
    <w:rsid w:val="00104199"/>
    <w:rsid w:val="00107E8F"/>
    <w:rsid w:val="00131EDD"/>
    <w:rsid w:val="00155343"/>
    <w:rsid w:val="001624F5"/>
    <w:rsid w:val="0016430D"/>
    <w:rsid w:val="00167F23"/>
    <w:rsid w:val="001C247C"/>
    <w:rsid w:val="001C27A9"/>
    <w:rsid w:val="001E2BD1"/>
    <w:rsid w:val="001E7BC1"/>
    <w:rsid w:val="00291F14"/>
    <w:rsid w:val="00295DE2"/>
    <w:rsid w:val="002B4D78"/>
    <w:rsid w:val="002C71AB"/>
    <w:rsid w:val="002F0E34"/>
    <w:rsid w:val="002F5C95"/>
    <w:rsid w:val="00363D06"/>
    <w:rsid w:val="0036501B"/>
    <w:rsid w:val="003A056B"/>
    <w:rsid w:val="003A7928"/>
    <w:rsid w:val="003C2E53"/>
    <w:rsid w:val="003C5731"/>
    <w:rsid w:val="003F4F47"/>
    <w:rsid w:val="00415F12"/>
    <w:rsid w:val="00423FE9"/>
    <w:rsid w:val="00497797"/>
    <w:rsid w:val="004B1166"/>
    <w:rsid w:val="004B36EE"/>
    <w:rsid w:val="004F0DE4"/>
    <w:rsid w:val="005120C3"/>
    <w:rsid w:val="00520F7E"/>
    <w:rsid w:val="00527148"/>
    <w:rsid w:val="00540019"/>
    <w:rsid w:val="00553704"/>
    <w:rsid w:val="005752AF"/>
    <w:rsid w:val="00596FCA"/>
    <w:rsid w:val="005A2910"/>
    <w:rsid w:val="005A485B"/>
    <w:rsid w:val="006123D2"/>
    <w:rsid w:val="006310CC"/>
    <w:rsid w:val="0065584B"/>
    <w:rsid w:val="00667026"/>
    <w:rsid w:val="00684A9D"/>
    <w:rsid w:val="0069440C"/>
    <w:rsid w:val="00695FDF"/>
    <w:rsid w:val="006B0782"/>
    <w:rsid w:val="00765DEA"/>
    <w:rsid w:val="007D3888"/>
    <w:rsid w:val="0085588F"/>
    <w:rsid w:val="008600C1"/>
    <w:rsid w:val="00893C95"/>
    <w:rsid w:val="008A0B7B"/>
    <w:rsid w:val="008D4BB8"/>
    <w:rsid w:val="008F260B"/>
    <w:rsid w:val="00914349"/>
    <w:rsid w:val="00932F7C"/>
    <w:rsid w:val="0094699E"/>
    <w:rsid w:val="009A27B1"/>
    <w:rsid w:val="009B7F7D"/>
    <w:rsid w:val="009C71F3"/>
    <w:rsid w:val="00A01E00"/>
    <w:rsid w:val="00A021BA"/>
    <w:rsid w:val="00A058DA"/>
    <w:rsid w:val="00A14A44"/>
    <w:rsid w:val="00A216DA"/>
    <w:rsid w:val="00A21CCB"/>
    <w:rsid w:val="00A50628"/>
    <w:rsid w:val="00A60944"/>
    <w:rsid w:val="00A70E7E"/>
    <w:rsid w:val="00A82739"/>
    <w:rsid w:val="00A90701"/>
    <w:rsid w:val="00A94E3A"/>
    <w:rsid w:val="00AA0A56"/>
    <w:rsid w:val="00AB118B"/>
    <w:rsid w:val="00AC136E"/>
    <w:rsid w:val="00AD7EFD"/>
    <w:rsid w:val="00B346EA"/>
    <w:rsid w:val="00B50733"/>
    <w:rsid w:val="00B73C5A"/>
    <w:rsid w:val="00BA2CF6"/>
    <w:rsid w:val="00BA4E56"/>
    <w:rsid w:val="00BB0E97"/>
    <w:rsid w:val="00C118E8"/>
    <w:rsid w:val="00C24A8C"/>
    <w:rsid w:val="00C82BDB"/>
    <w:rsid w:val="00C91CF9"/>
    <w:rsid w:val="00CA1FEE"/>
    <w:rsid w:val="00CA6C49"/>
    <w:rsid w:val="00CB4F71"/>
    <w:rsid w:val="00CC42A7"/>
    <w:rsid w:val="00CE668E"/>
    <w:rsid w:val="00D06564"/>
    <w:rsid w:val="00D168C1"/>
    <w:rsid w:val="00D67DFD"/>
    <w:rsid w:val="00D759FB"/>
    <w:rsid w:val="00D91219"/>
    <w:rsid w:val="00D92CD5"/>
    <w:rsid w:val="00DF69AA"/>
    <w:rsid w:val="00E136F6"/>
    <w:rsid w:val="00E2798A"/>
    <w:rsid w:val="00E459BE"/>
    <w:rsid w:val="00E51951"/>
    <w:rsid w:val="00E574AC"/>
    <w:rsid w:val="00E65B35"/>
    <w:rsid w:val="00E7054B"/>
    <w:rsid w:val="00EB3DA5"/>
    <w:rsid w:val="00ED264E"/>
    <w:rsid w:val="00ED4FFE"/>
    <w:rsid w:val="00EE410A"/>
    <w:rsid w:val="00FC7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009BC"/>
  <w15:chartTrackingRefBased/>
  <w15:docId w15:val="{0C9BC2D0-59DF-41EC-9D60-7BA83165A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C24A8C"/>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qFormat/>
    <w:rsid w:val="00C24A8C"/>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24A8C"/>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qFormat/>
    <w:rsid w:val="00C24A8C"/>
    <w:pPr>
      <w:numPr>
        <w:ilvl w:val="1"/>
        <w:numId w:val="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C24A8C"/>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24A8C"/>
    <w:pPr>
      <w:numPr>
        <w:ilvl w:val="3"/>
      </w:numPr>
      <w:tabs>
        <w:tab w:val="clear" w:pos="2736"/>
        <w:tab w:val="left" w:pos="0"/>
        <w:tab w:val="num" w:pos="360"/>
        <w:tab w:val="num" w:pos="1152"/>
        <w:tab w:val="num" w:pos="1296"/>
      </w:tabs>
      <w:ind w:left="1296"/>
    </w:pPr>
  </w:style>
  <w:style w:type="character" w:styleId="Hyperlink">
    <w:name w:val="Hyperlink"/>
    <w:basedOn w:val="DefaultParagraphFont"/>
    <w:rsid w:val="00C24A8C"/>
    <w:rPr>
      <w:color w:val="0000FF"/>
      <w:u w:val="single"/>
    </w:rPr>
  </w:style>
  <w:style w:type="character" w:styleId="FootnoteReference">
    <w:name w:val="footnote reference"/>
    <w:aliases w:val="titulo 2,Style 24,pie pddes,referencia nota al pie,Fußnotenzeichen DISS,16 Point,Superscript 6 Point,ftref,FC,Footnote Reference.SES,Referência de rodapé,Ref. de nota al pie.,Footnote Reference Number,Footnote Reference_LVL6,Ref,o"/>
    <w:basedOn w:val="DefaultParagraphFont"/>
    <w:qFormat/>
    <w:rsid w:val="00C24A8C"/>
    <w:rPr>
      <w:vertAlign w:val="superscript"/>
    </w:rPr>
  </w:style>
  <w:style w:type="character" w:customStyle="1" w:styleId="ParagraphChar">
    <w:name w:val="Paragraph Char"/>
    <w:link w:val="Paragraph"/>
    <w:uiPriority w:val="99"/>
    <w:locked/>
    <w:rsid w:val="00C24A8C"/>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C24A8C"/>
    <w:pPr>
      <w:spacing w:after="120"/>
      <w:ind w:left="360"/>
    </w:pPr>
  </w:style>
  <w:style w:type="character" w:customStyle="1" w:styleId="BodyTextIndentChar">
    <w:name w:val="Body Text Indent Char"/>
    <w:basedOn w:val="DefaultParagraphFont"/>
    <w:link w:val="BodyTextIndent"/>
    <w:uiPriority w:val="99"/>
    <w:semiHidden/>
    <w:rsid w:val="00C24A8C"/>
  </w:style>
  <w:style w:type="paragraph" w:styleId="BodyTextIndent3">
    <w:name w:val="Body Text Indent 3"/>
    <w:basedOn w:val="Normal"/>
    <w:link w:val="BodyTextIndent3Char"/>
    <w:uiPriority w:val="99"/>
    <w:semiHidden/>
    <w:unhideWhenUsed/>
    <w:rsid w:val="00C24A8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24A8C"/>
    <w:rPr>
      <w:sz w:val="16"/>
      <w:szCs w:val="16"/>
    </w:rPr>
  </w:style>
  <w:style w:type="character" w:styleId="CommentReference">
    <w:name w:val="annotation reference"/>
    <w:basedOn w:val="DefaultParagraphFont"/>
    <w:uiPriority w:val="99"/>
    <w:semiHidden/>
    <w:unhideWhenUsed/>
    <w:rsid w:val="00A94E3A"/>
    <w:rPr>
      <w:sz w:val="16"/>
      <w:szCs w:val="16"/>
    </w:rPr>
  </w:style>
  <w:style w:type="paragraph" w:styleId="CommentText">
    <w:name w:val="annotation text"/>
    <w:basedOn w:val="Normal"/>
    <w:link w:val="CommentTextChar"/>
    <w:uiPriority w:val="99"/>
    <w:semiHidden/>
    <w:unhideWhenUsed/>
    <w:rsid w:val="00A94E3A"/>
    <w:pPr>
      <w:spacing w:after="0" w:line="240" w:lineRule="auto"/>
    </w:pPr>
    <w:rPr>
      <w:rFonts w:ascii="Times New Roman" w:eastAsia="Times New Roman" w:hAnsi="Times New Roman" w:cs="Times New Roman"/>
      <w:sz w:val="20"/>
      <w:szCs w:val="20"/>
      <w:lang w:val="es-ES_tradnl"/>
    </w:rPr>
  </w:style>
  <w:style w:type="character" w:customStyle="1" w:styleId="CommentTextChar">
    <w:name w:val="Comment Text Char"/>
    <w:basedOn w:val="DefaultParagraphFont"/>
    <w:link w:val="CommentText"/>
    <w:uiPriority w:val="99"/>
    <w:semiHidden/>
    <w:rsid w:val="00A94E3A"/>
    <w:rPr>
      <w:rFonts w:ascii="Times New Roman" w:eastAsia="Times New Roman" w:hAnsi="Times New Roman" w:cs="Times New Roman"/>
      <w:sz w:val="20"/>
      <w:szCs w:val="20"/>
      <w:lang w:val="es-ES_tradnl"/>
    </w:rPr>
  </w:style>
  <w:style w:type="paragraph" w:styleId="BalloonText">
    <w:name w:val="Balloon Text"/>
    <w:basedOn w:val="Normal"/>
    <w:link w:val="BalloonTextChar"/>
    <w:uiPriority w:val="99"/>
    <w:semiHidden/>
    <w:unhideWhenUsed/>
    <w:rsid w:val="00A94E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4E3A"/>
    <w:rPr>
      <w:rFonts w:ascii="Segoe UI" w:hAnsi="Segoe UI" w:cs="Segoe UI"/>
      <w:sz w:val="18"/>
      <w:szCs w:val="18"/>
    </w:rPr>
  </w:style>
  <w:style w:type="paragraph" w:styleId="ListParagraph">
    <w:name w:val="List Paragraph"/>
    <w:basedOn w:val="Normal"/>
    <w:uiPriority w:val="34"/>
    <w:qFormat/>
    <w:rsid w:val="00AD7EFD"/>
    <w:pPr>
      <w:ind w:left="720"/>
      <w:contextualSpacing/>
    </w:pPr>
  </w:style>
  <w:style w:type="paragraph" w:styleId="NormalWeb">
    <w:name w:val="Normal (Web)"/>
    <w:basedOn w:val="Normal"/>
    <w:uiPriority w:val="99"/>
    <w:semiHidden/>
    <w:unhideWhenUsed/>
    <w:rsid w:val="00155343"/>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E519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806972">
      <w:bodyDiv w:val="1"/>
      <w:marLeft w:val="0"/>
      <w:marRight w:val="0"/>
      <w:marTop w:val="0"/>
      <w:marBottom w:val="0"/>
      <w:divBdr>
        <w:top w:val="none" w:sz="0" w:space="0" w:color="auto"/>
        <w:left w:val="none" w:sz="0" w:space="0" w:color="auto"/>
        <w:bottom w:val="none" w:sz="0" w:space="0" w:color="auto"/>
        <w:right w:val="none" w:sz="0" w:space="0" w:color="auto"/>
      </w:divBdr>
    </w:div>
    <w:div w:id="464783738">
      <w:bodyDiv w:val="1"/>
      <w:marLeft w:val="0"/>
      <w:marRight w:val="0"/>
      <w:marTop w:val="0"/>
      <w:marBottom w:val="0"/>
      <w:divBdr>
        <w:top w:val="none" w:sz="0" w:space="0" w:color="auto"/>
        <w:left w:val="none" w:sz="0" w:space="0" w:color="auto"/>
        <w:bottom w:val="none" w:sz="0" w:space="0" w:color="auto"/>
        <w:right w:val="none" w:sz="0" w:space="0" w:color="auto"/>
      </w:divBdr>
    </w:div>
    <w:div w:id="187349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hart" Target="charts/chart1.xml"/></Relationships>
</file>

<file path=word/_rels/footnotes.xml.rels><?xml version="1.0" encoding="UTF-8" standalone="yes"?>
<Relationships xmlns="http://schemas.openxmlformats.org/package/2006/relationships"><Relationship Id="rId2" Type="http://schemas.openxmlformats.org/officeDocument/2006/relationships/hyperlink" Target="http://www.cepal.org/Transporte/noticias/bolfall/2/53972/FAL-332-WEB.pdf" TargetMode="External"/><Relationship Id="rId1" Type="http://schemas.openxmlformats.org/officeDocument/2006/relationships/hyperlink" Target="http://siteresources.worldbank.org/INTLACINSPANISH/Resources/InfraInvestmentSpanish.pdf"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sz="1600"/>
            </a:pPr>
            <a:r>
              <a:rPr lang="es-ES" sz="1000">
                <a:latin typeface="Calibri Light" panose="020F0302020204030204" pitchFamily="34" charset="0"/>
                <a:cs typeface="Calibri Light" panose="020F0302020204030204" pitchFamily="34" charset="0"/>
              </a:rPr>
              <a:t>Ocupación de la mujer por sector</a:t>
            </a:r>
          </a:p>
          <a:p>
            <a:pPr>
              <a:defRPr sz="1600"/>
            </a:pPr>
            <a:r>
              <a:rPr lang="es-ES" sz="1000">
                <a:latin typeface="Calibri Light" panose="020F0302020204030204" pitchFamily="34" charset="0"/>
                <a:cs typeface="Calibri Light" panose="020F0302020204030204" pitchFamily="34" charset="0"/>
              </a:rPr>
              <a:t>[En %]</a:t>
            </a:r>
          </a:p>
        </c:rich>
      </c:tx>
      <c:overlay val="0"/>
    </c:title>
    <c:autoTitleDeleted val="0"/>
    <c:plotArea>
      <c:layout>
        <c:manualLayout>
          <c:layoutTarget val="inner"/>
          <c:xMode val="edge"/>
          <c:yMode val="edge"/>
          <c:x val="0.124343905335855"/>
          <c:y val="0.22536873156342199"/>
          <c:w val="0.82537676505520596"/>
          <c:h val="0.5623468747822451"/>
        </c:manualLayout>
      </c:layout>
      <c:barChart>
        <c:barDir val="bar"/>
        <c:grouping val="clustered"/>
        <c:varyColors val="0"/>
        <c:ser>
          <c:idx val="0"/>
          <c:order val="0"/>
          <c:tx>
            <c:strRef>
              <c:f>Sheet4!$D$152</c:f>
              <c:strCache>
                <c:ptCount val="1"/>
                <c:pt idx="0">
                  <c:v>Ocupacion Mujeres [%]</c:v>
                </c:pt>
              </c:strCache>
            </c:strRef>
          </c:tx>
          <c:spPr>
            <a:solidFill>
              <a:schemeClr val="tx2"/>
            </a:solidFill>
          </c:spPr>
          <c:invertIfNegative val="0"/>
          <c:cat>
            <c:strRef>
              <c:f>Sheet4!$A$53:$A$62</c:f>
              <c:strCache>
                <c:ptCount val="10"/>
                <c:pt idx="0">
                  <c:v>Construcción</c:v>
                </c:pt>
                <c:pt idx="1">
                  <c:v>Actividades inmobiliarias</c:v>
                </c:pt>
                <c:pt idx="2">
                  <c:v>Agricultura</c:v>
                </c:pt>
                <c:pt idx="3">
                  <c:v>Actividades profesionales</c:v>
                </c:pt>
                <c:pt idx="4">
                  <c:v>Actividades financieras</c:v>
                </c:pt>
                <c:pt idx="5">
                  <c:v>Industrias manufactureras, explotación de minas y canteras, y otras actividades industriales</c:v>
                </c:pt>
                <c:pt idx="6">
                  <c:v>Comercio y transporte</c:v>
                </c:pt>
                <c:pt idx="7">
                  <c:v>Información y comunicaciones</c:v>
                </c:pt>
                <c:pt idx="8">
                  <c:v>Gobierno y educacion</c:v>
                </c:pt>
                <c:pt idx="9">
                  <c:v>Otras actividades de servicios</c:v>
                </c:pt>
              </c:strCache>
            </c:strRef>
          </c:cat>
          <c:val>
            <c:numRef>
              <c:f>Sheet4!$D$53:$D$62</c:f>
              <c:numCache>
                <c:formatCode>0%</c:formatCode>
                <c:ptCount val="10"/>
                <c:pt idx="0">
                  <c:v>4.5743123307549781E-2</c:v>
                </c:pt>
                <c:pt idx="1">
                  <c:v>8.3619047619047607E-2</c:v>
                </c:pt>
                <c:pt idx="2">
                  <c:v>0.13372751592243384</c:v>
                </c:pt>
                <c:pt idx="3">
                  <c:v>0.3134237267447183</c:v>
                </c:pt>
                <c:pt idx="4">
                  <c:v>0.39544303051726171</c:v>
                </c:pt>
                <c:pt idx="5">
                  <c:v>0.40284777642391645</c:v>
                </c:pt>
                <c:pt idx="6">
                  <c:v>0.4640259185302773</c:v>
                </c:pt>
                <c:pt idx="7">
                  <c:v>0.51287843924751431</c:v>
                </c:pt>
                <c:pt idx="8">
                  <c:v>0.55342195812850947</c:v>
                </c:pt>
                <c:pt idx="9">
                  <c:v>0.66472659568163417</c:v>
                </c:pt>
              </c:numCache>
            </c:numRef>
          </c:val>
          <c:extLst>
            <c:ext xmlns:c16="http://schemas.microsoft.com/office/drawing/2014/chart" uri="{C3380CC4-5D6E-409C-BE32-E72D297353CC}">
              <c16:uniqueId val="{00000000-C2E0-4F7C-A187-B4F7FFCE47B3}"/>
            </c:ext>
          </c:extLst>
        </c:ser>
        <c:dLbls>
          <c:showLegendKey val="0"/>
          <c:showVal val="0"/>
          <c:showCatName val="0"/>
          <c:showSerName val="0"/>
          <c:showPercent val="0"/>
          <c:showBubbleSize val="0"/>
        </c:dLbls>
        <c:gapWidth val="150"/>
        <c:axId val="-2128480728"/>
        <c:axId val="-2128477720"/>
      </c:barChart>
      <c:catAx>
        <c:axId val="-2128480728"/>
        <c:scaling>
          <c:orientation val="minMax"/>
        </c:scaling>
        <c:delete val="0"/>
        <c:axPos val="l"/>
        <c:numFmt formatCode="General" sourceLinked="0"/>
        <c:majorTickMark val="out"/>
        <c:minorTickMark val="none"/>
        <c:tickLblPos val="nextTo"/>
        <c:crossAx val="-2128477720"/>
        <c:crosses val="autoZero"/>
        <c:auto val="1"/>
        <c:lblAlgn val="ctr"/>
        <c:lblOffset val="100"/>
        <c:noMultiLvlLbl val="0"/>
      </c:catAx>
      <c:valAx>
        <c:axId val="-2128477720"/>
        <c:scaling>
          <c:orientation val="minMax"/>
        </c:scaling>
        <c:delete val="0"/>
        <c:axPos val="b"/>
        <c:majorGridlines/>
        <c:numFmt formatCode="0%" sourceLinked="1"/>
        <c:majorTickMark val="out"/>
        <c:minorTickMark val="none"/>
        <c:tickLblPos val="nextTo"/>
        <c:crossAx val="-2128480728"/>
        <c:crosses val="autoZero"/>
        <c:crossBetween val="between"/>
        <c:majorUnit val="0.2"/>
      </c:valAx>
    </c:plotArea>
    <c:plotVisOnly val="1"/>
    <c:dispBlanksAs val="gap"/>
    <c:showDLblsOverMax val="0"/>
  </c:chart>
  <c:spPr>
    <a:noFill/>
    <a:ln>
      <a:noFill/>
    </a:ln>
  </c:spPr>
  <c:txPr>
    <a:bodyPr/>
    <a:lstStyle/>
    <a:p>
      <a:pPr>
        <a:defRPr>
          <a:latin typeface="Arial"/>
          <a:cs typeface="Arial"/>
        </a:defRPr>
      </a:pPr>
      <a:endParaRPr lang="es-CO"/>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639F2842871E340ABF67A8BE485077D" ma:contentTypeVersion="221" ma:contentTypeDescription="A content type to manage public (operations) IDB documents" ma:contentTypeScope="" ma:versionID="077866dce1fb467cfa242e160147ccdf">
  <xsd:schema xmlns:xsd="http://www.w3.org/2001/XMLSchema" xmlns:xs="http://www.w3.org/2001/XMLSchema" xmlns:p="http://schemas.microsoft.com/office/2006/metadata/properties" xmlns:ns2="cdc7663a-08f0-4737-9e8c-148ce897a09c" targetNamespace="http://schemas.microsoft.com/office/2006/metadata/properties" ma:root="true" ma:fieldsID="7f50de74ce0da8416cd5b582bb378b2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U-L116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R0002362046</Record_x0020_Number>
    <Key_x0020_Document xmlns="cdc7663a-08f0-4737-9e8c-148ce897a09c">false</Key_x0020_Document>
    <Division_x0020_or_x0020_Unit xmlns="cdc7663a-08f0-4737-9e8c-148ce897a09c">INE/TSP</Division_x0020_or_x0020_Unit>
    <IDBDocs_x0020_Number xmlns="cdc7663a-08f0-4737-9e8c-148ce897a09c" xsi:nil="true"/>
    <Document_x0020_Author xmlns="cdc7663a-08f0-4737-9e8c-148ce897a09c">Rodriguez Cabezas, Paola Katherine</Document_x0020_Author>
    <_dlc_DocId xmlns="cdc7663a-08f0-4737-9e8c-148ce897a09c">EZSHARE-1990667305-28</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TaxCatchAll xmlns="cdc7663a-08f0-4737-9e8c-148ce897a09c">
      <Value>27</Value>
      <Value>14</Value>
      <Value>148</Value>
      <Value>1</Value>
      <Value>147</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GU-L1169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Document_x0020_Language_x0020_IDB xmlns="cdc7663a-08f0-4737-9e8c-148ce897a09c">Spanish</Document_x0020_Language_x0020_IDB>
    <_dlc_DocIdUrl xmlns="cdc7663a-08f0-4737-9e8c-148ce897a09c">
      <Url>https://idbg.sharepoint.com/teams/EZ-GU-LON/GU-L1169/_layouts/15/DocIdRedir.aspx?ID=EZSHARE-1990667305-28</Url>
      <Description>EZSHARE-1990667305-28</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B340A-19BA-4E2C-8720-0211F97BFAE5}"/>
</file>

<file path=customXml/itemProps2.xml><?xml version="1.0" encoding="utf-8"?>
<ds:datastoreItem xmlns:ds="http://schemas.openxmlformats.org/officeDocument/2006/customXml" ds:itemID="{258DE432-DE45-4C38-A078-FD2124DE8564}"/>
</file>

<file path=customXml/itemProps3.xml><?xml version="1.0" encoding="utf-8"?>
<ds:datastoreItem xmlns:ds="http://schemas.openxmlformats.org/officeDocument/2006/customXml" ds:itemID="{6925C1FE-9DA9-4AAB-A7E1-7975E5974CB2}">
  <ds:schemaRefs>
    <ds:schemaRef ds:uri="http://schemas.microsoft.com/sharepoint/events"/>
  </ds:schemaRefs>
</ds:datastoreItem>
</file>

<file path=customXml/itemProps4.xml><?xml version="1.0" encoding="utf-8"?>
<ds:datastoreItem xmlns:ds="http://schemas.openxmlformats.org/officeDocument/2006/customXml" ds:itemID="{2B31FB61-E4D3-42D5-B736-ED50BD26467C}"/>
</file>

<file path=customXml/itemProps5.xml><?xml version="1.0" encoding="utf-8"?>
<ds:datastoreItem xmlns:ds="http://schemas.openxmlformats.org/officeDocument/2006/customXml" ds:itemID="{D5CF7E1F-ACFB-4954-A337-9E1AF03BF07E}">
  <ds:schemaRefs>
    <ds:schemaRef ds:uri="http://schemas.microsoft.com/sharepoint/v3/contenttype/forms"/>
  </ds:schemaRefs>
</ds:datastoreItem>
</file>

<file path=customXml/itemProps6.xml><?xml version="1.0" encoding="utf-8"?>
<ds:datastoreItem xmlns:ds="http://schemas.openxmlformats.org/officeDocument/2006/customXml" ds:itemID="{1580B55B-A479-4CA9-A67D-AA1062BF1145}">
  <ds:schemaRefs>
    <ds:schemaRef ds:uri="http://purl.org/dc/elements/1.1/"/>
    <ds:schemaRef ds:uri="http://schemas.microsoft.com/office/2006/metadata/properties"/>
    <ds:schemaRef ds:uri="http://purl.org/dc/terms/"/>
    <ds:schemaRef ds:uri="http://schemas.microsoft.com/office/2006/documentManagement/types"/>
    <ds:schemaRef ds:uri="cdc7663a-08f0-4737-9e8c-148ce897a09c"/>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7.xml><?xml version="1.0" encoding="utf-8"?>
<ds:datastoreItem xmlns:ds="http://schemas.openxmlformats.org/officeDocument/2006/customXml" ds:itemID="{BC32AF9D-BD2E-49E1-967C-68E501299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963</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Larrea Castelo, Sisi Alexandra</dc:creator>
  <cp:keywords/>
  <dc:description/>
  <cp:lastModifiedBy>Rodriguez Cabezas, Paola Katherine</cp:lastModifiedBy>
  <cp:revision>21</cp:revision>
  <dcterms:created xsi:type="dcterms:W3CDTF">2018-07-26T22:57:00Z</dcterms:created>
  <dcterms:modified xsi:type="dcterms:W3CDTF">2019-01-16T22:27:00Z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148;#TRANSPORT NETWORKS CONNECTIVITY|8ac6e18a-47fc-496c-8842-4870f8aa7a8e</vt:lpwstr>
  </property>
  <property fmtid="{D5CDD505-2E9C-101B-9397-08002B2CF9AE}" pid="7" name="Country">
    <vt:lpwstr>14;#Guatemala|f4a7ece3-5197-4ac8-b0c6-9e241da9714f</vt:lpwstr>
  </property>
  <property fmtid="{D5CDD505-2E9C-101B-9397-08002B2CF9AE}" pid="8" name="Fund IDB">
    <vt:lpwstr>27;#ORC|c028a4b2-ad8b-4cf4-9cac-a2ae6a778e23</vt:lpwstr>
  </property>
  <property fmtid="{D5CDD505-2E9C-101B-9397-08002B2CF9AE}" pid="9" name="_dlc_DocIdItemGuid">
    <vt:lpwstr>3be33f14-e692-4de5-bd5f-3081adebbb39</vt:lpwstr>
  </property>
  <property fmtid="{D5CDD505-2E9C-101B-9397-08002B2CF9AE}" pid="10" name="Sector IDB">
    <vt:lpwstr>147;#TRANSPORT|5a25d1a8-4baf-41a8-9e3b-e167accda6ea</vt:lpwstr>
  </property>
  <property fmtid="{D5CDD505-2E9C-101B-9397-08002B2CF9AE}" pid="11" name="Function Operations IDB">
    <vt:lpwstr>1;#Project Preparation, Planning and Design|29ca0c72-1fc4-435f-a09c-28585cb5eac9</vt:lpwstr>
  </property>
  <property fmtid="{D5CDD505-2E9C-101B-9397-08002B2CF9AE}" pid="12" name="AuthorIds_UIVersion_4">
    <vt:lpwstr>1338</vt:lpwstr>
  </property>
  <property fmtid="{D5CDD505-2E9C-101B-9397-08002B2CF9AE}" pid="13" name="ContentTypeId">
    <vt:lpwstr>0x0101001A458A224826124E8B45B1D613300CFC00A639F2842871E340ABF67A8BE485077D</vt:lpwstr>
  </property>
</Properties>
</file>