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jc w:val="center"/>
        <w:tblLook w:val="04A0" w:firstRow="1" w:lastRow="0" w:firstColumn="1" w:lastColumn="0" w:noHBand="0" w:noVBand="1"/>
      </w:tblPr>
      <w:tblGrid>
        <w:gridCol w:w="8856"/>
      </w:tblGrid>
      <w:tr w:rsidR="0043483C" w:rsidRPr="00D93780" w14:paraId="18C5398A" w14:textId="77777777" w:rsidTr="0043483C">
        <w:trPr>
          <w:trHeight w:val="1128"/>
          <w:jc w:val="center"/>
        </w:trPr>
        <w:tc>
          <w:tcPr>
            <w:tcW w:w="5000" w:type="pct"/>
          </w:tcPr>
          <w:p w14:paraId="0F7BD9D2" w14:textId="77777777" w:rsidR="00217F32" w:rsidRPr="00217F32" w:rsidRDefault="00217F32" w:rsidP="00217F32">
            <w:pPr>
              <w:jc w:val="center"/>
              <w:rPr>
                <w:rFonts w:ascii="Arial" w:hAnsi="Arial" w:cs="Arial"/>
                <w:smallCaps/>
                <w:lang w:eastAsia="x-none"/>
              </w:rPr>
            </w:pPr>
            <w:r w:rsidRPr="00217F32">
              <w:rPr>
                <w:rFonts w:ascii="Arial" w:hAnsi="Arial" w:cs="Arial"/>
                <w:smallCaps/>
                <w:lang w:eastAsia="x-none"/>
              </w:rPr>
              <w:t>Documento del Banco Interamericano de Desarrollo</w:t>
            </w:r>
          </w:p>
          <w:p w14:paraId="1D5FFAB3" w14:textId="77777777" w:rsidR="00217F32" w:rsidRPr="00217F32" w:rsidRDefault="00217F32" w:rsidP="00217F32">
            <w:pPr>
              <w:tabs>
                <w:tab w:val="left" w:pos="1440"/>
                <w:tab w:val="left" w:pos="3060"/>
              </w:tabs>
              <w:jc w:val="center"/>
              <w:rPr>
                <w:rFonts w:ascii="Arial" w:hAnsi="Arial" w:cs="Arial"/>
                <w:b/>
                <w:smallCaps/>
                <w:spacing w:val="-3"/>
                <w:lang w:eastAsia="en-US"/>
              </w:rPr>
            </w:pPr>
          </w:p>
          <w:p w14:paraId="06215B5B" w14:textId="77777777" w:rsidR="00217F32" w:rsidRPr="00217F32" w:rsidRDefault="00217F32" w:rsidP="00217F32">
            <w:pPr>
              <w:tabs>
                <w:tab w:val="left" w:pos="1440"/>
                <w:tab w:val="left" w:pos="3060"/>
              </w:tabs>
              <w:jc w:val="center"/>
              <w:rPr>
                <w:rFonts w:ascii="Arial" w:hAnsi="Arial" w:cs="Arial"/>
                <w:b/>
                <w:smallCaps/>
                <w:spacing w:val="-3"/>
                <w:lang w:eastAsia="en-US"/>
              </w:rPr>
            </w:pPr>
          </w:p>
          <w:p w14:paraId="48BA599F" w14:textId="77777777" w:rsidR="00217F32" w:rsidRPr="00217F32" w:rsidRDefault="00217F32" w:rsidP="00217F32">
            <w:pPr>
              <w:tabs>
                <w:tab w:val="left" w:pos="1440"/>
                <w:tab w:val="left" w:pos="3060"/>
              </w:tabs>
              <w:jc w:val="center"/>
              <w:rPr>
                <w:rFonts w:ascii="Arial" w:hAnsi="Arial" w:cs="Arial"/>
                <w:b/>
                <w:smallCaps/>
                <w:spacing w:val="-3"/>
                <w:lang w:eastAsia="en-US"/>
              </w:rPr>
            </w:pPr>
          </w:p>
          <w:p w14:paraId="6919E2A8" w14:textId="77777777" w:rsidR="00217F32" w:rsidRPr="00217F32" w:rsidRDefault="00217F32" w:rsidP="00217F32">
            <w:pPr>
              <w:tabs>
                <w:tab w:val="left" w:pos="1440"/>
                <w:tab w:val="left" w:pos="3060"/>
              </w:tabs>
              <w:jc w:val="center"/>
              <w:rPr>
                <w:rFonts w:ascii="Arial" w:hAnsi="Arial" w:cs="Arial"/>
                <w:b/>
                <w:smallCaps/>
                <w:spacing w:val="-3"/>
                <w:lang w:eastAsia="en-US"/>
              </w:rPr>
            </w:pPr>
          </w:p>
          <w:p w14:paraId="211933D4" w14:textId="77777777" w:rsidR="00217F32" w:rsidRPr="00217F32" w:rsidRDefault="00217F32" w:rsidP="00217F32">
            <w:pPr>
              <w:tabs>
                <w:tab w:val="left" w:pos="1440"/>
                <w:tab w:val="left" w:pos="3060"/>
              </w:tabs>
              <w:jc w:val="center"/>
              <w:rPr>
                <w:rFonts w:ascii="Arial" w:hAnsi="Arial" w:cs="Arial"/>
                <w:b/>
                <w:smallCaps/>
                <w:spacing w:val="-3"/>
                <w:lang w:eastAsia="en-US"/>
              </w:rPr>
            </w:pPr>
          </w:p>
          <w:p w14:paraId="5EE61BF6" w14:textId="77777777" w:rsidR="00217F32" w:rsidRPr="00A66EE8" w:rsidRDefault="00217F32" w:rsidP="00217F32">
            <w:pPr>
              <w:tabs>
                <w:tab w:val="left" w:pos="1440"/>
                <w:tab w:val="left" w:pos="3060"/>
              </w:tabs>
              <w:jc w:val="center"/>
              <w:rPr>
                <w:rFonts w:ascii="Arial" w:hAnsi="Arial" w:cs="Arial"/>
                <w:b/>
                <w:smallCaps/>
                <w:spacing w:val="-3"/>
                <w:sz w:val="28"/>
                <w:lang w:eastAsia="en-US"/>
              </w:rPr>
            </w:pPr>
          </w:p>
          <w:p w14:paraId="3CCBA54D" w14:textId="77777777" w:rsidR="00217F32" w:rsidRPr="00A66EE8" w:rsidRDefault="00217F32" w:rsidP="00217F32">
            <w:pPr>
              <w:tabs>
                <w:tab w:val="left" w:pos="1440"/>
                <w:tab w:val="left" w:pos="3060"/>
              </w:tabs>
              <w:jc w:val="center"/>
              <w:rPr>
                <w:rFonts w:ascii="Arial" w:hAnsi="Arial" w:cs="Arial"/>
                <w:b/>
                <w:smallCaps/>
                <w:spacing w:val="-3"/>
                <w:sz w:val="28"/>
                <w:lang w:eastAsia="en-US"/>
              </w:rPr>
            </w:pPr>
            <w:r w:rsidRPr="00A66EE8">
              <w:rPr>
                <w:rFonts w:ascii="Arial" w:hAnsi="Arial" w:cs="Arial"/>
                <w:b/>
                <w:smallCaps/>
                <w:spacing w:val="-3"/>
                <w:sz w:val="28"/>
                <w:lang w:eastAsia="en-US"/>
              </w:rPr>
              <w:t>Uruguay</w:t>
            </w:r>
          </w:p>
          <w:p w14:paraId="6B915B41" w14:textId="77777777" w:rsidR="00217F32" w:rsidRPr="00A66EE8" w:rsidRDefault="00217F32" w:rsidP="00217F32">
            <w:pPr>
              <w:tabs>
                <w:tab w:val="left" w:pos="1440"/>
                <w:tab w:val="left" w:pos="3060"/>
              </w:tabs>
              <w:jc w:val="center"/>
              <w:rPr>
                <w:rFonts w:ascii="Arial" w:hAnsi="Arial" w:cs="Arial"/>
                <w:b/>
                <w:smallCaps/>
                <w:spacing w:val="-3"/>
                <w:sz w:val="28"/>
                <w:highlight w:val="lightGray"/>
                <w:lang w:eastAsia="en-US"/>
              </w:rPr>
            </w:pPr>
          </w:p>
          <w:p w14:paraId="4266B61D" w14:textId="77777777" w:rsidR="00217F32" w:rsidRPr="00A66EE8" w:rsidRDefault="00217F32" w:rsidP="00217F32">
            <w:pPr>
              <w:tabs>
                <w:tab w:val="left" w:pos="1440"/>
                <w:tab w:val="left" w:pos="3060"/>
              </w:tabs>
              <w:jc w:val="center"/>
              <w:rPr>
                <w:rFonts w:ascii="Arial" w:hAnsi="Arial" w:cs="Arial"/>
                <w:b/>
                <w:smallCaps/>
                <w:spacing w:val="-3"/>
                <w:sz w:val="28"/>
                <w:highlight w:val="lightGray"/>
                <w:lang w:eastAsia="en-US"/>
              </w:rPr>
            </w:pPr>
          </w:p>
          <w:p w14:paraId="796546C8" w14:textId="77777777" w:rsidR="00217F32" w:rsidRPr="00A66EE8" w:rsidRDefault="00217F32" w:rsidP="00217F32">
            <w:pPr>
              <w:tabs>
                <w:tab w:val="left" w:pos="1440"/>
                <w:tab w:val="left" w:pos="3060"/>
              </w:tabs>
              <w:jc w:val="center"/>
              <w:rPr>
                <w:rFonts w:ascii="Arial" w:hAnsi="Arial" w:cs="Arial"/>
                <w:b/>
                <w:smallCaps/>
                <w:spacing w:val="-3"/>
                <w:sz w:val="28"/>
                <w:highlight w:val="lightGray"/>
                <w:lang w:eastAsia="en-US"/>
              </w:rPr>
            </w:pPr>
          </w:p>
          <w:p w14:paraId="3D59551A" w14:textId="77777777" w:rsidR="00217F32" w:rsidRPr="00A66EE8" w:rsidRDefault="00217F32" w:rsidP="00217F32">
            <w:pPr>
              <w:tabs>
                <w:tab w:val="left" w:pos="1440"/>
                <w:tab w:val="left" w:pos="3060"/>
              </w:tabs>
              <w:jc w:val="center"/>
              <w:rPr>
                <w:rFonts w:ascii="Arial" w:hAnsi="Arial" w:cs="Arial"/>
                <w:b/>
                <w:smallCaps/>
                <w:spacing w:val="-3"/>
                <w:sz w:val="28"/>
                <w:highlight w:val="lightGray"/>
                <w:lang w:eastAsia="en-US"/>
              </w:rPr>
            </w:pPr>
          </w:p>
          <w:p w14:paraId="33B51923" w14:textId="77777777" w:rsidR="00A66EE8" w:rsidRPr="00A66EE8" w:rsidRDefault="00A66EE8" w:rsidP="00A66EE8">
            <w:pPr>
              <w:tabs>
                <w:tab w:val="left" w:pos="1440"/>
                <w:tab w:val="left" w:pos="3060"/>
              </w:tabs>
              <w:jc w:val="center"/>
              <w:rPr>
                <w:rFonts w:ascii="Arial" w:hAnsi="Arial" w:cs="Arial"/>
                <w:b/>
                <w:smallCaps/>
                <w:spacing w:val="-3"/>
                <w:sz w:val="28"/>
                <w:lang w:eastAsia="en-US"/>
              </w:rPr>
            </w:pPr>
            <w:r w:rsidRPr="00A66EE8">
              <w:rPr>
                <w:rFonts w:ascii="Arial" w:hAnsi="Arial" w:cs="Arial"/>
                <w:b/>
                <w:smallCaps/>
                <w:spacing w:val="-3"/>
                <w:sz w:val="28"/>
                <w:lang w:eastAsia="en-US"/>
              </w:rPr>
              <w:t>Primera Operación Individual bajo la CCLIP:</w:t>
            </w:r>
          </w:p>
          <w:p w14:paraId="45922995" w14:textId="77777777" w:rsidR="00A66EE8" w:rsidRPr="00A66EE8" w:rsidRDefault="00A66EE8" w:rsidP="00A66EE8">
            <w:pPr>
              <w:tabs>
                <w:tab w:val="left" w:pos="1440"/>
                <w:tab w:val="left" w:pos="3060"/>
              </w:tabs>
              <w:jc w:val="center"/>
              <w:rPr>
                <w:rFonts w:ascii="Arial" w:hAnsi="Arial" w:cs="Arial"/>
                <w:b/>
                <w:smallCaps/>
                <w:spacing w:val="-3"/>
                <w:sz w:val="28"/>
                <w:lang w:eastAsia="en-US"/>
              </w:rPr>
            </w:pPr>
            <w:r w:rsidRPr="00A66EE8">
              <w:rPr>
                <w:rFonts w:ascii="Arial" w:hAnsi="Arial" w:cs="Arial"/>
                <w:b/>
                <w:smallCaps/>
                <w:spacing w:val="-3"/>
                <w:sz w:val="28"/>
                <w:lang w:eastAsia="en-US"/>
              </w:rPr>
              <w:t xml:space="preserve"> Programa de Desarrollo y Fortalecimiento de la Gestión Fiscal y de Servicios Subnacionales</w:t>
            </w:r>
          </w:p>
          <w:p w14:paraId="1352191D" w14:textId="77777777" w:rsidR="00A66EE8" w:rsidRPr="00A66EE8" w:rsidRDefault="00A66EE8" w:rsidP="00A66EE8">
            <w:pPr>
              <w:tabs>
                <w:tab w:val="left" w:pos="1440"/>
                <w:tab w:val="left" w:pos="3060"/>
              </w:tabs>
              <w:jc w:val="center"/>
              <w:rPr>
                <w:rFonts w:ascii="Arial" w:hAnsi="Arial" w:cs="Arial"/>
                <w:b/>
                <w:smallCaps/>
                <w:spacing w:val="-3"/>
                <w:sz w:val="28"/>
                <w:lang w:eastAsia="en-US"/>
              </w:rPr>
            </w:pPr>
            <w:r w:rsidRPr="00A66EE8">
              <w:rPr>
                <w:rFonts w:ascii="Arial" w:hAnsi="Arial" w:cs="Arial"/>
                <w:b/>
                <w:smallCaps/>
                <w:spacing w:val="-3"/>
                <w:sz w:val="28"/>
                <w:lang w:eastAsia="en-US"/>
              </w:rPr>
              <w:t>(UR-L1111)</w:t>
            </w:r>
          </w:p>
          <w:p w14:paraId="6AF5DDD7" w14:textId="77777777" w:rsidR="00217F32" w:rsidRPr="00A66EE8" w:rsidRDefault="00217F32" w:rsidP="00217F32">
            <w:pPr>
              <w:tabs>
                <w:tab w:val="left" w:pos="1440"/>
                <w:tab w:val="left" w:pos="3060"/>
              </w:tabs>
              <w:jc w:val="center"/>
              <w:rPr>
                <w:rFonts w:ascii="Arial" w:hAnsi="Arial" w:cs="Arial"/>
                <w:b/>
                <w:smallCaps/>
                <w:spacing w:val="-3"/>
                <w:sz w:val="28"/>
                <w:szCs w:val="20"/>
                <w:lang w:eastAsia="en-US"/>
              </w:rPr>
            </w:pPr>
          </w:p>
          <w:p w14:paraId="754C69ED" w14:textId="77777777" w:rsidR="00217F32" w:rsidRPr="00217F32" w:rsidRDefault="00217F32" w:rsidP="00217F32">
            <w:pPr>
              <w:tabs>
                <w:tab w:val="left" w:pos="1440"/>
                <w:tab w:val="left" w:pos="3060"/>
              </w:tabs>
              <w:jc w:val="center"/>
              <w:rPr>
                <w:rFonts w:ascii="Arial" w:hAnsi="Arial" w:cs="Arial"/>
                <w:b/>
                <w:smallCaps/>
                <w:spacing w:val="-3"/>
                <w:szCs w:val="20"/>
                <w:lang w:eastAsia="en-US"/>
              </w:rPr>
            </w:pPr>
          </w:p>
          <w:p w14:paraId="0F88ADCD" w14:textId="77777777" w:rsidR="00217F32" w:rsidRPr="00217F32" w:rsidRDefault="00217F32" w:rsidP="00217F32">
            <w:pPr>
              <w:tabs>
                <w:tab w:val="left" w:pos="1440"/>
                <w:tab w:val="left" w:pos="3060"/>
              </w:tabs>
              <w:jc w:val="center"/>
              <w:rPr>
                <w:rFonts w:ascii="Arial" w:hAnsi="Arial" w:cs="Arial"/>
                <w:caps/>
                <w:spacing w:val="-3"/>
                <w:lang w:eastAsia="en-US"/>
              </w:rPr>
            </w:pPr>
          </w:p>
          <w:p w14:paraId="098038F7" w14:textId="77777777" w:rsidR="00217F32" w:rsidRPr="00217F32" w:rsidRDefault="00217F32" w:rsidP="00217F32">
            <w:pPr>
              <w:tabs>
                <w:tab w:val="left" w:pos="1440"/>
                <w:tab w:val="left" w:pos="3060"/>
              </w:tabs>
              <w:jc w:val="center"/>
              <w:rPr>
                <w:rFonts w:ascii="Arial" w:hAnsi="Arial" w:cs="Arial"/>
                <w:smallCaps/>
                <w:spacing w:val="-3"/>
                <w:lang w:eastAsia="en-US"/>
              </w:rPr>
            </w:pPr>
          </w:p>
          <w:p w14:paraId="171604A5" w14:textId="065B6DB3" w:rsidR="00217F32" w:rsidRPr="00217F32" w:rsidRDefault="00217F32" w:rsidP="00217F32">
            <w:pPr>
              <w:tabs>
                <w:tab w:val="left" w:pos="1440"/>
                <w:tab w:val="left" w:pos="3060"/>
              </w:tabs>
              <w:jc w:val="center"/>
              <w:outlineLvl w:val="0"/>
              <w:rPr>
                <w:rFonts w:ascii="Arial" w:hAnsi="Arial" w:cs="Arial"/>
                <w:b/>
                <w:smallCaps/>
                <w:spacing w:val="-3"/>
                <w:lang w:eastAsia="en-US"/>
              </w:rPr>
            </w:pPr>
            <w:r>
              <w:rPr>
                <w:rFonts w:ascii="Arial" w:hAnsi="Arial" w:cs="Arial"/>
                <w:b/>
                <w:smallCaps/>
                <w:spacing w:val="-3"/>
                <w:lang w:eastAsia="en-US"/>
              </w:rPr>
              <w:t>Análisis Económico del Proyecto</w:t>
            </w:r>
          </w:p>
          <w:p w14:paraId="42BCE829" w14:textId="77777777" w:rsidR="00217F32" w:rsidRPr="00217F32" w:rsidRDefault="00217F32" w:rsidP="00217F32">
            <w:pPr>
              <w:tabs>
                <w:tab w:val="left" w:pos="1440"/>
                <w:tab w:val="left" w:pos="3060"/>
              </w:tabs>
              <w:jc w:val="center"/>
              <w:rPr>
                <w:rFonts w:ascii="Arial" w:hAnsi="Arial" w:cs="Arial"/>
                <w:caps/>
                <w:spacing w:val="-3"/>
                <w:lang w:eastAsia="en-US"/>
              </w:rPr>
            </w:pPr>
          </w:p>
          <w:p w14:paraId="64234BE7" w14:textId="77777777" w:rsidR="00217F32" w:rsidRPr="00217F32" w:rsidRDefault="00217F32" w:rsidP="00217F32">
            <w:pPr>
              <w:tabs>
                <w:tab w:val="left" w:pos="1440"/>
                <w:tab w:val="left" w:pos="3060"/>
              </w:tabs>
              <w:jc w:val="center"/>
              <w:rPr>
                <w:rFonts w:ascii="Arial" w:hAnsi="Arial" w:cs="Arial"/>
                <w:caps/>
                <w:spacing w:val="-3"/>
                <w:lang w:eastAsia="en-US"/>
              </w:rPr>
            </w:pPr>
          </w:p>
          <w:p w14:paraId="3923C30C" w14:textId="77777777" w:rsidR="00217F32" w:rsidRPr="00217F32" w:rsidRDefault="00217F32" w:rsidP="00217F32">
            <w:pPr>
              <w:tabs>
                <w:tab w:val="left" w:pos="1440"/>
                <w:tab w:val="left" w:pos="3060"/>
              </w:tabs>
              <w:jc w:val="center"/>
              <w:rPr>
                <w:rFonts w:ascii="Arial" w:hAnsi="Arial" w:cs="Arial"/>
                <w:caps/>
                <w:spacing w:val="-3"/>
                <w:lang w:eastAsia="en-US"/>
              </w:rPr>
            </w:pPr>
          </w:p>
          <w:p w14:paraId="59017B43" w14:textId="77777777" w:rsidR="00217F32" w:rsidRPr="00217F32" w:rsidRDefault="00217F32" w:rsidP="00217F32">
            <w:pPr>
              <w:tabs>
                <w:tab w:val="left" w:pos="1440"/>
                <w:tab w:val="left" w:pos="3060"/>
              </w:tabs>
              <w:jc w:val="center"/>
              <w:rPr>
                <w:rFonts w:ascii="Arial" w:hAnsi="Arial" w:cs="Arial"/>
                <w:caps/>
                <w:spacing w:val="-3"/>
                <w:lang w:eastAsia="en-US"/>
              </w:rPr>
            </w:pPr>
          </w:p>
          <w:p w14:paraId="28E29A86" w14:textId="77777777" w:rsidR="00217F32" w:rsidRPr="00217F32" w:rsidRDefault="00217F32" w:rsidP="00217F32">
            <w:pPr>
              <w:tabs>
                <w:tab w:val="left" w:pos="1440"/>
                <w:tab w:val="left" w:pos="3060"/>
              </w:tabs>
              <w:jc w:val="center"/>
              <w:rPr>
                <w:rFonts w:ascii="Arial" w:hAnsi="Arial" w:cs="Arial"/>
                <w:caps/>
                <w:spacing w:val="-3"/>
                <w:lang w:eastAsia="en-US"/>
              </w:rPr>
            </w:pPr>
          </w:p>
          <w:p w14:paraId="18C53989" w14:textId="1CC33E52" w:rsidR="0043483C" w:rsidRPr="00D93780" w:rsidRDefault="00514FEB" w:rsidP="00514FEB">
            <w:pPr>
              <w:pStyle w:val="BodyText"/>
              <w:pBdr>
                <w:top w:val="single" w:sz="4" w:space="1" w:color="auto"/>
                <w:left w:val="single" w:sz="4" w:space="4" w:color="auto"/>
                <w:bottom w:val="single" w:sz="4" w:space="1" w:color="auto"/>
                <w:right w:val="single" w:sz="4" w:space="4" w:color="auto"/>
              </w:pBdr>
              <w:tabs>
                <w:tab w:val="left" w:pos="1440"/>
              </w:tabs>
              <w:ind w:left="270" w:right="180"/>
              <w:jc w:val="both"/>
              <w:rPr>
                <w:rFonts w:ascii="Arial" w:eastAsiaTheme="majorEastAsia" w:hAnsi="Arial" w:cs="Arial"/>
                <w:caps/>
                <w:sz w:val="22"/>
                <w:szCs w:val="22"/>
              </w:rPr>
            </w:pPr>
            <w:r w:rsidRPr="005E45ED">
              <w:rPr>
                <w:rFonts w:ascii="Arial" w:hAnsi="Arial" w:cs="Arial"/>
                <w:sz w:val="20"/>
              </w:rPr>
              <w:t>Este documento fue preparado por</w:t>
            </w:r>
            <w:r>
              <w:rPr>
                <w:rFonts w:ascii="Arial" w:hAnsi="Arial" w:cs="Arial"/>
                <w:sz w:val="20"/>
              </w:rPr>
              <w:t>: Fernando Grafe</w:t>
            </w:r>
          </w:p>
        </w:tc>
      </w:tr>
      <w:tr w:rsidR="00661854" w:rsidRPr="00D93780" w14:paraId="18C53990" w14:textId="77777777" w:rsidTr="00661854">
        <w:trPr>
          <w:trHeight w:val="1440"/>
          <w:jc w:val="center"/>
        </w:trPr>
        <w:tc>
          <w:tcPr>
            <w:tcW w:w="5000" w:type="pct"/>
            <w:vAlign w:val="center"/>
          </w:tcPr>
          <w:p w14:paraId="18C5398F" w14:textId="77777777" w:rsidR="00661854" w:rsidRPr="00D93780" w:rsidRDefault="00661854" w:rsidP="00661854">
            <w:pPr>
              <w:pStyle w:val="NoSpacing"/>
              <w:jc w:val="center"/>
              <w:rPr>
                <w:rFonts w:ascii="Arial" w:eastAsiaTheme="majorEastAsia" w:hAnsi="Arial" w:cs="Arial"/>
                <w:b/>
                <w:sz w:val="36"/>
                <w:szCs w:val="80"/>
                <w:lang w:val="en-GB"/>
              </w:rPr>
            </w:pPr>
          </w:p>
        </w:tc>
      </w:tr>
    </w:tbl>
    <w:p w14:paraId="18C539B0" w14:textId="77777777" w:rsidR="00661854" w:rsidRPr="00D93780" w:rsidRDefault="00661854" w:rsidP="00D04EC0">
      <w:pPr>
        <w:rPr>
          <w:rFonts w:ascii="Arial" w:hAnsi="Arial" w:cs="Arial"/>
        </w:rPr>
      </w:pPr>
    </w:p>
    <w:p w14:paraId="18C539B1" w14:textId="77777777" w:rsidR="00661854" w:rsidRPr="00D93780" w:rsidRDefault="00661854" w:rsidP="00D04EC0">
      <w:pPr>
        <w:rPr>
          <w:rFonts w:ascii="Arial" w:hAnsi="Arial" w:cs="Arial"/>
        </w:rPr>
        <w:sectPr w:rsidR="00661854" w:rsidRPr="00D93780" w:rsidSect="00217F32">
          <w:footerReference w:type="default" r:id="rId10"/>
          <w:type w:val="continuous"/>
          <w:pgSz w:w="12240" w:h="15840" w:code="1"/>
          <w:pgMar w:top="1440" w:right="1800" w:bottom="1440" w:left="1800" w:header="709" w:footer="856" w:gutter="0"/>
          <w:pgNumType w:start="0"/>
          <w:cols w:space="708"/>
          <w:titlePg/>
          <w:docGrid w:linePitch="360"/>
        </w:sectPr>
      </w:pPr>
    </w:p>
    <w:sdt>
      <w:sdtPr>
        <w:rPr>
          <w:rFonts w:ascii="Arial" w:hAnsi="Arial" w:cs="Arial"/>
          <w:b w:val="0"/>
          <w:bCs w:val="0"/>
          <w:color w:val="auto"/>
          <w:sz w:val="22"/>
          <w:szCs w:val="22"/>
          <w:lang w:eastAsia="es-ES"/>
        </w:rPr>
        <w:id w:val="-166784796"/>
        <w:docPartObj>
          <w:docPartGallery w:val="Table of Contents"/>
          <w:docPartUnique/>
        </w:docPartObj>
      </w:sdtPr>
      <w:sdtEndPr>
        <w:rPr>
          <w:sz w:val="24"/>
          <w:szCs w:val="24"/>
        </w:rPr>
      </w:sdtEndPr>
      <w:sdtContent>
        <w:p w14:paraId="18C539B3" w14:textId="77777777" w:rsidR="00661854" w:rsidRPr="00D93780" w:rsidRDefault="00661854" w:rsidP="00310721">
          <w:pPr>
            <w:pStyle w:val="TOCHeading"/>
            <w:rPr>
              <w:rFonts w:ascii="Arial" w:hAnsi="Arial" w:cs="Arial"/>
              <w:sz w:val="22"/>
              <w:szCs w:val="22"/>
            </w:rPr>
          </w:pPr>
          <w:r w:rsidRPr="00D93780">
            <w:rPr>
              <w:rFonts w:ascii="Arial" w:hAnsi="Arial" w:cs="Arial"/>
              <w:sz w:val="22"/>
              <w:szCs w:val="22"/>
            </w:rPr>
            <w:t>Contenido</w:t>
          </w:r>
        </w:p>
        <w:p w14:paraId="21F823E7" w14:textId="77777777" w:rsidR="00FD405F" w:rsidRPr="00D93780" w:rsidRDefault="009B7F87">
          <w:pPr>
            <w:pStyle w:val="TOC1"/>
            <w:rPr>
              <w:rFonts w:ascii="Arial" w:eastAsiaTheme="minorEastAsia" w:hAnsi="Arial" w:cs="Arial"/>
              <w:b w:val="0"/>
              <w:sz w:val="22"/>
              <w:szCs w:val="22"/>
            </w:rPr>
          </w:pPr>
          <w:r w:rsidRPr="00D93780">
            <w:rPr>
              <w:rFonts w:ascii="Arial" w:hAnsi="Arial" w:cs="Arial"/>
              <w:b w:val="0"/>
              <w:sz w:val="22"/>
              <w:szCs w:val="22"/>
            </w:rPr>
            <w:fldChar w:fldCharType="begin"/>
          </w:r>
          <w:r w:rsidRPr="00D93780">
            <w:rPr>
              <w:rFonts w:ascii="Arial" w:hAnsi="Arial" w:cs="Arial"/>
              <w:b w:val="0"/>
              <w:sz w:val="22"/>
              <w:szCs w:val="22"/>
            </w:rPr>
            <w:instrText xml:space="preserve"> TOC \h \z \t "Título 1;1;Título 2;2;Título 3;3;Títular;1;Anexo;1" </w:instrText>
          </w:r>
          <w:r w:rsidRPr="00D93780">
            <w:rPr>
              <w:rFonts w:ascii="Arial" w:hAnsi="Arial" w:cs="Arial"/>
              <w:b w:val="0"/>
              <w:sz w:val="22"/>
              <w:szCs w:val="22"/>
            </w:rPr>
            <w:fldChar w:fldCharType="separate"/>
          </w:r>
          <w:hyperlink w:anchor="_Toc456337496" w:history="1">
            <w:r w:rsidR="00FD405F" w:rsidRPr="00D93780">
              <w:rPr>
                <w:rStyle w:val="Hyperlink"/>
                <w:rFonts w:ascii="Arial" w:hAnsi="Arial" w:cs="Arial"/>
                <w:sz w:val="22"/>
                <w:szCs w:val="22"/>
              </w:rPr>
              <w:t>1.</w:t>
            </w:r>
            <w:r w:rsidR="00FD405F" w:rsidRPr="00D93780">
              <w:rPr>
                <w:rFonts w:ascii="Arial" w:eastAsiaTheme="minorEastAsia" w:hAnsi="Arial" w:cs="Arial"/>
                <w:b w:val="0"/>
                <w:sz w:val="22"/>
                <w:szCs w:val="22"/>
              </w:rPr>
              <w:tab/>
            </w:r>
            <w:r w:rsidR="00FD405F" w:rsidRPr="00D93780">
              <w:rPr>
                <w:rStyle w:val="Hyperlink"/>
                <w:rFonts w:ascii="Arial" w:hAnsi="Arial" w:cs="Arial"/>
                <w:sz w:val="22"/>
                <w:szCs w:val="22"/>
              </w:rPr>
              <w:t>Introducción</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_Toc456337496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w:t>
            </w:r>
            <w:r w:rsidR="00FD405F" w:rsidRPr="00D93780">
              <w:rPr>
                <w:rFonts w:ascii="Arial" w:hAnsi="Arial" w:cs="Arial"/>
                <w:webHidden/>
                <w:sz w:val="22"/>
                <w:szCs w:val="22"/>
              </w:rPr>
              <w:fldChar w:fldCharType="end"/>
            </w:r>
          </w:hyperlink>
        </w:p>
        <w:p w14:paraId="47861368" w14:textId="77777777" w:rsidR="00FD405F" w:rsidRPr="00D93780" w:rsidRDefault="00462E76">
          <w:pPr>
            <w:pStyle w:val="TOC3"/>
            <w:rPr>
              <w:rFonts w:ascii="Arial" w:hAnsi="Arial" w:cs="Arial"/>
              <w:sz w:val="22"/>
              <w:szCs w:val="22"/>
            </w:rPr>
          </w:pPr>
          <w:hyperlink w:anchor="_Toc456337497" w:history="1">
            <w:r w:rsidR="00FD405F" w:rsidRPr="00D93780">
              <w:rPr>
                <w:rStyle w:val="Hyperlink"/>
                <w:rFonts w:ascii="Arial" w:hAnsi="Arial" w:cs="Arial"/>
                <w:sz w:val="22"/>
                <w:szCs w:val="22"/>
              </w:rPr>
              <w:t>Breve descripción del Programa</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_Toc456337497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w:t>
            </w:r>
            <w:r w:rsidR="00FD405F" w:rsidRPr="00D93780">
              <w:rPr>
                <w:rFonts w:ascii="Arial" w:hAnsi="Arial" w:cs="Arial"/>
                <w:webHidden/>
                <w:sz w:val="22"/>
                <w:szCs w:val="22"/>
              </w:rPr>
              <w:fldChar w:fldCharType="end"/>
            </w:r>
          </w:hyperlink>
        </w:p>
        <w:p w14:paraId="7DA36959" w14:textId="77777777" w:rsidR="00FD405F" w:rsidRPr="00D93780" w:rsidRDefault="00462E76">
          <w:pPr>
            <w:pStyle w:val="TOC3"/>
            <w:rPr>
              <w:rFonts w:ascii="Arial" w:hAnsi="Arial" w:cs="Arial"/>
              <w:sz w:val="22"/>
              <w:szCs w:val="22"/>
            </w:rPr>
          </w:pPr>
          <w:hyperlink w:anchor="_Toc456337498" w:history="1">
            <w:r w:rsidR="00FD405F" w:rsidRPr="00D93780">
              <w:rPr>
                <w:rStyle w:val="Hyperlink"/>
                <w:rFonts w:ascii="Arial" w:hAnsi="Arial" w:cs="Arial"/>
                <w:sz w:val="22"/>
                <w:szCs w:val="22"/>
              </w:rPr>
              <w:t>Presupuesto del Programa</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_Toc456337498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2</w:t>
            </w:r>
            <w:r w:rsidR="00FD405F" w:rsidRPr="00D93780">
              <w:rPr>
                <w:rFonts w:ascii="Arial" w:hAnsi="Arial" w:cs="Arial"/>
                <w:webHidden/>
                <w:sz w:val="22"/>
                <w:szCs w:val="22"/>
              </w:rPr>
              <w:fldChar w:fldCharType="end"/>
            </w:r>
          </w:hyperlink>
        </w:p>
        <w:p w14:paraId="010D831B" w14:textId="77777777" w:rsidR="00FD405F" w:rsidRPr="00D93780" w:rsidRDefault="00462E76">
          <w:pPr>
            <w:pStyle w:val="TOC3"/>
            <w:rPr>
              <w:rFonts w:ascii="Arial" w:hAnsi="Arial" w:cs="Arial"/>
              <w:sz w:val="22"/>
              <w:szCs w:val="22"/>
            </w:rPr>
          </w:pPr>
          <w:hyperlink w:anchor="_Toc456337499" w:history="1">
            <w:r w:rsidR="00FD405F" w:rsidRPr="00D93780">
              <w:rPr>
                <w:rStyle w:val="Hyperlink"/>
                <w:rFonts w:ascii="Arial" w:hAnsi="Arial" w:cs="Arial"/>
                <w:sz w:val="22"/>
                <w:szCs w:val="22"/>
              </w:rPr>
              <w:t>Principales beneficios esperados del Programa</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_Toc456337499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3</w:t>
            </w:r>
            <w:r w:rsidR="00FD405F" w:rsidRPr="00D93780">
              <w:rPr>
                <w:rFonts w:ascii="Arial" w:hAnsi="Arial" w:cs="Arial"/>
                <w:webHidden/>
                <w:sz w:val="22"/>
                <w:szCs w:val="22"/>
              </w:rPr>
              <w:fldChar w:fldCharType="end"/>
            </w:r>
          </w:hyperlink>
        </w:p>
        <w:p w14:paraId="7E6B5B60" w14:textId="77777777" w:rsidR="00FD405F" w:rsidRPr="00D93780" w:rsidRDefault="00462E76">
          <w:pPr>
            <w:pStyle w:val="TOC3"/>
            <w:rPr>
              <w:rFonts w:ascii="Arial" w:hAnsi="Arial" w:cs="Arial"/>
              <w:sz w:val="22"/>
              <w:szCs w:val="22"/>
            </w:rPr>
          </w:pPr>
          <w:hyperlink w:anchor="_Toc456337500" w:history="1">
            <w:r w:rsidR="00FD405F" w:rsidRPr="00D93780">
              <w:rPr>
                <w:rStyle w:val="Hyperlink"/>
                <w:rFonts w:ascii="Arial" w:hAnsi="Arial" w:cs="Arial"/>
                <w:sz w:val="22"/>
                <w:szCs w:val="22"/>
              </w:rPr>
              <w:t>Indicadores seleccionados para el análisis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_Toc456337500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4</w:t>
            </w:r>
            <w:r w:rsidR="00FD405F" w:rsidRPr="00D93780">
              <w:rPr>
                <w:rFonts w:ascii="Arial" w:hAnsi="Arial" w:cs="Arial"/>
                <w:webHidden/>
                <w:sz w:val="22"/>
                <w:szCs w:val="22"/>
              </w:rPr>
              <w:fldChar w:fldCharType="end"/>
            </w:r>
          </w:hyperlink>
        </w:p>
        <w:p w14:paraId="779D7765" w14:textId="77777777" w:rsidR="00FD405F" w:rsidRPr="00D93780" w:rsidRDefault="00462E76">
          <w:pPr>
            <w:pStyle w:val="TOC3"/>
            <w:rPr>
              <w:rFonts w:ascii="Arial" w:hAnsi="Arial" w:cs="Arial"/>
              <w:sz w:val="22"/>
              <w:szCs w:val="22"/>
            </w:rPr>
          </w:pPr>
          <w:hyperlink w:anchor="_Toc456337501" w:history="1">
            <w:r w:rsidR="00FD405F" w:rsidRPr="00D93780">
              <w:rPr>
                <w:rStyle w:val="Hyperlink"/>
                <w:rFonts w:ascii="Arial" w:hAnsi="Arial" w:cs="Arial"/>
                <w:sz w:val="22"/>
                <w:szCs w:val="22"/>
              </w:rPr>
              <w:t>Tipo de análisis aplicado para la valoración económica</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_Toc456337501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4</w:t>
            </w:r>
            <w:r w:rsidR="00FD405F" w:rsidRPr="00D93780">
              <w:rPr>
                <w:rFonts w:ascii="Arial" w:hAnsi="Arial" w:cs="Arial"/>
                <w:webHidden/>
                <w:sz w:val="22"/>
                <w:szCs w:val="22"/>
              </w:rPr>
              <w:fldChar w:fldCharType="end"/>
            </w:r>
          </w:hyperlink>
        </w:p>
        <w:p w14:paraId="6EFA5D4B" w14:textId="77777777" w:rsidR="00FD405F" w:rsidRPr="00D93780" w:rsidRDefault="00462E76">
          <w:pPr>
            <w:pStyle w:val="TOC3"/>
            <w:rPr>
              <w:rFonts w:ascii="Arial" w:hAnsi="Arial" w:cs="Arial"/>
              <w:sz w:val="22"/>
              <w:szCs w:val="22"/>
            </w:rPr>
          </w:pPr>
          <w:hyperlink w:anchor="_Toc456337502" w:history="1">
            <w:r w:rsidR="00FD405F" w:rsidRPr="00D93780">
              <w:rPr>
                <w:rStyle w:val="Hyperlink"/>
                <w:rFonts w:ascii="Arial" w:hAnsi="Arial" w:cs="Arial"/>
                <w:sz w:val="22"/>
                <w:szCs w:val="22"/>
              </w:rPr>
              <w:t>Diseño del análisis costo-beneficio</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_Toc456337502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5</w:t>
            </w:r>
            <w:r w:rsidR="00FD405F" w:rsidRPr="00D93780">
              <w:rPr>
                <w:rFonts w:ascii="Arial" w:hAnsi="Arial" w:cs="Arial"/>
                <w:webHidden/>
                <w:sz w:val="22"/>
                <w:szCs w:val="22"/>
              </w:rPr>
              <w:fldChar w:fldCharType="end"/>
            </w:r>
          </w:hyperlink>
        </w:p>
        <w:p w14:paraId="15D9ECFA" w14:textId="77777777" w:rsidR="00FD405F" w:rsidRPr="00D93780" w:rsidRDefault="00462E76">
          <w:pPr>
            <w:pStyle w:val="TOC1"/>
            <w:rPr>
              <w:rFonts w:ascii="Arial" w:eastAsiaTheme="minorEastAsia" w:hAnsi="Arial" w:cs="Arial"/>
              <w:b w:val="0"/>
              <w:sz w:val="22"/>
              <w:szCs w:val="22"/>
            </w:rPr>
          </w:pPr>
          <w:hyperlink w:anchor="_Toc456337503" w:history="1">
            <w:r w:rsidR="00FD405F" w:rsidRPr="00D93780">
              <w:rPr>
                <w:rStyle w:val="Hyperlink"/>
                <w:rFonts w:ascii="Arial" w:hAnsi="Arial" w:cs="Arial"/>
                <w:sz w:val="22"/>
                <w:szCs w:val="22"/>
              </w:rPr>
              <w:t>2.</w:t>
            </w:r>
            <w:r w:rsidR="00FD405F" w:rsidRPr="00D93780">
              <w:rPr>
                <w:rFonts w:ascii="Arial" w:eastAsiaTheme="minorEastAsia" w:hAnsi="Arial" w:cs="Arial"/>
                <w:b w:val="0"/>
                <w:sz w:val="22"/>
                <w:szCs w:val="22"/>
              </w:rPr>
              <w:tab/>
            </w:r>
            <w:r w:rsidR="00FD405F" w:rsidRPr="00D93780">
              <w:rPr>
                <w:rStyle w:val="Hyperlink"/>
                <w:rFonts w:ascii="Arial" w:hAnsi="Arial" w:cs="Arial"/>
                <w:sz w:val="22"/>
                <w:szCs w:val="22"/>
              </w:rPr>
              <w:t>Análisis costo-beneficio (ACB 1) de la centralización de la recaudación</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_Toc456337503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7</w:t>
            </w:r>
            <w:r w:rsidR="00FD405F" w:rsidRPr="00D93780">
              <w:rPr>
                <w:rFonts w:ascii="Arial" w:hAnsi="Arial" w:cs="Arial"/>
                <w:webHidden/>
                <w:sz w:val="22"/>
                <w:szCs w:val="22"/>
              </w:rPr>
              <w:fldChar w:fldCharType="end"/>
            </w:r>
          </w:hyperlink>
        </w:p>
        <w:p w14:paraId="6464E77E" w14:textId="77777777" w:rsidR="00FD405F" w:rsidRPr="00D93780" w:rsidRDefault="00462E76">
          <w:pPr>
            <w:pStyle w:val="TOC3"/>
            <w:rPr>
              <w:rFonts w:ascii="Arial" w:hAnsi="Arial" w:cs="Arial"/>
              <w:sz w:val="22"/>
              <w:szCs w:val="22"/>
            </w:rPr>
          </w:pPr>
          <w:hyperlink w:anchor="_Toc456337504" w:history="1">
            <w:r w:rsidR="00FD405F" w:rsidRPr="00D93780">
              <w:rPr>
                <w:rStyle w:val="Hyperlink"/>
                <w:rFonts w:ascii="Arial" w:hAnsi="Arial" w:cs="Arial"/>
                <w:sz w:val="22"/>
                <w:szCs w:val="22"/>
                <w:lang w:val="es-ES_tradnl"/>
              </w:rPr>
              <w:t>Supuestos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_Toc456337504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7</w:t>
            </w:r>
            <w:r w:rsidR="00FD405F" w:rsidRPr="00D93780">
              <w:rPr>
                <w:rFonts w:ascii="Arial" w:hAnsi="Arial" w:cs="Arial"/>
                <w:webHidden/>
                <w:sz w:val="22"/>
                <w:szCs w:val="22"/>
              </w:rPr>
              <w:fldChar w:fldCharType="end"/>
            </w:r>
          </w:hyperlink>
        </w:p>
        <w:p w14:paraId="0E11C137" w14:textId="77777777" w:rsidR="00FD405F" w:rsidRPr="00D93780" w:rsidRDefault="00462E76">
          <w:pPr>
            <w:pStyle w:val="TOC3"/>
            <w:rPr>
              <w:rFonts w:ascii="Arial" w:hAnsi="Arial" w:cs="Arial"/>
              <w:sz w:val="22"/>
              <w:szCs w:val="22"/>
            </w:rPr>
          </w:pPr>
          <w:hyperlink w:anchor="_Toc456337505" w:history="1">
            <w:r w:rsidR="00FD405F" w:rsidRPr="00D93780">
              <w:rPr>
                <w:rStyle w:val="Hyperlink"/>
                <w:rFonts w:ascii="Arial" w:hAnsi="Arial" w:cs="Arial"/>
                <w:sz w:val="22"/>
                <w:szCs w:val="22"/>
                <w:lang w:val="es-ES_tradnl"/>
              </w:rPr>
              <w:t>Indicador de la matriz de resultados vinculado al análisis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_Toc456337505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7</w:t>
            </w:r>
            <w:r w:rsidR="00FD405F" w:rsidRPr="00D93780">
              <w:rPr>
                <w:rFonts w:ascii="Arial" w:hAnsi="Arial" w:cs="Arial"/>
                <w:webHidden/>
                <w:sz w:val="22"/>
                <w:szCs w:val="22"/>
              </w:rPr>
              <w:fldChar w:fldCharType="end"/>
            </w:r>
          </w:hyperlink>
        </w:p>
        <w:p w14:paraId="5A2E18CC" w14:textId="77777777" w:rsidR="00FD405F" w:rsidRPr="00D93780" w:rsidRDefault="00462E76">
          <w:pPr>
            <w:pStyle w:val="TOC3"/>
            <w:rPr>
              <w:rFonts w:ascii="Arial" w:hAnsi="Arial" w:cs="Arial"/>
              <w:sz w:val="22"/>
              <w:szCs w:val="22"/>
            </w:rPr>
          </w:pPr>
          <w:hyperlink w:anchor="_Toc456337506" w:history="1">
            <w:r w:rsidR="00FD405F" w:rsidRPr="00D93780">
              <w:rPr>
                <w:rStyle w:val="Hyperlink"/>
                <w:rFonts w:ascii="Arial" w:hAnsi="Arial" w:cs="Arial"/>
                <w:sz w:val="22"/>
                <w:szCs w:val="22"/>
              </w:rPr>
              <w:t>Evidencias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_Toc456337506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7</w:t>
            </w:r>
            <w:r w:rsidR="00FD405F" w:rsidRPr="00D93780">
              <w:rPr>
                <w:rFonts w:ascii="Arial" w:hAnsi="Arial" w:cs="Arial"/>
                <w:webHidden/>
                <w:sz w:val="22"/>
                <w:szCs w:val="22"/>
              </w:rPr>
              <w:fldChar w:fldCharType="end"/>
            </w:r>
          </w:hyperlink>
        </w:p>
        <w:p w14:paraId="357A1E54" w14:textId="77777777" w:rsidR="00FD405F" w:rsidRPr="00D93780" w:rsidRDefault="00462E76">
          <w:pPr>
            <w:pStyle w:val="TOC3"/>
            <w:rPr>
              <w:rFonts w:ascii="Arial" w:hAnsi="Arial" w:cs="Arial"/>
              <w:sz w:val="22"/>
              <w:szCs w:val="22"/>
            </w:rPr>
          </w:pPr>
          <w:hyperlink w:anchor="_Toc456337507" w:history="1">
            <w:r w:rsidR="00FD405F" w:rsidRPr="00D93780">
              <w:rPr>
                <w:rStyle w:val="Hyperlink"/>
                <w:rFonts w:ascii="Arial" w:hAnsi="Arial" w:cs="Arial"/>
                <w:sz w:val="22"/>
                <w:szCs w:val="22"/>
              </w:rPr>
              <w:t>Cuantificación de los costos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_Toc456337507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10</w:t>
            </w:r>
            <w:r w:rsidR="00FD405F" w:rsidRPr="00D93780">
              <w:rPr>
                <w:rFonts w:ascii="Arial" w:hAnsi="Arial" w:cs="Arial"/>
                <w:webHidden/>
                <w:sz w:val="22"/>
                <w:szCs w:val="22"/>
              </w:rPr>
              <w:fldChar w:fldCharType="end"/>
            </w:r>
          </w:hyperlink>
        </w:p>
        <w:p w14:paraId="28EA5CA6" w14:textId="77777777" w:rsidR="00FD405F" w:rsidRPr="00D93780" w:rsidRDefault="00462E76">
          <w:pPr>
            <w:pStyle w:val="TOC3"/>
            <w:rPr>
              <w:rFonts w:ascii="Arial" w:hAnsi="Arial" w:cs="Arial"/>
              <w:sz w:val="22"/>
              <w:szCs w:val="22"/>
            </w:rPr>
          </w:pPr>
          <w:hyperlink w:anchor="_Toc456337508" w:history="1">
            <w:r w:rsidR="00FD405F" w:rsidRPr="00D93780">
              <w:rPr>
                <w:rStyle w:val="Hyperlink"/>
                <w:rFonts w:ascii="Arial" w:hAnsi="Arial" w:cs="Arial"/>
                <w:sz w:val="22"/>
                <w:szCs w:val="22"/>
              </w:rPr>
              <w:t>Cuantificación de los beneficios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_Toc456337508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11</w:t>
            </w:r>
            <w:r w:rsidR="00FD405F" w:rsidRPr="00D93780">
              <w:rPr>
                <w:rFonts w:ascii="Arial" w:hAnsi="Arial" w:cs="Arial"/>
                <w:webHidden/>
                <w:sz w:val="22"/>
                <w:szCs w:val="22"/>
              </w:rPr>
              <w:fldChar w:fldCharType="end"/>
            </w:r>
          </w:hyperlink>
        </w:p>
        <w:p w14:paraId="41F127DE" w14:textId="77777777" w:rsidR="00FD405F" w:rsidRPr="00D93780" w:rsidRDefault="00462E76">
          <w:pPr>
            <w:pStyle w:val="TOC3"/>
            <w:rPr>
              <w:rFonts w:ascii="Arial" w:hAnsi="Arial" w:cs="Arial"/>
              <w:sz w:val="22"/>
              <w:szCs w:val="22"/>
            </w:rPr>
          </w:pPr>
          <w:hyperlink w:anchor="_Toc456337509" w:history="1">
            <w:r w:rsidR="00FD405F" w:rsidRPr="00D93780">
              <w:rPr>
                <w:rStyle w:val="Hyperlink"/>
                <w:rFonts w:ascii="Arial" w:hAnsi="Arial" w:cs="Arial"/>
                <w:sz w:val="22"/>
                <w:szCs w:val="22"/>
              </w:rPr>
              <w:t>Resultados de la evaluación económica: escenario base</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_Toc456337509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12</w:t>
            </w:r>
            <w:r w:rsidR="00FD405F" w:rsidRPr="00D93780">
              <w:rPr>
                <w:rFonts w:ascii="Arial" w:hAnsi="Arial" w:cs="Arial"/>
                <w:webHidden/>
                <w:sz w:val="22"/>
                <w:szCs w:val="22"/>
              </w:rPr>
              <w:fldChar w:fldCharType="end"/>
            </w:r>
          </w:hyperlink>
        </w:p>
        <w:p w14:paraId="5B934823" w14:textId="77777777" w:rsidR="00FD405F" w:rsidRPr="00D93780" w:rsidRDefault="00462E76">
          <w:pPr>
            <w:pStyle w:val="TOC3"/>
            <w:rPr>
              <w:rFonts w:ascii="Arial" w:hAnsi="Arial" w:cs="Arial"/>
              <w:sz w:val="22"/>
              <w:szCs w:val="22"/>
            </w:rPr>
          </w:pPr>
          <w:hyperlink w:anchor="_Toc456337510" w:history="1">
            <w:r w:rsidR="00FD405F" w:rsidRPr="00D93780">
              <w:rPr>
                <w:rStyle w:val="Hyperlink"/>
                <w:rFonts w:ascii="Arial" w:hAnsi="Arial" w:cs="Arial"/>
                <w:sz w:val="22"/>
                <w:szCs w:val="22"/>
              </w:rPr>
              <w:t>Análisis de sensibilidad</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_Toc456337510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12</w:t>
            </w:r>
            <w:r w:rsidR="00FD405F" w:rsidRPr="00D93780">
              <w:rPr>
                <w:rFonts w:ascii="Arial" w:hAnsi="Arial" w:cs="Arial"/>
                <w:webHidden/>
                <w:sz w:val="22"/>
                <w:szCs w:val="22"/>
              </w:rPr>
              <w:fldChar w:fldCharType="end"/>
            </w:r>
          </w:hyperlink>
        </w:p>
        <w:p w14:paraId="3C435469" w14:textId="77777777" w:rsidR="00FD405F" w:rsidRPr="00D93780" w:rsidRDefault="00462E76">
          <w:pPr>
            <w:pStyle w:val="TOC1"/>
            <w:rPr>
              <w:rFonts w:ascii="Arial" w:eastAsiaTheme="minorEastAsia" w:hAnsi="Arial" w:cs="Arial"/>
              <w:b w:val="0"/>
              <w:sz w:val="22"/>
              <w:szCs w:val="22"/>
            </w:rPr>
          </w:pPr>
          <w:hyperlink w:anchor="_Toc456337511" w:history="1">
            <w:r w:rsidR="00FD405F" w:rsidRPr="00D93780">
              <w:rPr>
                <w:rStyle w:val="Hyperlink"/>
                <w:rFonts w:ascii="Arial" w:hAnsi="Arial" w:cs="Arial"/>
                <w:sz w:val="22"/>
                <w:szCs w:val="22"/>
              </w:rPr>
              <w:t>3.</w:t>
            </w:r>
            <w:r w:rsidR="00FD405F" w:rsidRPr="00D93780">
              <w:rPr>
                <w:rFonts w:ascii="Arial" w:eastAsiaTheme="minorEastAsia" w:hAnsi="Arial" w:cs="Arial"/>
                <w:b w:val="0"/>
                <w:sz w:val="22"/>
                <w:szCs w:val="22"/>
              </w:rPr>
              <w:tab/>
            </w:r>
            <w:r w:rsidR="00FD405F" w:rsidRPr="00D93780">
              <w:rPr>
                <w:rStyle w:val="Hyperlink"/>
                <w:rFonts w:ascii="Arial" w:hAnsi="Arial" w:cs="Arial"/>
                <w:sz w:val="22"/>
                <w:szCs w:val="22"/>
              </w:rPr>
              <w:t>Análisis costo-beneficio (ACB 2) de las inversiones en obras públicas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_Toc456337511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14</w:t>
            </w:r>
            <w:r w:rsidR="00FD405F" w:rsidRPr="00D93780">
              <w:rPr>
                <w:rFonts w:ascii="Arial" w:hAnsi="Arial" w:cs="Arial"/>
                <w:webHidden/>
                <w:sz w:val="22"/>
                <w:szCs w:val="22"/>
              </w:rPr>
              <w:fldChar w:fldCharType="end"/>
            </w:r>
          </w:hyperlink>
        </w:p>
        <w:p w14:paraId="7E0A16FC" w14:textId="77777777" w:rsidR="00FD405F" w:rsidRPr="00D93780" w:rsidRDefault="00462E76">
          <w:pPr>
            <w:pStyle w:val="TOC3"/>
            <w:rPr>
              <w:rFonts w:ascii="Arial" w:hAnsi="Arial" w:cs="Arial"/>
              <w:sz w:val="22"/>
              <w:szCs w:val="22"/>
            </w:rPr>
          </w:pPr>
          <w:hyperlink w:anchor="_Toc456337512" w:history="1">
            <w:r w:rsidR="00FD405F" w:rsidRPr="00D93780">
              <w:rPr>
                <w:rStyle w:val="Hyperlink"/>
                <w:rFonts w:ascii="Arial" w:hAnsi="Arial" w:cs="Arial"/>
                <w:sz w:val="22"/>
                <w:szCs w:val="22"/>
              </w:rPr>
              <w:t>Planteamiento metodológico</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_Toc456337512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14</w:t>
            </w:r>
            <w:r w:rsidR="00FD405F" w:rsidRPr="00D93780">
              <w:rPr>
                <w:rFonts w:ascii="Arial" w:hAnsi="Arial" w:cs="Arial"/>
                <w:webHidden/>
                <w:sz w:val="22"/>
                <w:szCs w:val="22"/>
              </w:rPr>
              <w:fldChar w:fldCharType="end"/>
            </w:r>
          </w:hyperlink>
        </w:p>
        <w:p w14:paraId="6420AF64" w14:textId="77777777" w:rsidR="00FD405F" w:rsidRPr="00D93780" w:rsidRDefault="00462E76">
          <w:pPr>
            <w:pStyle w:val="TOC3"/>
            <w:rPr>
              <w:rFonts w:ascii="Arial" w:hAnsi="Arial" w:cs="Arial"/>
              <w:sz w:val="22"/>
              <w:szCs w:val="22"/>
            </w:rPr>
          </w:pPr>
          <w:hyperlink w:anchor="_Toc456337513" w:history="1">
            <w:r w:rsidR="00FD405F" w:rsidRPr="00D93780">
              <w:rPr>
                <w:rStyle w:val="Hyperlink"/>
                <w:rFonts w:ascii="Arial" w:hAnsi="Arial" w:cs="Arial"/>
                <w:sz w:val="22"/>
                <w:szCs w:val="22"/>
              </w:rPr>
              <w:t>Indicador de la matriz de resultados vinculado al análisis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_Toc456337513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14</w:t>
            </w:r>
            <w:r w:rsidR="00FD405F" w:rsidRPr="00D93780">
              <w:rPr>
                <w:rFonts w:ascii="Arial" w:hAnsi="Arial" w:cs="Arial"/>
                <w:webHidden/>
                <w:sz w:val="22"/>
                <w:szCs w:val="22"/>
              </w:rPr>
              <w:fldChar w:fldCharType="end"/>
            </w:r>
          </w:hyperlink>
        </w:p>
        <w:p w14:paraId="54F57441" w14:textId="77777777" w:rsidR="00FD405F" w:rsidRPr="00D93780" w:rsidRDefault="00462E76">
          <w:pPr>
            <w:pStyle w:val="TOC3"/>
            <w:rPr>
              <w:rFonts w:ascii="Arial" w:hAnsi="Arial" w:cs="Arial"/>
              <w:sz w:val="22"/>
              <w:szCs w:val="22"/>
            </w:rPr>
          </w:pPr>
          <w:hyperlink w:anchor="_Toc456337514" w:history="1">
            <w:r w:rsidR="00FD405F" w:rsidRPr="00D93780">
              <w:rPr>
                <w:rStyle w:val="Hyperlink"/>
                <w:rFonts w:ascii="Arial" w:hAnsi="Arial" w:cs="Arial"/>
                <w:sz w:val="22"/>
                <w:szCs w:val="22"/>
              </w:rPr>
              <w:t>Proyectos identificados para la muestra</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_Toc456337514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15</w:t>
            </w:r>
            <w:r w:rsidR="00FD405F" w:rsidRPr="00D93780">
              <w:rPr>
                <w:rFonts w:ascii="Arial" w:hAnsi="Arial" w:cs="Arial"/>
                <w:webHidden/>
                <w:sz w:val="22"/>
                <w:szCs w:val="22"/>
              </w:rPr>
              <w:fldChar w:fldCharType="end"/>
            </w:r>
          </w:hyperlink>
        </w:p>
        <w:p w14:paraId="6779D527" w14:textId="77777777" w:rsidR="00FD405F" w:rsidRPr="00D93780" w:rsidRDefault="00462E76">
          <w:pPr>
            <w:pStyle w:val="TOC3"/>
            <w:rPr>
              <w:rFonts w:ascii="Arial" w:hAnsi="Arial" w:cs="Arial"/>
              <w:sz w:val="22"/>
              <w:szCs w:val="22"/>
            </w:rPr>
          </w:pPr>
          <w:hyperlink w:anchor="_Toc456337515" w:history="1">
            <w:r w:rsidR="00FD405F" w:rsidRPr="00D93780">
              <w:rPr>
                <w:rStyle w:val="Hyperlink"/>
                <w:rFonts w:ascii="Arial" w:hAnsi="Arial" w:cs="Arial"/>
                <w:sz w:val="22"/>
                <w:szCs w:val="22"/>
              </w:rPr>
              <w:t>Cuantificación de los costos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_Toc456337515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15</w:t>
            </w:r>
            <w:r w:rsidR="00FD405F" w:rsidRPr="00D93780">
              <w:rPr>
                <w:rFonts w:ascii="Arial" w:hAnsi="Arial" w:cs="Arial"/>
                <w:webHidden/>
                <w:sz w:val="22"/>
                <w:szCs w:val="22"/>
              </w:rPr>
              <w:fldChar w:fldCharType="end"/>
            </w:r>
          </w:hyperlink>
        </w:p>
        <w:p w14:paraId="47F31674" w14:textId="77777777" w:rsidR="00FD405F" w:rsidRPr="00D93780" w:rsidRDefault="00462E76">
          <w:pPr>
            <w:pStyle w:val="TOC3"/>
            <w:rPr>
              <w:rFonts w:ascii="Arial" w:hAnsi="Arial" w:cs="Arial"/>
              <w:sz w:val="22"/>
              <w:szCs w:val="22"/>
            </w:rPr>
          </w:pPr>
          <w:hyperlink w:anchor="_Toc456337516" w:history="1">
            <w:r w:rsidR="00FD405F" w:rsidRPr="00D93780">
              <w:rPr>
                <w:rStyle w:val="Hyperlink"/>
                <w:rFonts w:ascii="Arial" w:hAnsi="Arial" w:cs="Arial"/>
                <w:sz w:val="22"/>
                <w:szCs w:val="22"/>
              </w:rPr>
              <w:t>Cuantificación de los beneficios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_Toc456337516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17</w:t>
            </w:r>
            <w:r w:rsidR="00FD405F" w:rsidRPr="00D93780">
              <w:rPr>
                <w:rFonts w:ascii="Arial" w:hAnsi="Arial" w:cs="Arial"/>
                <w:webHidden/>
                <w:sz w:val="22"/>
                <w:szCs w:val="22"/>
              </w:rPr>
              <w:fldChar w:fldCharType="end"/>
            </w:r>
          </w:hyperlink>
        </w:p>
        <w:p w14:paraId="53B13F73" w14:textId="77777777" w:rsidR="00FD405F" w:rsidRPr="00D93780" w:rsidRDefault="00462E76">
          <w:pPr>
            <w:pStyle w:val="TOC3"/>
            <w:rPr>
              <w:rFonts w:ascii="Arial" w:hAnsi="Arial" w:cs="Arial"/>
              <w:sz w:val="22"/>
              <w:szCs w:val="22"/>
            </w:rPr>
          </w:pPr>
          <w:hyperlink w:anchor="_Toc456337517" w:history="1">
            <w:r w:rsidR="00FD405F" w:rsidRPr="00D93780">
              <w:rPr>
                <w:rStyle w:val="Hyperlink"/>
                <w:rFonts w:ascii="Arial" w:hAnsi="Arial" w:cs="Arial"/>
                <w:sz w:val="22"/>
                <w:szCs w:val="22"/>
              </w:rPr>
              <w:t>Resultados de la evaluación económica: escenario base</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_Toc456337517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21</w:t>
            </w:r>
            <w:r w:rsidR="00FD405F" w:rsidRPr="00D93780">
              <w:rPr>
                <w:rFonts w:ascii="Arial" w:hAnsi="Arial" w:cs="Arial"/>
                <w:webHidden/>
                <w:sz w:val="22"/>
                <w:szCs w:val="22"/>
              </w:rPr>
              <w:fldChar w:fldCharType="end"/>
            </w:r>
          </w:hyperlink>
        </w:p>
        <w:p w14:paraId="51DBFA6A" w14:textId="77777777" w:rsidR="00FD405F" w:rsidRPr="00D93780" w:rsidRDefault="00462E76">
          <w:pPr>
            <w:pStyle w:val="TOC3"/>
            <w:rPr>
              <w:rFonts w:ascii="Arial" w:hAnsi="Arial" w:cs="Arial"/>
              <w:sz w:val="22"/>
              <w:szCs w:val="22"/>
            </w:rPr>
          </w:pPr>
          <w:hyperlink w:anchor="_Toc456337518" w:history="1">
            <w:r w:rsidR="00FD405F" w:rsidRPr="00D93780">
              <w:rPr>
                <w:rStyle w:val="Hyperlink"/>
                <w:rFonts w:ascii="Arial" w:hAnsi="Arial" w:cs="Arial"/>
                <w:sz w:val="22"/>
                <w:szCs w:val="22"/>
              </w:rPr>
              <w:t>Análisis de sensibilidad</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_Toc456337518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22</w:t>
            </w:r>
            <w:r w:rsidR="00FD405F" w:rsidRPr="00D93780">
              <w:rPr>
                <w:rFonts w:ascii="Arial" w:hAnsi="Arial" w:cs="Arial"/>
                <w:webHidden/>
                <w:sz w:val="22"/>
                <w:szCs w:val="22"/>
              </w:rPr>
              <w:fldChar w:fldCharType="end"/>
            </w:r>
          </w:hyperlink>
        </w:p>
        <w:p w14:paraId="7F2293F7" w14:textId="77777777" w:rsidR="00FD405F" w:rsidRPr="00D93780" w:rsidRDefault="00462E76">
          <w:pPr>
            <w:pStyle w:val="TOC1"/>
            <w:rPr>
              <w:rFonts w:ascii="Arial" w:eastAsiaTheme="minorEastAsia" w:hAnsi="Arial" w:cs="Arial"/>
              <w:b w:val="0"/>
              <w:sz w:val="22"/>
              <w:szCs w:val="22"/>
            </w:rPr>
          </w:pPr>
          <w:hyperlink w:anchor="_Toc456337519" w:history="1">
            <w:r w:rsidR="00FD405F" w:rsidRPr="00D93780">
              <w:rPr>
                <w:rStyle w:val="Hyperlink"/>
                <w:rFonts w:ascii="Arial" w:hAnsi="Arial" w:cs="Arial"/>
                <w:sz w:val="22"/>
                <w:szCs w:val="22"/>
              </w:rPr>
              <w:t>4.</w:t>
            </w:r>
            <w:r w:rsidR="00FD405F" w:rsidRPr="00D93780">
              <w:rPr>
                <w:rFonts w:ascii="Arial" w:eastAsiaTheme="minorEastAsia" w:hAnsi="Arial" w:cs="Arial"/>
                <w:b w:val="0"/>
                <w:sz w:val="22"/>
                <w:szCs w:val="22"/>
              </w:rPr>
              <w:tab/>
            </w:r>
            <w:r w:rsidR="00FD405F" w:rsidRPr="00D93780">
              <w:rPr>
                <w:rStyle w:val="Hyperlink"/>
                <w:rFonts w:ascii="Arial" w:hAnsi="Arial" w:cs="Arial"/>
                <w:sz w:val="22"/>
                <w:szCs w:val="22"/>
              </w:rPr>
              <w:t>Conclusiones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_Toc456337519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23</w:t>
            </w:r>
            <w:r w:rsidR="00FD405F" w:rsidRPr="00D93780">
              <w:rPr>
                <w:rFonts w:ascii="Arial" w:hAnsi="Arial" w:cs="Arial"/>
                <w:webHidden/>
                <w:sz w:val="22"/>
                <w:szCs w:val="22"/>
              </w:rPr>
              <w:fldChar w:fldCharType="end"/>
            </w:r>
          </w:hyperlink>
        </w:p>
        <w:p w14:paraId="6C93544D" w14:textId="77777777" w:rsidR="00FD405F" w:rsidRPr="00D93780" w:rsidRDefault="00462E76">
          <w:pPr>
            <w:pStyle w:val="TOC1"/>
            <w:rPr>
              <w:rFonts w:ascii="Arial" w:eastAsiaTheme="minorEastAsia" w:hAnsi="Arial" w:cs="Arial"/>
              <w:b w:val="0"/>
              <w:sz w:val="22"/>
              <w:szCs w:val="22"/>
            </w:rPr>
          </w:pPr>
          <w:hyperlink w:anchor="_Toc456337520" w:history="1">
            <w:r w:rsidR="00FD405F" w:rsidRPr="00D93780">
              <w:rPr>
                <w:rStyle w:val="Hyperlink"/>
                <w:rFonts w:ascii="Arial" w:hAnsi="Arial" w:cs="Arial"/>
                <w:sz w:val="22"/>
                <w:szCs w:val="22"/>
                <w:lang w:val="en-US"/>
              </w:rPr>
              <w:t>5.</w:t>
            </w:r>
            <w:r w:rsidR="00FD405F" w:rsidRPr="00D93780">
              <w:rPr>
                <w:rFonts w:ascii="Arial" w:eastAsiaTheme="minorEastAsia" w:hAnsi="Arial" w:cs="Arial"/>
                <w:b w:val="0"/>
                <w:sz w:val="22"/>
                <w:szCs w:val="22"/>
              </w:rPr>
              <w:tab/>
            </w:r>
            <w:r w:rsidR="00FD405F" w:rsidRPr="00D93780">
              <w:rPr>
                <w:rStyle w:val="Hyperlink"/>
                <w:rFonts w:ascii="Arial" w:hAnsi="Arial" w:cs="Arial"/>
                <w:sz w:val="22"/>
                <w:szCs w:val="22"/>
                <w:lang w:val="en-US"/>
              </w:rPr>
              <w:t>Referencias</w:t>
            </w:r>
            <w:r w:rsidR="00FD405F" w:rsidRPr="00D93780">
              <w:rPr>
                <w:rFonts w:ascii="Arial" w:hAnsi="Arial" w:cs="Arial"/>
                <w:webHidden/>
                <w:sz w:val="22"/>
                <w:szCs w:val="22"/>
              </w:rPr>
              <w:tab/>
            </w:r>
            <w:r w:rsidR="00FD405F" w:rsidRPr="00D93780">
              <w:rPr>
                <w:rFonts w:ascii="Arial" w:hAnsi="Arial" w:cs="Arial"/>
                <w:webHidden/>
                <w:sz w:val="22"/>
                <w:szCs w:val="22"/>
              </w:rPr>
              <w:fldChar w:fldCharType="begin"/>
            </w:r>
            <w:r w:rsidR="00FD405F" w:rsidRPr="00D93780">
              <w:rPr>
                <w:rFonts w:ascii="Arial" w:hAnsi="Arial" w:cs="Arial"/>
                <w:webHidden/>
                <w:sz w:val="22"/>
                <w:szCs w:val="22"/>
              </w:rPr>
              <w:instrText xml:space="preserve"> PAGEREF _Toc456337520 \h </w:instrText>
            </w:r>
            <w:r w:rsidR="00FD405F" w:rsidRPr="00D93780">
              <w:rPr>
                <w:rFonts w:ascii="Arial" w:hAnsi="Arial" w:cs="Arial"/>
                <w:webHidden/>
                <w:sz w:val="22"/>
                <w:szCs w:val="22"/>
              </w:rPr>
            </w:r>
            <w:r w:rsidR="00FD405F" w:rsidRPr="00D93780">
              <w:rPr>
                <w:rFonts w:ascii="Arial" w:hAnsi="Arial" w:cs="Arial"/>
                <w:webHidden/>
                <w:sz w:val="22"/>
                <w:szCs w:val="22"/>
              </w:rPr>
              <w:fldChar w:fldCharType="separate"/>
            </w:r>
            <w:r w:rsidR="00FD405F" w:rsidRPr="00D93780">
              <w:rPr>
                <w:rFonts w:ascii="Arial" w:hAnsi="Arial" w:cs="Arial"/>
                <w:webHidden/>
                <w:sz w:val="22"/>
                <w:szCs w:val="22"/>
              </w:rPr>
              <w:t>24</w:t>
            </w:r>
            <w:r w:rsidR="00FD405F" w:rsidRPr="00D93780">
              <w:rPr>
                <w:rFonts w:ascii="Arial" w:hAnsi="Arial" w:cs="Arial"/>
                <w:webHidden/>
                <w:sz w:val="22"/>
                <w:szCs w:val="22"/>
              </w:rPr>
              <w:fldChar w:fldCharType="end"/>
            </w:r>
          </w:hyperlink>
        </w:p>
        <w:p w14:paraId="18C539D9" w14:textId="070245E1" w:rsidR="00661854" w:rsidRPr="00D93780" w:rsidRDefault="009B7F87" w:rsidP="00D04EC0">
          <w:pPr>
            <w:rPr>
              <w:rFonts w:ascii="Arial" w:hAnsi="Arial" w:cs="Arial"/>
            </w:rPr>
            <w:sectPr w:rsidR="00661854" w:rsidRPr="00D93780" w:rsidSect="00217F32">
              <w:pgSz w:w="12240" w:h="15840" w:code="1"/>
              <w:pgMar w:top="1440" w:right="1800" w:bottom="1440" w:left="1800" w:header="709" w:footer="856" w:gutter="0"/>
              <w:cols w:space="708"/>
              <w:docGrid w:linePitch="360"/>
            </w:sectPr>
          </w:pPr>
          <w:r w:rsidRPr="00D93780">
            <w:rPr>
              <w:rFonts w:ascii="Arial" w:hAnsi="Arial" w:cs="Arial"/>
              <w:b/>
              <w:noProof/>
              <w:sz w:val="22"/>
              <w:szCs w:val="22"/>
            </w:rPr>
            <w:fldChar w:fldCharType="end"/>
          </w:r>
        </w:p>
      </w:sdtContent>
    </w:sdt>
    <w:p w14:paraId="18C539DA" w14:textId="77777777" w:rsidR="004433C4" w:rsidRPr="00D93780" w:rsidRDefault="00966F4C" w:rsidP="00462E76">
      <w:pPr>
        <w:pStyle w:val="Heading1"/>
        <w:spacing w:before="120" w:after="120"/>
        <w:rPr>
          <w:rFonts w:ascii="Arial" w:hAnsi="Arial" w:cs="Arial"/>
          <w:sz w:val="22"/>
          <w:szCs w:val="22"/>
        </w:rPr>
      </w:pPr>
      <w:bookmarkStart w:id="0" w:name="_Ref303769233"/>
      <w:bookmarkStart w:id="1" w:name="_Toc456337496"/>
      <w:r w:rsidRPr="00D93780">
        <w:rPr>
          <w:rFonts w:ascii="Arial" w:hAnsi="Arial" w:cs="Arial"/>
          <w:sz w:val="22"/>
          <w:szCs w:val="22"/>
        </w:rPr>
        <w:lastRenderedPageBreak/>
        <w:t>Introducción</w:t>
      </w:r>
      <w:bookmarkEnd w:id="0"/>
      <w:bookmarkEnd w:id="1"/>
    </w:p>
    <w:p w14:paraId="18C539DB" w14:textId="77777777" w:rsidR="00966F4C" w:rsidRPr="00D93780" w:rsidRDefault="00966F4C" w:rsidP="00462E76">
      <w:pPr>
        <w:pStyle w:val="Heading3"/>
        <w:spacing w:before="120" w:after="120"/>
        <w:rPr>
          <w:rFonts w:ascii="Arial" w:hAnsi="Arial"/>
          <w:szCs w:val="22"/>
        </w:rPr>
      </w:pPr>
      <w:bookmarkStart w:id="2" w:name="_Toc456337497"/>
      <w:r w:rsidRPr="00D93780">
        <w:rPr>
          <w:rFonts w:ascii="Arial" w:hAnsi="Arial"/>
          <w:szCs w:val="22"/>
        </w:rPr>
        <w:t>Breve descripción del Programa</w:t>
      </w:r>
      <w:bookmarkEnd w:id="2"/>
    </w:p>
    <w:p w14:paraId="56F32AEA" w14:textId="299D8A8A" w:rsidR="00557F71" w:rsidRPr="00D93780" w:rsidRDefault="00A04993" w:rsidP="00462E76">
      <w:pPr>
        <w:pStyle w:val="ListParagraph"/>
        <w:numPr>
          <w:ilvl w:val="0"/>
          <w:numId w:val="12"/>
        </w:numPr>
        <w:spacing w:before="120" w:after="120" w:line="276" w:lineRule="auto"/>
        <w:ind w:left="630" w:hanging="630"/>
        <w:jc w:val="both"/>
        <w:rPr>
          <w:rFonts w:ascii="Arial" w:hAnsi="Arial" w:cs="Arial"/>
          <w:noProof/>
          <w:sz w:val="22"/>
          <w:szCs w:val="22"/>
          <w:lang w:val="es-ES_tradnl"/>
        </w:rPr>
      </w:pPr>
      <w:r w:rsidRPr="00D93780">
        <w:rPr>
          <w:rFonts w:ascii="Arial" w:hAnsi="Arial" w:cs="Arial"/>
          <w:sz w:val="22"/>
          <w:szCs w:val="22"/>
        </w:rPr>
        <w:t>La primera operación individual de la línea CCLIP tiene como objetivo general reducir la dependencia financiera en términos de desbalance fiscal vertical de las GD respecto al GN y aumentar la inversión departamental. Los objetivos específicos a nivel de los GD son: (i) incrementar los ingresos por concepto de la contribución inmobiliaria; (ii) mejorar la oportunidad en la información financiera departamental; (iii) mejorar la eficiencia en la gestión de la inversión e; (iv) implementar proyectos de inversión que contribuyan al desarrollo departamental en términos de servicios al ciudadano.</w:t>
      </w:r>
      <w:r w:rsidR="00875BE3" w:rsidRPr="00D93780">
        <w:rPr>
          <w:rFonts w:ascii="Arial" w:hAnsi="Arial" w:cs="Arial"/>
          <w:sz w:val="22"/>
          <w:szCs w:val="22"/>
        </w:rPr>
        <w:t xml:space="preserve"> </w:t>
      </w:r>
    </w:p>
    <w:p w14:paraId="76A9AB89" w14:textId="77777777" w:rsidR="0027073B" w:rsidRPr="00D93780" w:rsidRDefault="000B1D4C"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El programa</w:t>
      </w:r>
      <w:r w:rsidR="0033646A" w:rsidRPr="00D93780">
        <w:rPr>
          <w:rFonts w:ascii="Arial" w:hAnsi="Arial" w:cs="Arial"/>
          <w:sz w:val="22"/>
          <w:szCs w:val="22"/>
        </w:rPr>
        <w:t xml:space="preserve"> debe permitir resolver los problemas detectados en </w:t>
      </w:r>
      <w:r w:rsidR="00856AED" w:rsidRPr="00D93780">
        <w:rPr>
          <w:rFonts w:ascii="Arial" w:hAnsi="Arial" w:cs="Arial"/>
          <w:sz w:val="22"/>
          <w:szCs w:val="22"/>
        </w:rPr>
        <w:t xml:space="preserve">el proceso de gestión </w:t>
      </w:r>
      <w:r w:rsidR="0027073B" w:rsidRPr="00D93780">
        <w:rPr>
          <w:rFonts w:ascii="Arial" w:hAnsi="Arial" w:cs="Arial"/>
          <w:sz w:val="22"/>
          <w:szCs w:val="22"/>
        </w:rPr>
        <w:t>financiera subnacional, en la planificación territorial y en la gestión de la inversión pública en el ámbito subnacional, así como la mejorar de los servicios prestados a los ciudadanos.</w:t>
      </w:r>
      <w:r w:rsidR="00856AED" w:rsidRPr="00D93780">
        <w:rPr>
          <w:rFonts w:ascii="Arial" w:hAnsi="Arial" w:cs="Arial"/>
          <w:sz w:val="22"/>
          <w:szCs w:val="22"/>
        </w:rPr>
        <w:t xml:space="preserve"> </w:t>
      </w:r>
      <w:r w:rsidR="0033646A" w:rsidRPr="00D93780">
        <w:rPr>
          <w:rFonts w:ascii="Arial" w:hAnsi="Arial" w:cs="Arial"/>
          <w:sz w:val="22"/>
          <w:szCs w:val="22"/>
        </w:rPr>
        <w:t>actuando sobre las causas de los mismos.</w:t>
      </w:r>
      <w:r w:rsidRPr="00D93780">
        <w:rPr>
          <w:rFonts w:ascii="Arial" w:hAnsi="Arial" w:cs="Arial"/>
          <w:sz w:val="22"/>
          <w:szCs w:val="22"/>
        </w:rPr>
        <w:t xml:space="preserve"> </w:t>
      </w:r>
    </w:p>
    <w:p w14:paraId="18C539E2" w14:textId="57897A40" w:rsidR="00EE2ED7" w:rsidRPr="00D93780" w:rsidRDefault="000B1D4C"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Para ello, en el diseño del </w:t>
      </w:r>
      <w:r w:rsidR="00856AED" w:rsidRPr="00D93780">
        <w:rPr>
          <w:rFonts w:ascii="Arial" w:hAnsi="Arial" w:cs="Arial"/>
          <w:sz w:val="22"/>
          <w:szCs w:val="22"/>
        </w:rPr>
        <w:t xml:space="preserve">Programa </w:t>
      </w:r>
      <w:r w:rsidR="005F4F43" w:rsidRPr="00D93780">
        <w:rPr>
          <w:rFonts w:ascii="Arial" w:hAnsi="Arial" w:cs="Arial"/>
          <w:sz w:val="22"/>
          <w:szCs w:val="22"/>
        </w:rPr>
        <w:t>se ha</w:t>
      </w:r>
      <w:r w:rsidRPr="00D93780">
        <w:rPr>
          <w:rFonts w:ascii="Arial" w:hAnsi="Arial" w:cs="Arial"/>
          <w:sz w:val="22"/>
          <w:szCs w:val="22"/>
        </w:rPr>
        <w:t xml:space="preserve"> incorporado un conjunto de acciones </w:t>
      </w:r>
      <w:r w:rsidR="00856AED" w:rsidRPr="00D93780">
        <w:rPr>
          <w:rFonts w:ascii="Arial" w:hAnsi="Arial" w:cs="Arial"/>
          <w:sz w:val="22"/>
          <w:szCs w:val="22"/>
        </w:rPr>
        <w:t>estructurados en dos grandes componentes:</w:t>
      </w:r>
    </w:p>
    <w:p w14:paraId="04E96340" w14:textId="4DBAB9F2" w:rsidR="00A04993" w:rsidRPr="00D93780" w:rsidRDefault="00A04993" w:rsidP="00462E76">
      <w:pPr>
        <w:pStyle w:val="ListParagraph"/>
        <w:numPr>
          <w:ilvl w:val="0"/>
          <w:numId w:val="41"/>
        </w:numPr>
        <w:spacing w:before="120" w:after="120" w:line="276" w:lineRule="auto"/>
        <w:jc w:val="both"/>
        <w:rPr>
          <w:rFonts w:ascii="Arial" w:hAnsi="Arial" w:cs="Arial"/>
          <w:sz w:val="22"/>
          <w:szCs w:val="22"/>
        </w:rPr>
      </w:pPr>
      <w:r w:rsidRPr="00D93780">
        <w:rPr>
          <w:rFonts w:ascii="Arial" w:hAnsi="Arial" w:cs="Arial"/>
          <w:sz w:val="22"/>
          <w:szCs w:val="22"/>
        </w:rPr>
        <w:t xml:space="preserve">Componente I. Fortalecimiento de la gestión fiscal y de inversión de los </w:t>
      </w:r>
      <w:r w:rsidR="00A31784">
        <w:rPr>
          <w:rFonts w:ascii="Arial" w:hAnsi="Arial" w:cs="Arial"/>
          <w:sz w:val="22"/>
          <w:szCs w:val="22"/>
        </w:rPr>
        <w:t>gobiernos departamentales (US$4,</w:t>
      </w:r>
      <w:r w:rsidRPr="00D93780">
        <w:rPr>
          <w:rFonts w:ascii="Arial" w:hAnsi="Arial" w:cs="Arial"/>
          <w:sz w:val="22"/>
          <w:szCs w:val="22"/>
        </w:rPr>
        <w:t>6 millones). El objetivo de este componente es incrementar los ingresos por concepto de la contribución inmobiliaria; mejorar la oportunidad en la información financiera departamental; y mejorar la eficiencia en la gestión de la inversión a través de los siguiente subcomponentes:</w:t>
      </w:r>
    </w:p>
    <w:p w14:paraId="08913225" w14:textId="187A5EBD" w:rsidR="00A04993" w:rsidRPr="00D93780" w:rsidRDefault="00A04993" w:rsidP="00462E76">
      <w:pPr>
        <w:pStyle w:val="ListParagraph"/>
        <w:numPr>
          <w:ilvl w:val="1"/>
          <w:numId w:val="41"/>
        </w:numPr>
        <w:spacing w:before="120" w:after="120" w:line="276" w:lineRule="auto"/>
        <w:jc w:val="both"/>
        <w:rPr>
          <w:rFonts w:ascii="Arial" w:hAnsi="Arial" w:cs="Arial"/>
          <w:sz w:val="22"/>
          <w:szCs w:val="22"/>
        </w:rPr>
      </w:pPr>
      <w:r w:rsidRPr="00D93780">
        <w:rPr>
          <w:rFonts w:ascii="Arial" w:hAnsi="Arial" w:cs="Arial"/>
          <w:sz w:val="22"/>
          <w:szCs w:val="22"/>
        </w:rPr>
        <w:t xml:space="preserve">Fortalecimiento de la gestión catastral y financiera. Incluye las siguientes actuaciones: (i) desarrollo del Sistema Único de Cobro Inmobiliario (SUCI) que será centralizado; (ii) establecimiento de una actualización dinámica del vínculo registro de la propiedad y catastro; (iii) estudios para la actualización de valores catastrales; (iv) implementación de un plan de </w:t>
      </w:r>
      <w:r w:rsidR="00462E76">
        <w:rPr>
          <w:rFonts w:ascii="Arial" w:hAnsi="Arial" w:cs="Arial"/>
          <w:sz w:val="22"/>
          <w:szCs w:val="22"/>
        </w:rPr>
        <w:t>cuentas único departamental; (v</w:t>
      </w:r>
      <w:r w:rsidRPr="00D93780">
        <w:rPr>
          <w:rFonts w:ascii="Arial" w:hAnsi="Arial" w:cs="Arial"/>
          <w:sz w:val="22"/>
          <w:szCs w:val="22"/>
        </w:rPr>
        <w:t>) implementación de Sistemas Integrados de Información Financiera y con criterios unificados; (vi) Sistema de Monitoreo de las Finanzas Departamentales desarrollado e implementado; y (vii) estudios para el costeo de ser</w:t>
      </w:r>
      <w:r w:rsidR="00ED2E53">
        <w:rPr>
          <w:rFonts w:ascii="Arial" w:hAnsi="Arial" w:cs="Arial"/>
          <w:sz w:val="22"/>
          <w:szCs w:val="22"/>
        </w:rPr>
        <w:t>vicios e indicadores de calidad</w:t>
      </w:r>
      <w:r w:rsidRPr="00D93780">
        <w:rPr>
          <w:rFonts w:ascii="Arial" w:hAnsi="Arial" w:cs="Arial"/>
          <w:sz w:val="22"/>
          <w:szCs w:val="22"/>
        </w:rPr>
        <w:t>.</w:t>
      </w:r>
    </w:p>
    <w:p w14:paraId="453D6924" w14:textId="4A8C1FBD" w:rsidR="00A04993" w:rsidRPr="00D93780" w:rsidRDefault="00A04993" w:rsidP="00462E76">
      <w:pPr>
        <w:pStyle w:val="ListParagraph"/>
        <w:numPr>
          <w:ilvl w:val="1"/>
          <w:numId w:val="41"/>
        </w:numPr>
        <w:spacing w:before="120" w:after="120" w:line="276" w:lineRule="auto"/>
        <w:jc w:val="both"/>
        <w:rPr>
          <w:rFonts w:ascii="Arial" w:hAnsi="Arial" w:cs="Arial"/>
          <w:sz w:val="22"/>
          <w:szCs w:val="22"/>
        </w:rPr>
      </w:pPr>
      <w:r w:rsidRPr="00D93780">
        <w:rPr>
          <w:rFonts w:ascii="Arial" w:hAnsi="Arial" w:cs="Arial"/>
          <w:sz w:val="22"/>
          <w:szCs w:val="22"/>
        </w:rPr>
        <w:t>Fortalecimiento de la gestión de la inversión incorporando criterios e adaptación a cambio climático. Incluye los siguientes productos: (i)</w:t>
      </w:r>
      <w:r w:rsidR="00694FB3">
        <w:rPr>
          <w:rFonts w:ascii="Arial" w:hAnsi="Arial" w:cs="Arial"/>
          <w:sz w:val="22"/>
          <w:szCs w:val="22"/>
        </w:rPr>
        <w:t> </w:t>
      </w:r>
      <w:r w:rsidRPr="00D93780">
        <w:rPr>
          <w:rFonts w:ascii="Arial" w:hAnsi="Arial" w:cs="Arial"/>
          <w:sz w:val="22"/>
          <w:szCs w:val="22"/>
        </w:rPr>
        <w:t>capacitación de los GD en la implementación del SNIP; (ii)</w:t>
      </w:r>
      <w:r w:rsidR="00694FB3">
        <w:rPr>
          <w:rFonts w:ascii="Arial" w:hAnsi="Arial" w:cs="Arial"/>
          <w:sz w:val="22"/>
          <w:szCs w:val="22"/>
        </w:rPr>
        <w:t> </w:t>
      </w:r>
      <w:r w:rsidRPr="00D93780">
        <w:rPr>
          <w:rFonts w:ascii="Arial" w:hAnsi="Arial" w:cs="Arial"/>
          <w:sz w:val="22"/>
          <w:szCs w:val="22"/>
        </w:rPr>
        <w:t xml:space="preserve">capacitación de los GD en la implementación de instrumentos que vinculen a la inversión con gestión de riesgo y adaptación al cambio climático; (iii) proyectos pilotos de mitigación de riesgos y adaptación al cambio climático. </w:t>
      </w:r>
    </w:p>
    <w:p w14:paraId="5457E09C" w14:textId="642F7348" w:rsidR="005D2919" w:rsidRPr="00D93780" w:rsidRDefault="00A04993" w:rsidP="00462E76">
      <w:pPr>
        <w:pStyle w:val="ListParagraph"/>
        <w:numPr>
          <w:ilvl w:val="0"/>
          <w:numId w:val="41"/>
        </w:numPr>
        <w:spacing w:before="120" w:after="120" w:line="276" w:lineRule="auto"/>
        <w:jc w:val="both"/>
        <w:rPr>
          <w:rFonts w:ascii="Arial" w:hAnsi="Arial" w:cs="Arial"/>
          <w:sz w:val="22"/>
          <w:szCs w:val="22"/>
        </w:rPr>
      </w:pPr>
      <w:r w:rsidRPr="00D93780">
        <w:rPr>
          <w:rFonts w:ascii="Arial" w:hAnsi="Arial" w:cs="Arial"/>
          <w:sz w:val="22"/>
          <w:szCs w:val="22"/>
        </w:rPr>
        <w:t xml:space="preserve">Componente II. Inversiones para el desarrollo departamental (US$82,8 millones). Se financiarán: (i) estudios de pre inversión que demanden la formulación de </w:t>
      </w:r>
      <w:r w:rsidRPr="00D93780">
        <w:rPr>
          <w:rFonts w:ascii="Arial" w:hAnsi="Arial" w:cs="Arial"/>
          <w:sz w:val="22"/>
          <w:szCs w:val="22"/>
        </w:rPr>
        <w:lastRenderedPageBreak/>
        <w:t xml:space="preserve">proyectos a nivel ejecutivo; (ii) obras complementarias a la actividad productiva en sectores estratégicos del departamento; (iii) obras vinculadas a la prestación de servicios y equipamientos urbanos y territoriales; y (iv) obras vinculadas a la infraestructura de accesibilidad y conectividad.  </w:t>
      </w:r>
    </w:p>
    <w:p w14:paraId="2940FE17" w14:textId="7347E7F3" w:rsidR="00227CFB" w:rsidRPr="00D93780" w:rsidRDefault="00227CFB" w:rsidP="00462E76">
      <w:pPr>
        <w:pStyle w:val="Heading3"/>
        <w:spacing w:before="120" w:after="120"/>
        <w:rPr>
          <w:rFonts w:ascii="Arial" w:hAnsi="Arial"/>
          <w:szCs w:val="22"/>
        </w:rPr>
      </w:pPr>
      <w:bookmarkStart w:id="3" w:name="_Toc456337498"/>
      <w:r w:rsidRPr="00D93780">
        <w:rPr>
          <w:rFonts w:ascii="Arial" w:hAnsi="Arial"/>
          <w:szCs w:val="22"/>
        </w:rPr>
        <w:t>Presupuesto del Programa</w:t>
      </w:r>
      <w:bookmarkEnd w:id="3"/>
    </w:p>
    <w:p w14:paraId="24EC2A9E" w14:textId="7D559661" w:rsidR="009261CC" w:rsidRPr="00D93780" w:rsidRDefault="00D9755F" w:rsidP="00462E76">
      <w:pPr>
        <w:pStyle w:val="ListParagraph"/>
        <w:numPr>
          <w:ilvl w:val="0"/>
          <w:numId w:val="12"/>
        </w:numPr>
        <w:spacing w:before="120" w:after="120" w:line="276" w:lineRule="auto"/>
        <w:ind w:left="567" w:hanging="567"/>
        <w:rPr>
          <w:rFonts w:ascii="Arial" w:hAnsi="Arial" w:cs="Arial"/>
          <w:sz w:val="22"/>
          <w:szCs w:val="22"/>
        </w:rPr>
      </w:pPr>
      <w:r w:rsidRPr="00D93780">
        <w:rPr>
          <w:rFonts w:ascii="Arial" w:hAnsi="Arial" w:cs="Arial"/>
          <w:sz w:val="22"/>
          <w:szCs w:val="22"/>
        </w:rPr>
        <w:t>El costo total del Programa</w:t>
      </w:r>
      <w:r w:rsidR="009261CC" w:rsidRPr="00D93780">
        <w:rPr>
          <w:rFonts w:ascii="Arial" w:hAnsi="Arial" w:cs="Arial"/>
          <w:sz w:val="22"/>
          <w:szCs w:val="22"/>
        </w:rPr>
        <w:t xml:space="preserve"> es de US$ 90 millones, de los cuales US$ 75 millones se financiarán con recursos del capital ordinario del Banco y US$ 15 millones con contrapartida nacional. El desglose del costo se presenta a continuación:</w:t>
      </w:r>
      <w:r w:rsidR="000B4D01" w:rsidRPr="00D93780">
        <w:rPr>
          <w:rStyle w:val="FootnoteReference"/>
          <w:rFonts w:ascii="Arial" w:hAnsi="Arial" w:cs="Arial"/>
          <w:sz w:val="22"/>
          <w:szCs w:val="22"/>
        </w:rPr>
        <w:footnoteReference w:id="1"/>
      </w:r>
    </w:p>
    <w:p w14:paraId="7419139F" w14:textId="5296BC39" w:rsidR="00FD405F" w:rsidRPr="00D93780" w:rsidRDefault="00694FB3"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noProof/>
          <w:sz w:val="22"/>
          <w:szCs w:val="22"/>
          <w:lang w:val="en-US" w:eastAsia="en-US"/>
        </w:rPr>
        <w:drawing>
          <wp:anchor distT="0" distB="0" distL="114300" distR="114300" simplePos="0" relativeHeight="251659264" behindDoc="0" locked="0" layoutInCell="1" allowOverlap="1" wp14:anchorId="7E8F27B8" wp14:editId="7BBFA574">
            <wp:simplePos x="0" y="0"/>
            <wp:positionH relativeFrom="column">
              <wp:posOffset>-38100</wp:posOffset>
            </wp:positionH>
            <wp:positionV relativeFrom="paragraph">
              <wp:posOffset>1003935</wp:posOffset>
            </wp:positionV>
            <wp:extent cx="5603240" cy="3638550"/>
            <wp:effectExtent l="0" t="0" r="0" b="0"/>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3240" cy="36385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405F" w:rsidRPr="00D93780">
        <w:rPr>
          <w:rFonts w:ascii="Arial" w:hAnsi="Arial" w:cs="Arial"/>
          <w:sz w:val="22"/>
          <w:szCs w:val="22"/>
        </w:rPr>
        <w:t>La inversión en el componente 1, orientada al fortalecimiento de la gestión fiscal y de la inversión de los gobiernos departamentales, asciende a USD 4.570.906. Para el componente 2, que financiará inversiones para el desarrollo subnacional, están previstos USD 82.818.665. La inversión total en componentes es, por lo tanto, de USD 87.389.571.</w:t>
      </w:r>
    </w:p>
    <w:p w14:paraId="1EAF7DE1" w14:textId="12228D63" w:rsidR="00FD405F" w:rsidRPr="00D93780" w:rsidRDefault="00FD405F" w:rsidP="00FD405F">
      <w:pPr>
        <w:pStyle w:val="ListParagraph"/>
        <w:spacing w:line="276" w:lineRule="auto"/>
        <w:ind w:left="567"/>
        <w:jc w:val="center"/>
        <w:rPr>
          <w:rFonts w:ascii="Arial" w:hAnsi="Arial" w:cs="Arial"/>
          <w:sz w:val="22"/>
          <w:szCs w:val="22"/>
        </w:rPr>
      </w:pPr>
    </w:p>
    <w:p w14:paraId="18C539EE" w14:textId="0D5858CF" w:rsidR="00B54136" w:rsidRPr="00D93780" w:rsidRDefault="00B54136" w:rsidP="003E042D">
      <w:pPr>
        <w:pStyle w:val="Heading3"/>
        <w:rPr>
          <w:rFonts w:ascii="Arial" w:hAnsi="Arial"/>
          <w:szCs w:val="22"/>
        </w:rPr>
      </w:pPr>
      <w:bookmarkStart w:id="4" w:name="_Toc456337499"/>
      <w:r w:rsidRPr="00D93780">
        <w:rPr>
          <w:rFonts w:ascii="Arial" w:hAnsi="Arial"/>
          <w:szCs w:val="22"/>
        </w:rPr>
        <w:t>Principales beneficios esperados</w:t>
      </w:r>
      <w:r w:rsidR="00BE7ED9" w:rsidRPr="00D93780">
        <w:rPr>
          <w:rFonts w:ascii="Arial" w:hAnsi="Arial"/>
          <w:szCs w:val="22"/>
        </w:rPr>
        <w:t xml:space="preserve"> del Programa</w:t>
      </w:r>
      <w:bookmarkEnd w:id="4"/>
    </w:p>
    <w:p w14:paraId="18C539EF" w14:textId="2F3D189E" w:rsidR="0033646A" w:rsidRPr="00D93780" w:rsidRDefault="0002356C" w:rsidP="001F229F">
      <w:pPr>
        <w:pStyle w:val="ListParagraph"/>
        <w:numPr>
          <w:ilvl w:val="0"/>
          <w:numId w:val="12"/>
        </w:numPr>
        <w:spacing w:line="276" w:lineRule="auto"/>
        <w:ind w:left="567" w:hanging="567"/>
        <w:jc w:val="both"/>
        <w:rPr>
          <w:rFonts w:ascii="Arial" w:hAnsi="Arial" w:cs="Arial"/>
          <w:sz w:val="22"/>
          <w:szCs w:val="22"/>
        </w:rPr>
      </w:pPr>
      <w:r w:rsidRPr="00D93780">
        <w:rPr>
          <w:rFonts w:ascii="Arial" w:hAnsi="Arial" w:cs="Arial"/>
          <w:sz w:val="22"/>
          <w:szCs w:val="22"/>
        </w:rPr>
        <w:t xml:space="preserve">Desde un punto de vista económico y </w:t>
      </w:r>
      <w:r w:rsidR="000D5296" w:rsidRPr="00D93780">
        <w:rPr>
          <w:rFonts w:ascii="Arial" w:hAnsi="Arial" w:cs="Arial"/>
          <w:sz w:val="22"/>
          <w:szCs w:val="22"/>
        </w:rPr>
        <w:t>de gestión</w:t>
      </w:r>
      <w:r w:rsidRPr="00D93780">
        <w:rPr>
          <w:rFonts w:ascii="Arial" w:hAnsi="Arial" w:cs="Arial"/>
          <w:sz w:val="22"/>
          <w:szCs w:val="22"/>
        </w:rPr>
        <w:t xml:space="preserve">, </w:t>
      </w:r>
      <w:r w:rsidR="000B275B" w:rsidRPr="00D93780">
        <w:rPr>
          <w:rFonts w:ascii="Arial" w:hAnsi="Arial" w:cs="Arial"/>
          <w:sz w:val="22"/>
          <w:szCs w:val="22"/>
        </w:rPr>
        <w:t xml:space="preserve">pueden identificarse diversos </w:t>
      </w:r>
      <w:r w:rsidR="00B54136" w:rsidRPr="00D93780">
        <w:rPr>
          <w:rFonts w:ascii="Arial" w:hAnsi="Arial" w:cs="Arial"/>
          <w:sz w:val="22"/>
          <w:szCs w:val="22"/>
        </w:rPr>
        <w:t>beneficios</w:t>
      </w:r>
      <w:r w:rsidR="000B275B" w:rsidRPr="00D93780">
        <w:rPr>
          <w:rFonts w:ascii="Arial" w:hAnsi="Arial" w:cs="Arial"/>
          <w:sz w:val="22"/>
          <w:szCs w:val="22"/>
        </w:rPr>
        <w:t xml:space="preserve"> </w:t>
      </w:r>
      <w:r w:rsidR="00DF203B" w:rsidRPr="00D93780">
        <w:rPr>
          <w:rFonts w:ascii="Arial" w:hAnsi="Arial" w:cs="Arial"/>
          <w:sz w:val="22"/>
          <w:szCs w:val="22"/>
        </w:rPr>
        <w:t>potenciales directos</w:t>
      </w:r>
      <w:r w:rsidRPr="00D93780">
        <w:rPr>
          <w:rFonts w:ascii="Arial" w:hAnsi="Arial" w:cs="Arial"/>
          <w:sz w:val="22"/>
          <w:szCs w:val="22"/>
        </w:rPr>
        <w:t xml:space="preserve"> como consecuencia </w:t>
      </w:r>
      <w:r w:rsidR="001A0C14" w:rsidRPr="00D93780">
        <w:rPr>
          <w:rFonts w:ascii="Arial" w:hAnsi="Arial" w:cs="Arial"/>
          <w:sz w:val="22"/>
          <w:szCs w:val="22"/>
        </w:rPr>
        <w:t>de las acciones del</w:t>
      </w:r>
      <w:r w:rsidRPr="00D93780">
        <w:rPr>
          <w:rFonts w:ascii="Arial" w:hAnsi="Arial" w:cs="Arial"/>
          <w:sz w:val="22"/>
          <w:szCs w:val="22"/>
        </w:rPr>
        <w:t xml:space="preserve"> programa</w:t>
      </w:r>
      <w:r w:rsidR="001A0C14" w:rsidRPr="00D93780">
        <w:rPr>
          <w:rFonts w:ascii="Arial" w:hAnsi="Arial" w:cs="Arial"/>
          <w:sz w:val="22"/>
          <w:szCs w:val="22"/>
        </w:rPr>
        <w:t xml:space="preserve"> sobre los procesos de trabajo sustantivos</w:t>
      </w:r>
      <w:r w:rsidR="002F6BF4" w:rsidRPr="00D93780">
        <w:rPr>
          <w:rFonts w:ascii="Arial" w:hAnsi="Arial" w:cs="Arial"/>
          <w:sz w:val="22"/>
          <w:szCs w:val="22"/>
        </w:rPr>
        <w:t>:</w:t>
      </w:r>
      <w:r w:rsidR="000C1629" w:rsidRPr="00D93780">
        <w:rPr>
          <w:rStyle w:val="FootnoteReference"/>
          <w:rFonts w:ascii="Arial" w:hAnsi="Arial" w:cs="Arial"/>
          <w:sz w:val="22"/>
          <w:szCs w:val="22"/>
        </w:rPr>
        <w:footnoteReference w:id="2"/>
      </w:r>
    </w:p>
    <w:p w14:paraId="18C539F0" w14:textId="77777777" w:rsidR="002F6BF4" w:rsidRPr="00D93780" w:rsidRDefault="002F6BF4" w:rsidP="001F229F">
      <w:pPr>
        <w:pStyle w:val="ListParagraph"/>
        <w:spacing w:line="276" w:lineRule="auto"/>
        <w:ind w:left="0"/>
        <w:jc w:val="both"/>
        <w:rPr>
          <w:rFonts w:ascii="Arial" w:hAnsi="Arial" w:cs="Arial"/>
          <w:sz w:val="22"/>
          <w:szCs w:val="22"/>
        </w:rPr>
      </w:pPr>
    </w:p>
    <w:p w14:paraId="58634792" w14:textId="77777777" w:rsidR="00FD405F" w:rsidRPr="00D93780" w:rsidRDefault="00FD405F" w:rsidP="00FD405F">
      <w:pPr>
        <w:pStyle w:val="ListParagraph"/>
        <w:numPr>
          <w:ilvl w:val="0"/>
          <w:numId w:val="54"/>
        </w:numPr>
        <w:spacing w:line="276" w:lineRule="auto"/>
        <w:rPr>
          <w:rFonts w:ascii="Arial" w:hAnsi="Arial" w:cs="Arial"/>
          <w:sz w:val="22"/>
          <w:szCs w:val="22"/>
        </w:rPr>
      </w:pPr>
      <w:r w:rsidRPr="00D93780">
        <w:rPr>
          <w:rFonts w:ascii="Arial" w:hAnsi="Arial" w:cs="Arial"/>
          <w:sz w:val="22"/>
          <w:szCs w:val="22"/>
        </w:rPr>
        <w:t xml:space="preserve">Incrementar los ingresos por concepto de la contribución inmobiliaria; </w:t>
      </w:r>
    </w:p>
    <w:p w14:paraId="5FF71BBC" w14:textId="77777777" w:rsidR="00FD405F" w:rsidRPr="00D93780" w:rsidRDefault="00FD405F" w:rsidP="00FD405F">
      <w:pPr>
        <w:pStyle w:val="ListParagraph"/>
        <w:numPr>
          <w:ilvl w:val="0"/>
          <w:numId w:val="54"/>
        </w:numPr>
        <w:spacing w:line="276" w:lineRule="auto"/>
        <w:rPr>
          <w:rFonts w:ascii="Arial" w:hAnsi="Arial" w:cs="Arial"/>
          <w:sz w:val="22"/>
          <w:szCs w:val="22"/>
        </w:rPr>
      </w:pPr>
      <w:r w:rsidRPr="00D93780">
        <w:rPr>
          <w:rFonts w:ascii="Arial" w:hAnsi="Arial" w:cs="Arial"/>
          <w:sz w:val="22"/>
          <w:szCs w:val="22"/>
        </w:rPr>
        <w:lastRenderedPageBreak/>
        <w:t xml:space="preserve">Mejorar la oportunidad en la información financiera departamental; </w:t>
      </w:r>
    </w:p>
    <w:p w14:paraId="2FF8EC5E" w14:textId="77777777" w:rsidR="00FD405F" w:rsidRPr="00D93780" w:rsidRDefault="00FD405F" w:rsidP="00FD405F">
      <w:pPr>
        <w:pStyle w:val="ListParagraph"/>
        <w:numPr>
          <w:ilvl w:val="0"/>
          <w:numId w:val="54"/>
        </w:numPr>
        <w:spacing w:line="276" w:lineRule="auto"/>
        <w:rPr>
          <w:rFonts w:ascii="Arial" w:hAnsi="Arial" w:cs="Arial"/>
          <w:sz w:val="22"/>
          <w:szCs w:val="22"/>
        </w:rPr>
      </w:pPr>
      <w:r w:rsidRPr="00D93780">
        <w:rPr>
          <w:rFonts w:ascii="Arial" w:hAnsi="Arial" w:cs="Arial"/>
          <w:sz w:val="22"/>
          <w:szCs w:val="22"/>
        </w:rPr>
        <w:t xml:space="preserve">Mejorar la eficiencia en la gestión de la inversión; </w:t>
      </w:r>
    </w:p>
    <w:p w14:paraId="4341F62A" w14:textId="5386F2A8" w:rsidR="00FD405F" w:rsidRPr="00D93780" w:rsidRDefault="00FD405F" w:rsidP="00FD405F">
      <w:pPr>
        <w:pStyle w:val="ListParagraph"/>
        <w:numPr>
          <w:ilvl w:val="0"/>
          <w:numId w:val="54"/>
        </w:numPr>
        <w:spacing w:line="276" w:lineRule="auto"/>
        <w:rPr>
          <w:rFonts w:ascii="Arial" w:hAnsi="Arial" w:cs="Arial"/>
          <w:sz w:val="22"/>
          <w:szCs w:val="22"/>
        </w:rPr>
      </w:pPr>
      <w:r w:rsidRPr="00D93780">
        <w:rPr>
          <w:rFonts w:ascii="Arial" w:hAnsi="Arial" w:cs="Arial"/>
          <w:sz w:val="22"/>
          <w:szCs w:val="22"/>
        </w:rPr>
        <w:t xml:space="preserve">Implementar proyectos de inversión que mejoren la infraestructura y servicios al ciudadano. </w:t>
      </w:r>
    </w:p>
    <w:p w14:paraId="7B17F85C" w14:textId="77777777" w:rsidR="00FD405F" w:rsidRPr="00D93780" w:rsidRDefault="00FD405F" w:rsidP="00FD405F">
      <w:pPr>
        <w:pStyle w:val="ListParagraph"/>
        <w:spacing w:line="276" w:lineRule="auto"/>
        <w:ind w:left="720"/>
        <w:rPr>
          <w:rFonts w:ascii="Arial" w:hAnsi="Arial" w:cs="Arial"/>
          <w:sz w:val="22"/>
          <w:szCs w:val="22"/>
          <w:highlight w:val="yellow"/>
        </w:rPr>
      </w:pPr>
    </w:p>
    <w:p w14:paraId="548D93BB" w14:textId="10D9E087" w:rsidR="00FD405F" w:rsidRPr="00D93780" w:rsidRDefault="00FD405F" w:rsidP="00FD405F">
      <w:pPr>
        <w:pStyle w:val="ListParagraph"/>
        <w:numPr>
          <w:ilvl w:val="0"/>
          <w:numId w:val="12"/>
        </w:numPr>
        <w:spacing w:line="276" w:lineRule="auto"/>
        <w:ind w:left="567" w:hanging="567"/>
        <w:jc w:val="both"/>
        <w:rPr>
          <w:rFonts w:ascii="Arial" w:hAnsi="Arial" w:cs="Arial"/>
          <w:sz w:val="22"/>
          <w:szCs w:val="22"/>
        </w:rPr>
      </w:pPr>
      <w:r w:rsidRPr="00D93780">
        <w:rPr>
          <w:rFonts w:ascii="Arial" w:hAnsi="Arial" w:cs="Arial"/>
          <w:sz w:val="22"/>
          <w:szCs w:val="22"/>
        </w:rPr>
        <w:t>El programa beneficiará a todos los gobiernos departamentales (GD) y su población, a través de inversiones que mejoren la infraestructura y prestación de los servicios públicos. Adicionalmente beneficiará al Gobierno Nacional al fortalecer los incentivos de los GD para ejercer su gasto de manera eficiente.</w:t>
      </w:r>
    </w:p>
    <w:p w14:paraId="158E24A2" w14:textId="77777777" w:rsidR="00227CFB" w:rsidRPr="00D93780" w:rsidRDefault="00227CFB" w:rsidP="001F229F">
      <w:pPr>
        <w:pStyle w:val="ListParagraph"/>
        <w:spacing w:line="276" w:lineRule="auto"/>
        <w:jc w:val="both"/>
        <w:rPr>
          <w:rFonts w:ascii="Arial" w:hAnsi="Arial" w:cs="Arial"/>
          <w:sz w:val="22"/>
          <w:szCs w:val="22"/>
          <w:lang w:val="es-ES_tradnl"/>
        </w:rPr>
      </w:pPr>
    </w:p>
    <w:p w14:paraId="18C539F6" w14:textId="0823A43C" w:rsidR="008D589D" w:rsidRPr="00D93780" w:rsidRDefault="008D589D" w:rsidP="001F229F">
      <w:pPr>
        <w:pStyle w:val="ListParagraph"/>
        <w:numPr>
          <w:ilvl w:val="0"/>
          <w:numId w:val="12"/>
        </w:numPr>
        <w:spacing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Muchos de estos beneficios </w:t>
      </w:r>
      <w:r w:rsidRPr="00D93780">
        <w:rPr>
          <w:rFonts w:ascii="Arial" w:hAnsi="Arial" w:cs="Arial"/>
          <w:sz w:val="22"/>
          <w:szCs w:val="22"/>
        </w:rPr>
        <w:t>están</w:t>
      </w:r>
      <w:r w:rsidRPr="00D93780">
        <w:rPr>
          <w:rFonts w:ascii="Arial" w:hAnsi="Arial" w:cs="Arial"/>
          <w:sz w:val="22"/>
          <w:szCs w:val="22"/>
          <w:lang w:val="es-ES_tradnl"/>
        </w:rPr>
        <w:t xml:space="preserve"> recogidos en la matriz de resultados del Programa, pero como se verá a continuación</w:t>
      </w:r>
      <w:r w:rsidR="00D076A4" w:rsidRPr="00D93780">
        <w:rPr>
          <w:rFonts w:ascii="Arial" w:hAnsi="Arial" w:cs="Arial"/>
          <w:sz w:val="22"/>
          <w:szCs w:val="22"/>
          <w:lang w:val="es-ES_tradnl"/>
        </w:rPr>
        <w:t>, a efectos del análisis se retienen los</w:t>
      </w:r>
      <w:r w:rsidRPr="00D93780">
        <w:rPr>
          <w:rFonts w:ascii="Arial" w:hAnsi="Arial" w:cs="Arial"/>
          <w:sz w:val="22"/>
          <w:szCs w:val="22"/>
          <w:lang w:val="es-ES_tradnl"/>
        </w:rPr>
        <w:t xml:space="preserve"> </w:t>
      </w:r>
      <w:r w:rsidR="002A3B0D" w:rsidRPr="00D93780">
        <w:rPr>
          <w:rFonts w:ascii="Arial" w:hAnsi="Arial" w:cs="Arial"/>
          <w:sz w:val="22"/>
          <w:szCs w:val="22"/>
        </w:rPr>
        <w:t xml:space="preserve">dos </w:t>
      </w:r>
      <w:r w:rsidR="00D076A4" w:rsidRPr="00D93780">
        <w:rPr>
          <w:rFonts w:ascii="Arial" w:hAnsi="Arial" w:cs="Arial"/>
          <w:sz w:val="22"/>
          <w:szCs w:val="22"/>
          <w:lang w:val="es-ES_tradnl"/>
        </w:rPr>
        <w:t xml:space="preserve">indicadores </w:t>
      </w:r>
      <w:r w:rsidR="002A3B0D" w:rsidRPr="00D93780">
        <w:rPr>
          <w:rFonts w:ascii="Arial" w:hAnsi="Arial" w:cs="Arial"/>
          <w:sz w:val="22"/>
          <w:szCs w:val="22"/>
        </w:rPr>
        <w:t xml:space="preserve">más </w:t>
      </w:r>
      <w:r w:rsidR="00D076A4" w:rsidRPr="00D93780">
        <w:rPr>
          <w:rFonts w:ascii="Arial" w:hAnsi="Arial" w:cs="Arial"/>
          <w:sz w:val="22"/>
          <w:szCs w:val="22"/>
          <w:lang w:val="es-ES_tradnl"/>
        </w:rPr>
        <w:t>directamente vinculados con los resultados.</w:t>
      </w:r>
    </w:p>
    <w:p w14:paraId="18C539F9" w14:textId="7AED8989" w:rsidR="00BA7828" w:rsidRPr="00D93780" w:rsidRDefault="00BA7828" w:rsidP="005B3745">
      <w:pPr>
        <w:pStyle w:val="Heading3"/>
        <w:rPr>
          <w:rFonts w:ascii="Arial" w:hAnsi="Arial"/>
          <w:szCs w:val="22"/>
        </w:rPr>
      </w:pPr>
      <w:bookmarkStart w:id="5" w:name="_Ref294199644"/>
      <w:bookmarkStart w:id="6" w:name="_Toc456337500"/>
      <w:r w:rsidRPr="00D93780">
        <w:rPr>
          <w:rFonts w:ascii="Arial" w:hAnsi="Arial"/>
          <w:szCs w:val="22"/>
        </w:rPr>
        <w:t>Indicadores seleccionados</w:t>
      </w:r>
      <w:bookmarkEnd w:id="5"/>
      <w:r w:rsidR="009A36A5" w:rsidRPr="00D93780">
        <w:rPr>
          <w:rFonts w:ascii="Arial" w:hAnsi="Arial"/>
          <w:szCs w:val="22"/>
        </w:rPr>
        <w:t xml:space="preserve"> para el análisis</w:t>
      </w:r>
      <w:bookmarkEnd w:id="6"/>
    </w:p>
    <w:p w14:paraId="18C539FA" w14:textId="514970A7" w:rsidR="00921E6B" w:rsidRPr="00D93780" w:rsidRDefault="00D45041" w:rsidP="001F229F">
      <w:pPr>
        <w:pStyle w:val="ListParagraph"/>
        <w:numPr>
          <w:ilvl w:val="0"/>
          <w:numId w:val="12"/>
        </w:numPr>
        <w:spacing w:line="276" w:lineRule="auto"/>
        <w:ind w:left="567" w:hanging="567"/>
        <w:jc w:val="both"/>
        <w:rPr>
          <w:rFonts w:ascii="Arial" w:hAnsi="Arial" w:cs="Arial"/>
          <w:sz w:val="22"/>
          <w:szCs w:val="22"/>
        </w:rPr>
      </w:pPr>
      <w:r w:rsidRPr="00D93780">
        <w:rPr>
          <w:rFonts w:ascii="Arial" w:hAnsi="Arial" w:cs="Arial"/>
          <w:sz w:val="22"/>
          <w:szCs w:val="22"/>
        </w:rPr>
        <w:t xml:space="preserve">Para la elaboración del análisis costo-beneficio se han seleccionado </w:t>
      </w:r>
      <w:r w:rsidR="001626A8" w:rsidRPr="00D93780">
        <w:rPr>
          <w:rFonts w:ascii="Arial" w:hAnsi="Arial" w:cs="Arial"/>
          <w:sz w:val="22"/>
          <w:szCs w:val="22"/>
        </w:rPr>
        <w:t>dos</w:t>
      </w:r>
      <w:r w:rsidR="009A36A5" w:rsidRPr="00D93780">
        <w:rPr>
          <w:rFonts w:ascii="Arial" w:hAnsi="Arial" w:cs="Arial"/>
          <w:sz w:val="22"/>
          <w:szCs w:val="22"/>
        </w:rPr>
        <w:t xml:space="preserve"> resultados, con sus correspondientes</w:t>
      </w:r>
      <w:r w:rsidR="00615072" w:rsidRPr="00D93780">
        <w:rPr>
          <w:rFonts w:ascii="Arial" w:hAnsi="Arial" w:cs="Arial"/>
          <w:sz w:val="22"/>
          <w:szCs w:val="22"/>
        </w:rPr>
        <w:t xml:space="preserve"> indicadores</w:t>
      </w:r>
      <w:r w:rsidR="009A36A5" w:rsidRPr="00D93780">
        <w:rPr>
          <w:rFonts w:ascii="Arial" w:hAnsi="Arial" w:cs="Arial"/>
          <w:sz w:val="22"/>
          <w:szCs w:val="22"/>
        </w:rPr>
        <w:t>,</w:t>
      </w:r>
      <w:r w:rsidR="00615072" w:rsidRPr="00D93780">
        <w:rPr>
          <w:rFonts w:ascii="Arial" w:hAnsi="Arial" w:cs="Arial"/>
          <w:sz w:val="22"/>
          <w:szCs w:val="22"/>
        </w:rPr>
        <w:t xml:space="preserve"> </w:t>
      </w:r>
      <w:r w:rsidRPr="00D93780">
        <w:rPr>
          <w:rFonts w:ascii="Arial" w:hAnsi="Arial" w:cs="Arial"/>
          <w:sz w:val="22"/>
          <w:szCs w:val="22"/>
        </w:rPr>
        <w:t xml:space="preserve">de </w:t>
      </w:r>
      <w:r w:rsidR="005B7BE9" w:rsidRPr="00D93780">
        <w:rPr>
          <w:rFonts w:ascii="Arial" w:hAnsi="Arial" w:cs="Arial"/>
          <w:sz w:val="22"/>
          <w:szCs w:val="22"/>
        </w:rPr>
        <w:t xml:space="preserve">la matriz de resultados del </w:t>
      </w:r>
      <w:r w:rsidR="00615072" w:rsidRPr="00D93780">
        <w:rPr>
          <w:rFonts w:ascii="Arial" w:hAnsi="Arial" w:cs="Arial"/>
          <w:sz w:val="22"/>
          <w:szCs w:val="22"/>
        </w:rPr>
        <w:t>Programa</w:t>
      </w:r>
      <w:r w:rsidR="00FB7513" w:rsidRPr="00D93780">
        <w:rPr>
          <w:rFonts w:ascii="Arial" w:hAnsi="Arial" w:cs="Arial"/>
          <w:sz w:val="22"/>
          <w:szCs w:val="22"/>
        </w:rPr>
        <w:t>. Estos dos resultados</w:t>
      </w:r>
      <w:r w:rsidR="00F42E25" w:rsidRPr="00D93780">
        <w:rPr>
          <w:rFonts w:ascii="Arial" w:hAnsi="Arial" w:cs="Arial"/>
          <w:sz w:val="22"/>
          <w:szCs w:val="22"/>
        </w:rPr>
        <w:t xml:space="preserve"> están </w:t>
      </w:r>
      <w:r w:rsidR="003F2555" w:rsidRPr="00D93780">
        <w:rPr>
          <w:rFonts w:ascii="Arial" w:hAnsi="Arial" w:cs="Arial"/>
          <w:sz w:val="22"/>
          <w:szCs w:val="22"/>
        </w:rPr>
        <w:t xml:space="preserve">directamente </w:t>
      </w:r>
      <w:r w:rsidR="005B7BE9" w:rsidRPr="00D93780">
        <w:rPr>
          <w:rFonts w:ascii="Arial" w:hAnsi="Arial" w:cs="Arial"/>
          <w:sz w:val="22"/>
          <w:szCs w:val="22"/>
        </w:rPr>
        <w:t xml:space="preserve">relacionados </w:t>
      </w:r>
      <w:r w:rsidR="003F2555" w:rsidRPr="00D93780">
        <w:rPr>
          <w:rFonts w:ascii="Arial" w:hAnsi="Arial" w:cs="Arial"/>
          <w:sz w:val="22"/>
          <w:szCs w:val="22"/>
        </w:rPr>
        <w:t xml:space="preserve">con los </w:t>
      </w:r>
      <w:r w:rsidR="00592DF1" w:rsidRPr="00D93780">
        <w:rPr>
          <w:rFonts w:ascii="Arial" w:hAnsi="Arial" w:cs="Arial"/>
          <w:sz w:val="22"/>
          <w:szCs w:val="22"/>
        </w:rPr>
        <w:t>impacto</w:t>
      </w:r>
      <w:r w:rsidR="00941FE4" w:rsidRPr="00D93780">
        <w:rPr>
          <w:rFonts w:ascii="Arial" w:hAnsi="Arial" w:cs="Arial"/>
          <w:sz w:val="22"/>
          <w:szCs w:val="22"/>
        </w:rPr>
        <w:t>s</w:t>
      </w:r>
      <w:r w:rsidR="00CC2DF6" w:rsidRPr="00D93780">
        <w:rPr>
          <w:rFonts w:ascii="Arial" w:hAnsi="Arial" w:cs="Arial"/>
          <w:sz w:val="22"/>
          <w:szCs w:val="22"/>
        </w:rPr>
        <w:t xml:space="preserve"> </w:t>
      </w:r>
      <w:r w:rsidR="00DF203B" w:rsidRPr="00D93780">
        <w:rPr>
          <w:rFonts w:ascii="Arial" w:hAnsi="Arial" w:cs="Arial"/>
          <w:sz w:val="22"/>
          <w:szCs w:val="22"/>
        </w:rPr>
        <w:t>esperados por</w:t>
      </w:r>
      <w:r w:rsidR="00723773" w:rsidRPr="00D93780">
        <w:rPr>
          <w:rFonts w:ascii="Arial" w:hAnsi="Arial" w:cs="Arial"/>
          <w:sz w:val="22"/>
          <w:szCs w:val="22"/>
        </w:rPr>
        <w:t xml:space="preserve"> las actividades de los componentes </w:t>
      </w:r>
      <w:r w:rsidR="00D160BE" w:rsidRPr="00D93780">
        <w:rPr>
          <w:rFonts w:ascii="Arial" w:hAnsi="Arial" w:cs="Arial"/>
          <w:sz w:val="22"/>
          <w:szCs w:val="22"/>
        </w:rPr>
        <w:t>(ver cuadro 1</w:t>
      </w:r>
      <w:r w:rsidR="00D177C1" w:rsidRPr="00D93780">
        <w:rPr>
          <w:rFonts w:ascii="Arial" w:hAnsi="Arial" w:cs="Arial"/>
          <w:sz w:val="22"/>
          <w:szCs w:val="22"/>
        </w:rPr>
        <w:t>)</w:t>
      </w:r>
      <w:r w:rsidR="00F42E25" w:rsidRPr="00D93780">
        <w:rPr>
          <w:rFonts w:ascii="Arial" w:hAnsi="Arial" w:cs="Arial"/>
          <w:sz w:val="22"/>
          <w:szCs w:val="22"/>
        </w:rPr>
        <w:t xml:space="preserve"> y, asimismo, son los que tienen asignada una parte muy significativa de la inversión del Programa</w:t>
      </w:r>
      <w:r w:rsidR="003F2555" w:rsidRPr="00D93780">
        <w:rPr>
          <w:rFonts w:ascii="Arial" w:hAnsi="Arial" w:cs="Arial"/>
          <w:sz w:val="22"/>
          <w:szCs w:val="22"/>
        </w:rPr>
        <w:t xml:space="preserve">. </w:t>
      </w:r>
    </w:p>
    <w:p w14:paraId="18C539FB" w14:textId="0E7118AA" w:rsidR="00921E6B" w:rsidRPr="00D93780" w:rsidRDefault="00921E6B" w:rsidP="001F229F">
      <w:pPr>
        <w:pStyle w:val="ListParagraph"/>
        <w:spacing w:line="276" w:lineRule="auto"/>
        <w:ind w:left="567"/>
        <w:jc w:val="both"/>
        <w:rPr>
          <w:rFonts w:ascii="Arial" w:hAnsi="Arial" w:cs="Arial"/>
          <w:sz w:val="22"/>
          <w:szCs w:val="22"/>
        </w:rPr>
      </w:pPr>
    </w:p>
    <w:p w14:paraId="54AF2978" w14:textId="2063D2FA" w:rsidR="00CB45E3" w:rsidRPr="00D93780" w:rsidRDefault="00CB45E3" w:rsidP="00CB45E3">
      <w:pPr>
        <w:pStyle w:val="ListParagraph"/>
        <w:numPr>
          <w:ilvl w:val="0"/>
          <w:numId w:val="12"/>
        </w:numPr>
        <w:spacing w:line="276" w:lineRule="auto"/>
        <w:ind w:left="567" w:hanging="567"/>
        <w:jc w:val="both"/>
        <w:rPr>
          <w:rFonts w:ascii="Arial" w:hAnsi="Arial" w:cs="Arial"/>
          <w:sz w:val="22"/>
          <w:szCs w:val="22"/>
        </w:rPr>
      </w:pPr>
      <w:r w:rsidRPr="00D93780">
        <w:rPr>
          <w:rFonts w:ascii="Arial" w:hAnsi="Arial" w:cs="Arial"/>
          <w:sz w:val="22"/>
          <w:szCs w:val="22"/>
        </w:rPr>
        <w:t>El primer indicador de resultados seleccionado para el análisis costo-beneficio es “</w:t>
      </w:r>
      <w:r w:rsidRPr="00D93780">
        <w:rPr>
          <w:rFonts w:ascii="Arial" w:hAnsi="Arial" w:cs="Arial"/>
          <w:i/>
          <w:sz w:val="22"/>
          <w:szCs w:val="22"/>
          <w:lang w:val="es-ES_tradnl"/>
        </w:rPr>
        <w:t>Incremento porcentual de la recaudación en términos reales sobre el promedio porcentual de los cuatro últimos años</w:t>
      </w:r>
      <w:r w:rsidRPr="00D93780">
        <w:rPr>
          <w:rFonts w:ascii="Arial" w:hAnsi="Arial" w:cs="Arial"/>
          <w:sz w:val="22"/>
          <w:szCs w:val="22"/>
          <w:lang w:val="es-ES_tradnl"/>
        </w:rPr>
        <w:t xml:space="preserve">”. Este indicador estaría reflejando la mejora en la recaudación de la contribución inmobiliaria urbana como resultado de mejoras en eficiencia de los procesos de recaudación, y más en concreto en la </w:t>
      </w:r>
      <w:r w:rsidRPr="00D93780">
        <w:rPr>
          <w:rFonts w:ascii="Arial" w:hAnsi="Arial" w:cs="Arial"/>
          <w:i/>
          <w:sz w:val="22"/>
          <w:szCs w:val="22"/>
          <w:lang w:val="es-ES_tradnl"/>
        </w:rPr>
        <w:t>centralización</w:t>
      </w:r>
      <w:r w:rsidRPr="00D93780">
        <w:rPr>
          <w:rFonts w:ascii="Arial" w:hAnsi="Arial" w:cs="Arial"/>
          <w:sz w:val="22"/>
          <w:szCs w:val="22"/>
          <w:lang w:val="es-ES_tradnl"/>
        </w:rPr>
        <w:t xml:space="preserve"> de la recaudación de las contribuciones en un solo organismo. Los recursos económicos para ejecutar las obras públicas están consignados en el Componente 1</w:t>
      </w:r>
      <w:r w:rsidR="006A2725" w:rsidRPr="00D93780">
        <w:rPr>
          <w:rFonts w:ascii="Arial" w:hAnsi="Arial" w:cs="Arial"/>
          <w:sz w:val="22"/>
          <w:szCs w:val="22"/>
        </w:rPr>
        <w:t xml:space="preserve"> (USD </w:t>
      </w:r>
      <w:r w:rsidR="00A044A2" w:rsidRPr="00D93780">
        <w:rPr>
          <w:rFonts w:ascii="Arial" w:hAnsi="Arial" w:cs="Arial"/>
          <w:sz w:val="22"/>
          <w:szCs w:val="22"/>
        </w:rPr>
        <w:t>4</w:t>
      </w:r>
      <w:r w:rsidR="006A2725" w:rsidRPr="00D93780">
        <w:rPr>
          <w:rFonts w:ascii="Arial" w:hAnsi="Arial" w:cs="Arial"/>
          <w:sz w:val="22"/>
          <w:szCs w:val="22"/>
        </w:rPr>
        <w:t>,</w:t>
      </w:r>
      <w:r w:rsidR="00A044A2" w:rsidRPr="00D93780">
        <w:rPr>
          <w:rFonts w:ascii="Arial" w:hAnsi="Arial" w:cs="Arial"/>
          <w:sz w:val="22"/>
          <w:szCs w:val="22"/>
        </w:rPr>
        <w:t xml:space="preserve">57 </w:t>
      </w:r>
      <w:r w:rsidR="006A2725" w:rsidRPr="00D93780">
        <w:rPr>
          <w:rFonts w:ascii="Arial" w:hAnsi="Arial" w:cs="Arial"/>
          <w:sz w:val="22"/>
          <w:szCs w:val="22"/>
        </w:rPr>
        <w:t>millones</w:t>
      </w:r>
      <w:r w:rsidR="0055490B" w:rsidRPr="00D93780">
        <w:rPr>
          <w:rFonts w:ascii="Arial" w:hAnsi="Arial" w:cs="Arial"/>
          <w:sz w:val="22"/>
          <w:szCs w:val="22"/>
        </w:rPr>
        <w:t xml:space="preserve"> de inversión)</w:t>
      </w:r>
      <w:r w:rsidRPr="00D93780">
        <w:rPr>
          <w:rFonts w:ascii="Arial" w:hAnsi="Arial" w:cs="Arial"/>
          <w:sz w:val="22"/>
          <w:szCs w:val="22"/>
          <w:lang w:val="es-ES_tradnl"/>
        </w:rPr>
        <w:t xml:space="preserve">. </w:t>
      </w:r>
    </w:p>
    <w:p w14:paraId="18C53A00" w14:textId="77777777" w:rsidR="009E619F" w:rsidRPr="00462E76" w:rsidRDefault="009E619F" w:rsidP="00462E76">
      <w:pPr>
        <w:pStyle w:val="ListParagraph"/>
        <w:spacing w:before="120" w:after="120"/>
        <w:ind w:left="0"/>
        <w:jc w:val="center"/>
        <w:rPr>
          <w:rFonts w:ascii="Arial" w:hAnsi="Arial" w:cs="Arial"/>
          <w:b/>
          <w:sz w:val="18"/>
          <w:szCs w:val="22"/>
        </w:rPr>
      </w:pPr>
      <w:r w:rsidRPr="00462E76">
        <w:rPr>
          <w:rFonts w:ascii="Arial" w:hAnsi="Arial" w:cs="Arial"/>
          <w:b/>
          <w:sz w:val="18"/>
          <w:szCs w:val="22"/>
        </w:rPr>
        <w:t>Cuadro 1. Indicadores analizados para el análisis costo-beneficio</w:t>
      </w:r>
    </w:p>
    <w:tbl>
      <w:tblPr>
        <w:tblW w:w="4634" w:type="pct"/>
        <w:tblInd w:w="648" w:type="dxa"/>
        <w:tblLook w:val="04A0" w:firstRow="1" w:lastRow="0" w:firstColumn="1" w:lastColumn="0" w:noHBand="0" w:noVBand="1"/>
      </w:tblPr>
      <w:tblGrid>
        <w:gridCol w:w="1943"/>
        <w:gridCol w:w="3218"/>
        <w:gridCol w:w="1248"/>
        <w:gridCol w:w="939"/>
        <w:gridCol w:w="860"/>
      </w:tblGrid>
      <w:tr w:rsidR="000B3431" w:rsidRPr="00D93780" w14:paraId="18C53A05" w14:textId="77777777" w:rsidTr="00694FB3">
        <w:tc>
          <w:tcPr>
            <w:tcW w:w="1184" w:type="pct"/>
            <w:tcBorders>
              <w:top w:val="single" w:sz="4" w:space="0" w:color="auto"/>
              <w:bottom w:val="single" w:sz="4" w:space="0" w:color="auto"/>
            </w:tcBorders>
            <w:shd w:val="clear" w:color="auto" w:fill="D9D9D9" w:themeFill="background1" w:themeFillShade="D9"/>
          </w:tcPr>
          <w:p w14:paraId="18C53A01" w14:textId="0CBEF2AF" w:rsidR="000B3431" w:rsidRPr="00D93780" w:rsidRDefault="000B3431" w:rsidP="00226D32">
            <w:pPr>
              <w:tabs>
                <w:tab w:val="left" w:pos="435"/>
              </w:tabs>
              <w:ind w:left="426" w:hanging="426"/>
              <w:rPr>
                <w:rFonts w:ascii="Arial" w:hAnsi="Arial" w:cs="Arial"/>
                <w:b/>
                <w:sz w:val="18"/>
                <w:szCs w:val="22"/>
                <w:lang w:val="es-ES_tradnl"/>
              </w:rPr>
            </w:pPr>
            <w:r w:rsidRPr="00D93780">
              <w:rPr>
                <w:rFonts w:ascii="Arial" w:hAnsi="Arial" w:cs="Arial"/>
                <w:b/>
                <w:sz w:val="18"/>
                <w:szCs w:val="22"/>
                <w:lang w:val="es-ES_tradnl"/>
              </w:rPr>
              <w:t>Resultado</w:t>
            </w:r>
          </w:p>
        </w:tc>
        <w:tc>
          <w:tcPr>
            <w:tcW w:w="1960" w:type="pct"/>
            <w:tcBorders>
              <w:top w:val="single" w:sz="4" w:space="0" w:color="auto"/>
              <w:bottom w:val="single" w:sz="4" w:space="0" w:color="auto"/>
            </w:tcBorders>
            <w:shd w:val="clear" w:color="auto" w:fill="D9D9D9" w:themeFill="background1" w:themeFillShade="D9"/>
          </w:tcPr>
          <w:p w14:paraId="18C53A02" w14:textId="11B43ED3" w:rsidR="000B3431" w:rsidRPr="00D93780" w:rsidRDefault="000B3431" w:rsidP="00372D79">
            <w:pPr>
              <w:jc w:val="center"/>
              <w:rPr>
                <w:rFonts w:ascii="Arial" w:hAnsi="Arial" w:cs="Arial"/>
                <w:b/>
                <w:sz w:val="18"/>
                <w:szCs w:val="22"/>
                <w:lang w:val="es-CL"/>
              </w:rPr>
            </w:pPr>
            <w:r w:rsidRPr="00D93780">
              <w:rPr>
                <w:rFonts w:ascii="Arial" w:hAnsi="Arial" w:cs="Arial"/>
                <w:b/>
                <w:sz w:val="18"/>
                <w:szCs w:val="22"/>
                <w:lang w:val="es-CL"/>
              </w:rPr>
              <w:t>Indicador</w:t>
            </w:r>
          </w:p>
        </w:tc>
        <w:tc>
          <w:tcPr>
            <w:tcW w:w="760" w:type="pct"/>
            <w:tcBorders>
              <w:top w:val="single" w:sz="4" w:space="0" w:color="auto"/>
              <w:bottom w:val="single" w:sz="4" w:space="0" w:color="auto"/>
            </w:tcBorders>
            <w:shd w:val="clear" w:color="auto" w:fill="D9D9D9" w:themeFill="background1" w:themeFillShade="D9"/>
          </w:tcPr>
          <w:p w14:paraId="3EB4AF7C" w14:textId="1F998FE0" w:rsidR="000B3431" w:rsidRPr="00D93780" w:rsidRDefault="000B3431" w:rsidP="00226D32">
            <w:pPr>
              <w:rPr>
                <w:rFonts w:ascii="Arial" w:hAnsi="Arial" w:cs="Arial"/>
                <w:b/>
                <w:sz w:val="18"/>
                <w:szCs w:val="22"/>
                <w:lang w:val="es-CL"/>
              </w:rPr>
            </w:pPr>
            <w:r w:rsidRPr="00D93780">
              <w:rPr>
                <w:rFonts w:ascii="Arial" w:hAnsi="Arial" w:cs="Arial"/>
                <w:b/>
                <w:sz w:val="18"/>
                <w:szCs w:val="22"/>
                <w:lang w:val="es-CL"/>
              </w:rPr>
              <w:t>Unidad</w:t>
            </w:r>
          </w:p>
        </w:tc>
        <w:tc>
          <w:tcPr>
            <w:tcW w:w="572" w:type="pct"/>
            <w:tcBorders>
              <w:top w:val="single" w:sz="4" w:space="0" w:color="auto"/>
              <w:bottom w:val="single" w:sz="4" w:space="0" w:color="auto"/>
            </w:tcBorders>
            <w:shd w:val="clear" w:color="auto" w:fill="D9D9D9" w:themeFill="background1" w:themeFillShade="D9"/>
          </w:tcPr>
          <w:p w14:paraId="18C53A03" w14:textId="1E0B9DE2" w:rsidR="000B3431" w:rsidRPr="00D93780" w:rsidRDefault="000B3431" w:rsidP="00226D32">
            <w:pPr>
              <w:rPr>
                <w:rFonts w:ascii="Arial" w:hAnsi="Arial" w:cs="Arial"/>
                <w:b/>
                <w:sz w:val="18"/>
                <w:szCs w:val="22"/>
                <w:lang w:val="es-CL"/>
              </w:rPr>
            </w:pPr>
            <w:r w:rsidRPr="00D93780">
              <w:rPr>
                <w:rFonts w:ascii="Arial" w:hAnsi="Arial" w:cs="Arial"/>
                <w:b/>
                <w:sz w:val="18"/>
                <w:szCs w:val="22"/>
                <w:lang w:val="es-CL"/>
              </w:rPr>
              <w:t>Línea de base</w:t>
            </w:r>
          </w:p>
        </w:tc>
        <w:tc>
          <w:tcPr>
            <w:tcW w:w="524" w:type="pct"/>
            <w:tcBorders>
              <w:top w:val="single" w:sz="4" w:space="0" w:color="auto"/>
              <w:bottom w:val="single" w:sz="4" w:space="0" w:color="auto"/>
            </w:tcBorders>
            <w:shd w:val="clear" w:color="auto" w:fill="D9D9D9" w:themeFill="background1" w:themeFillShade="D9"/>
          </w:tcPr>
          <w:p w14:paraId="18C53A04" w14:textId="77777777" w:rsidR="000B3431" w:rsidRPr="00D93780" w:rsidRDefault="000B3431" w:rsidP="009E619F">
            <w:pPr>
              <w:jc w:val="center"/>
              <w:rPr>
                <w:rFonts w:ascii="Arial" w:hAnsi="Arial" w:cs="Arial"/>
                <w:b/>
                <w:sz w:val="18"/>
                <w:szCs w:val="22"/>
                <w:lang w:val="es-CL"/>
              </w:rPr>
            </w:pPr>
            <w:r w:rsidRPr="00D93780">
              <w:rPr>
                <w:rFonts w:ascii="Arial" w:hAnsi="Arial" w:cs="Arial"/>
                <w:b/>
                <w:sz w:val="18"/>
                <w:szCs w:val="22"/>
                <w:lang w:val="es-CL"/>
              </w:rPr>
              <w:t>2019</w:t>
            </w:r>
          </w:p>
        </w:tc>
      </w:tr>
      <w:tr w:rsidR="000B3431" w:rsidRPr="00D93780" w14:paraId="18C53A0F" w14:textId="77777777" w:rsidTr="00694FB3">
        <w:tc>
          <w:tcPr>
            <w:tcW w:w="1184" w:type="pct"/>
            <w:tcBorders>
              <w:top w:val="single" w:sz="4" w:space="0" w:color="auto"/>
              <w:bottom w:val="single" w:sz="4" w:space="0" w:color="auto"/>
            </w:tcBorders>
          </w:tcPr>
          <w:p w14:paraId="18C53A0B" w14:textId="58448A7D" w:rsidR="000B3431" w:rsidRPr="00D93780" w:rsidRDefault="008430CC" w:rsidP="002C1C5F">
            <w:pPr>
              <w:pStyle w:val="ListParagraph"/>
              <w:numPr>
                <w:ilvl w:val="0"/>
                <w:numId w:val="23"/>
              </w:numPr>
              <w:rPr>
                <w:rFonts w:ascii="Arial" w:hAnsi="Arial" w:cs="Arial"/>
                <w:sz w:val="18"/>
                <w:szCs w:val="22"/>
                <w:lang w:val="es-ES_tradnl"/>
              </w:rPr>
            </w:pPr>
            <w:r w:rsidRPr="00D93780">
              <w:rPr>
                <w:rFonts w:ascii="Arial" w:hAnsi="Arial" w:cs="Arial"/>
                <w:sz w:val="18"/>
                <w:szCs w:val="22"/>
                <w:lang w:val="es-ES_tradnl"/>
              </w:rPr>
              <w:t>Recaudación de la contribución inmobiliaria incrementada (morosidad disminuida)</w:t>
            </w:r>
          </w:p>
        </w:tc>
        <w:tc>
          <w:tcPr>
            <w:tcW w:w="1960" w:type="pct"/>
            <w:tcBorders>
              <w:top w:val="single" w:sz="4" w:space="0" w:color="auto"/>
              <w:bottom w:val="single" w:sz="4" w:space="0" w:color="auto"/>
            </w:tcBorders>
            <w:vAlign w:val="center"/>
          </w:tcPr>
          <w:p w14:paraId="18C53A0C" w14:textId="7AED33ED" w:rsidR="000B3431" w:rsidRPr="00D93780" w:rsidRDefault="008430CC" w:rsidP="008430CC">
            <w:pPr>
              <w:spacing w:before="30" w:after="30"/>
              <w:rPr>
                <w:rFonts w:ascii="Arial" w:hAnsi="Arial" w:cs="Arial"/>
                <w:sz w:val="18"/>
                <w:szCs w:val="22"/>
                <w:lang w:val="es-ES_tradnl"/>
              </w:rPr>
            </w:pPr>
            <w:r w:rsidRPr="00D93780">
              <w:rPr>
                <w:rFonts w:ascii="Arial" w:hAnsi="Arial" w:cs="Arial"/>
                <w:sz w:val="18"/>
                <w:szCs w:val="22"/>
                <w:lang w:val="es-ES_tradnl"/>
              </w:rPr>
              <w:t xml:space="preserve">Incremento </w:t>
            </w:r>
            <w:r w:rsidR="00C30FE5" w:rsidRPr="00D93780">
              <w:rPr>
                <w:rFonts w:ascii="Arial" w:hAnsi="Arial" w:cs="Arial"/>
                <w:sz w:val="18"/>
                <w:szCs w:val="22"/>
                <w:lang w:val="es-ES_tradnl"/>
              </w:rPr>
              <w:t xml:space="preserve">en puntos </w:t>
            </w:r>
            <w:r w:rsidRPr="00D93780">
              <w:rPr>
                <w:rFonts w:ascii="Arial" w:hAnsi="Arial" w:cs="Arial"/>
                <w:sz w:val="18"/>
                <w:szCs w:val="22"/>
                <w:lang w:val="es-ES_tradnl"/>
              </w:rPr>
              <w:t>porcentual</w:t>
            </w:r>
            <w:r w:rsidR="00C30FE5" w:rsidRPr="00D93780">
              <w:rPr>
                <w:rFonts w:ascii="Arial" w:hAnsi="Arial" w:cs="Arial"/>
                <w:sz w:val="18"/>
                <w:szCs w:val="22"/>
                <w:lang w:val="es-ES_tradnl"/>
              </w:rPr>
              <w:t>es</w:t>
            </w:r>
            <w:r w:rsidRPr="00D93780">
              <w:rPr>
                <w:rFonts w:ascii="Arial" w:hAnsi="Arial" w:cs="Arial"/>
                <w:sz w:val="18"/>
                <w:szCs w:val="22"/>
                <w:lang w:val="es-ES_tradnl"/>
              </w:rPr>
              <w:t xml:space="preserve"> de la recaudación en términos reales sobre el promedio porcentual de los cuatro últimos años</w:t>
            </w:r>
          </w:p>
        </w:tc>
        <w:tc>
          <w:tcPr>
            <w:tcW w:w="760" w:type="pct"/>
            <w:tcBorders>
              <w:top w:val="single" w:sz="4" w:space="0" w:color="auto"/>
              <w:bottom w:val="single" w:sz="4" w:space="0" w:color="auto"/>
            </w:tcBorders>
            <w:vAlign w:val="center"/>
          </w:tcPr>
          <w:p w14:paraId="76BF4D2B" w14:textId="02762147" w:rsidR="000B3431" w:rsidRPr="00D93780" w:rsidRDefault="00C30FE5" w:rsidP="008430CC">
            <w:pPr>
              <w:jc w:val="center"/>
              <w:rPr>
                <w:rFonts w:ascii="Arial" w:hAnsi="Arial" w:cs="Arial"/>
                <w:bCs/>
                <w:color w:val="000000"/>
                <w:sz w:val="18"/>
                <w:szCs w:val="22"/>
              </w:rPr>
            </w:pPr>
            <w:r w:rsidRPr="00D93780">
              <w:rPr>
                <w:rFonts w:ascii="Arial" w:hAnsi="Arial" w:cs="Arial"/>
                <w:bCs/>
                <w:color w:val="000000"/>
                <w:sz w:val="18"/>
                <w:szCs w:val="22"/>
              </w:rPr>
              <w:t>Puntos porcentuales</w:t>
            </w:r>
          </w:p>
        </w:tc>
        <w:tc>
          <w:tcPr>
            <w:tcW w:w="572" w:type="pct"/>
            <w:tcBorders>
              <w:top w:val="single" w:sz="4" w:space="0" w:color="auto"/>
              <w:bottom w:val="single" w:sz="4" w:space="0" w:color="auto"/>
            </w:tcBorders>
            <w:vAlign w:val="center"/>
          </w:tcPr>
          <w:p w14:paraId="18C53A0D" w14:textId="7EC46FC4" w:rsidR="000B3431" w:rsidRPr="00D93780" w:rsidRDefault="00C30FE5" w:rsidP="00372D79">
            <w:pPr>
              <w:jc w:val="center"/>
              <w:rPr>
                <w:rFonts w:ascii="Arial" w:hAnsi="Arial" w:cs="Arial"/>
                <w:bCs/>
                <w:color w:val="000000"/>
                <w:sz w:val="18"/>
                <w:szCs w:val="22"/>
              </w:rPr>
            </w:pPr>
            <w:r w:rsidRPr="00D93780">
              <w:rPr>
                <w:rFonts w:ascii="Arial" w:hAnsi="Arial" w:cs="Arial"/>
                <w:bCs/>
                <w:color w:val="000000"/>
                <w:sz w:val="18"/>
                <w:szCs w:val="22"/>
              </w:rPr>
              <w:t>1,4</w:t>
            </w:r>
          </w:p>
        </w:tc>
        <w:tc>
          <w:tcPr>
            <w:tcW w:w="524" w:type="pct"/>
            <w:tcBorders>
              <w:top w:val="single" w:sz="4" w:space="0" w:color="auto"/>
              <w:bottom w:val="single" w:sz="4" w:space="0" w:color="auto"/>
            </w:tcBorders>
            <w:vAlign w:val="center"/>
          </w:tcPr>
          <w:p w14:paraId="18C53A0E" w14:textId="6E31850F" w:rsidR="000B3431" w:rsidRPr="00D93780" w:rsidRDefault="002D489E" w:rsidP="00592DF1">
            <w:pPr>
              <w:spacing w:before="30" w:after="30" w:line="276" w:lineRule="auto"/>
              <w:jc w:val="center"/>
              <w:rPr>
                <w:rFonts w:ascii="Arial" w:hAnsi="Arial" w:cs="Arial"/>
                <w:sz w:val="18"/>
                <w:szCs w:val="22"/>
                <w:lang w:val="es-ES_tradnl"/>
              </w:rPr>
            </w:pPr>
            <w:r w:rsidRPr="00D93780">
              <w:rPr>
                <w:rFonts w:ascii="Arial" w:hAnsi="Arial" w:cs="Arial"/>
                <w:sz w:val="18"/>
                <w:szCs w:val="22"/>
                <w:lang w:val="es-ES_tradnl"/>
              </w:rPr>
              <w:t>5</w:t>
            </w:r>
          </w:p>
        </w:tc>
      </w:tr>
      <w:tr w:rsidR="00C30FE5" w:rsidRPr="00D93780" w14:paraId="184299FF" w14:textId="77777777" w:rsidTr="00694FB3">
        <w:tc>
          <w:tcPr>
            <w:tcW w:w="1184" w:type="pct"/>
            <w:tcBorders>
              <w:top w:val="single" w:sz="4" w:space="0" w:color="auto"/>
              <w:bottom w:val="single" w:sz="4" w:space="0" w:color="auto"/>
            </w:tcBorders>
          </w:tcPr>
          <w:p w14:paraId="58D327D8" w14:textId="77777777" w:rsidR="00C30FE5" w:rsidRPr="00D93780" w:rsidRDefault="00C30FE5" w:rsidP="002C1C5F">
            <w:pPr>
              <w:pStyle w:val="ListParagraph"/>
              <w:numPr>
                <w:ilvl w:val="0"/>
                <w:numId w:val="23"/>
              </w:numPr>
              <w:rPr>
                <w:rFonts w:ascii="Arial" w:hAnsi="Arial" w:cs="Arial"/>
                <w:sz w:val="18"/>
                <w:szCs w:val="22"/>
              </w:rPr>
            </w:pPr>
            <w:r w:rsidRPr="00D93780">
              <w:rPr>
                <w:rFonts w:ascii="Arial" w:hAnsi="Arial" w:cs="Arial"/>
                <w:sz w:val="18"/>
                <w:szCs w:val="22"/>
                <w:lang w:val="es-ES_tradnl"/>
              </w:rPr>
              <w:t>Precio de bienes inmobiliarios en las áreas intervenidas incrementado</w:t>
            </w:r>
          </w:p>
        </w:tc>
        <w:tc>
          <w:tcPr>
            <w:tcW w:w="1960" w:type="pct"/>
            <w:tcBorders>
              <w:top w:val="single" w:sz="4" w:space="0" w:color="auto"/>
              <w:bottom w:val="single" w:sz="4" w:space="0" w:color="auto"/>
            </w:tcBorders>
            <w:vAlign w:val="center"/>
          </w:tcPr>
          <w:p w14:paraId="37AC682E" w14:textId="77777777" w:rsidR="00C30FE5" w:rsidRPr="00D93780" w:rsidRDefault="00C30FE5" w:rsidP="000B3431">
            <w:pPr>
              <w:spacing w:before="30" w:after="30"/>
              <w:rPr>
                <w:rFonts w:ascii="Arial" w:hAnsi="Arial" w:cs="Arial"/>
                <w:sz w:val="18"/>
                <w:szCs w:val="22"/>
                <w:lang w:val="es-ES_tradnl"/>
              </w:rPr>
            </w:pPr>
            <w:r w:rsidRPr="00D93780">
              <w:rPr>
                <w:rFonts w:ascii="Arial" w:hAnsi="Arial" w:cs="Arial"/>
                <w:sz w:val="18"/>
                <w:szCs w:val="22"/>
                <w:lang w:val="es-ES_tradnl"/>
              </w:rPr>
              <w:t>Incremento real promedio del precio, en pesos uruguayos, del m2 de las áreas intervenidas respecto a las áreas sin intervención (valor base del padrón promedio= USD 47.455)</w:t>
            </w:r>
          </w:p>
        </w:tc>
        <w:tc>
          <w:tcPr>
            <w:tcW w:w="760" w:type="pct"/>
            <w:tcBorders>
              <w:top w:val="single" w:sz="4" w:space="0" w:color="auto"/>
              <w:bottom w:val="single" w:sz="4" w:space="0" w:color="auto"/>
            </w:tcBorders>
            <w:vAlign w:val="center"/>
          </w:tcPr>
          <w:p w14:paraId="6C2576F6" w14:textId="77777777" w:rsidR="00C30FE5" w:rsidRPr="00D93780" w:rsidRDefault="00C30FE5" w:rsidP="008430CC">
            <w:pPr>
              <w:spacing w:before="30" w:after="30" w:line="276" w:lineRule="auto"/>
              <w:jc w:val="center"/>
              <w:rPr>
                <w:rFonts w:ascii="Arial" w:hAnsi="Arial" w:cs="Arial"/>
                <w:sz w:val="18"/>
                <w:szCs w:val="22"/>
                <w:lang w:val="es-ES_tradnl"/>
              </w:rPr>
            </w:pPr>
            <w:r w:rsidRPr="00D93780">
              <w:rPr>
                <w:rFonts w:ascii="Arial" w:hAnsi="Arial" w:cs="Arial"/>
                <w:sz w:val="18"/>
                <w:szCs w:val="22"/>
                <w:lang w:val="es-ES_tradnl"/>
              </w:rPr>
              <w:t>%</w:t>
            </w:r>
          </w:p>
        </w:tc>
        <w:tc>
          <w:tcPr>
            <w:tcW w:w="572" w:type="pct"/>
            <w:tcBorders>
              <w:top w:val="single" w:sz="4" w:space="0" w:color="auto"/>
              <w:bottom w:val="single" w:sz="4" w:space="0" w:color="auto"/>
            </w:tcBorders>
            <w:vAlign w:val="center"/>
          </w:tcPr>
          <w:p w14:paraId="7451BBCB" w14:textId="77777777" w:rsidR="00C30FE5" w:rsidRPr="00D93780" w:rsidRDefault="00C30FE5" w:rsidP="00592DF1">
            <w:pPr>
              <w:spacing w:before="30" w:after="30" w:line="276" w:lineRule="auto"/>
              <w:jc w:val="center"/>
              <w:rPr>
                <w:rFonts w:ascii="Arial" w:hAnsi="Arial" w:cs="Arial"/>
                <w:sz w:val="18"/>
                <w:szCs w:val="22"/>
                <w:lang w:val="es-ES_tradnl"/>
              </w:rPr>
            </w:pPr>
            <w:r w:rsidRPr="00D93780">
              <w:rPr>
                <w:rFonts w:ascii="Arial" w:hAnsi="Arial" w:cs="Arial"/>
                <w:sz w:val="18"/>
                <w:szCs w:val="22"/>
                <w:lang w:val="es-ES_tradnl"/>
              </w:rPr>
              <w:t>0</w:t>
            </w:r>
          </w:p>
        </w:tc>
        <w:tc>
          <w:tcPr>
            <w:tcW w:w="524" w:type="pct"/>
            <w:tcBorders>
              <w:top w:val="single" w:sz="4" w:space="0" w:color="auto"/>
              <w:bottom w:val="single" w:sz="4" w:space="0" w:color="auto"/>
            </w:tcBorders>
            <w:vAlign w:val="center"/>
          </w:tcPr>
          <w:p w14:paraId="7E9E4178" w14:textId="1047D1C9" w:rsidR="00C30FE5" w:rsidRPr="00D93780" w:rsidRDefault="006B7641" w:rsidP="006B7641">
            <w:pPr>
              <w:spacing w:before="30" w:after="30" w:line="276" w:lineRule="auto"/>
              <w:jc w:val="center"/>
              <w:rPr>
                <w:rFonts w:ascii="Arial" w:hAnsi="Arial" w:cs="Arial"/>
                <w:sz w:val="18"/>
                <w:szCs w:val="22"/>
                <w:lang w:val="es-ES_tradnl"/>
              </w:rPr>
            </w:pPr>
            <w:r w:rsidRPr="00D93780">
              <w:rPr>
                <w:rFonts w:ascii="Arial" w:hAnsi="Arial" w:cs="Arial"/>
                <w:sz w:val="18"/>
                <w:szCs w:val="22"/>
                <w:lang w:val="es-ES_tradnl"/>
              </w:rPr>
              <w:t>23,51</w:t>
            </w:r>
            <w:r w:rsidR="00C30FE5" w:rsidRPr="00D93780">
              <w:rPr>
                <w:rFonts w:ascii="Arial" w:hAnsi="Arial" w:cs="Arial"/>
                <w:sz w:val="18"/>
                <w:szCs w:val="22"/>
                <w:lang w:val="es-ES_tradnl"/>
              </w:rPr>
              <w:t>%</w:t>
            </w:r>
          </w:p>
        </w:tc>
      </w:tr>
    </w:tbl>
    <w:p w14:paraId="18C53A10" w14:textId="77777777" w:rsidR="009E619F" w:rsidRPr="00D93780" w:rsidRDefault="009E619F" w:rsidP="00483784">
      <w:pPr>
        <w:pStyle w:val="ListParagraph"/>
        <w:spacing w:line="276" w:lineRule="auto"/>
        <w:ind w:left="360"/>
        <w:jc w:val="both"/>
        <w:rPr>
          <w:rFonts w:ascii="Arial" w:hAnsi="Arial" w:cs="Arial"/>
          <w:sz w:val="22"/>
          <w:szCs w:val="22"/>
        </w:rPr>
      </w:pPr>
    </w:p>
    <w:p w14:paraId="0FEA119E" w14:textId="43BC3E6A" w:rsidR="00CB45E3" w:rsidRPr="00D93780" w:rsidRDefault="00CB45E3"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El segundo indicador de resultado es “</w:t>
      </w:r>
      <w:r w:rsidRPr="00D93780">
        <w:rPr>
          <w:rFonts w:ascii="Arial" w:hAnsi="Arial" w:cs="Arial"/>
          <w:i/>
          <w:sz w:val="22"/>
          <w:szCs w:val="22"/>
          <w:lang w:val="es-ES_tradnl"/>
        </w:rPr>
        <w:t>Incremento real promedio del precio, en pesos uruguayos, del m2 de las áreas intervenidas respecto a las áreas sin intervención</w:t>
      </w:r>
      <w:r w:rsidRPr="00D93780">
        <w:rPr>
          <w:rFonts w:ascii="Arial" w:hAnsi="Arial" w:cs="Arial"/>
          <w:sz w:val="22"/>
          <w:szCs w:val="22"/>
          <w:lang w:val="es-ES_tradnl"/>
        </w:rPr>
        <w:t xml:space="preserve">”. En el marco del Programa está previsto financiar inversiones </w:t>
      </w:r>
      <w:r w:rsidRPr="00D93780">
        <w:rPr>
          <w:rFonts w:ascii="Arial" w:hAnsi="Arial" w:cs="Arial"/>
          <w:sz w:val="22"/>
          <w:szCs w:val="22"/>
          <w:lang w:val="es-ES_tradnl"/>
        </w:rPr>
        <w:lastRenderedPageBreak/>
        <w:t>destinadas a mejorar la infraestructura pública en los departamentos. En términos generales se financiarán obras vinculadas con mejoramiento del hábitat, servicios y equipamientos urbanos, accesibilidad y conectividad y saneamiento y mejoramiento ambiental. Los recursos económicos para ejecutar las obras públicas están consignados en el Componente 2</w:t>
      </w:r>
      <w:r w:rsidR="0055490B" w:rsidRPr="00D93780">
        <w:rPr>
          <w:rFonts w:ascii="Arial" w:hAnsi="Arial" w:cs="Arial"/>
          <w:sz w:val="22"/>
          <w:szCs w:val="22"/>
        </w:rPr>
        <w:t xml:space="preserve"> (USD 78,64 millones de inversión)</w:t>
      </w:r>
      <w:r w:rsidRPr="00D93780">
        <w:rPr>
          <w:rFonts w:ascii="Arial" w:hAnsi="Arial" w:cs="Arial"/>
          <w:sz w:val="22"/>
          <w:szCs w:val="22"/>
          <w:lang w:val="es-ES_tradnl"/>
        </w:rPr>
        <w:t>.</w:t>
      </w:r>
    </w:p>
    <w:p w14:paraId="5A5B57A6" w14:textId="6CDD271A" w:rsidR="00CB45E3" w:rsidRPr="00D93780" w:rsidRDefault="00CB45E3"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Estas mejoras en las condiciones urbanas tienen efectos directos en el valor de mercado de los terrenos y edificios, así como en el valor de los negocios (comercios, talleres, etc.), ubicados en las proximidades de las obras. En la sección </w:t>
      </w:r>
      <w:r w:rsidRPr="00D93780">
        <w:rPr>
          <w:rFonts w:ascii="Arial" w:hAnsi="Arial" w:cs="Arial"/>
          <w:sz w:val="22"/>
          <w:szCs w:val="22"/>
          <w:highlight w:val="yellow"/>
          <w:lang w:val="es-ES_tradnl"/>
        </w:rPr>
        <w:fldChar w:fldCharType="begin"/>
      </w:r>
      <w:r w:rsidRPr="00D93780">
        <w:rPr>
          <w:rFonts w:ascii="Arial" w:hAnsi="Arial" w:cs="Arial"/>
          <w:sz w:val="22"/>
          <w:szCs w:val="22"/>
          <w:lang w:val="es-ES_tradnl"/>
        </w:rPr>
        <w:instrText xml:space="preserve"> REF _Ref455048647 \r \h </w:instrText>
      </w:r>
      <w:r w:rsidR="00D93780" w:rsidRPr="00D93780">
        <w:rPr>
          <w:rFonts w:ascii="Arial" w:hAnsi="Arial" w:cs="Arial"/>
          <w:sz w:val="22"/>
          <w:szCs w:val="22"/>
          <w:highlight w:val="yellow"/>
          <w:lang w:val="es-ES_tradnl"/>
        </w:rPr>
        <w:instrText xml:space="preserve"> \* MERGEFORMAT </w:instrText>
      </w:r>
      <w:r w:rsidRPr="00D93780">
        <w:rPr>
          <w:rFonts w:ascii="Arial" w:hAnsi="Arial" w:cs="Arial"/>
          <w:sz w:val="22"/>
          <w:szCs w:val="22"/>
          <w:highlight w:val="yellow"/>
          <w:lang w:val="es-ES_tradnl"/>
        </w:rPr>
      </w:r>
      <w:r w:rsidRPr="00D93780">
        <w:rPr>
          <w:rFonts w:ascii="Arial" w:hAnsi="Arial" w:cs="Arial"/>
          <w:sz w:val="22"/>
          <w:szCs w:val="22"/>
          <w:highlight w:val="yellow"/>
          <w:lang w:val="es-ES_tradnl"/>
        </w:rPr>
        <w:fldChar w:fldCharType="separate"/>
      </w:r>
      <w:r w:rsidRPr="00D93780">
        <w:rPr>
          <w:rFonts w:ascii="Arial" w:hAnsi="Arial" w:cs="Arial"/>
          <w:sz w:val="22"/>
          <w:szCs w:val="22"/>
          <w:lang w:val="es-ES_tradnl"/>
        </w:rPr>
        <w:t>2</w:t>
      </w:r>
      <w:r w:rsidRPr="00D93780">
        <w:rPr>
          <w:rFonts w:ascii="Arial" w:hAnsi="Arial" w:cs="Arial"/>
          <w:sz w:val="22"/>
          <w:szCs w:val="22"/>
          <w:highlight w:val="yellow"/>
          <w:lang w:val="es-ES_tradnl"/>
        </w:rPr>
        <w:fldChar w:fldCharType="end"/>
      </w:r>
      <w:r w:rsidRPr="00D93780">
        <w:rPr>
          <w:rFonts w:ascii="Arial" w:hAnsi="Arial" w:cs="Arial"/>
          <w:sz w:val="22"/>
          <w:szCs w:val="22"/>
          <w:lang w:val="es-ES_tradnl"/>
        </w:rPr>
        <w:t xml:space="preserve"> se discutirán con más detalle estos aspectos. </w:t>
      </w:r>
    </w:p>
    <w:p w14:paraId="7E6E3E89" w14:textId="77777777" w:rsidR="00DE7CFA" w:rsidRPr="00D93780" w:rsidRDefault="00DE7CFA" w:rsidP="00462E76">
      <w:pPr>
        <w:pStyle w:val="Heading3"/>
        <w:spacing w:before="120" w:after="120"/>
        <w:rPr>
          <w:rFonts w:ascii="Arial" w:hAnsi="Arial"/>
          <w:szCs w:val="22"/>
        </w:rPr>
      </w:pPr>
      <w:bookmarkStart w:id="7" w:name="_Toc456337501"/>
      <w:r w:rsidRPr="00D93780">
        <w:rPr>
          <w:rFonts w:ascii="Arial" w:hAnsi="Arial"/>
          <w:szCs w:val="22"/>
        </w:rPr>
        <w:t>Tipo de análisis aplicado para la valoración económica</w:t>
      </w:r>
      <w:bookmarkEnd w:id="7"/>
    </w:p>
    <w:p w14:paraId="66621AC8" w14:textId="69CEA346" w:rsidR="00DE7CFA" w:rsidRPr="00D93780" w:rsidRDefault="00DE7CFA"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Dado que los impactos o beneficios que se deducen de la matriz de resultados están expresados en valores monetarios, para la valoración económica del programa se ha recurrido al análisis costo-beneficio (ACB). Este método compara el valor de los costos (inversiones y otros gastos vinculados) </w:t>
      </w:r>
      <w:r w:rsidR="000B4D01" w:rsidRPr="00D93780">
        <w:rPr>
          <w:rFonts w:ascii="Arial" w:hAnsi="Arial" w:cs="Arial"/>
          <w:sz w:val="22"/>
          <w:szCs w:val="22"/>
        </w:rPr>
        <w:t>con el valor presente neto</w:t>
      </w:r>
      <w:r w:rsidRPr="00D93780">
        <w:rPr>
          <w:rFonts w:ascii="Arial" w:hAnsi="Arial" w:cs="Arial"/>
          <w:sz w:val="22"/>
          <w:szCs w:val="22"/>
        </w:rPr>
        <w:t xml:space="preserve"> de los flujos de los beneficios estimados por el programa. Si la diferencia de los beneficios y los costos </w:t>
      </w:r>
      <w:r w:rsidR="000B4D01" w:rsidRPr="00D93780">
        <w:rPr>
          <w:rFonts w:ascii="Arial" w:hAnsi="Arial" w:cs="Arial"/>
          <w:sz w:val="22"/>
          <w:szCs w:val="22"/>
        </w:rPr>
        <w:t xml:space="preserve">descontados </w:t>
      </w:r>
      <w:r w:rsidRPr="00D93780">
        <w:rPr>
          <w:rFonts w:ascii="Arial" w:hAnsi="Arial" w:cs="Arial"/>
          <w:sz w:val="22"/>
          <w:szCs w:val="22"/>
        </w:rPr>
        <w:t xml:space="preserve">es positiva, entonces el programa tiene viabilidad económica y es eficiente. Por el contrario, es ineficiente en el caso de que la diferencia sea negativa. </w:t>
      </w:r>
    </w:p>
    <w:p w14:paraId="0FF7D56D" w14:textId="77777777" w:rsidR="00DE7CFA" w:rsidRPr="00D93780" w:rsidRDefault="00DE7CFA"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Sin embargo, el hecho de que la opción evaluada sea </w:t>
      </w:r>
      <w:r w:rsidRPr="00D93780">
        <w:rPr>
          <w:rFonts w:ascii="Arial" w:hAnsi="Arial" w:cs="Arial"/>
          <w:i/>
          <w:sz w:val="22"/>
          <w:szCs w:val="22"/>
        </w:rPr>
        <w:t>per se</w:t>
      </w:r>
      <w:r w:rsidRPr="00D93780">
        <w:rPr>
          <w:rFonts w:ascii="Arial" w:hAnsi="Arial" w:cs="Arial"/>
          <w:sz w:val="22"/>
          <w:szCs w:val="22"/>
        </w:rPr>
        <w:t xml:space="preserve"> eficiente no cabe concluir que sea necesariamente la mejor y, por tanto, la elegible. Pueden existir otras opciones que deberían ser sometidas al mismo procedimiento de evaluación que la opción inicialmente considerada. Sólo bajo estas condiciones de comparación de un amplio rango de opciones debe operar el análisis costo-beneficio.</w:t>
      </w:r>
    </w:p>
    <w:p w14:paraId="31A9627D" w14:textId="68941DDB" w:rsidR="00DE7CFA" w:rsidRPr="00D93780" w:rsidRDefault="00DE7CFA"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Estas consideraciones llevan a establecer las siguientes reglas decisionales: (i) nunca debe ser admitida una opción cuando el valor presente neto de los beneficios (VPB) menos el valor presente de los costos (VPC) sea negativo (VPN = VPB – VPC &gt; 0); (ii) en el caso de restricciones presupuestarias, seleccionar el subconjunto de opciones que maximizan el VPN; y (iii) en el caso de opciones mutuamente excluyentes, elegir la que maximice el VPN.</w:t>
      </w:r>
      <w:r w:rsidRPr="00D93780">
        <w:rPr>
          <w:rStyle w:val="FootnoteReference"/>
          <w:rFonts w:ascii="Arial" w:hAnsi="Arial" w:cs="Arial"/>
          <w:sz w:val="22"/>
          <w:szCs w:val="22"/>
        </w:rPr>
        <w:footnoteReference w:id="3"/>
      </w:r>
    </w:p>
    <w:p w14:paraId="259EAF70" w14:textId="255563AF" w:rsidR="009659D0" w:rsidRPr="00D93780" w:rsidRDefault="009659D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El periodo considerado para evaluar los efectos de las inversiones es de 20 años.</w:t>
      </w:r>
    </w:p>
    <w:p w14:paraId="406B8868" w14:textId="3B02E786" w:rsidR="00D07524" w:rsidRPr="00D93780" w:rsidRDefault="00D07524" w:rsidP="00462E76">
      <w:pPr>
        <w:pStyle w:val="Heading3"/>
        <w:spacing w:before="120" w:after="120"/>
        <w:rPr>
          <w:rFonts w:ascii="Arial" w:hAnsi="Arial"/>
          <w:szCs w:val="22"/>
        </w:rPr>
      </w:pPr>
      <w:bookmarkStart w:id="8" w:name="_Toc456337502"/>
      <w:r w:rsidRPr="00D93780">
        <w:rPr>
          <w:rFonts w:ascii="Arial" w:hAnsi="Arial"/>
          <w:szCs w:val="22"/>
        </w:rPr>
        <w:t>Diseño del an</w:t>
      </w:r>
      <w:r w:rsidR="0057451D" w:rsidRPr="00D93780">
        <w:rPr>
          <w:rFonts w:ascii="Arial" w:hAnsi="Arial"/>
          <w:szCs w:val="22"/>
        </w:rPr>
        <w:t>álisis costo-</w:t>
      </w:r>
      <w:r w:rsidRPr="00D93780">
        <w:rPr>
          <w:rFonts w:ascii="Arial" w:hAnsi="Arial"/>
          <w:szCs w:val="22"/>
        </w:rPr>
        <w:t>beneficio</w:t>
      </w:r>
      <w:bookmarkEnd w:id="8"/>
    </w:p>
    <w:p w14:paraId="42608242" w14:textId="22DAE2E9" w:rsidR="008A5431" w:rsidRPr="00D93780" w:rsidRDefault="00D07524"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lang w:val="es-ES_tradnl"/>
        </w:rPr>
        <w:t>A los efectos del análisis económico</w:t>
      </w:r>
      <w:r w:rsidR="0057451D" w:rsidRPr="00D93780">
        <w:rPr>
          <w:rFonts w:ascii="Arial" w:hAnsi="Arial" w:cs="Arial"/>
          <w:sz w:val="22"/>
          <w:szCs w:val="22"/>
          <w:lang w:val="es-ES_tradnl"/>
        </w:rPr>
        <w:t xml:space="preserve">, se realizarán </w:t>
      </w:r>
      <w:r w:rsidR="003B5FDF" w:rsidRPr="00D93780">
        <w:rPr>
          <w:rFonts w:ascii="Arial" w:hAnsi="Arial" w:cs="Arial"/>
          <w:sz w:val="22"/>
          <w:szCs w:val="22"/>
          <w:lang w:val="es-ES_tradnl"/>
        </w:rPr>
        <w:t>dos</w:t>
      </w:r>
      <w:r w:rsidR="0057451D" w:rsidRPr="00D93780">
        <w:rPr>
          <w:rFonts w:ascii="Arial" w:hAnsi="Arial" w:cs="Arial"/>
          <w:sz w:val="22"/>
          <w:szCs w:val="22"/>
          <w:lang w:val="es-ES_tradnl"/>
        </w:rPr>
        <w:t xml:space="preserve"> análisis costo-</w:t>
      </w:r>
      <w:r w:rsidR="00440711" w:rsidRPr="00D93780">
        <w:rPr>
          <w:rFonts w:ascii="Arial" w:hAnsi="Arial" w:cs="Arial"/>
          <w:sz w:val="22"/>
          <w:szCs w:val="22"/>
          <w:lang w:val="es-ES_tradnl"/>
        </w:rPr>
        <w:t xml:space="preserve">beneficio con el fin de reflejar adecuadamente las </w:t>
      </w:r>
      <w:r w:rsidR="00DD3485" w:rsidRPr="00D93780">
        <w:rPr>
          <w:rFonts w:ascii="Arial" w:hAnsi="Arial" w:cs="Arial"/>
          <w:sz w:val="22"/>
          <w:szCs w:val="22"/>
          <w:lang w:val="es-ES_tradnl"/>
        </w:rPr>
        <w:t>diferencias sustantivas de las</w:t>
      </w:r>
      <w:r w:rsidR="00440711" w:rsidRPr="00D93780">
        <w:rPr>
          <w:rFonts w:ascii="Arial" w:hAnsi="Arial" w:cs="Arial"/>
          <w:sz w:val="22"/>
          <w:szCs w:val="22"/>
          <w:lang w:val="es-ES_tradnl"/>
        </w:rPr>
        <w:t xml:space="preserve"> actividades que se</w:t>
      </w:r>
      <w:r w:rsidR="003B5FDF" w:rsidRPr="00D93780">
        <w:rPr>
          <w:rFonts w:ascii="Arial" w:hAnsi="Arial" w:cs="Arial"/>
          <w:sz w:val="22"/>
          <w:szCs w:val="22"/>
          <w:lang w:val="es-ES_tradnl"/>
        </w:rPr>
        <w:t xml:space="preserve">rán financiadas con el Programa, de acuerdo con cada uno de los objetivos establecidos en los dos componentes </w:t>
      </w:r>
      <w:r w:rsidR="00440711" w:rsidRPr="00D93780">
        <w:rPr>
          <w:rFonts w:ascii="Arial" w:hAnsi="Arial" w:cs="Arial"/>
          <w:sz w:val="22"/>
          <w:szCs w:val="22"/>
          <w:lang w:val="es-ES_tradnl"/>
        </w:rPr>
        <w:t xml:space="preserve">(ver cuadro 2). </w:t>
      </w:r>
    </w:p>
    <w:p w14:paraId="1D53DD09" w14:textId="77777777" w:rsidR="008A5431" w:rsidRDefault="008A5431" w:rsidP="008A5431">
      <w:pPr>
        <w:pStyle w:val="ListParagraph"/>
        <w:spacing w:line="276" w:lineRule="auto"/>
        <w:ind w:left="567"/>
        <w:jc w:val="both"/>
        <w:rPr>
          <w:rFonts w:ascii="Arial" w:hAnsi="Arial" w:cs="Arial"/>
          <w:sz w:val="22"/>
          <w:szCs w:val="22"/>
        </w:rPr>
      </w:pPr>
    </w:p>
    <w:p w14:paraId="29B5CC6A" w14:textId="77777777" w:rsidR="00462E76" w:rsidRDefault="00462E76" w:rsidP="008A5431">
      <w:pPr>
        <w:pStyle w:val="ListParagraph"/>
        <w:spacing w:line="276" w:lineRule="auto"/>
        <w:ind w:left="567"/>
        <w:jc w:val="both"/>
        <w:rPr>
          <w:rFonts w:ascii="Arial" w:hAnsi="Arial" w:cs="Arial"/>
          <w:sz w:val="22"/>
          <w:szCs w:val="22"/>
        </w:rPr>
      </w:pPr>
    </w:p>
    <w:p w14:paraId="3E6FBCD9" w14:textId="77777777" w:rsidR="00462E76" w:rsidRPr="00D93780" w:rsidRDefault="00462E76" w:rsidP="008A5431">
      <w:pPr>
        <w:pStyle w:val="ListParagraph"/>
        <w:spacing w:line="276" w:lineRule="auto"/>
        <w:ind w:left="567"/>
        <w:jc w:val="both"/>
        <w:rPr>
          <w:rFonts w:ascii="Arial" w:hAnsi="Arial" w:cs="Arial"/>
          <w:sz w:val="22"/>
          <w:szCs w:val="22"/>
        </w:rPr>
      </w:pPr>
    </w:p>
    <w:p w14:paraId="36D54428" w14:textId="688EFBF2" w:rsidR="00440711" w:rsidRPr="00462E76" w:rsidRDefault="00440711" w:rsidP="00462E76">
      <w:pPr>
        <w:pStyle w:val="ListParagraph"/>
        <w:spacing w:after="120"/>
        <w:ind w:left="0"/>
        <w:jc w:val="center"/>
        <w:rPr>
          <w:rFonts w:ascii="Arial" w:hAnsi="Arial" w:cs="Arial"/>
          <w:b/>
          <w:sz w:val="18"/>
          <w:szCs w:val="22"/>
        </w:rPr>
      </w:pPr>
      <w:r w:rsidRPr="00462E76">
        <w:rPr>
          <w:rFonts w:ascii="Arial" w:hAnsi="Arial" w:cs="Arial"/>
          <w:b/>
          <w:sz w:val="18"/>
          <w:szCs w:val="22"/>
        </w:rPr>
        <w:t>Cuadro 2. Análisis costo-beneficio a realizar</w:t>
      </w:r>
    </w:p>
    <w:tbl>
      <w:tblPr>
        <w:tblW w:w="4634" w:type="pct"/>
        <w:tblInd w:w="648" w:type="dxa"/>
        <w:tblLook w:val="04A0" w:firstRow="1" w:lastRow="0" w:firstColumn="1" w:lastColumn="0" w:noHBand="0" w:noVBand="1"/>
      </w:tblPr>
      <w:tblGrid>
        <w:gridCol w:w="2430"/>
        <w:gridCol w:w="2124"/>
        <w:gridCol w:w="1968"/>
        <w:gridCol w:w="1686"/>
      </w:tblGrid>
      <w:tr w:rsidR="008B731E" w:rsidRPr="00D93780" w14:paraId="78520CCE" w14:textId="2F5000F2" w:rsidTr="00694FB3">
        <w:trPr>
          <w:cantSplit/>
          <w:tblHeader/>
        </w:trPr>
        <w:tc>
          <w:tcPr>
            <w:tcW w:w="1480" w:type="pct"/>
            <w:tcBorders>
              <w:top w:val="single" w:sz="4" w:space="0" w:color="auto"/>
              <w:bottom w:val="single" w:sz="4" w:space="0" w:color="auto"/>
            </w:tcBorders>
            <w:shd w:val="clear" w:color="auto" w:fill="D9D9D9" w:themeFill="background1" w:themeFillShade="D9"/>
          </w:tcPr>
          <w:p w14:paraId="2EA4907E" w14:textId="137B7134" w:rsidR="008B731E" w:rsidRPr="00D93780" w:rsidRDefault="008B731E" w:rsidP="00373187">
            <w:pPr>
              <w:tabs>
                <w:tab w:val="left" w:pos="435"/>
              </w:tabs>
              <w:ind w:left="426" w:hanging="426"/>
              <w:rPr>
                <w:rFonts w:ascii="Arial" w:hAnsi="Arial" w:cs="Arial"/>
                <w:b/>
                <w:sz w:val="18"/>
                <w:szCs w:val="22"/>
                <w:lang w:val="es-ES_tradnl"/>
              </w:rPr>
            </w:pPr>
            <w:r w:rsidRPr="00D93780">
              <w:rPr>
                <w:rFonts w:ascii="Arial" w:hAnsi="Arial" w:cs="Arial"/>
                <w:b/>
                <w:sz w:val="18"/>
                <w:szCs w:val="22"/>
                <w:lang w:val="es-ES_tradnl"/>
              </w:rPr>
              <w:t>Tipo de actividades</w:t>
            </w:r>
          </w:p>
        </w:tc>
        <w:tc>
          <w:tcPr>
            <w:tcW w:w="1294" w:type="pct"/>
            <w:tcBorders>
              <w:top w:val="single" w:sz="4" w:space="0" w:color="auto"/>
              <w:bottom w:val="single" w:sz="4" w:space="0" w:color="auto"/>
            </w:tcBorders>
            <w:shd w:val="clear" w:color="auto" w:fill="D9D9D9" w:themeFill="background1" w:themeFillShade="D9"/>
          </w:tcPr>
          <w:p w14:paraId="7A480311" w14:textId="09198410" w:rsidR="008B731E" w:rsidRPr="00D93780" w:rsidRDefault="008B731E" w:rsidP="00373187">
            <w:pPr>
              <w:jc w:val="center"/>
              <w:rPr>
                <w:rFonts w:ascii="Arial" w:hAnsi="Arial" w:cs="Arial"/>
                <w:b/>
                <w:sz w:val="18"/>
                <w:szCs w:val="22"/>
                <w:lang w:val="es-CL"/>
              </w:rPr>
            </w:pPr>
            <w:r w:rsidRPr="00D93780">
              <w:rPr>
                <w:rFonts w:ascii="Arial" w:hAnsi="Arial" w:cs="Arial"/>
                <w:b/>
                <w:sz w:val="18"/>
                <w:szCs w:val="22"/>
                <w:lang w:val="es-CL"/>
              </w:rPr>
              <w:t>Línea de trabajo</w:t>
            </w:r>
          </w:p>
        </w:tc>
        <w:tc>
          <w:tcPr>
            <w:tcW w:w="1199" w:type="pct"/>
            <w:tcBorders>
              <w:top w:val="single" w:sz="4" w:space="0" w:color="auto"/>
              <w:bottom w:val="single" w:sz="4" w:space="0" w:color="auto"/>
            </w:tcBorders>
            <w:shd w:val="clear" w:color="auto" w:fill="D9D9D9" w:themeFill="background1" w:themeFillShade="D9"/>
          </w:tcPr>
          <w:p w14:paraId="37AAA673" w14:textId="55833E0E" w:rsidR="008B731E" w:rsidRPr="00D93780" w:rsidRDefault="008B731E" w:rsidP="004A43E7">
            <w:pPr>
              <w:jc w:val="center"/>
              <w:rPr>
                <w:rFonts w:ascii="Arial" w:hAnsi="Arial" w:cs="Arial"/>
                <w:b/>
                <w:sz w:val="18"/>
                <w:szCs w:val="22"/>
                <w:lang w:val="es-CL"/>
              </w:rPr>
            </w:pPr>
            <w:r w:rsidRPr="00D93780">
              <w:rPr>
                <w:rFonts w:ascii="Arial" w:hAnsi="Arial" w:cs="Arial"/>
                <w:b/>
                <w:sz w:val="18"/>
                <w:szCs w:val="22"/>
                <w:lang w:val="es-CL"/>
              </w:rPr>
              <w:t>Monto previsto (USD)</w:t>
            </w:r>
          </w:p>
        </w:tc>
        <w:tc>
          <w:tcPr>
            <w:tcW w:w="1027" w:type="pct"/>
            <w:tcBorders>
              <w:top w:val="single" w:sz="4" w:space="0" w:color="auto"/>
              <w:bottom w:val="single" w:sz="4" w:space="0" w:color="auto"/>
            </w:tcBorders>
            <w:shd w:val="clear" w:color="auto" w:fill="D9D9D9" w:themeFill="background1" w:themeFillShade="D9"/>
          </w:tcPr>
          <w:p w14:paraId="2B4121A7" w14:textId="64EE5CD3" w:rsidR="008B731E" w:rsidRPr="00D93780" w:rsidRDefault="00B368C6" w:rsidP="00B368C6">
            <w:pPr>
              <w:jc w:val="center"/>
              <w:rPr>
                <w:rFonts w:ascii="Arial" w:hAnsi="Arial" w:cs="Arial"/>
                <w:b/>
                <w:sz w:val="18"/>
                <w:szCs w:val="22"/>
                <w:lang w:val="es-CL"/>
              </w:rPr>
            </w:pPr>
            <w:r w:rsidRPr="00D93780">
              <w:rPr>
                <w:rFonts w:ascii="Arial" w:hAnsi="Arial" w:cs="Arial"/>
                <w:b/>
                <w:sz w:val="18"/>
                <w:szCs w:val="22"/>
                <w:lang w:val="es-CL"/>
              </w:rPr>
              <w:t>Ejercicio a</w:t>
            </w:r>
            <w:r w:rsidR="008B731E" w:rsidRPr="00D93780">
              <w:rPr>
                <w:rFonts w:ascii="Arial" w:hAnsi="Arial" w:cs="Arial"/>
                <w:b/>
                <w:sz w:val="18"/>
                <w:szCs w:val="22"/>
                <w:lang w:val="es-CL"/>
              </w:rPr>
              <w:t>nálisis costo-beneficio</w:t>
            </w:r>
          </w:p>
        </w:tc>
      </w:tr>
      <w:tr w:rsidR="000B4D01" w:rsidRPr="00D93780" w14:paraId="59AE4012" w14:textId="77777777" w:rsidTr="00694FB3">
        <w:trPr>
          <w:cantSplit/>
        </w:trPr>
        <w:tc>
          <w:tcPr>
            <w:tcW w:w="1480" w:type="pct"/>
            <w:tcBorders>
              <w:top w:val="single" w:sz="4" w:space="0" w:color="auto"/>
              <w:bottom w:val="single" w:sz="4" w:space="0" w:color="auto"/>
            </w:tcBorders>
            <w:shd w:val="clear" w:color="auto" w:fill="auto"/>
          </w:tcPr>
          <w:p w14:paraId="5A001398" w14:textId="77777777" w:rsidR="000B4D01" w:rsidRPr="00D93780" w:rsidRDefault="000B4D01" w:rsidP="002C1C5F">
            <w:pPr>
              <w:pStyle w:val="ListParagraph"/>
              <w:numPr>
                <w:ilvl w:val="0"/>
                <w:numId w:val="34"/>
              </w:numPr>
              <w:rPr>
                <w:rFonts w:ascii="Arial" w:hAnsi="Arial" w:cs="Arial"/>
                <w:sz w:val="18"/>
                <w:szCs w:val="22"/>
                <w:lang w:val="es-ES_tradnl"/>
              </w:rPr>
            </w:pPr>
            <w:r w:rsidRPr="00D93780">
              <w:rPr>
                <w:rFonts w:ascii="Arial" w:hAnsi="Arial" w:cs="Arial"/>
                <w:sz w:val="18"/>
                <w:szCs w:val="22"/>
              </w:rPr>
              <w:t>Organización centralizada de la gestión</w:t>
            </w:r>
            <w:r w:rsidRPr="00D93780">
              <w:rPr>
                <w:rFonts w:ascii="Arial" w:hAnsi="Arial" w:cs="Arial"/>
                <w:sz w:val="18"/>
                <w:szCs w:val="22"/>
                <w:lang w:val="es-ES_tradnl"/>
              </w:rPr>
              <w:t xml:space="preserve"> de recaudación de la contribución inmobiliaria </w:t>
            </w:r>
          </w:p>
        </w:tc>
        <w:tc>
          <w:tcPr>
            <w:tcW w:w="1294" w:type="pct"/>
            <w:tcBorders>
              <w:top w:val="single" w:sz="4" w:space="0" w:color="auto"/>
              <w:bottom w:val="single" w:sz="4" w:space="0" w:color="auto"/>
            </w:tcBorders>
            <w:shd w:val="clear" w:color="auto" w:fill="auto"/>
            <w:vAlign w:val="center"/>
          </w:tcPr>
          <w:p w14:paraId="4FFC8882" w14:textId="77777777" w:rsidR="000B4D01" w:rsidRPr="00D93780" w:rsidRDefault="000B4D01" w:rsidP="002C1C5F">
            <w:pPr>
              <w:pStyle w:val="ListParagraph"/>
              <w:numPr>
                <w:ilvl w:val="0"/>
                <w:numId w:val="35"/>
              </w:numPr>
              <w:spacing w:before="30" w:after="30"/>
              <w:rPr>
                <w:rFonts w:ascii="Arial" w:hAnsi="Arial" w:cs="Arial"/>
                <w:sz w:val="18"/>
                <w:szCs w:val="22"/>
                <w:lang w:val="es-ES_tradnl"/>
              </w:rPr>
            </w:pPr>
            <w:r w:rsidRPr="00D93780">
              <w:rPr>
                <w:rFonts w:ascii="Arial" w:hAnsi="Arial" w:cs="Arial"/>
                <w:sz w:val="18"/>
                <w:szCs w:val="22"/>
                <w:lang w:val="es-ES_tradnl"/>
              </w:rPr>
              <w:t>Gestión financiera</w:t>
            </w:r>
          </w:p>
        </w:tc>
        <w:tc>
          <w:tcPr>
            <w:tcW w:w="1199" w:type="pct"/>
            <w:tcBorders>
              <w:top w:val="single" w:sz="4" w:space="0" w:color="auto"/>
              <w:bottom w:val="single" w:sz="4" w:space="0" w:color="auto"/>
            </w:tcBorders>
            <w:shd w:val="clear" w:color="auto" w:fill="auto"/>
            <w:vAlign w:val="center"/>
          </w:tcPr>
          <w:p w14:paraId="260DB859" w14:textId="77777777" w:rsidR="000B4D01" w:rsidRPr="00D93780" w:rsidRDefault="000B4D01" w:rsidP="00E11695">
            <w:pPr>
              <w:rPr>
                <w:rFonts w:ascii="Arial" w:hAnsi="Arial" w:cs="Arial"/>
                <w:bCs/>
                <w:color w:val="000000"/>
                <w:sz w:val="18"/>
                <w:szCs w:val="22"/>
              </w:rPr>
            </w:pPr>
            <w:r w:rsidRPr="00D93780">
              <w:rPr>
                <w:rFonts w:ascii="Arial" w:hAnsi="Arial" w:cs="Arial"/>
                <w:bCs/>
                <w:color w:val="000000"/>
                <w:sz w:val="18"/>
                <w:szCs w:val="22"/>
              </w:rPr>
              <w:t>Componente 1:</w:t>
            </w:r>
          </w:p>
          <w:p w14:paraId="7765EEFE" w14:textId="0A437628" w:rsidR="000B4D01" w:rsidRPr="00D93780" w:rsidRDefault="004D175B" w:rsidP="002C1C5F">
            <w:pPr>
              <w:pStyle w:val="ListParagraph"/>
              <w:numPr>
                <w:ilvl w:val="0"/>
                <w:numId w:val="35"/>
              </w:numPr>
              <w:spacing w:before="30" w:after="30"/>
              <w:ind w:left="748" w:hanging="748"/>
              <w:rPr>
                <w:rFonts w:ascii="Arial" w:hAnsi="Arial" w:cs="Arial"/>
                <w:bCs/>
                <w:color w:val="000000"/>
                <w:sz w:val="18"/>
                <w:szCs w:val="22"/>
              </w:rPr>
            </w:pPr>
            <w:r w:rsidRPr="00D93780">
              <w:rPr>
                <w:rFonts w:ascii="Arial" w:hAnsi="Arial" w:cs="Arial"/>
                <w:sz w:val="18"/>
                <w:szCs w:val="22"/>
                <w:lang w:val="es-ES_tradnl"/>
              </w:rPr>
              <w:t>4.570.906</w:t>
            </w:r>
          </w:p>
          <w:p w14:paraId="1C8E7D1D" w14:textId="77777777" w:rsidR="000B4D01" w:rsidRPr="00D93780" w:rsidRDefault="000B4D01" w:rsidP="004A43E7">
            <w:pPr>
              <w:jc w:val="center"/>
              <w:rPr>
                <w:rFonts w:ascii="Arial" w:hAnsi="Arial" w:cs="Arial"/>
                <w:bCs/>
                <w:color w:val="000000"/>
                <w:sz w:val="18"/>
                <w:szCs w:val="22"/>
              </w:rPr>
            </w:pPr>
          </w:p>
        </w:tc>
        <w:tc>
          <w:tcPr>
            <w:tcW w:w="1027" w:type="pct"/>
            <w:tcBorders>
              <w:top w:val="single" w:sz="4" w:space="0" w:color="auto"/>
              <w:bottom w:val="single" w:sz="4" w:space="0" w:color="auto"/>
            </w:tcBorders>
            <w:vAlign w:val="center"/>
          </w:tcPr>
          <w:p w14:paraId="2162784F" w14:textId="52B11D40" w:rsidR="000B4D01" w:rsidRPr="00D93780" w:rsidRDefault="000B4D01" w:rsidP="008B731E">
            <w:pPr>
              <w:rPr>
                <w:rFonts w:ascii="Arial" w:hAnsi="Arial" w:cs="Arial"/>
                <w:bCs/>
                <w:color w:val="000000"/>
                <w:sz w:val="18"/>
                <w:szCs w:val="22"/>
              </w:rPr>
            </w:pPr>
            <w:r w:rsidRPr="00D93780">
              <w:rPr>
                <w:rFonts w:ascii="Arial" w:hAnsi="Arial" w:cs="Arial"/>
                <w:bCs/>
                <w:color w:val="000000"/>
                <w:sz w:val="18"/>
                <w:szCs w:val="22"/>
              </w:rPr>
              <w:t>ACB 1</w:t>
            </w:r>
          </w:p>
        </w:tc>
      </w:tr>
      <w:tr w:rsidR="008B731E" w:rsidRPr="00D93780" w14:paraId="532A46E6" w14:textId="4B44E2FD" w:rsidTr="00694FB3">
        <w:trPr>
          <w:cantSplit/>
          <w:trHeight w:val="1187"/>
        </w:trPr>
        <w:tc>
          <w:tcPr>
            <w:tcW w:w="1480" w:type="pct"/>
            <w:tcBorders>
              <w:top w:val="single" w:sz="4" w:space="0" w:color="auto"/>
              <w:bottom w:val="single" w:sz="4" w:space="0" w:color="auto"/>
            </w:tcBorders>
          </w:tcPr>
          <w:p w14:paraId="7EC23617" w14:textId="21D950CB" w:rsidR="008B731E" w:rsidRPr="00D93780" w:rsidRDefault="00E9561E" w:rsidP="002C1C5F">
            <w:pPr>
              <w:pStyle w:val="ListParagraph"/>
              <w:numPr>
                <w:ilvl w:val="0"/>
                <w:numId w:val="34"/>
              </w:numPr>
              <w:rPr>
                <w:rFonts w:ascii="Arial" w:hAnsi="Arial" w:cs="Arial"/>
                <w:sz w:val="18"/>
                <w:szCs w:val="22"/>
              </w:rPr>
            </w:pPr>
            <w:r w:rsidRPr="00D93780">
              <w:rPr>
                <w:rFonts w:ascii="Arial" w:hAnsi="Arial" w:cs="Arial"/>
                <w:sz w:val="18"/>
                <w:szCs w:val="22"/>
                <w:lang w:val="es-ES_tradnl"/>
              </w:rPr>
              <w:t>O</w:t>
            </w:r>
            <w:r w:rsidR="008B731E" w:rsidRPr="00D93780">
              <w:rPr>
                <w:rFonts w:ascii="Arial" w:hAnsi="Arial" w:cs="Arial"/>
                <w:sz w:val="18"/>
                <w:szCs w:val="22"/>
                <w:lang w:val="es-ES_tradnl"/>
              </w:rPr>
              <w:t xml:space="preserve">bras </w:t>
            </w:r>
            <w:r w:rsidRPr="00D93780">
              <w:rPr>
                <w:rFonts w:ascii="Arial" w:hAnsi="Arial" w:cs="Arial"/>
                <w:sz w:val="18"/>
                <w:szCs w:val="22"/>
                <w:lang w:val="es-ES_tradnl"/>
              </w:rPr>
              <w:t xml:space="preserve">de infraestructura y </w:t>
            </w:r>
            <w:r w:rsidR="008B731E" w:rsidRPr="00D93780">
              <w:rPr>
                <w:rFonts w:ascii="Arial" w:hAnsi="Arial" w:cs="Arial"/>
                <w:sz w:val="18"/>
                <w:szCs w:val="22"/>
                <w:lang w:val="es-ES_tradnl"/>
              </w:rPr>
              <w:t>civiles</w:t>
            </w:r>
          </w:p>
        </w:tc>
        <w:tc>
          <w:tcPr>
            <w:tcW w:w="1294" w:type="pct"/>
            <w:tcBorders>
              <w:top w:val="single" w:sz="4" w:space="0" w:color="auto"/>
              <w:bottom w:val="single" w:sz="4" w:space="0" w:color="auto"/>
            </w:tcBorders>
            <w:vAlign w:val="center"/>
          </w:tcPr>
          <w:p w14:paraId="261398A9" w14:textId="77777777" w:rsidR="008B731E" w:rsidRPr="00D93780" w:rsidRDefault="008B731E" w:rsidP="0011062F">
            <w:pPr>
              <w:pStyle w:val="ListParagraph"/>
              <w:spacing w:before="30" w:after="30"/>
              <w:ind w:left="360"/>
              <w:rPr>
                <w:rFonts w:ascii="Arial" w:hAnsi="Arial" w:cs="Arial"/>
                <w:sz w:val="18"/>
                <w:szCs w:val="22"/>
                <w:lang w:val="es-ES_tradnl"/>
              </w:rPr>
            </w:pPr>
          </w:p>
          <w:p w14:paraId="1CF1760F" w14:textId="7373370B" w:rsidR="008B731E" w:rsidRPr="00D93780" w:rsidRDefault="008B731E" w:rsidP="002C1C5F">
            <w:pPr>
              <w:pStyle w:val="ListParagraph"/>
              <w:numPr>
                <w:ilvl w:val="0"/>
                <w:numId w:val="35"/>
              </w:numPr>
              <w:spacing w:before="30" w:after="30"/>
              <w:rPr>
                <w:rFonts w:ascii="Arial" w:hAnsi="Arial" w:cs="Arial"/>
                <w:sz w:val="18"/>
                <w:szCs w:val="22"/>
                <w:lang w:val="es-ES_tradnl"/>
              </w:rPr>
            </w:pPr>
            <w:r w:rsidRPr="00D93780">
              <w:rPr>
                <w:rFonts w:ascii="Arial" w:hAnsi="Arial" w:cs="Arial"/>
                <w:sz w:val="18"/>
                <w:szCs w:val="22"/>
                <w:lang w:val="es-ES_tradnl"/>
              </w:rPr>
              <w:t>Fondo de Asignación Inicial</w:t>
            </w:r>
          </w:p>
          <w:p w14:paraId="7BA208E9" w14:textId="69991285" w:rsidR="008B731E" w:rsidRPr="00694FB3" w:rsidRDefault="008B731E" w:rsidP="004A43E7">
            <w:pPr>
              <w:pStyle w:val="ListParagraph"/>
              <w:numPr>
                <w:ilvl w:val="0"/>
                <w:numId w:val="35"/>
              </w:numPr>
              <w:spacing w:before="30" w:after="30"/>
              <w:rPr>
                <w:rFonts w:ascii="Arial" w:hAnsi="Arial" w:cs="Arial"/>
                <w:sz w:val="18"/>
                <w:szCs w:val="22"/>
                <w:lang w:val="es-ES_tradnl"/>
              </w:rPr>
            </w:pPr>
            <w:r w:rsidRPr="00D93780">
              <w:rPr>
                <w:rFonts w:ascii="Arial" w:hAnsi="Arial" w:cs="Arial"/>
                <w:sz w:val="18"/>
                <w:szCs w:val="22"/>
                <w:lang w:val="es-ES_tradnl"/>
              </w:rPr>
              <w:t>Fondo Concursable</w:t>
            </w:r>
          </w:p>
        </w:tc>
        <w:tc>
          <w:tcPr>
            <w:tcW w:w="1199" w:type="pct"/>
            <w:tcBorders>
              <w:top w:val="single" w:sz="4" w:space="0" w:color="auto"/>
              <w:bottom w:val="single" w:sz="4" w:space="0" w:color="auto"/>
            </w:tcBorders>
            <w:vAlign w:val="center"/>
          </w:tcPr>
          <w:p w14:paraId="4F3BB924" w14:textId="69E15D31" w:rsidR="008B731E" w:rsidRPr="00D93780" w:rsidRDefault="008B731E" w:rsidP="00E11695">
            <w:pPr>
              <w:spacing w:before="30" w:after="30"/>
              <w:rPr>
                <w:rFonts w:ascii="Arial" w:hAnsi="Arial" w:cs="Arial"/>
                <w:sz w:val="18"/>
                <w:szCs w:val="22"/>
              </w:rPr>
            </w:pPr>
            <w:r w:rsidRPr="00D93780">
              <w:rPr>
                <w:rFonts w:ascii="Arial" w:hAnsi="Arial" w:cs="Arial"/>
                <w:sz w:val="18"/>
                <w:szCs w:val="22"/>
              </w:rPr>
              <w:t>Componente 2:</w:t>
            </w:r>
          </w:p>
          <w:p w14:paraId="6AC9E539" w14:textId="79B5D1BA" w:rsidR="008B731E" w:rsidRPr="00D93780" w:rsidRDefault="008B731E" w:rsidP="002C1C5F">
            <w:pPr>
              <w:pStyle w:val="ListParagraph"/>
              <w:numPr>
                <w:ilvl w:val="0"/>
                <w:numId w:val="35"/>
              </w:numPr>
              <w:spacing w:before="30" w:after="30"/>
              <w:ind w:left="748" w:hanging="748"/>
              <w:rPr>
                <w:rFonts w:ascii="Arial" w:hAnsi="Arial" w:cs="Arial"/>
                <w:sz w:val="18"/>
                <w:szCs w:val="22"/>
                <w:lang w:val="es-ES_tradnl"/>
              </w:rPr>
            </w:pPr>
            <w:r w:rsidRPr="00D93780">
              <w:rPr>
                <w:rFonts w:ascii="Arial" w:hAnsi="Arial" w:cs="Arial"/>
                <w:sz w:val="18"/>
                <w:szCs w:val="22"/>
                <w:lang w:val="es-ES_tradnl"/>
              </w:rPr>
              <w:t>68.647.835</w:t>
            </w:r>
          </w:p>
          <w:p w14:paraId="35AAA753" w14:textId="77777777" w:rsidR="008B731E" w:rsidRPr="00D93780" w:rsidRDefault="008B731E" w:rsidP="002C1C5F">
            <w:pPr>
              <w:pStyle w:val="ListParagraph"/>
              <w:numPr>
                <w:ilvl w:val="0"/>
                <w:numId w:val="35"/>
              </w:numPr>
              <w:spacing w:before="30" w:after="30"/>
              <w:ind w:left="748" w:hanging="748"/>
              <w:rPr>
                <w:rFonts w:ascii="Arial" w:hAnsi="Arial" w:cs="Arial"/>
                <w:sz w:val="18"/>
                <w:szCs w:val="22"/>
                <w:lang w:val="es-ES_tradnl"/>
              </w:rPr>
            </w:pPr>
            <w:r w:rsidRPr="00D93780">
              <w:rPr>
                <w:rFonts w:ascii="Arial" w:hAnsi="Arial" w:cs="Arial"/>
                <w:sz w:val="18"/>
                <w:szCs w:val="22"/>
                <w:lang w:val="es-ES_tradnl"/>
              </w:rPr>
              <w:t>10.000.000</w:t>
            </w:r>
          </w:p>
          <w:p w14:paraId="602E3B51" w14:textId="53CD3FA8" w:rsidR="008B731E" w:rsidRPr="00D93780" w:rsidRDefault="008B731E" w:rsidP="004A43E7">
            <w:pPr>
              <w:spacing w:before="30" w:after="30"/>
              <w:rPr>
                <w:rFonts w:ascii="Arial" w:hAnsi="Arial" w:cs="Arial"/>
                <w:sz w:val="18"/>
                <w:szCs w:val="22"/>
                <w:lang w:val="es-ES_tradnl"/>
              </w:rPr>
            </w:pPr>
            <w:r w:rsidRPr="00D93780">
              <w:rPr>
                <w:rFonts w:ascii="Arial" w:hAnsi="Arial" w:cs="Arial"/>
                <w:sz w:val="18"/>
                <w:szCs w:val="22"/>
                <w:lang w:val="es-ES_tradnl"/>
              </w:rPr>
              <w:t xml:space="preserve">Total: </w:t>
            </w:r>
            <w:r w:rsidRPr="00D93780">
              <w:rPr>
                <w:rFonts w:ascii="Arial" w:hAnsi="Arial" w:cs="Arial"/>
                <w:sz w:val="18"/>
                <w:szCs w:val="22"/>
                <w:lang w:val="es-ES_tradnl"/>
              </w:rPr>
              <w:tab/>
            </w:r>
            <w:r w:rsidR="007C5862" w:rsidRPr="00D93780">
              <w:rPr>
                <w:rFonts w:ascii="Arial" w:hAnsi="Arial" w:cs="Arial"/>
                <w:sz w:val="18"/>
                <w:szCs w:val="22"/>
              </w:rPr>
              <w:t xml:space="preserve"> </w:t>
            </w:r>
            <w:r w:rsidRPr="00D93780">
              <w:rPr>
                <w:rFonts w:ascii="Arial" w:hAnsi="Arial" w:cs="Arial"/>
                <w:sz w:val="18"/>
                <w:szCs w:val="22"/>
                <w:lang w:val="es-ES_tradnl"/>
              </w:rPr>
              <w:t>78.647.835</w:t>
            </w:r>
          </w:p>
          <w:p w14:paraId="123CDCE4" w14:textId="1ABD0324" w:rsidR="008B731E" w:rsidRPr="00D93780" w:rsidRDefault="008B731E" w:rsidP="004A43E7">
            <w:pPr>
              <w:pStyle w:val="ListParagraph"/>
              <w:spacing w:before="30" w:after="30"/>
              <w:ind w:left="360"/>
              <w:rPr>
                <w:rFonts w:ascii="Arial" w:hAnsi="Arial" w:cs="Arial"/>
                <w:sz w:val="18"/>
                <w:szCs w:val="22"/>
                <w:lang w:val="es-ES_tradnl"/>
              </w:rPr>
            </w:pPr>
          </w:p>
        </w:tc>
        <w:tc>
          <w:tcPr>
            <w:tcW w:w="1027" w:type="pct"/>
            <w:tcBorders>
              <w:top w:val="single" w:sz="4" w:space="0" w:color="auto"/>
              <w:bottom w:val="single" w:sz="4" w:space="0" w:color="auto"/>
            </w:tcBorders>
            <w:vAlign w:val="center"/>
          </w:tcPr>
          <w:p w14:paraId="2CC4DF53" w14:textId="4BEC4D74" w:rsidR="008B731E" w:rsidRPr="00D93780" w:rsidRDefault="008B731E" w:rsidP="008B731E">
            <w:pPr>
              <w:spacing w:before="30" w:after="30"/>
              <w:rPr>
                <w:rFonts w:ascii="Arial" w:hAnsi="Arial" w:cs="Arial"/>
                <w:sz w:val="18"/>
                <w:szCs w:val="22"/>
              </w:rPr>
            </w:pPr>
            <w:r w:rsidRPr="00D93780">
              <w:rPr>
                <w:rFonts w:ascii="Arial" w:hAnsi="Arial" w:cs="Arial"/>
                <w:sz w:val="18"/>
                <w:szCs w:val="22"/>
              </w:rPr>
              <w:t xml:space="preserve">ACB </w:t>
            </w:r>
            <w:r w:rsidR="000B4D01" w:rsidRPr="00D93780">
              <w:rPr>
                <w:rFonts w:ascii="Arial" w:hAnsi="Arial" w:cs="Arial"/>
                <w:sz w:val="18"/>
                <w:szCs w:val="22"/>
              </w:rPr>
              <w:t>2</w:t>
            </w:r>
          </w:p>
        </w:tc>
      </w:tr>
    </w:tbl>
    <w:p w14:paraId="0BF128F3" w14:textId="77777777" w:rsidR="00FD405F" w:rsidRPr="00D93780" w:rsidRDefault="00FD405F"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El primer grupo de actividades que será objeto del análisis tiene un enfoque organizacional. Su objetivo es mejorar la efectividad y eficiencia de la gestión de la recaudación de la contribución inmobiliaria urbana, con el fin de aumentar los ingresos de esta fuente para los gobiernos regionales. Se espera que tras la ejecución del Programa exista un nuevo órgano centralizado que mejore la recaudación en materia de los tributos territoriales y aproveche las economías de escala derivadas de una centralización de la gestión del cobro. Los recursos asignados por el Programa proceden del Componente 1. Estos proyectos se analizan en el ejercicio ACB 1.</w:t>
      </w:r>
    </w:p>
    <w:p w14:paraId="5D76E24D" w14:textId="349755EF" w:rsidR="003B5FDF"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lang w:val="es-ES_tradnl"/>
        </w:rPr>
        <w:t>El segundo grupo de</w:t>
      </w:r>
      <w:r w:rsidR="003B5FDF" w:rsidRPr="00D93780">
        <w:rPr>
          <w:rFonts w:ascii="Arial" w:hAnsi="Arial" w:cs="Arial"/>
          <w:sz w:val="22"/>
          <w:szCs w:val="22"/>
          <w:lang w:val="es-ES_tradnl"/>
        </w:rPr>
        <w:t xml:space="preserve"> actividades</w:t>
      </w:r>
      <w:r w:rsidRPr="00D93780">
        <w:rPr>
          <w:rFonts w:ascii="Arial" w:hAnsi="Arial" w:cs="Arial"/>
          <w:sz w:val="22"/>
          <w:szCs w:val="22"/>
          <w:lang w:val="es-ES_tradnl"/>
        </w:rPr>
        <w:t xml:space="preserve"> está vinculado</w:t>
      </w:r>
      <w:r w:rsidR="003B5FDF" w:rsidRPr="00D93780">
        <w:rPr>
          <w:rFonts w:ascii="Arial" w:hAnsi="Arial" w:cs="Arial"/>
          <w:sz w:val="22"/>
          <w:szCs w:val="22"/>
          <w:lang w:val="es-ES_tradnl"/>
        </w:rPr>
        <w:t xml:space="preserve"> a la realización de obras de inversión pública. Son proyectos de infraestructura y </w:t>
      </w:r>
      <w:r w:rsidR="00647155" w:rsidRPr="00D93780">
        <w:rPr>
          <w:rFonts w:ascii="Arial" w:hAnsi="Arial" w:cs="Arial"/>
          <w:sz w:val="22"/>
          <w:szCs w:val="22"/>
        </w:rPr>
        <w:t xml:space="preserve">de marcado carácter </w:t>
      </w:r>
      <w:r w:rsidR="003B5FDF" w:rsidRPr="00D93780">
        <w:rPr>
          <w:rFonts w:ascii="Arial" w:hAnsi="Arial" w:cs="Arial"/>
          <w:sz w:val="22"/>
          <w:szCs w:val="22"/>
          <w:lang w:val="es-ES_tradnl"/>
        </w:rPr>
        <w:t xml:space="preserve">constructivos, cuyos efectos </w:t>
      </w:r>
      <w:r w:rsidRPr="00D93780">
        <w:rPr>
          <w:rFonts w:ascii="Arial" w:hAnsi="Arial" w:cs="Arial"/>
          <w:sz w:val="22"/>
          <w:szCs w:val="22"/>
          <w:lang w:val="es-ES_tradnl"/>
        </w:rPr>
        <w:t xml:space="preserve">esperados </w:t>
      </w:r>
      <w:r w:rsidR="003B5FDF" w:rsidRPr="00D93780">
        <w:rPr>
          <w:rFonts w:ascii="Arial" w:hAnsi="Arial" w:cs="Arial"/>
          <w:sz w:val="22"/>
          <w:szCs w:val="22"/>
          <w:lang w:val="es-ES_tradnl"/>
        </w:rPr>
        <w:t xml:space="preserve">suponen una mejora de la calidad del entorno urbano y, por lo tanto, </w:t>
      </w:r>
      <w:r w:rsidR="00647155" w:rsidRPr="00D93780">
        <w:rPr>
          <w:rFonts w:ascii="Arial" w:hAnsi="Arial" w:cs="Arial"/>
          <w:sz w:val="22"/>
          <w:szCs w:val="22"/>
        </w:rPr>
        <w:t xml:space="preserve">se espera que como resultado se produzca </w:t>
      </w:r>
      <w:r w:rsidR="003B5FDF" w:rsidRPr="00D93780">
        <w:rPr>
          <w:rFonts w:ascii="Arial" w:hAnsi="Arial" w:cs="Arial"/>
          <w:sz w:val="22"/>
          <w:szCs w:val="22"/>
          <w:lang w:val="es-ES_tradnl"/>
        </w:rPr>
        <w:t xml:space="preserve">una revalorización de los inmuebles sitos en su proximidad. </w:t>
      </w:r>
      <w:r w:rsidRPr="00D93780">
        <w:rPr>
          <w:rFonts w:ascii="Arial" w:hAnsi="Arial" w:cs="Arial"/>
          <w:sz w:val="22"/>
          <w:szCs w:val="22"/>
          <w:lang w:val="es-ES_tradnl"/>
        </w:rPr>
        <w:t xml:space="preserve">Las actividades se financian con cargo a recursos del Componente 2. </w:t>
      </w:r>
      <w:r w:rsidR="003B5FDF" w:rsidRPr="00D93780">
        <w:rPr>
          <w:rFonts w:ascii="Arial" w:hAnsi="Arial" w:cs="Arial"/>
          <w:sz w:val="22"/>
          <w:szCs w:val="22"/>
          <w:lang w:val="es-ES_tradnl"/>
        </w:rPr>
        <w:t xml:space="preserve">Estos proyectos son </w:t>
      </w:r>
      <w:r w:rsidRPr="00D93780">
        <w:rPr>
          <w:rFonts w:ascii="Arial" w:hAnsi="Arial" w:cs="Arial"/>
          <w:sz w:val="22"/>
          <w:szCs w:val="22"/>
          <w:lang w:val="es-ES_tradnl"/>
        </w:rPr>
        <w:t>analizados en el ejercicio denominado ACB 2</w:t>
      </w:r>
      <w:r w:rsidR="003B5FDF" w:rsidRPr="00D93780">
        <w:rPr>
          <w:rFonts w:ascii="Arial" w:hAnsi="Arial" w:cs="Arial"/>
          <w:sz w:val="22"/>
          <w:szCs w:val="22"/>
          <w:lang w:val="es-ES_tradnl"/>
        </w:rPr>
        <w:t>.</w:t>
      </w:r>
    </w:p>
    <w:p w14:paraId="73AB1792" w14:textId="67FBBF69" w:rsidR="00DA265C" w:rsidRPr="00D93780" w:rsidRDefault="00DA265C"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En principio, los costos y los beneficios de estas </w:t>
      </w:r>
      <w:r w:rsidR="00ED2E20" w:rsidRPr="00D93780">
        <w:rPr>
          <w:rFonts w:ascii="Arial" w:hAnsi="Arial" w:cs="Arial"/>
          <w:sz w:val="22"/>
          <w:szCs w:val="22"/>
          <w:lang w:val="es-ES_tradnl"/>
        </w:rPr>
        <w:t>dos</w:t>
      </w:r>
      <w:r w:rsidRPr="00D93780">
        <w:rPr>
          <w:rFonts w:ascii="Arial" w:hAnsi="Arial" w:cs="Arial"/>
          <w:sz w:val="22"/>
          <w:szCs w:val="22"/>
          <w:lang w:val="es-ES_tradnl"/>
        </w:rPr>
        <w:t xml:space="preserve"> grandes actividades podrían ser agregables al ser monetizables. Sin embargo, desde un punto de vista conceptual son actividades diferentes, que tiene resultados cualitativamente </w:t>
      </w:r>
      <w:r w:rsidR="00E9561E" w:rsidRPr="00D93780">
        <w:rPr>
          <w:rFonts w:ascii="Arial" w:hAnsi="Arial" w:cs="Arial"/>
          <w:sz w:val="22"/>
          <w:szCs w:val="22"/>
          <w:lang w:val="es-ES_tradnl"/>
        </w:rPr>
        <w:t>distintos</w:t>
      </w:r>
      <w:r w:rsidR="00373187" w:rsidRPr="00D93780">
        <w:rPr>
          <w:rFonts w:ascii="Arial" w:hAnsi="Arial" w:cs="Arial"/>
          <w:sz w:val="22"/>
          <w:szCs w:val="22"/>
          <w:lang w:val="es-ES_tradnl"/>
        </w:rPr>
        <w:t xml:space="preserve"> en términos de impacto</w:t>
      </w:r>
      <w:r w:rsidRPr="00D93780">
        <w:rPr>
          <w:rFonts w:ascii="Arial" w:hAnsi="Arial" w:cs="Arial"/>
          <w:sz w:val="22"/>
          <w:szCs w:val="22"/>
          <w:lang w:val="es-ES_tradnl"/>
        </w:rPr>
        <w:t xml:space="preserve">, por lo que </w:t>
      </w:r>
      <w:r w:rsidR="00373187" w:rsidRPr="00D93780">
        <w:rPr>
          <w:rFonts w:ascii="Arial" w:hAnsi="Arial" w:cs="Arial"/>
          <w:sz w:val="22"/>
          <w:szCs w:val="22"/>
          <w:lang w:val="es-ES_tradnl"/>
        </w:rPr>
        <w:t>se consideró aconsejable</w:t>
      </w:r>
      <w:r w:rsidRPr="00D93780">
        <w:rPr>
          <w:rFonts w:ascii="Arial" w:hAnsi="Arial" w:cs="Arial"/>
          <w:sz w:val="22"/>
          <w:szCs w:val="22"/>
          <w:lang w:val="es-ES_tradnl"/>
        </w:rPr>
        <w:t xml:space="preserve"> abordarlos de una forma separada</w:t>
      </w:r>
      <w:r w:rsidR="00ED2E20" w:rsidRPr="00D93780">
        <w:rPr>
          <w:rFonts w:ascii="Arial" w:hAnsi="Arial" w:cs="Arial"/>
          <w:sz w:val="22"/>
          <w:szCs w:val="22"/>
          <w:lang w:val="es-ES_tradnl"/>
        </w:rPr>
        <w:t xml:space="preserve"> desde un punto de vista analítico</w:t>
      </w:r>
      <w:r w:rsidRPr="00D93780">
        <w:rPr>
          <w:rFonts w:ascii="Arial" w:hAnsi="Arial" w:cs="Arial"/>
          <w:sz w:val="22"/>
          <w:szCs w:val="22"/>
          <w:lang w:val="es-ES_tradnl"/>
        </w:rPr>
        <w:t>.</w:t>
      </w:r>
      <w:r w:rsidRPr="00D93780">
        <w:rPr>
          <w:rFonts w:ascii="Arial" w:hAnsi="Arial" w:cs="Arial"/>
          <w:sz w:val="22"/>
          <w:szCs w:val="22"/>
          <w:vertAlign w:val="superscript"/>
          <w:lang w:val="es-ES_tradnl"/>
        </w:rPr>
        <w:footnoteReference w:id="4"/>
      </w:r>
      <w:r w:rsidR="00373187" w:rsidRPr="00D93780">
        <w:rPr>
          <w:rFonts w:ascii="Arial" w:hAnsi="Arial" w:cs="Arial"/>
          <w:sz w:val="22"/>
          <w:szCs w:val="22"/>
          <w:lang w:val="es-ES_tradnl"/>
        </w:rPr>
        <w:t xml:space="preserve"> A continuación, se detalla</w:t>
      </w:r>
      <w:r w:rsidRPr="00D93780">
        <w:rPr>
          <w:rFonts w:ascii="Arial" w:hAnsi="Arial" w:cs="Arial"/>
          <w:sz w:val="22"/>
          <w:szCs w:val="22"/>
          <w:lang w:val="es-ES_tradnl"/>
        </w:rPr>
        <w:t xml:space="preserve">n cada uno de los </w:t>
      </w:r>
      <w:r w:rsidR="00ED2E20" w:rsidRPr="00D93780">
        <w:rPr>
          <w:rFonts w:ascii="Arial" w:hAnsi="Arial" w:cs="Arial"/>
          <w:sz w:val="22"/>
          <w:szCs w:val="22"/>
          <w:lang w:val="es-ES_tradnl"/>
        </w:rPr>
        <w:t>dos</w:t>
      </w:r>
      <w:r w:rsidRPr="00D93780">
        <w:rPr>
          <w:rFonts w:ascii="Arial" w:hAnsi="Arial" w:cs="Arial"/>
          <w:sz w:val="22"/>
          <w:szCs w:val="22"/>
          <w:lang w:val="es-ES_tradnl"/>
        </w:rPr>
        <w:t xml:space="preserve"> ejercicios de valoración económica.</w:t>
      </w:r>
    </w:p>
    <w:p w14:paraId="0992FD7E" w14:textId="45418163" w:rsidR="00ED2E20" w:rsidRPr="00D93780" w:rsidRDefault="00ED2E20" w:rsidP="00462E76">
      <w:pPr>
        <w:pStyle w:val="Heading1"/>
        <w:spacing w:before="120" w:after="120"/>
        <w:rPr>
          <w:rFonts w:ascii="Arial" w:hAnsi="Arial" w:cs="Arial"/>
          <w:sz w:val="22"/>
          <w:szCs w:val="22"/>
        </w:rPr>
      </w:pPr>
      <w:bookmarkStart w:id="9" w:name="_Toc456337503"/>
      <w:bookmarkStart w:id="10" w:name="_Ref455048647"/>
      <w:r w:rsidRPr="00D93780">
        <w:rPr>
          <w:rFonts w:ascii="Arial" w:hAnsi="Arial" w:cs="Arial"/>
          <w:sz w:val="22"/>
          <w:szCs w:val="22"/>
        </w:rPr>
        <w:lastRenderedPageBreak/>
        <w:t>Análisis costo-beneficio (ACB 1) de la centralización de la recaudación</w:t>
      </w:r>
      <w:bookmarkEnd w:id="9"/>
    </w:p>
    <w:p w14:paraId="67137255" w14:textId="77777777" w:rsidR="00ED2E20" w:rsidRPr="00D93780" w:rsidRDefault="00ED2E20" w:rsidP="00462E76">
      <w:pPr>
        <w:pStyle w:val="Heading3"/>
        <w:spacing w:before="120" w:after="120"/>
        <w:rPr>
          <w:rFonts w:ascii="Arial" w:hAnsi="Arial"/>
          <w:szCs w:val="22"/>
          <w:lang w:val="es-ES_tradnl"/>
        </w:rPr>
      </w:pPr>
      <w:bookmarkStart w:id="11" w:name="_Toc456337504"/>
      <w:r w:rsidRPr="00D93780">
        <w:rPr>
          <w:rFonts w:ascii="Arial" w:hAnsi="Arial"/>
          <w:szCs w:val="22"/>
          <w:lang w:val="es-ES_tradnl"/>
        </w:rPr>
        <w:t>Supuestos</w:t>
      </w:r>
      <w:bookmarkEnd w:id="11"/>
    </w:p>
    <w:p w14:paraId="7016237B" w14:textId="2B085559"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Como se ha señalado anteriormente, </w:t>
      </w:r>
      <w:r w:rsidR="00DD692A" w:rsidRPr="00D93780">
        <w:rPr>
          <w:rFonts w:ascii="Arial" w:hAnsi="Arial" w:cs="Arial"/>
          <w:sz w:val="22"/>
          <w:szCs w:val="22"/>
          <w:lang w:val="es-ES_tradnl"/>
        </w:rPr>
        <w:t>dentro del Componente 1</w:t>
      </w:r>
      <w:r w:rsidRPr="00D93780">
        <w:rPr>
          <w:rFonts w:ascii="Arial" w:hAnsi="Arial" w:cs="Arial"/>
          <w:sz w:val="22"/>
          <w:szCs w:val="22"/>
          <w:lang w:val="es-ES_tradnl"/>
        </w:rPr>
        <w:t xml:space="preserve"> de fortalecimiento de la gestión fiscal y d</w:t>
      </w:r>
      <w:r w:rsidR="00DD692A" w:rsidRPr="00D93780">
        <w:rPr>
          <w:rFonts w:ascii="Arial" w:hAnsi="Arial" w:cs="Arial"/>
          <w:sz w:val="22"/>
          <w:szCs w:val="22"/>
          <w:lang w:val="es-ES_tradnl"/>
        </w:rPr>
        <w:t>e servicios a nivel subnacional</w:t>
      </w:r>
      <w:r w:rsidRPr="00D93780">
        <w:rPr>
          <w:rFonts w:ascii="Arial" w:hAnsi="Arial" w:cs="Arial"/>
          <w:sz w:val="22"/>
          <w:szCs w:val="22"/>
          <w:lang w:val="es-ES_tradnl"/>
        </w:rPr>
        <w:t xml:space="preserve"> se contemplan diversas actividades orientas a la mejora de la </w:t>
      </w:r>
      <w:r w:rsidR="00DD692A" w:rsidRPr="00D93780">
        <w:rPr>
          <w:rFonts w:ascii="Arial" w:hAnsi="Arial" w:cs="Arial"/>
          <w:sz w:val="22"/>
          <w:szCs w:val="22"/>
          <w:lang w:val="es-ES_tradnl"/>
        </w:rPr>
        <w:t xml:space="preserve">efectividad y </w:t>
      </w:r>
      <w:r w:rsidRPr="00D93780">
        <w:rPr>
          <w:rFonts w:ascii="Arial" w:hAnsi="Arial" w:cs="Arial"/>
          <w:sz w:val="22"/>
          <w:szCs w:val="22"/>
          <w:lang w:val="es-ES_tradnl"/>
        </w:rPr>
        <w:t xml:space="preserve">eficiencia en la recaudación de la contribución inmobiliaria urbana. En la matriz de resultados el monto total previsto para financiar estas actividades asciende a USD </w:t>
      </w:r>
      <w:r w:rsidR="00DD692A" w:rsidRPr="00D93780">
        <w:rPr>
          <w:rFonts w:ascii="Arial" w:hAnsi="Arial" w:cs="Arial"/>
          <w:sz w:val="22"/>
          <w:szCs w:val="22"/>
          <w:lang w:val="es-ES_tradnl"/>
        </w:rPr>
        <w:t>4</w:t>
      </w:r>
      <w:r w:rsidRPr="00D93780">
        <w:rPr>
          <w:rFonts w:ascii="Arial" w:hAnsi="Arial" w:cs="Arial"/>
          <w:sz w:val="22"/>
          <w:szCs w:val="22"/>
          <w:lang w:val="es-ES_tradnl"/>
        </w:rPr>
        <w:t>.</w:t>
      </w:r>
      <w:r w:rsidR="00DD692A" w:rsidRPr="00D93780">
        <w:rPr>
          <w:rFonts w:ascii="Arial" w:hAnsi="Arial" w:cs="Arial"/>
          <w:sz w:val="22"/>
          <w:szCs w:val="22"/>
          <w:lang w:val="es-ES_tradnl"/>
        </w:rPr>
        <w:t>570</w:t>
      </w:r>
      <w:r w:rsidRPr="00D93780">
        <w:rPr>
          <w:rFonts w:ascii="Arial" w:hAnsi="Arial" w:cs="Arial"/>
          <w:sz w:val="22"/>
          <w:szCs w:val="22"/>
          <w:lang w:val="es-ES_tradnl"/>
        </w:rPr>
        <w:t>.</w:t>
      </w:r>
      <w:r w:rsidR="00DD692A" w:rsidRPr="00D93780">
        <w:rPr>
          <w:rFonts w:ascii="Arial" w:hAnsi="Arial" w:cs="Arial"/>
          <w:sz w:val="22"/>
          <w:szCs w:val="22"/>
          <w:lang w:val="es-ES_tradnl"/>
        </w:rPr>
        <w:t>906</w:t>
      </w:r>
      <w:r w:rsidRPr="00D93780">
        <w:rPr>
          <w:rFonts w:ascii="Arial" w:hAnsi="Arial" w:cs="Arial"/>
          <w:sz w:val="22"/>
          <w:szCs w:val="22"/>
          <w:lang w:val="es-ES_tradnl"/>
        </w:rPr>
        <w:t xml:space="preserve">, lo que representa el </w:t>
      </w:r>
      <w:r w:rsidR="00CF291E" w:rsidRPr="00D93780">
        <w:rPr>
          <w:rFonts w:ascii="Arial" w:hAnsi="Arial" w:cs="Arial"/>
          <w:sz w:val="22"/>
          <w:szCs w:val="22"/>
          <w:lang w:val="es-ES_tradnl"/>
        </w:rPr>
        <w:t>5,2</w:t>
      </w:r>
      <w:r w:rsidRPr="00D93780">
        <w:rPr>
          <w:rFonts w:ascii="Arial" w:hAnsi="Arial" w:cs="Arial"/>
          <w:sz w:val="22"/>
          <w:szCs w:val="22"/>
          <w:lang w:val="es-ES_tradnl"/>
        </w:rPr>
        <w:t>% del total de la inversión del Programa (excluid</w:t>
      </w:r>
      <w:r w:rsidR="00CF291E" w:rsidRPr="00D93780">
        <w:rPr>
          <w:rFonts w:ascii="Arial" w:hAnsi="Arial" w:cs="Arial"/>
          <w:sz w:val="22"/>
          <w:szCs w:val="22"/>
          <w:lang w:val="es-ES_tradnl"/>
        </w:rPr>
        <w:t>os</w:t>
      </w:r>
      <w:r w:rsidRPr="00D93780">
        <w:rPr>
          <w:rFonts w:ascii="Arial" w:hAnsi="Arial" w:cs="Arial"/>
          <w:sz w:val="22"/>
          <w:szCs w:val="22"/>
          <w:lang w:val="es-ES_tradnl"/>
        </w:rPr>
        <w:t xml:space="preserve"> los gastos de coordinación, monitoreo e imprevistos). </w:t>
      </w:r>
    </w:p>
    <w:p w14:paraId="168AE2C3" w14:textId="4E4DA418"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Una parte significativa de esta inversión en gestión financiera de las intendencias departamentales está destinada a promover un incremento de la recaudación de la contribución urbana</w:t>
      </w:r>
      <w:r w:rsidR="00CF291E" w:rsidRPr="00D93780">
        <w:rPr>
          <w:rFonts w:ascii="Arial" w:hAnsi="Arial" w:cs="Arial"/>
          <w:sz w:val="22"/>
          <w:szCs w:val="22"/>
          <w:lang w:val="es-ES_tradnl"/>
        </w:rPr>
        <w:t xml:space="preserve"> a través de</w:t>
      </w:r>
      <w:r w:rsidRPr="00D93780">
        <w:rPr>
          <w:rFonts w:ascii="Arial" w:hAnsi="Arial" w:cs="Arial"/>
          <w:sz w:val="22"/>
          <w:szCs w:val="22"/>
          <w:lang w:val="es-ES_tradnl"/>
        </w:rPr>
        <w:t xml:space="preserve"> la centralización de los procesos de recaudación en una agencia única que realice estas tareas por delegación voluntaria de los gobiernos departamentales.</w:t>
      </w:r>
    </w:p>
    <w:p w14:paraId="0FA81BEA" w14:textId="77777777" w:rsidR="00ED2E20" w:rsidRPr="00D93780" w:rsidRDefault="00ED2E20" w:rsidP="00462E76">
      <w:pPr>
        <w:pStyle w:val="Heading3"/>
        <w:spacing w:before="120" w:after="120"/>
        <w:rPr>
          <w:rFonts w:ascii="Arial" w:hAnsi="Arial"/>
          <w:szCs w:val="22"/>
          <w:lang w:val="es-ES_tradnl"/>
        </w:rPr>
      </w:pPr>
      <w:bookmarkStart w:id="12" w:name="_Toc456337505"/>
      <w:r w:rsidRPr="00D93780">
        <w:rPr>
          <w:rFonts w:ascii="Arial" w:hAnsi="Arial"/>
          <w:szCs w:val="22"/>
          <w:lang w:val="es-ES_tradnl"/>
        </w:rPr>
        <w:t>Indicador de la matriz de resultados vinculado al análisis</w:t>
      </w:r>
      <w:bookmarkEnd w:id="12"/>
    </w:p>
    <w:p w14:paraId="3F43A458" w14:textId="306858AD" w:rsidR="00ED2E2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La matriz de resultados incluye como resultado esperado el incremento de la recaudación de la contribución inmobiliaria, básicamente como resultado de mejoras en los procesos de gestión de los ingresos financieros por parte de las intendencias municipales, y muy especialmente por la centralización de los cobros en una agencia especializada.</w:t>
      </w:r>
    </w:p>
    <w:p w14:paraId="36AE8329" w14:textId="1C762522" w:rsidR="007D05D5" w:rsidRPr="00462E76" w:rsidRDefault="007D05D5" w:rsidP="00462E76">
      <w:pPr>
        <w:pStyle w:val="ListParagraph"/>
        <w:spacing w:after="120"/>
        <w:ind w:left="0"/>
        <w:jc w:val="center"/>
        <w:rPr>
          <w:rFonts w:ascii="Arial" w:hAnsi="Arial" w:cs="Arial"/>
          <w:b/>
          <w:sz w:val="18"/>
          <w:szCs w:val="22"/>
        </w:rPr>
      </w:pPr>
      <w:r w:rsidRPr="00462E76">
        <w:rPr>
          <w:rFonts w:ascii="Arial" w:hAnsi="Arial" w:cs="Arial"/>
          <w:b/>
          <w:sz w:val="18"/>
          <w:szCs w:val="22"/>
        </w:rPr>
        <w:t>Cuadro 3. Indicador incluido en el ACB 1</w:t>
      </w:r>
    </w:p>
    <w:tbl>
      <w:tblPr>
        <w:tblW w:w="4634" w:type="pct"/>
        <w:tblInd w:w="648" w:type="dxa"/>
        <w:tblLook w:val="04A0" w:firstRow="1" w:lastRow="0" w:firstColumn="1" w:lastColumn="0" w:noHBand="0" w:noVBand="1"/>
      </w:tblPr>
      <w:tblGrid>
        <w:gridCol w:w="2340"/>
        <w:gridCol w:w="2834"/>
        <w:gridCol w:w="1248"/>
        <w:gridCol w:w="941"/>
        <w:gridCol w:w="845"/>
      </w:tblGrid>
      <w:tr w:rsidR="00ED2E20" w:rsidRPr="00D93780" w14:paraId="77C5866C" w14:textId="77777777" w:rsidTr="00694FB3">
        <w:tc>
          <w:tcPr>
            <w:tcW w:w="1425" w:type="pct"/>
            <w:tcBorders>
              <w:top w:val="single" w:sz="4" w:space="0" w:color="auto"/>
              <w:bottom w:val="single" w:sz="4" w:space="0" w:color="auto"/>
            </w:tcBorders>
            <w:shd w:val="clear" w:color="auto" w:fill="D9D9D9" w:themeFill="background1" w:themeFillShade="D9"/>
          </w:tcPr>
          <w:p w14:paraId="472CF6A2" w14:textId="77777777" w:rsidR="00ED2E20" w:rsidRPr="00D93780" w:rsidRDefault="00ED2E20" w:rsidP="00227A32">
            <w:pPr>
              <w:tabs>
                <w:tab w:val="left" w:pos="435"/>
              </w:tabs>
              <w:ind w:left="426" w:hanging="426"/>
              <w:rPr>
                <w:rFonts w:ascii="Arial" w:hAnsi="Arial" w:cs="Arial"/>
                <w:b/>
                <w:sz w:val="18"/>
                <w:szCs w:val="22"/>
                <w:lang w:val="es-ES_tradnl"/>
              </w:rPr>
            </w:pPr>
            <w:r w:rsidRPr="00D93780">
              <w:rPr>
                <w:rFonts w:ascii="Arial" w:hAnsi="Arial" w:cs="Arial"/>
                <w:b/>
                <w:sz w:val="18"/>
                <w:szCs w:val="22"/>
                <w:lang w:val="es-ES_tradnl"/>
              </w:rPr>
              <w:t>Resultado</w:t>
            </w:r>
          </w:p>
        </w:tc>
        <w:tc>
          <w:tcPr>
            <w:tcW w:w="1726" w:type="pct"/>
            <w:tcBorders>
              <w:top w:val="single" w:sz="4" w:space="0" w:color="auto"/>
              <w:bottom w:val="single" w:sz="4" w:space="0" w:color="auto"/>
            </w:tcBorders>
            <w:shd w:val="clear" w:color="auto" w:fill="D9D9D9" w:themeFill="background1" w:themeFillShade="D9"/>
          </w:tcPr>
          <w:p w14:paraId="22FE7AA6" w14:textId="77777777" w:rsidR="00ED2E20" w:rsidRPr="00D93780" w:rsidRDefault="00ED2E20" w:rsidP="00227A32">
            <w:pPr>
              <w:jc w:val="center"/>
              <w:rPr>
                <w:rFonts w:ascii="Arial" w:hAnsi="Arial" w:cs="Arial"/>
                <w:b/>
                <w:sz w:val="18"/>
                <w:szCs w:val="22"/>
                <w:lang w:val="es-CL"/>
              </w:rPr>
            </w:pPr>
            <w:r w:rsidRPr="00D93780">
              <w:rPr>
                <w:rFonts w:ascii="Arial" w:hAnsi="Arial" w:cs="Arial"/>
                <w:b/>
                <w:sz w:val="18"/>
                <w:szCs w:val="22"/>
                <w:lang w:val="es-CL"/>
              </w:rPr>
              <w:t>Indicador</w:t>
            </w:r>
          </w:p>
        </w:tc>
        <w:tc>
          <w:tcPr>
            <w:tcW w:w="760" w:type="pct"/>
            <w:tcBorders>
              <w:top w:val="single" w:sz="4" w:space="0" w:color="auto"/>
              <w:bottom w:val="single" w:sz="4" w:space="0" w:color="auto"/>
            </w:tcBorders>
            <w:shd w:val="clear" w:color="auto" w:fill="D9D9D9" w:themeFill="background1" w:themeFillShade="D9"/>
          </w:tcPr>
          <w:p w14:paraId="17B3E4F6" w14:textId="77777777" w:rsidR="00ED2E20" w:rsidRPr="00D93780" w:rsidRDefault="00ED2E20" w:rsidP="00227A32">
            <w:pPr>
              <w:rPr>
                <w:rFonts w:ascii="Arial" w:hAnsi="Arial" w:cs="Arial"/>
                <w:b/>
                <w:sz w:val="18"/>
                <w:szCs w:val="22"/>
                <w:lang w:val="es-CL"/>
              </w:rPr>
            </w:pPr>
            <w:r w:rsidRPr="00D93780">
              <w:rPr>
                <w:rFonts w:ascii="Arial" w:hAnsi="Arial" w:cs="Arial"/>
                <w:b/>
                <w:sz w:val="18"/>
                <w:szCs w:val="22"/>
                <w:lang w:val="es-CL"/>
              </w:rPr>
              <w:t>Unidad</w:t>
            </w:r>
          </w:p>
        </w:tc>
        <w:tc>
          <w:tcPr>
            <w:tcW w:w="573" w:type="pct"/>
            <w:tcBorders>
              <w:top w:val="single" w:sz="4" w:space="0" w:color="auto"/>
              <w:bottom w:val="single" w:sz="4" w:space="0" w:color="auto"/>
            </w:tcBorders>
            <w:shd w:val="clear" w:color="auto" w:fill="D9D9D9" w:themeFill="background1" w:themeFillShade="D9"/>
          </w:tcPr>
          <w:p w14:paraId="6B635CC0" w14:textId="77777777" w:rsidR="00ED2E20" w:rsidRPr="00D93780" w:rsidRDefault="00ED2E20" w:rsidP="00227A32">
            <w:pPr>
              <w:rPr>
                <w:rFonts w:ascii="Arial" w:hAnsi="Arial" w:cs="Arial"/>
                <w:b/>
                <w:sz w:val="18"/>
                <w:szCs w:val="22"/>
                <w:lang w:val="es-CL"/>
              </w:rPr>
            </w:pPr>
            <w:r w:rsidRPr="00D93780">
              <w:rPr>
                <w:rFonts w:ascii="Arial" w:hAnsi="Arial" w:cs="Arial"/>
                <w:b/>
                <w:sz w:val="18"/>
                <w:szCs w:val="22"/>
                <w:lang w:val="es-CL"/>
              </w:rPr>
              <w:t>Línea de base</w:t>
            </w:r>
          </w:p>
        </w:tc>
        <w:tc>
          <w:tcPr>
            <w:tcW w:w="515" w:type="pct"/>
            <w:tcBorders>
              <w:top w:val="single" w:sz="4" w:space="0" w:color="auto"/>
              <w:bottom w:val="single" w:sz="4" w:space="0" w:color="auto"/>
            </w:tcBorders>
            <w:shd w:val="clear" w:color="auto" w:fill="D9D9D9" w:themeFill="background1" w:themeFillShade="D9"/>
          </w:tcPr>
          <w:p w14:paraId="5DEA121B" w14:textId="77777777" w:rsidR="00ED2E20" w:rsidRPr="00D93780" w:rsidRDefault="00ED2E20" w:rsidP="00227A32">
            <w:pPr>
              <w:jc w:val="center"/>
              <w:rPr>
                <w:rFonts w:ascii="Arial" w:hAnsi="Arial" w:cs="Arial"/>
                <w:b/>
                <w:sz w:val="18"/>
                <w:szCs w:val="22"/>
                <w:lang w:val="es-CL"/>
              </w:rPr>
            </w:pPr>
            <w:r w:rsidRPr="00D93780">
              <w:rPr>
                <w:rFonts w:ascii="Arial" w:hAnsi="Arial" w:cs="Arial"/>
                <w:b/>
                <w:sz w:val="18"/>
                <w:szCs w:val="22"/>
                <w:lang w:val="es-CL"/>
              </w:rPr>
              <w:t>2019</w:t>
            </w:r>
          </w:p>
        </w:tc>
      </w:tr>
      <w:tr w:rsidR="00ED2E20" w:rsidRPr="00D93780" w14:paraId="4B41FD6D" w14:textId="77777777" w:rsidTr="00694FB3">
        <w:tc>
          <w:tcPr>
            <w:tcW w:w="1425" w:type="pct"/>
            <w:tcBorders>
              <w:top w:val="single" w:sz="4" w:space="0" w:color="auto"/>
              <w:bottom w:val="single" w:sz="4" w:space="0" w:color="auto"/>
            </w:tcBorders>
          </w:tcPr>
          <w:p w14:paraId="6FC2DDA9" w14:textId="77777777" w:rsidR="00ED2E20" w:rsidRPr="00D93780" w:rsidRDefault="00ED2E20" w:rsidP="00227A32">
            <w:pPr>
              <w:pStyle w:val="ListParagraph"/>
              <w:numPr>
                <w:ilvl w:val="0"/>
                <w:numId w:val="43"/>
              </w:numPr>
              <w:rPr>
                <w:rFonts w:ascii="Arial" w:hAnsi="Arial" w:cs="Arial"/>
                <w:sz w:val="18"/>
                <w:szCs w:val="22"/>
                <w:lang w:val="es-ES_tradnl"/>
              </w:rPr>
            </w:pPr>
            <w:r w:rsidRPr="00D93780">
              <w:rPr>
                <w:rFonts w:ascii="Arial" w:hAnsi="Arial" w:cs="Arial"/>
                <w:sz w:val="18"/>
                <w:szCs w:val="22"/>
                <w:lang w:val="es-ES_tradnl"/>
              </w:rPr>
              <w:t>Recaudación de la contribución inmobiliaria incrementada (morosidad disminuida)</w:t>
            </w:r>
          </w:p>
        </w:tc>
        <w:tc>
          <w:tcPr>
            <w:tcW w:w="1726" w:type="pct"/>
            <w:tcBorders>
              <w:top w:val="single" w:sz="4" w:space="0" w:color="auto"/>
              <w:bottom w:val="single" w:sz="4" w:space="0" w:color="auto"/>
            </w:tcBorders>
            <w:vAlign w:val="center"/>
          </w:tcPr>
          <w:p w14:paraId="21BE8320" w14:textId="21268848" w:rsidR="00ED2E20" w:rsidRPr="00D93780" w:rsidRDefault="00ED2E20" w:rsidP="00227A32">
            <w:pPr>
              <w:spacing w:before="30" w:after="30"/>
              <w:rPr>
                <w:rFonts w:ascii="Arial" w:hAnsi="Arial" w:cs="Arial"/>
                <w:sz w:val="18"/>
                <w:szCs w:val="22"/>
                <w:lang w:val="es-ES_tradnl"/>
              </w:rPr>
            </w:pPr>
            <w:r w:rsidRPr="00D93780">
              <w:rPr>
                <w:rFonts w:ascii="Arial" w:hAnsi="Arial" w:cs="Arial"/>
                <w:sz w:val="18"/>
                <w:szCs w:val="22"/>
                <w:lang w:val="es-ES_tradnl"/>
              </w:rPr>
              <w:t xml:space="preserve">Incremento </w:t>
            </w:r>
            <w:r w:rsidR="00CA3918" w:rsidRPr="00D93780">
              <w:rPr>
                <w:rFonts w:ascii="Arial" w:hAnsi="Arial" w:cs="Arial"/>
                <w:sz w:val="18"/>
                <w:szCs w:val="22"/>
                <w:lang w:val="es-ES_tradnl"/>
              </w:rPr>
              <w:t xml:space="preserve">en puntos </w:t>
            </w:r>
            <w:r w:rsidRPr="00D93780">
              <w:rPr>
                <w:rFonts w:ascii="Arial" w:hAnsi="Arial" w:cs="Arial"/>
                <w:sz w:val="18"/>
                <w:szCs w:val="22"/>
                <w:lang w:val="es-ES_tradnl"/>
              </w:rPr>
              <w:t>porcentual</w:t>
            </w:r>
            <w:r w:rsidR="00CA3918" w:rsidRPr="00D93780">
              <w:rPr>
                <w:rFonts w:ascii="Arial" w:hAnsi="Arial" w:cs="Arial"/>
                <w:sz w:val="18"/>
                <w:szCs w:val="22"/>
                <w:lang w:val="es-ES_tradnl"/>
              </w:rPr>
              <w:t>es</w:t>
            </w:r>
            <w:r w:rsidRPr="00D93780">
              <w:rPr>
                <w:rFonts w:ascii="Arial" w:hAnsi="Arial" w:cs="Arial"/>
                <w:sz w:val="18"/>
                <w:szCs w:val="22"/>
                <w:lang w:val="es-ES_tradnl"/>
              </w:rPr>
              <w:t xml:space="preserve"> de la recaudación en términos reales sobre el promedio porcentual de los cuatro últimos años</w:t>
            </w:r>
          </w:p>
        </w:tc>
        <w:tc>
          <w:tcPr>
            <w:tcW w:w="760" w:type="pct"/>
            <w:tcBorders>
              <w:top w:val="single" w:sz="4" w:space="0" w:color="auto"/>
              <w:bottom w:val="single" w:sz="4" w:space="0" w:color="auto"/>
            </w:tcBorders>
            <w:vAlign w:val="center"/>
          </w:tcPr>
          <w:p w14:paraId="24B9174D" w14:textId="62BFEC62" w:rsidR="00ED2E20" w:rsidRPr="00D93780" w:rsidRDefault="00CA3918" w:rsidP="00CA3918">
            <w:pPr>
              <w:rPr>
                <w:rFonts w:ascii="Arial" w:hAnsi="Arial" w:cs="Arial"/>
                <w:bCs/>
                <w:color w:val="000000"/>
                <w:sz w:val="18"/>
                <w:szCs w:val="22"/>
              </w:rPr>
            </w:pPr>
            <w:r w:rsidRPr="00D93780">
              <w:rPr>
                <w:rFonts w:ascii="Arial" w:hAnsi="Arial" w:cs="Arial"/>
                <w:bCs/>
                <w:color w:val="000000"/>
                <w:sz w:val="18"/>
                <w:szCs w:val="22"/>
              </w:rPr>
              <w:t>Puntos porcentuales</w:t>
            </w:r>
          </w:p>
        </w:tc>
        <w:tc>
          <w:tcPr>
            <w:tcW w:w="573" w:type="pct"/>
            <w:tcBorders>
              <w:top w:val="single" w:sz="4" w:space="0" w:color="auto"/>
              <w:bottom w:val="single" w:sz="4" w:space="0" w:color="auto"/>
            </w:tcBorders>
            <w:vAlign w:val="center"/>
          </w:tcPr>
          <w:p w14:paraId="6BBFB30C" w14:textId="72E15E19" w:rsidR="00ED2E20" w:rsidRPr="00D93780" w:rsidRDefault="00CA3918" w:rsidP="00227A32">
            <w:pPr>
              <w:jc w:val="center"/>
              <w:rPr>
                <w:rFonts w:ascii="Arial" w:hAnsi="Arial" w:cs="Arial"/>
                <w:bCs/>
                <w:color w:val="000000"/>
                <w:sz w:val="18"/>
                <w:szCs w:val="22"/>
              </w:rPr>
            </w:pPr>
            <w:r w:rsidRPr="00D93780">
              <w:rPr>
                <w:rFonts w:ascii="Arial" w:hAnsi="Arial" w:cs="Arial"/>
                <w:bCs/>
                <w:color w:val="000000"/>
                <w:sz w:val="18"/>
                <w:szCs w:val="22"/>
              </w:rPr>
              <w:t>1,4</w:t>
            </w:r>
          </w:p>
        </w:tc>
        <w:tc>
          <w:tcPr>
            <w:tcW w:w="515" w:type="pct"/>
            <w:tcBorders>
              <w:top w:val="single" w:sz="4" w:space="0" w:color="auto"/>
              <w:bottom w:val="single" w:sz="4" w:space="0" w:color="auto"/>
            </w:tcBorders>
            <w:vAlign w:val="center"/>
          </w:tcPr>
          <w:p w14:paraId="3444B78A" w14:textId="273218FF" w:rsidR="00ED2E20" w:rsidRPr="00D93780" w:rsidRDefault="00ED2E20" w:rsidP="00227A32">
            <w:pPr>
              <w:spacing w:before="30" w:after="30" w:line="276" w:lineRule="auto"/>
              <w:jc w:val="center"/>
              <w:rPr>
                <w:rFonts w:ascii="Arial" w:hAnsi="Arial" w:cs="Arial"/>
                <w:sz w:val="18"/>
                <w:szCs w:val="22"/>
                <w:lang w:val="es-ES_tradnl"/>
              </w:rPr>
            </w:pPr>
            <w:r w:rsidRPr="00D93780">
              <w:rPr>
                <w:rFonts w:ascii="Arial" w:hAnsi="Arial" w:cs="Arial"/>
                <w:sz w:val="18"/>
                <w:szCs w:val="22"/>
                <w:lang w:val="es-ES_tradnl"/>
              </w:rPr>
              <w:t>5</w:t>
            </w:r>
          </w:p>
        </w:tc>
      </w:tr>
    </w:tbl>
    <w:p w14:paraId="3DA425B3" w14:textId="77777777" w:rsidR="00ED2E20" w:rsidRPr="00D93780" w:rsidRDefault="00ED2E20" w:rsidP="00ED2E20">
      <w:pPr>
        <w:pStyle w:val="ListParagraph"/>
        <w:spacing w:line="276" w:lineRule="auto"/>
        <w:ind w:left="567"/>
        <w:rPr>
          <w:rFonts w:ascii="Arial" w:hAnsi="Arial" w:cs="Arial"/>
          <w:sz w:val="22"/>
          <w:szCs w:val="22"/>
        </w:rPr>
      </w:pPr>
    </w:p>
    <w:p w14:paraId="5D471B78" w14:textId="49FA6138" w:rsidR="00ED2E20" w:rsidRPr="00D93780" w:rsidRDefault="00ED2E20" w:rsidP="00462E76">
      <w:pPr>
        <w:pStyle w:val="Heading3"/>
        <w:spacing w:before="120" w:after="120"/>
        <w:rPr>
          <w:rFonts w:ascii="Arial" w:hAnsi="Arial"/>
          <w:szCs w:val="22"/>
        </w:rPr>
      </w:pPr>
      <w:bookmarkStart w:id="13" w:name="_Toc456337506"/>
      <w:r w:rsidRPr="00D93780">
        <w:rPr>
          <w:rFonts w:ascii="Arial" w:hAnsi="Arial"/>
          <w:szCs w:val="22"/>
        </w:rPr>
        <w:t>Evidencias</w:t>
      </w:r>
      <w:bookmarkEnd w:id="13"/>
    </w:p>
    <w:p w14:paraId="25706AED" w14:textId="5C461232" w:rsidR="00BD24E5" w:rsidRPr="00D93780" w:rsidRDefault="00BD24E5" w:rsidP="00462E76">
      <w:pPr>
        <w:pStyle w:val="ListParagraph"/>
        <w:numPr>
          <w:ilvl w:val="0"/>
          <w:numId w:val="47"/>
        </w:numPr>
        <w:spacing w:before="120" w:after="120"/>
        <w:rPr>
          <w:rFonts w:ascii="Arial" w:hAnsi="Arial" w:cs="Arial"/>
          <w:b/>
          <w:sz w:val="22"/>
          <w:szCs w:val="22"/>
        </w:rPr>
      </w:pPr>
      <w:r w:rsidRPr="00D93780">
        <w:rPr>
          <w:rFonts w:ascii="Arial" w:hAnsi="Arial" w:cs="Arial"/>
          <w:b/>
          <w:sz w:val="22"/>
          <w:szCs w:val="22"/>
        </w:rPr>
        <w:t>Evidencias comparadas</w:t>
      </w:r>
    </w:p>
    <w:p w14:paraId="0BF5A376" w14:textId="51EFCDFD"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Esta estrategia de mejora de la administración de la recaudación, a través de la centralización </w:t>
      </w:r>
      <w:r w:rsidR="007865FE" w:rsidRPr="00D93780">
        <w:rPr>
          <w:rFonts w:ascii="Arial" w:hAnsi="Arial" w:cs="Arial"/>
          <w:sz w:val="22"/>
          <w:szCs w:val="22"/>
          <w:lang w:val="es-ES_tradnl"/>
        </w:rPr>
        <w:t xml:space="preserve">de </w:t>
      </w:r>
      <w:r w:rsidRPr="00D93780">
        <w:rPr>
          <w:rFonts w:ascii="Arial" w:hAnsi="Arial" w:cs="Arial"/>
          <w:sz w:val="22"/>
          <w:szCs w:val="22"/>
          <w:lang w:val="es-ES_tradnl"/>
        </w:rPr>
        <w:t xml:space="preserve">los cobros en una agencia, se apoya en diversas evidencias, tanto extranjeras como en el mismo Uruguay. En un análisis comparativo sobre las prácticas de gestión </w:t>
      </w:r>
      <w:r w:rsidR="007865FE" w:rsidRPr="00D93780">
        <w:rPr>
          <w:rFonts w:ascii="Arial" w:hAnsi="Arial" w:cs="Arial"/>
          <w:sz w:val="22"/>
          <w:szCs w:val="22"/>
          <w:lang w:val="es-ES_tradnl"/>
        </w:rPr>
        <w:t xml:space="preserve">de impuestos en diversos países, incluidos la gran mayoría de los miembros de la </w:t>
      </w:r>
      <w:r w:rsidRPr="00D93780">
        <w:rPr>
          <w:rFonts w:ascii="Arial" w:hAnsi="Arial" w:cs="Arial"/>
          <w:sz w:val="22"/>
          <w:szCs w:val="22"/>
          <w:lang w:val="es-ES_tradnl"/>
        </w:rPr>
        <w:t xml:space="preserve">OCDE, se señala que en algunos </w:t>
      </w:r>
      <w:r w:rsidR="007865FE" w:rsidRPr="00D93780">
        <w:rPr>
          <w:rFonts w:ascii="Arial" w:hAnsi="Arial" w:cs="Arial"/>
          <w:sz w:val="22"/>
          <w:szCs w:val="22"/>
          <w:lang w:val="es-ES_tradnl"/>
        </w:rPr>
        <w:t>casos</w:t>
      </w:r>
      <w:r w:rsidRPr="00D93780">
        <w:rPr>
          <w:rFonts w:ascii="Arial" w:hAnsi="Arial" w:cs="Arial"/>
          <w:sz w:val="22"/>
          <w:szCs w:val="22"/>
          <w:lang w:val="es-ES_tradnl"/>
        </w:rPr>
        <w:t xml:space="preserve"> la agencia recaudadora nacional es la responsable de la recolección de los tributos relacionados con la propiedad (básicamente la contribución urbana y rural), y que en otros países esta labor </w:t>
      </w:r>
      <w:r w:rsidR="007865FE" w:rsidRPr="00D93780">
        <w:rPr>
          <w:rFonts w:ascii="Arial" w:hAnsi="Arial" w:cs="Arial"/>
          <w:sz w:val="22"/>
          <w:szCs w:val="22"/>
          <w:lang w:val="es-ES_tradnl"/>
        </w:rPr>
        <w:t xml:space="preserve">de cobro y cobranza </w:t>
      </w:r>
      <w:r w:rsidRPr="00D93780">
        <w:rPr>
          <w:rFonts w:ascii="Arial" w:hAnsi="Arial" w:cs="Arial"/>
          <w:sz w:val="22"/>
          <w:szCs w:val="22"/>
          <w:lang w:val="es-ES_tradnl"/>
        </w:rPr>
        <w:t>la realizan las agencias subnacionales.</w:t>
      </w:r>
      <w:r w:rsidRPr="00D93780">
        <w:rPr>
          <w:rStyle w:val="FootnoteReference"/>
          <w:rFonts w:ascii="Arial" w:hAnsi="Arial" w:cs="Arial"/>
          <w:sz w:val="22"/>
          <w:szCs w:val="22"/>
          <w:lang w:val="es-ES_tradnl"/>
        </w:rPr>
        <w:footnoteReference w:id="5"/>
      </w:r>
      <w:r w:rsidRPr="00D93780">
        <w:rPr>
          <w:rFonts w:ascii="Arial" w:hAnsi="Arial" w:cs="Arial"/>
          <w:sz w:val="22"/>
          <w:szCs w:val="22"/>
          <w:lang w:val="es-ES_tradnl"/>
        </w:rPr>
        <w:t xml:space="preserve"> En concreto, de los 31 países analizados, 14 de ellos recaudan </w:t>
      </w:r>
      <w:r w:rsidRPr="00D93780">
        <w:rPr>
          <w:rFonts w:ascii="Arial" w:hAnsi="Arial" w:cs="Arial"/>
          <w:sz w:val="22"/>
          <w:szCs w:val="22"/>
          <w:lang w:val="es-ES_tradnl"/>
        </w:rPr>
        <w:lastRenderedPageBreak/>
        <w:t>los impuestos territoriales a través de agencias nacionales, incluso en</w:t>
      </w:r>
      <w:r w:rsidR="007865FE" w:rsidRPr="00D93780">
        <w:rPr>
          <w:rFonts w:ascii="Arial" w:hAnsi="Arial" w:cs="Arial"/>
          <w:sz w:val="22"/>
          <w:szCs w:val="22"/>
          <w:lang w:val="es-ES_tradnl"/>
        </w:rPr>
        <w:t xml:space="preserve"> aquellos casos donde existe un</w:t>
      </w:r>
      <w:r w:rsidRPr="00D93780">
        <w:rPr>
          <w:rFonts w:ascii="Arial" w:hAnsi="Arial" w:cs="Arial"/>
          <w:sz w:val="22"/>
          <w:szCs w:val="22"/>
          <w:lang w:val="es-ES_tradnl"/>
        </w:rPr>
        <w:t>a estructura política federal, como puede ser el caso de Alemania.</w:t>
      </w:r>
      <w:r w:rsidR="007865FE" w:rsidRPr="00D93780">
        <w:rPr>
          <w:rStyle w:val="FootnoteReference"/>
          <w:rFonts w:ascii="Arial" w:hAnsi="Arial" w:cs="Arial"/>
          <w:sz w:val="22"/>
          <w:szCs w:val="22"/>
          <w:lang w:val="es-ES_tradnl"/>
        </w:rPr>
        <w:footnoteReference w:id="6"/>
      </w:r>
      <w:r w:rsidRPr="00D93780">
        <w:rPr>
          <w:rFonts w:ascii="Arial" w:hAnsi="Arial" w:cs="Arial"/>
          <w:sz w:val="22"/>
          <w:szCs w:val="22"/>
          <w:lang w:val="es-ES_tradnl"/>
        </w:rPr>
        <w:t xml:space="preserve"> En otros países federales, la recaudación por contribución de la propiedad radica en agencias subnacionales, pero no necesariamente en los niveles inferiores (subregionales dentro de una estructura federal).</w:t>
      </w:r>
      <w:r w:rsidR="007865FE" w:rsidRPr="00D93780">
        <w:rPr>
          <w:rFonts w:ascii="Arial" w:hAnsi="Arial" w:cs="Arial"/>
          <w:sz w:val="22"/>
          <w:szCs w:val="22"/>
          <w:lang w:val="es-ES_tradnl"/>
        </w:rPr>
        <w:t xml:space="preserve"> Esto implicaría que</w:t>
      </w:r>
      <w:r w:rsidR="00DB3344" w:rsidRPr="00D93780">
        <w:rPr>
          <w:rFonts w:ascii="Arial" w:hAnsi="Arial" w:cs="Arial"/>
          <w:sz w:val="22"/>
          <w:szCs w:val="22"/>
          <w:lang w:val="es-ES_tradnl"/>
        </w:rPr>
        <w:t xml:space="preserve"> una parte importante de los países federales, donde cabría presuponer que fueran más propensos a tener una organización tributaria muy descentralizada, conceden más peso relativo a los</w:t>
      </w:r>
      <w:r w:rsidR="007865FE" w:rsidRPr="00D93780">
        <w:rPr>
          <w:rFonts w:ascii="Arial" w:hAnsi="Arial" w:cs="Arial"/>
          <w:sz w:val="22"/>
          <w:szCs w:val="22"/>
          <w:lang w:val="es-ES_tradnl"/>
        </w:rPr>
        <w:t xml:space="preserve"> criterio</w:t>
      </w:r>
      <w:r w:rsidR="00DB3344" w:rsidRPr="00D93780">
        <w:rPr>
          <w:rFonts w:ascii="Arial" w:hAnsi="Arial" w:cs="Arial"/>
          <w:sz w:val="22"/>
          <w:szCs w:val="22"/>
          <w:lang w:val="es-ES_tradnl"/>
        </w:rPr>
        <w:t>s</w:t>
      </w:r>
      <w:r w:rsidR="007865FE" w:rsidRPr="00D93780">
        <w:rPr>
          <w:rFonts w:ascii="Arial" w:hAnsi="Arial" w:cs="Arial"/>
          <w:sz w:val="22"/>
          <w:szCs w:val="22"/>
          <w:lang w:val="es-ES_tradnl"/>
        </w:rPr>
        <w:t xml:space="preserve"> de efectividad y eficiencia </w:t>
      </w:r>
      <w:r w:rsidR="00DB3344" w:rsidRPr="00D93780">
        <w:rPr>
          <w:rFonts w:ascii="Arial" w:hAnsi="Arial" w:cs="Arial"/>
          <w:sz w:val="22"/>
          <w:szCs w:val="22"/>
          <w:lang w:val="es-ES_tradnl"/>
        </w:rPr>
        <w:t>que a los de autonomía institucional.</w:t>
      </w:r>
      <w:r w:rsidR="007865FE" w:rsidRPr="00D93780">
        <w:rPr>
          <w:rFonts w:ascii="Arial" w:hAnsi="Arial" w:cs="Arial"/>
          <w:sz w:val="22"/>
          <w:szCs w:val="22"/>
          <w:lang w:val="es-ES_tradnl"/>
        </w:rPr>
        <w:t xml:space="preserve"> </w:t>
      </w:r>
      <w:r w:rsidRPr="00D93780">
        <w:rPr>
          <w:rStyle w:val="FootnoteReference"/>
          <w:rFonts w:ascii="Arial" w:hAnsi="Arial" w:cs="Arial"/>
          <w:sz w:val="22"/>
          <w:szCs w:val="22"/>
          <w:lang w:val="es-ES_tradnl"/>
        </w:rPr>
        <w:footnoteReference w:id="7"/>
      </w:r>
    </w:p>
    <w:p w14:paraId="54563A72"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Martínez-Vázquez y </w:t>
      </w:r>
      <w:r w:rsidRPr="00D93780">
        <w:rPr>
          <w:rFonts w:ascii="Arial" w:hAnsi="Arial" w:cs="Arial"/>
          <w:sz w:val="22"/>
          <w:szCs w:val="22"/>
          <w:lang w:val="es-ES_tradnl"/>
        </w:rPr>
        <w:t>Timofeev</w:t>
      </w:r>
      <w:r w:rsidRPr="00D93780">
        <w:rPr>
          <w:rFonts w:ascii="Arial" w:hAnsi="Arial" w:cs="Arial"/>
          <w:sz w:val="22"/>
          <w:szCs w:val="22"/>
        </w:rPr>
        <w:t xml:space="preserve"> (2005) apuntan a que la organización de la administración tributaria debe ajustarse a dos objetivos de políticas: </w:t>
      </w:r>
    </w:p>
    <w:p w14:paraId="103D4686" w14:textId="295ED73E" w:rsidR="00ED2E20" w:rsidRPr="00D93780" w:rsidRDefault="00ED2E20" w:rsidP="00462E76">
      <w:pPr>
        <w:pStyle w:val="ListParagraph"/>
        <w:numPr>
          <w:ilvl w:val="1"/>
          <w:numId w:val="35"/>
        </w:numPr>
        <w:spacing w:before="120" w:after="120" w:line="276" w:lineRule="auto"/>
        <w:ind w:left="993" w:hanging="426"/>
        <w:jc w:val="both"/>
        <w:rPr>
          <w:rFonts w:ascii="Arial" w:hAnsi="Arial" w:cs="Arial"/>
          <w:sz w:val="22"/>
          <w:szCs w:val="22"/>
        </w:rPr>
      </w:pPr>
      <w:r w:rsidRPr="00D93780">
        <w:rPr>
          <w:rFonts w:ascii="Arial" w:hAnsi="Arial" w:cs="Arial"/>
          <w:sz w:val="22"/>
          <w:szCs w:val="22"/>
        </w:rPr>
        <w:t xml:space="preserve">El primer objetivo es la maximización de los ingresos tributarios, sujeto a su vez a dos restricciones: por un lado, los costos </w:t>
      </w:r>
      <w:r w:rsidR="00227A32" w:rsidRPr="00D93780">
        <w:rPr>
          <w:rFonts w:ascii="Arial" w:hAnsi="Arial" w:cs="Arial"/>
          <w:sz w:val="22"/>
          <w:szCs w:val="22"/>
        </w:rPr>
        <w:t>incurridos por la</w:t>
      </w:r>
      <w:r w:rsidRPr="00D93780">
        <w:rPr>
          <w:rFonts w:ascii="Arial" w:hAnsi="Arial" w:cs="Arial"/>
          <w:sz w:val="22"/>
          <w:szCs w:val="22"/>
        </w:rPr>
        <w:t xml:space="preserve"> administración</w:t>
      </w:r>
      <w:r w:rsidR="00227A32" w:rsidRPr="00D93780">
        <w:rPr>
          <w:rFonts w:ascii="Arial" w:hAnsi="Arial" w:cs="Arial"/>
          <w:sz w:val="22"/>
          <w:szCs w:val="22"/>
        </w:rPr>
        <w:t xml:space="preserve"> del cobro</w:t>
      </w:r>
      <w:r w:rsidR="00EE2714" w:rsidRPr="00D93780">
        <w:rPr>
          <w:rFonts w:ascii="Arial" w:hAnsi="Arial" w:cs="Arial"/>
          <w:sz w:val="22"/>
          <w:szCs w:val="22"/>
        </w:rPr>
        <w:t>,</w:t>
      </w:r>
      <w:r w:rsidRPr="00D93780">
        <w:rPr>
          <w:rFonts w:ascii="Arial" w:hAnsi="Arial" w:cs="Arial"/>
          <w:sz w:val="22"/>
          <w:szCs w:val="22"/>
        </w:rPr>
        <w:t xml:space="preserve"> y </w:t>
      </w:r>
      <w:r w:rsidR="00EE2714" w:rsidRPr="00D93780">
        <w:rPr>
          <w:rFonts w:ascii="Arial" w:hAnsi="Arial" w:cs="Arial"/>
          <w:sz w:val="22"/>
          <w:szCs w:val="22"/>
        </w:rPr>
        <w:t xml:space="preserve">por otro, </w:t>
      </w:r>
      <w:r w:rsidRPr="00D93780">
        <w:rPr>
          <w:rFonts w:ascii="Arial" w:hAnsi="Arial" w:cs="Arial"/>
          <w:sz w:val="22"/>
          <w:szCs w:val="22"/>
        </w:rPr>
        <w:t xml:space="preserve">el costo </w:t>
      </w:r>
      <w:r w:rsidR="00227A32" w:rsidRPr="00D93780">
        <w:rPr>
          <w:rFonts w:ascii="Arial" w:hAnsi="Arial" w:cs="Arial"/>
          <w:sz w:val="22"/>
          <w:szCs w:val="22"/>
        </w:rPr>
        <w:t>que deben soportar</w:t>
      </w:r>
      <w:r w:rsidRPr="00D93780">
        <w:rPr>
          <w:rFonts w:ascii="Arial" w:hAnsi="Arial" w:cs="Arial"/>
          <w:sz w:val="22"/>
          <w:szCs w:val="22"/>
        </w:rPr>
        <w:t xml:space="preserve"> </w:t>
      </w:r>
      <w:r w:rsidR="00227A32" w:rsidRPr="00D93780">
        <w:rPr>
          <w:rFonts w:ascii="Arial" w:hAnsi="Arial" w:cs="Arial"/>
          <w:sz w:val="22"/>
          <w:szCs w:val="22"/>
        </w:rPr>
        <w:t xml:space="preserve">los contribuyentes para el </w:t>
      </w:r>
      <w:r w:rsidRPr="00D93780">
        <w:rPr>
          <w:rFonts w:ascii="Arial" w:hAnsi="Arial" w:cs="Arial"/>
          <w:sz w:val="22"/>
          <w:szCs w:val="22"/>
        </w:rPr>
        <w:t xml:space="preserve">cumplimiento de los deberes tributarios. </w:t>
      </w:r>
    </w:p>
    <w:p w14:paraId="19C74DFC" w14:textId="52FA481B" w:rsidR="00ED2E20" w:rsidRPr="00D93780" w:rsidRDefault="00ED2E20" w:rsidP="00462E76">
      <w:pPr>
        <w:pStyle w:val="ListParagraph"/>
        <w:numPr>
          <w:ilvl w:val="1"/>
          <w:numId w:val="35"/>
        </w:numPr>
        <w:spacing w:before="120" w:after="120" w:line="276" w:lineRule="auto"/>
        <w:ind w:left="993" w:hanging="426"/>
        <w:jc w:val="both"/>
        <w:rPr>
          <w:rFonts w:ascii="Arial" w:hAnsi="Arial" w:cs="Arial"/>
          <w:sz w:val="22"/>
          <w:szCs w:val="22"/>
        </w:rPr>
      </w:pPr>
      <w:r w:rsidRPr="00D93780">
        <w:rPr>
          <w:rFonts w:ascii="Arial" w:hAnsi="Arial" w:cs="Arial"/>
          <w:sz w:val="22"/>
          <w:szCs w:val="22"/>
        </w:rPr>
        <w:t>El segundo objetivo es la responsabilidad otorgada a la agencia tributaria, en el marco del sistema democrático, para el cumplimiento de sus obligaciones en la recaudación de impuestos.</w:t>
      </w:r>
      <w:r w:rsidR="00227A32" w:rsidRPr="00D93780">
        <w:rPr>
          <w:rFonts w:ascii="Arial" w:hAnsi="Arial" w:cs="Arial"/>
          <w:sz w:val="22"/>
          <w:szCs w:val="22"/>
        </w:rPr>
        <w:t xml:space="preserve"> Esto supone establecer mecanismos de rendición de cuentas de la efectividad de su gestión, pero al mismo tiempo </w:t>
      </w:r>
      <w:r w:rsidR="008A79E9" w:rsidRPr="00D93780">
        <w:rPr>
          <w:rFonts w:ascii="Arial" w:hAnsi="Arial" w:cs="Arial"/>
          <w:sz w:val="22"/>
          <w:szCs w:val="22"/>
        </w:rPr>
        <w:t xml:space="preserve">se requiere de la necesaria </w:t>
      </w:r>
      <w:r w:rsidR="008A79E9" w:rsidRPr="00D93780">
        <w:rPr>
          <w:rFonts w:ascii="Arial" w:hAnsi="Arial" w:cs="Arial"/>
          <w:i/>
          <w:sz w:val="22"/>
          <w:szCs w:val="22"/>
        </w:rPr>
        <w:t>autonomía de gestión</w:t>
      </w:r>
      <w:r w:rsidR="008A79E9" w:rsidRPr="00D93780">
        <w:rPr>
          <w:rFonts w:ascii="Arial" w:hAnsi="Arial" w:cs="Arial"/>
          <w:sz w:val="22"/>
          <w:szCs w:val="22"/>
        </w:rPr>
        <w:t xml:space="preserve"> con respecto a los poderes políticos para el ejercicio de su función recaudadora. </w:t>
      </w:r>
    </w:p>
    <w:p w14:paraId="51892383" w14:textId="7A74FCCE"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Cada país busca su arreglo institucional de agencia en función del cumplimiento de estos objetivos, de tal manera que no se puede afirmar de forma concluyente que un modelo organizacional de la</w:t>
      </w:r>
      <w:r w:rsidR="008A79E9" w:rsidRPr="00D93780">
        <w:rPr>
          <w:rFonts w:ascii="Arial" w:hAnsi="Arial" w:cs="Arial"/>
          <w:sz w:val="22"/>
          <w:szCs w:val="22"/>
        </w:rPr>
        <w:t xml:space="preserve"> recaudación sea superior a otro</w:t>
      </w:r>
      <w:r w:rsidRPr="00D93780">
        <w:rPr>
          <w:rFonts w:ascii="Arial" w:hAnsi="Arial" w:cs="Arial"/>
          <w:sz w:val="22"/>
          <w:szCs w:val="22"/>
        </w:rPr>
        <w:t>. Sin embargo, existen también evidencias que estructuras muy descentralizadas tiene problemas de economías de escala y de hacer efectivo el cumplimiento de sus obligaciones a los contribuyentes</w:t>
      </w:r>
      <w:r w:rsidR="008A79E9" w:rsidRPr="00D93780">
        <w:rPr>
          <w:rFonts w:ascii="Arial" w:hAnsi="Arial" w:cs="Arial"/>
          <w:sz w:val="22"/>
          <w:szCs w:val="22"/>
        </w:rPr>
        <w:t>, mientras que sistemas centralizados ‒con diferentes grados de centralización‒, son más efectivos</w:t>
      </w:r>
      <w:r w:rsidRPr="00D93780">
        <w:rPr>
          <w:rFonts w:ascii="Arial" w:hAnsi="Arial" w:cs="Arial"/>
          <w:sz w:val="22"/>
          <w:szCs w:val="22"/>
        </w:rPr>
        <w:t xml:space="preserve"> </w:t>
      </w:r>
      <w:r w:rsidR="008A79E9" w:rsidRPr="00D93780">
        <w:rPr>
          <w:rFonts w:ascii="Arial" w:hAnsi="Arial" w:cs="Arial"/>
          <w:sz w:val="22"/>
          <w:szCs w:val="22"/>
        </w:rPr>
        <w:t>en el</w:t>
      </w:r>
      <w:r w:rsidRPr="00D93780">
        <w:rPr>
          <w:rFonts w:ascii="Arial" w:hAnsi="Arial" w:cs="Arial"/>
          <w:sz w:val="22"/>
          <w:szCs w:val="22"/>
        </w:rPr>
        <w:t xml:space="preserve"> mejor manejo de las externalidades entre diferentes tributos y contribuyentes ubicados en diferentes localidades (Martínez-Vázquez y </w:t>
      </w:r>
      <w:r w:rsidRPr="00D93780">
        <w:rPr>
          <w:rFonts w:ascii="Arial" w:hAnsi="Arial" w:cs="Arial"/>
          <w:sz w:val="22"/>
          <w:szCs w:val="22"/>
          <w:lang w:val="es-ES_tradnl"/>
        </w:rPr>
        <w:t>Timofeev</w:t>
      </w:r>
      <w:r w:rsidRPr="00D93780">
        <w:rPr>
          <w:rFonts w:ascii="Arial" w:hAnsi="Arial" w:cs="Arial"/>
          <w:sz w:val="22"/>
          <w:szCs w:val="22"/>
        </w:rPr>
        <w:t xml:space="preserve">, 2004:7, :8 y :40). </w:t>
      </w:r>
    </w:p>
    <w:p w14:paraId="278D24B2" w14:textId="197C446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En el caso de los tributos sobre la propiedad, a pesar de la ventaja </w:t>
      </w:r>
      <w:r w:rsidR="008A79E9" w:rsidRPr="00D93780">
        <w:rPr>
          <w:rFonts w:ascii="Arial" w:hAnsi="Arial" w:cs="Arial"/>
          <w:sz w:val="22"/>
          <w:szCs w:val="22"/>
        </w:rPr>
        <w:t>que pudiese suponerse a tener</w:t>
      </w:r>
      <w:r w:rsidRPr="00D93780">
        <w:rPr>
          <w:rFonts w:ascii="Arial" w:hAnsi="Arial" w:cs="Arial"/>
          <w:sz w:val="22"/>
          <w:szCs w:val="22"/>
        </w:rPr>
        <w:t xml:space="preserve"> la información </w:t>
      </w:r>
      <w:r w:rsidR="008A79E9" w:rsidRPr="00D93780">
        <w:rPr>
          <w:rFonts w:ascii="Arial" w:hAnsi="Arial" w:cs="Arial"/>
          <w:sz w:val="22"/>
          <w:szCs w:val="22"/>
        </w:rPr>
        <w:t xml:space="preserve">en los niveles </w:t>
      </w:r>
      <w:r w:rsidRPr="00D93780">
        <w:rPr>
          <w:rFonts w:ascii="Arial" w:hAnsi="Arial" w:cs="Arial"/>
          <w:sz w:val="22"/>
          <w:szCs w:val="22"/>
        </w:rPr>
        <w:t>local</w:t>
      </w:r>
      <w:r w:rsidR="008A79E9" w:rsidRPr="00D93780">
        <w:rPr>
          <w:rFonts w:ascii="Arial" w:hAnsi="Arial" w:cs="Arial"/>
          <w:sz w:val="22"/>
          <w:szCs w:val="22"/>
        </w:rPr>
        <w:t>es</w:t>
      </w:r>
      <w:r w:rsidRPr="00D93780">
        <w:rPr>
          <w:rFonts w:ascii="Arial" w:hAnsi="Arial" w:cs="Arial"/>
          <w:sz w:val="22"/>
          <w:szCs w:val="22"/>
        </w:rPr>
        <w:t>, la entrega del catastro a agencias independientes</w:t>
      </w:r>
      <w:r w:rsidR="00BD24E5" w:rsidRPr="00D93780">
        <w:rPr>
          <w:rFonts w:ascii="Arial" w:hAnsi="Arial" w:cs="Arial"/>
          <w:sz w:val="22"/>
          <w:szCs w:val="22"/>
        </w:rPr>
        <w:t xml:space="preserve"> no locales</w:t>
      </w:r>
      <w:r w:rsidRPr="00D93780">
        <w:rPr>
          <w:rFonts w:ascii="Arial" w:hAnsi="Arial" w:cs="Arial"/>
          <w:sz w:val="22"/>
          <w:szCs w:val="22"/>
        </w:rPr>
        <w:t xml:space="preserve">, tal vez en los niveles de región/provincia, </w:t>
      </w:r>
      <w:r w:rsidR="00BD24E5" w:rsidRPr="00D93780">
        <w:rPr>
          <w:rFonts w:ascii="Arial" w:hAnsi="Arial" w:cs="Arial"/>
          <w:sz w:val="22"/>
          <w:szCs w:val="22"/>
        </w:rPr>
        <w:t>serviría para mantener</w:t>
      </w:r>
      <w:r w:rsidRPr="00D93780">
        <w:rPr>
          <w:rFonts w:ascii="Arial" w:hAnsi="Arial" w:cs="Arial"/>
          <w:sz w:val="22"/>
          <w:szCs w:val="22"/>
        </w:rPr>
        <w:t xml:space="preserve"> las ventajas de la información, pero reduciría las posibilidades de la captura de rentas observada especialmente en los países emergentes. </w:t>
      </w:r>
      <w:r w:rsidR="00BD24E5" w:rsidRPr="00D93780">
        <w:rPr>
          <w:rFonts w:ascii="Arial" w:hAnsi="Arial" w:cs="Arial"/>
          <w:sz w:val="22"/>
          <w:szCs w:val="22"/>
        </w:rPr>
        <w:t>Así, a</w:t>
      </w:r>
      <w:r w:rsidRPr="00D93780">
        <w:rPr>
          <w:rFonts w:ascii="Arial" w:hAnsi="Arial" w:cs="Arial"/>
          <w:sz w:val="22"/>
          <w:szCs w:val="22"/>
        </w:rPr>
        <w:t xml:space="preserve">lgunos países han trasladado directamente la recaudación de la contribución </w:t>
      </w:r>
      <w:r w:rsidR="00BD24E5" w:rsidRPr="00D93780">
        <w:rPr>
          <w:rFonts w:ascii="Arial" w:hAnsi="Arial" w:cs="Arial"/>
          <w:sz w:val="22"/>
          <w:szCs w:val="22"/>
        </w:rPr>
        <w:t>inmobiliaria</w:t>
      </w:r>
      <w:r w:rsidRPr="00D93780">
        <w:rPr>
          <w:rFonts w:ascii="Arial" w:hAnsi="Arial" w:cs="Arial"/>
          <w:sz w:val="22"/>
          <w:szCs w:val="22"/>
        </w:rPr>
        <w:t xml:space="preserve"> a niveles </w:t>
      </w:r>
      <w:r w:rsidR="00BD24E5" w:rsidRPr="00D93780">
        <w:rPr>
          <w:rFonts w:ascii="Arial" w:hAnsi="Arial" w:cs="Arial"/>
          <w:sz w:val="22"/>
          <w:szCs w:val="22"/>
        </w:rPr>
        <w:t xml:space="preserve">territoriales </w:t>
      </w:r>
      <w:r w:rsidRPr="00D93780">
        <w:rPr>
          <w:rFonts w:ascii="Arial" w:hAnsi="Arial" w:cs="Arial"/>
          <w:sz w:val="22"/>
          <w:szCs w:val="22"/>
        </w:rPr>
        <w:t>superiores (regional o central).</w:t>
      </w:r>
      <w:r w:rsidRPr="00D93780">
        <w:rPr>
          <w:rStyle w:val="FootnoteReference"/>
          <w:rFonts w:ascii="Arial" w:hAnsi="Arial" w:cs="Arial"/>
          <w:sz w:val="22"/>
          <w:szCs w:val="22"/>
        </w:rPr>
        <w:footnoteReference w:id="8"/>
      </w:r>
      <w:r w:rsidRPr="00D93780">
        <w:rPr>
          <w:rFonts w:ascii="Arial" w:hAnsi="Arial" w:cs="Arial"/>
          <w:sz w:val="22"/>
          <w:szCs w:val="22"/>
        </w:rPr>
        <w:t xml:space="preserve"> </w:t>
      </w:r>
    </w:p>
    <w:p w14:paraId="17BA2BC4" w14:textId="11428725" w:rsidR="00BD24E5" w:rsidRPr="00D93780" w:rsidRDefault="00BD24E5" w:rsidP="00462E76">
      <w:pPr>
        <w:pStyle w:val="ListParagraph"/>
        <w:numPr>
          <w:ilvl w:val="0"/>
          <w:numId w:val="47"/>
        </w:numPr>
        <w:spacing w:before="120" w:after="120"/>
        <w:rPr>
          <w:rFonts w:ascii="Arial" w:hAnsi="Arial" w:cs="Arial"/>
          <w:b/>
          <w:sz w:val="22"/>
          <w:szCs w:val="22"/>
        </w:rPr>
      </w:pPr>
      <w:r w:rsidRPr="00D93780">
        <w:rPr>
          <w:rFonts w:ascii="Arial" w:hAnsi="Arial" w:cs="Arial"/>
          <w:b/>
          <w:sz w:val="22"/>
          <w:szCs w:val="22"/>
        </w:rPr>
        <w:t>Evidencias de Uruguay</w:t>
      </w:r>
    </w:p>
    <w:p w14:paraId="72D68344" w14:textId="17EE0299"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lastRenderedPageBreak/>
        <w:t>Por otra parte, existe en Uruguay un experimento natural acerca de las ventajas o desventajas de modelos centralizados de recau</w:t>
      </w:r>
      <w:r w:rsidR="00BD24E5" w:rsidRPr="00D93780">
        <w:rPr>
          <w:rFonts w:ascii="Arial" w:hAnsi="Arial" w:cs="Arial"/>
          <w:sz w:val="22"/>
          <w:szCs w:val="22"/>
        </w:rPr>
        <w:t>dación. En el año 2011, mediante un acuerdo entre todos los gobiernos departamentos y el gobierno central, se decidió</w:t>
      </w:r>
      <w:r w:rsidRPr="00D93780">
        <w:rPr>
          <w:rFonts w:ascii="Arial" w:hAnsi="Arial" w:cs="Arial"/>
          <w:sz w:val="22"/>
          <w:szCs w:val="22"/>
        </w:rPr>
        <w:t xml:space="preserve"> centralizar el cobro del </w:t>
      </w:r>
      <w:r w:rsidR="00BD24E5" w:rsidRPr="00D93780">
        <w:rPr>
          <w:rFonts w:ascii="Arial" w:hAnsi="Arial" w:cs="Arial"/>
          <w:sz w:val="22"/>
          <w:szCs w:val="22"/>
        </w:rPr>
        <w:t>impuesto (patente) de vehículos</w:t>
      </w:r>
      <w:r w:rsidRPr="00D93780">
        <w:rPr>
          <w:rFonts w:ascii="Arial" w:hAnsi="Arial" w:cs="Arial"/>
          <w:sz w:val="22"/>
          <w:szCs w:val="22"/>
        </w:rPr>
        <w:t xml:space="preserve"> a través de un mecanismo denominado Sistema Único de Cobro e Ingresos Vehiculares (SUCIVE).</w:t>
      </w:r>
      <w:r w:rsidRPr="00D93780">
        <w:rPr>
          <w:rStyle w:val="FootnoteReference"/>
          <w:rFonts w:ascii="Arial" w:hAnsi="Arial" w:cs="Arial"/>
          <w:sz w:val="22"/>
          <w:szCs w:val="22"/>
        </w:rPr>
        <w:footnoteReference w:id="9"/>
      </w:r>
      <w:r w:rsidRPr="00D93780">
        <w:rPr>
          <w:rFonts w:ascii="Arial" w:hAnsi="Arial" w:cs="Arial"/>
          <w:sz w:val="22"/>
          <w:szCs w:val="22"/>
        </w:rPr>
        <w:t xml:space="preserve"> El SUCIVE recibe una cesión por parte de los intendentes del derecho de cobro de los tributos</w:t>
      </w:r>
      <w:r w:rsidR="00BD24E5" w:rsidRPr="00D93780">
        <w:rPr>
          <w:rFonts w:ascii="Arial" w:hAnsi="Arial" w:cs="Arial"/>
          <w:sz w:val="22"/>
          <w:szCs w:val="22"/>
        </w:rPr>
        <w:t>, para lo cual se suscriben convenios bilaterales</w:t>
      </w:r>
      <w:r w:rsidRPr="00D93780">
        <w:rPr>
          <w:rFonts w:ascii="Arial" w:hAnsi="Arial" w:cs="Arial"/>
          <w:sz w:val="22"/>
          <w:szCs w:val="22"/>
        </w:rPr>
        <w:t xml:space="preserve">. </w:t>
      </w:r>
      <w:r w:rsidR="00BD24E5" w:rsidRPr="00D93780">
        <w:rPr>
          <w:rFonts w:ascii="Arial" w:hAnsi="Arial" w:cs="Arial"/>
          <w:sz w:val="22"/>
          <w:szCs w:val="22"/>
        </w:rPr>
        <w:t>Obviamente esta cesión no es irreversible.</w:t>
      </w:r>
    </w:p>
    <w:p w14:paraId="2955E73D" w14:textId="5DC9D850" w:rsidR="00ED2E20" w:rsidRPr="00D93780" w:rsidRDefault="00BD24E5"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El SUCIVE se administra</w:t>
      </w:r>
      <w:r w:rsidR="00ED2E20" w:rsidRPr="00D93780">
        <w:rPr>
          <w:rFonts w:ascii="Arial" w:hAnsi="Arial" w:cs="Arial"/>
          <w:sz w:val="22"/>
          <w:szCs w:val="22"/>
        </w:rPr>
        <w:t xml:space="preserve"> por </w:t>
      </w:r>
      <w:r w:rsidRPr="00D93780">
        <w:rPr>
          <w:rFonts w:ascii="Arial" w:hAnsi="Arial" w:cs="Arial"/>
          <w:sz w:val="22"/>
          <w:szCs w:val="22"/>
        </w:rPr>
        <w:t xml:space="preserve">parte de </w:t>
      </w:r>
      <w:r w:rsidR="00ED2E20" w:rsidRPr="00D93780">
        <w:rPr>
          <w:rFonts w:ascii="Arial" w:hAnsi="Arial" w:cs="Arial"/>
          <w:sz w:val="22"/>
          <w:szCs w:val="22"/>
        </w:rPr>
        <w:t xml:space="preserve">un </w:t>
      </w:r>
      <w:r w:rsidRPr="00D93780">
        <w:rPr>
          <w:rFonts w:ascii="Arial" w:hAnsi="Arial" w:cs="Arial"/>
          <w:sz w:val="22"/>
          <w:szCs w:val="22"/>
        </w:rPr>
        <w:t>fideicomiso</w:t>
      </w:r>
      <w:r w:rsidR="00ED2E20" w:rsidRPr="00D93780">
        <w:rPr>
          <w:rFonts w:ascii="Arial" w:hAnsi="Arial" w:cs="Arial"/>
          <w:sz w:val="22"/>
          <w:szCs w:val="22"/>
        </w:rPr>
        <w:t xml:space="preserve"> profesional, autorizado a operar como tal po</w:t>
      </w:r>
      <w:r w:rsidRPr="00D93780">
        <w:rPr>
          <w:rFonts w:ascii="Arial" w:hAnsi="Arial" w:cs="Arial"/>
          <w:sz w:val="22"/>
          <w:szCs w:val="22"/>
        </w:rPr>
        <w:t>r el Banco Central del Uruguay. Este agente fiduciario es el</w:t>
      </w:r>
      <w:r w:rsidR="00ED2E20" w:rsidRPr="00D93780">
        <w:rPr>
          <w:rFonts w:ascii="Arial" w:hAnsi="Arial" w:cs="Arial"/>
          <w:sz w:val="22"/>
          <w:szCs w:val="22"/>
        </w:rPr>
        <w:t xml:space="preserve"> responsable de transferir en forma inmediata los ingresos que reciba al Gobierno Departamental correspondiente.</w:t>
      </w:r>
      <w:r w:rsidR="00ED2E20" w:rsidRPr="00D93780">
        <w:rPr>
          <w:rStyle w:val="FootnoteReference"/>
          <w:rFonts w:ascii="Arial" w:hAnsi="Arial" w:cs="Arial"/>
          <w:sz w:val="22"/>
          <w:szCs w:val="22"/>
        </w:rPr>
        <w:footnoteReference w:id="10"/>
      </w:r>
      <w:r w:rsidR="00ED2E20" w:rsidRPr="00D93780">
        <w:rPr>
          <w:rFonts w:ascii="Arial" w:hAnsi="Arial" w:cs="Arial"/>
          <w:sz w:val="22"/>
          <w:szCs w:val="22"/>
        </w:rPr>
        <w:t xml:space="preserve"> Además de la recaudación, también es responsable del cobro de recargos, multas y moras correspondientes al vehículo, y de las multas que correspondan a los propietarios o conductores. </w:t>
      </w:r>
    </w:p>
    <w:p w14:paraId="6ADBC349" w14:textId="02F21B54"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En el año 2012, las prioridades de los responsables de</w:t>
      </w:r>
      <w:r w:rsidR="00BD24E5" w:rsidRPr="00D93780">
        <w:rPr>
          <w:rFonts w:ascii="Arial" w:hAnsi="Arial" w:cs="Arial"/>
          <w:sz w:val="22"/>
          <w:szCs w:val="22"/>
        </w:rPr>
        <w:t>l</w:t>
      </w:r>
      <w:r w:rsidRPr="00D93780">
        <w:rPr>
          <w:rFonts w:ascii="Arial" w:hAnsi="Arial" w:cs="Arial"/>
          <w:sz w:val="22"/>
          <w:szCs w:val="22"/>
        </w:rPr>
        <w:t xml:space="preserve"> nuevo mecanismo de cobro centralizado estuvieron concentradas en revisar el denominado aforo, que es el valor que deben tener los vehículos y modelos de acuerdo con sus características intrínsecas (potencia, por ejemplo) y antigüedad. En el año 2012, una vez terminada la revisión del aforo, se procedió a centralizar el cobro en SUCIVE. Los resultados en términos de recaudación por </w:t>
      </w:r>
      <w:r w:rsidRPr="00D93780">
        <w:rPr>
          <w:rFonts w:ascii="Arial" w:hAnsi="Arial" w:cs="Arial"/>
          <w:i/>
          <w:sz w:val="22"/>
          <w:szCs w:val="22"/>
        </w:rPr>
        <w:t>centralización</w:t>
      </w:r>
      <w:r w:rsidRPr="00D93780">
        <w:rPr>
          <w:rFonts w:ascii="Arial" w:hAnsi="Arial" w:cs="Arial"/>
          <w:sz w:val="22"/>
          <w:szCs w:val="22"/>
        </w:rPr>
        <w:t xml:space="preserve">, descontados los efectos cantidad y precios, se muestran en el cuadro </w:t>
      </w:r>
      <w:r w:rsidR="007D05D5" w:rsidRPr="00D93780">
        <w:rPr>
          <w:rFonts w:ascii="Arial" w:hAnsi="Arial" w:cs="Arial"/>
          <w:sz w:val="22"/>
          <w:szCs w:val="22"/>
        </w:rPr>
        <w:t>4</w:t>
      </w:r>
      <w:r w:rsidRPr="00D93780">
        <w:rPr>
          <w:rFonts w:ascii="Arial" w:hAnsi="Arial" w:cs="Arial"/>
          <w:sz w:val="22"/>
          <w:szCs w:val="22"/>
        </w:rPr>
        <w:t>.</w:t>
      </w:r>
    </w:p>
    <w:p w14:paraId="2345B2A6" w14:textId="3D760E02"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7D05D5" w:rsidRPr="00462E76">
        <w:rPr>
          <w:rFonts w:ascii="Arial" w:hAnsi="Arial" w:cs="Arial"/>
          <w:b/>
          <w:sz w:val="18"/>
          <w:szCs w:val="22"/>
        </w:rPr>
        <w:t>4</w:t>
      </w:r>
      <w:r w:rsidRPr="00462E76">
        <w:rPr>
          <w:rFonts w:ascii="Arial" w:hAnsi="Arial" w:cs="Arial"/>
          <w:b/>
          <w:sz w:val="18"/>
          <w:szCs w:val="22"/>
        </w:rPr>
        <w:t>. Centralización de la recaudación: efecto</w:t>
      </w:r>
    </w:p>
    <w:tbl>
      <w:tblPr>
        <w:tblW w:w="4670" w:type="pct"/>
        <w:tblInd w:w="510" w:type="dxa"/>
        <w:tblLayout w:type="fixed"/>
        <w:tblCellMar>
          <w:left w:w="70" w:type="dxa"/>
          <w:right w:w="70" w:type="dxa"/>
        </w:tblCellMar>
        <w:tblLook w:val="04A0" w:firstRow="1" w:lastRow="0" w:firstColumn="1" w:lastColumn="0" w:noHBand="0" w:noVBand="1"/>
      </w:tblPr>
      <w:tblGrid>
        <w:gridCol w:w="1124"/>
        <w:gridCol w:w="1327"/>
        <w:gridCol w:w="1329"/>
        <w:gridCol w:w="955"/>
        <w:gridCol w:w="1540"/>
        <w:gridCol w:w="1926"/>
      </w:tblGrid>
      <w:tr w:rsidR="00694FB3" w:rsidRPr="00694FB3" w14:paraId="7CEE3FEF" w14:textId="77777777" w:rsidTr="00694FB3">
        <w:trPr>
          <w:trHeight w:val="213"/>
        </w:trPr>
        <w:tc>
          <w:tcPr>
            <w:tcW w:w="686" w:type="pct"/>
            <w:tcBorders>
              <w:top w:val="single" w:sz="4" w:space="0" w:color="auto"/>
              <w:left w:val="nil"/>
              <w:bottom w:val="single" w:sz="4" w:space="0" w:color="auto"/>
              <w:right w:val="nil"/>
            </w:tcBorders>
            <w:shd w:val="clear" w:color="auto" w:fill="D9D9D9" w:themeFill="background1" w:themeFillShade="D9"/>
            <w:noWrap/>
            <w:vAlign w:val="bottom"/>
          </w:tcPr>
          <w:p w14:paraId="43E34965" w14:textId="77777777" w:rsidR="00ED2E20" w:rsidRPr="00694FB3" w:rsidRDefault="00ED2E20" w:rsidP="00227A32">
            <w:pPr>
              <w:jc w:val="center"/>
              <w:rPr>
                <w:rFonts w:ascii="Arial" w:hAnsi="Arial" w:cs="Arial"/>
                <w:b/>
                <w:bCs/>
                <w:i/>
                <w:color w:val="000000"/>
                <w:sz w:val="18"/>
                <w:szCs w:val="22"/>
              </w:rPr>
            </w:pPr>
          </w:p>
        </w:tc>
        <w:tc>
          <w:tcPr>
            <w:tcW w:w="1619" w:type="pct"/>
            <w:gridSpan w:val="2"/>
            <w:tcBorders>
              <w:top w:val="single" w:sz="4" w:space="0" w:color="auto"/>
              <w:left w:val="nil"/>
              <w:bottom w:val="single" w:sz="4" w:space="0" w:color="auto"/>
              <w:right w:val="nil"/>
            </w:tcBorders>
            <w:shd w:val="clear" w:color="auto" w:fill="D9D9D9" w:themeFill="background1" w:themeFillShade="D9"/>
            <w:vAlign w:val="bottom"/>
          </w:tcPr>
          <w:p w14:paraId="01837F49" w14:textId="77777777" w:rsidR="00ED2E20" w:rsidRPr="00694FB3" w:rsidRDefault="00ED2E20" w:rsidP="00227A32">
            <w:pPr>
              <w:jc w:val="center"/>
              <w:rPr>
                <w:rFonts w:ascii="Arial" w:hAnsi="Arial" w:cs="Arial"/>
                <w:b/>
                <w:bCs/>
                <w:i/>
                <w:color w:val="000000"/>
                <w:sz w:val="18"/>
                <w:szCs w:val="22"/>
              </w:rPr>
            </w:pPr>
            <w:r w:rsidRPr="00694FB3">
              <w:rPr>
                <w:rFonts w:ascii="Arial" w:hAnsi="Arial" w:cs="Arial"/>
                <w:b/>
                <w:bCs/>
                <w:i/>
                <w:color w:val="000000"/>
                <w:sz w:val="18"/>
                <w:szCs w:val="22"/>
              </w:rPr>
              <w:t>Recaudación</w:t>
            </w:r>
          </w:p>
        </w:tc>
        <w:tc>
          <w:tcPr>
            <w:tcW w:w="2695" w:type="pct"/>
            <w:gridSpan w:val="3"/>
            <w:tcBorders>
              <w:top w:val="single" w:sz="4" w:space="0" w:color="auto"/>
              <w:left w:val="nil"/>
              <w:bottom w:val="single" w:sz="4" w:space="0" w:color="auto"/>
              <w:right w:val="nil"/>
            </w:tcBorders>
            <w:shd w:val="clear" w:color="auto" w:fill="D9D9D9" w:themeFill="background1" w:themeFillShade="D9"/>
            <w:vAlign w:val="bottom"/>
          </w:tcPr>
          <w:p w14:paraId="2CB6D3F6" w14:textId="7F90752D" w:rsidR="00ED2E20" w:rsidRPr="00694FB3" w:rsidRDefault="00ED2E20" w:rsidP="008233F3">
            <w:pPr>
              <w:jc w:val="center"/>
              <w:rPr>
                <w:rFonts w:ascii="Arial" w:hAnsi="Arial" w:cs="Arial"/>
                <w:b/>
                <w:bCs/>
                <w:i/>
                <w:color w:val="000000"/>
                <w:sz w:val="18"/>
                <w:szCs w:val="22"/>
              </w:rPr>
            </w:pPr>
            <w:r w:rsidRPr="00694FB3">
              <w:rPr>
                <w:rFonts w:ascii="Arial" w:hAnsi="Arial" w:cs="Arial"/>
                <w:b/>
                <w:bCs/>
                <w:i/>
                <w:color w:val="000000"/>
                <w:sz w:val="18"/>
                <w:szCs w:val="22"/>
              </w:rPr>
              <w:t xml:space="preserve">Descomposición de los efectos </w:t>
            </w:r>
            <w:r w:rsidR="008233F3" w:rsidRPr="00694FB3">
              <w:rPr>
                <w:rFonts w:ascii="Arial" w:hAnsi="Arial" w:cs="Arial"/>
                <w:b/>
                <w:bCs/>
                <w:i/>
                <w:color w:val="000000"/>
                <w:sz w:val="18"/>
                <w:szCs w:val="22"/>
              </w:rPr>
              <w:t>(pp</w:t>
            </w:r>
            <w:r w:rsidRPr="00694FB3">
              <w:rPr>
                <w:rFonts w:ascii="Arial" w:hAnsi="Arial" w:cs="Arial"/>
                <w:b/>
                <w:bCs/>
                <w:i/>
                <w:color w:val="000000"/>
                <w:sz w:val="18"/>
                <w:szCs w:val="22"/>
              </w:rPr>
              <w:t>)</w:t>
            </w:r>
          </w:p>
        </w:tc>
      </w:tr>
      <w:tr w:rsidR="00694FB3" w:rsidRPr="00D93780" w14:paraId="3C77B6FC" w14:textId="77777777" w:rsidTr="00694FB3">
        <w:trPr>
          <w:trHeight w:val="495"/>
        </w:trPr>
        <w:tc>
          <w:tcPr>
            <w:tcW w:w="686" w:type="pct"/>
            <w:tcBorders>
              <w:top w:val="single" w:sz="4" w:space="0" w:color="auto"/>
              <w:left w:val="nil"/>
              <w:bottom w:val="single" w:sz="4" w:space="0" w:color="auto"/>
              <w:right w:val="nil"/>
            </w:tcBorders>
            <w:shd w:val="clear" w:color="auto" w:fill="D9D9D9" w:themeFill="background1" w:themeFillShade="D9"/>
            <w:noWrap/>
            <w:vAlign w:val="bottom"/>
            <w:hideMark/>
          </w:tcPr>
          <w:p w14:paraId="5B17A8AC" w14:textId="77777777" w:rsidR="00ED2E20" w:rsidRPr="00D93780" w:rsidRDefault="00ED2E20" w:rsidP="00227A32">
            <w:pPr>
              <w:jc w:val="center"/>
              <w:rPr>
                <w:rFonts w:ascii="Arial" w:hAnsi="Arial" w:cs="Arial"/>
                <w:b/>
                <w:bCs/>
                <w:color w:val="000000"/>
                <w:sz w:val="18"/>
                <w:szCs w:val="22"/>
              </w:rPr>
            </w:pPr>
          </w:p>
        </w:tc>
        <w:tc>
          <w:tcPr>
            <w:tcW w:w="809" w:type="pct"/>
            <w:tcBorders>
              <w:top w:val="single" w:sz="4" w:space="0" w:color="auto"/>
              <w:left w:val="nil"/>
              <w:bottom w:val="single" w:sz="4" w:space="0" w:color="auto"/>
              <w:right w:val="nil"/>
            </w:tcBorders>
            <w:shd w:val="clear" w:color="auto" w:fill="D9D9D9" w:themeFill="background1" w:themeFillShade="D9"/>
            <w:vAlign w:val="bottom"/>
            <w:hideMark/>
          </w:tcPr>
          <w:p w14:paraId="35AEC5D9" w14:textId="77777777" w:rsidR="00ED2E20" w:rsidRPr="00D93780" w:rsidRDefault="00ED2E20" w:rsidP="00227A32">
            <w:pPr>
              <w:jc w:val="center"/>
              <w:rPr>
                <w:rFonts w:ascii="Arial" w:hAnsi="Arial" w:cs="Arial"/>
                <w:b/>
                <w:bCs/>
                <w:color w:val="000000"/>
                <w:sz w:val="18"/>
                <w:szCs w:val="22"/>
              </w:rPr>
            </w:pPr>
            <w:r w:rsidRPr="00D93780">
              <w:rPr>
                <w:rFonts w:ascii="Arial" w:hAnsi="Arial" w:cs="Arial"/>
                <w:b/>
                <w:bCs/>
                <w:color w:val="000000"/>
                <w:sz w:val="18"/>
                <w:szCs w:val="22"/>
              </w:rPr>
              <w:t>Recaudación (UYU 2014)</w:t>
            </w:r>
          </w:p>
        </w:tc>
        <w:tc>
          <w:tcPr>
            <w:tcW w:w="810" w:type="pct"/>
            <w:tcBorders>
              <w:top w:val="single" w:sz="4" w:space="0" w:color="auto"/>
              <w:left w:val="nil"/>
              <w:bottom w:val="single" w:sz="4" w:space="0" w:color="auto"/>
              <w:right w:val="nil"/>
            </w:tcBorders>
            <w:shd w:val="clear" w:color="auto" w:fill="D9D9D9" w:themeFill="background1" w:themeFillShade="D9"/>
            <w:vAlign w:val="bottom"/>
            <w:hideMark/>
          </w:tcPr>
          <w:p w14:paraId="0CE8D6E0" w14:textId="77777777" w:rsidR="00ED2E20" w:rsidRPr="00D93780" w:rsidRDefault="00ED2E20" w:rsidP="00227A32">
            <w:pPr>
              <w:jc w:val="center"/>
              <w:rPr>
                <w:rFonts w:ascii="Arial" w:hAnsi="Arial" w:cs="Arial"/>
                <w:b/>
                <w:bCs/>
                <w:color w:val="000000"/>
                <w:sz w:val="18"/>
                <w:szCs w:val="22"/>
              </w:rPr>
            </w:pPr>
            <w:r w:rsidRPr="00D93780">
              <w:rPr>
                <w:rFonts w:ascii="Arial" w:hAnsi="Arial" w:cs="Arial"/>
                <w:b/>
                <w:bCs/>
                <w:color w:val="000000"/>
                <w:sz w:val="18"/>
                <w:szCs w:val="22"/>
              </w:rPr>
              <w:t>Crecimiento anual (%)</w:t>
            </w:r>
          </w:p>
        </w:tc>
        <w:tc>
          <w:tcPr>
            <w:tcW w:w="582" w:type="pct"/>
            <w:tcBorders>
              <w:top w:val="single" w:sz="4" w:space="0" w:color="auto"/>
              <w:left w:val="nil"/>
              <w:bottom w:val="single" w:sz="4" w:space="0" w:color="auto"/>
              <w:right w:val="nil"/>
            </w:tcBorders>
            <w:shd w:val="clear" w:color="auto" w:fill="D9D9D9" w:themeFill="background1" w:themeFillShade="D9"/>
            <w:vAlign w:val="bottom"/>
            <w:hideMark/>
          </w:tcPr>
          <w:p w14:paraId="5B87F5F6"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Efecto cantidad</w:t>
            </w:r>
          </w:p>
        </w:tc>
        <w:tc>
          <w:tcPr>
            <w:tcW w:w="939" w:type="pct"/>
            <w:tcBorders>
              <w:top w:val="single" w:sz="4" w:space="0" w:color="auto"/>
              <w:left w:val="nil"/>
              <w:bottom w:val="single" w:sz="4" w:space="0" w:color="auto"/>
              <w:right w:val="nil"/>
            </w:tcBorders>
            <w:shd w:val="clear" w:color="auto" w:fill="D9D9D9" w:themeFill="background1" w:themeFillShade="D9"/>
            <w:vAlign w:val="bottom"/>
            <w:hideMark/>
          </w:tcPr>
          <w:p w14:paraId="09F3CD1D"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Efecto precio (aforo)</w:t>
            </w:r>
          </w:p>
        </w:tc>
        <w:tc>
          <w:tcPr>
            <w:tcW w:w="1174" w:type="pct"/>
            <w:tcBorders>
              <w:top w:val="single" w:sz="4" w:space="0" w:color="auto"/>
              <w:left w:val="nil"/>
              <w:bottom w:val="single" w:sz="4" w:space="0" w:color="auto"/>
              <w:right w:val="nil"/>
            </w:tcBorders>
            <w:shd w:val="clear" w:color="auto" w:fill="D9D9D9" w:themeFill="background1" w:themeFillShade="D9"/>
            <w:vAlign w:val="bottom"/>
            <w:hideMark/>
          </w:tcPr>
          <w:p w14:paraId="691096D7"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Efecto gestión (centralización)</w:t>
            </w:r>
          </w:p>
        </w:tc>
      </w:tr>
      <w:tr w:rsidR="00694FB3" w:rsidRPr="00D93780" w14:paraId="33119732" w14:textId="77777777" w:rsidTr="00694FB3">
        <w:trPr>
          <w:trHeight w:val="240"/>
        </w:trPr>
        <w:tc>
          <w:tcPr>
            <w:tcW w:w="686" w:type="pct"/>
            <w:tcBorders>
              <w:top w:val="single" w:sz="4" w:space="0" w:color="auto"/>
              <w:left w:val="nil"/>
              <w:bottom w:val="nil"/>
              <w:right w:val="nil"/>
            </w:tcBorders>
            <w:shd w:val="clear" w:color="auto" w:fill="auto"/>
            <w:noWrap/>
            <w:vAlign w:val="bottom"/>
            <w:hideMark/>
          </w:tcPr>
          <w:p w14:paraId="57B3A535"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2010</w:t>
            </w:r>
          </w:p>
        </w:tc>
        <w:tc>
          <w:tcPr>
            <w:tcW w:w="809" w:type="pct"/>
            <w:tcBorders>
              <w:top w:val="single" w:sz="4" w:space="0" w:color="auto"/>
              <w:left w:val="nil"/>
              <w:bottom w:val="nil"/>
              <w:right w:val="nil"/>
            </w:tcBorders>
            <w:shd w:val="clear" w:color="auto" w:fill="auto"/>
            <w:noWrap/>
            <w:vAlign w:val="bottom"/>
            <w:hideMark/>
          </w:tcPr>
          <w:p w14:paraId="21D5BCEB" w14:textId="77777777" w:rsidR="00ED2E20" w:rsidRPr="00D93780" w:rsidRDefault="00ED2E20" w:rsidP="00227A32">
            <w:pPr>
              <w:jc w:val="right"/>
              <w:rPr>
                <w:rFonts w:ascii="Arial" w:hAnsi="Arial" w:cs="Arial"/>
                <w:color w:val="000000"/>
                <w:sz w:val="18"/>
                <w:szCs w:val="22"/>
              </w:rPr>
            </w:pPr>
            <w:r w:rsidRPr="00D93780">
              <w:rPr>
                <w:rFonts w:ascii="Arial" w:hAnsi="Arial" w:cs="Arial"/>
                <w:color w:val="000000"/>
                <w:sz w:val="18"/>
                <w:szCs w:val="22"/>
              </w:rPr>
              <w:t>5.275.371.560</w:t>
            </w:r>
          </w:p>
        </w:tc>
        <w:tc>
          <w:tcPr>
            <w:tcW w:w="810" w:type="pct"/>
            <w:tcBorders>
              <w:top w:val="single" w:sz="4" w:space="0" w:color="auto"/>
              <w:left w:val="nil"/>
              <w:bottom w:val="nil"/>
              <w:right w:val="nil"/>
            </w:tcBorders>
            <w:shd w:val="clear" w:color="auto" w:fill="auto"/>
            <w:noWrap/>
            <w:vAlign w:val="bottom"/>
            <w:hideMark/>
          </w:tcPr>
          <w:p w14:paraId="1FBD54F8" w14:textId="77777777" w:rsidR="00ED2E20" w:rsidRPr="00D93780" w:rsidRDefault="00ED2E20" w:rsidP="00227A32">
            <w:pPr>
              <w:ind w:right="301"/>
              <w:jc w:val="right"/>
              <w:rPr>
                <w:rFonts w:ascii="Arial" w:hAnsi="Arial" w:cs="Arial"/>
                <w:color w:val="000000"/>
                <w:sz w:val="18"/>
                <w:szCs w:val="22"/>
              </w:rPr>
            </w:pPr>
          </w:p>
        </w:tc>
        <w:tc>
          <w:tcPr>
            <w:tcW w:w="582" w:type="pct"/>
            <w:tcBorders>
              <w:top w:val="single" w:sz="4" w:space="0" w:color="auto"/>
              <w:left w:val="nil"/>
              <w:bottom w:val="nil"/>
              <w:right w:val="nil"/>
            </w:tcBorders>
            <w:shd w:val="clear" w:color="auto" w:fill="auto"/>
            <w:noWrap/>
            <w:vAlign w:val="bottom"/>
            <w:hideMark/>
          </w:tcPr>
          <w:p w14:paraId="3D718084" w14:textId="77777777" w:rsidR="00ED2E20" w:rsidRPr="00D93780" w:rsidRDefault="00ED2E20" w:rsidP="00BF7958">
            <w:pPr>
              <w:ind w:right="84"/>
              <w:jc w:val="right"/>
              <w:rPr>
                <w:rFonts w:ascii="Arial" w:hAnsi="Arial" w:cs="Arial"/>
                <w:color w:val="000000"/>
                <w:sz w:val="18"/>
                <w:szCs w:val="22"/>
              </w:rPr>
            </w:pPr>
          </w:p>
        </w:tc>
        <w:tc>
          <w:tcPr>
            <w:tcW w:w="939" w:type="pct"/>
            <w:tcBorders>
              <w:top w:val="single" w:sz="4" w:space="0" w:color="auto"/>
              <w:left w:val="nil"/>
              <w:bottom w:val="nil"/>
              <w:right w:val="nil"/>
            </w:tcBorders>
            <w:shd w:val="clear" w:color="auto" w:fill="auto"/>
            <w:noWrap/>
            <w:vAlign w:val="bottom"/>
            <w:hideMark/>
          </w:tcPr>
          <w:p w14:paraId="465C1A4D" w14:textId="77777777" w:rsidR="00ED2E20" w:rsidRPr="00D93780" w:rsidRDefault="00ED2E20" w:rsidP="00BF7958">
            <w:pPr>
              <w:ind w:right="84"/>
              <w:rPr>
                <w:rFonts w:ascii="Arial" w:hAnsi="Arial" w:cs="Arial"/>
                <w:sz w:val="18"/>
                <w:szCs w:val="22"/>
              </w:rPr>
            </w:pPr>
          </w:p>
        </w:tc>
        <w:tc>
          <w:tcPr>
            <w:tcW w:w="1174" w:type="pct"/>
            <w:tcBorders>
              <w:top w:val="single" w:sz="4" w:space="0" w:color="auto"/>
              <w:left w:val="nil"/>
              <w:bottom w:val="nil"/>
              <w:right w:val="nil"/>
            </w:tcBorders>
            <w:shd w:val="clear" w:color="auto" w:fill="auto"/>
            <w:noWrap/>
            <w:vAlign w:val="bottom"/>
            <w:hideMark/>
          </w:tcPr>
          <w:p w14:paraId="5669C759" w14:textId="77777777" w:rsidR="00ED2E20" w:rsidRPr="00D93780" w:rsidRDefault="00ED2E20" w:rsidP="00BF7958">
            <w:pPr>
              <w:ind w:right="84"/>
              <w:rPr>
                <w:rFonts w:ascii="Arial" w:hAnsi="Arial" w:cs="Arial"/>
                <w:sz w:val="18"/>
                <w:szCs w:val="22"/>
              </w:rPr>
            </w:pPr>
          </w:p>
        </w:tc>
      </w:tr>
      <w:tr w:rsidR="00694FB3" w:rsidRPr="00D93780" w14:paraId="3A487D42" w14:textId="77777777" w:rsidTr="00694FB3">
        <w:trPr>
          <w:trHeight w:val="240"/>
        </w:trPr>
        <w:tc>
          <w:tcPr>
            <w:tcW w:w="686" w:type="pct"/>
            <w:tcBorders>
              <w:top w:val="nil"/>
              <w:left w:val="nil"/>
              <w:bottom w:val="nil"/>
              <w:right w:val="nil"/>
            </w:tcBorders>
            <w:shd w:val="clear" w:color="auto" w:fill="auto"/>
            <w:noWrap/>
            <w:vAlign w:val="bottom"/>
            <w:hideMark/>
          </w:tcPr>
          <w:p w14:paraId="44E2284A"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2011</w:t>
            </w:r>
          </w:p>
        </w:tc>
        <w:tc>
          <w:tcPr>
            <w:tcW w:w="809" w:type="pct"/>
            <w:tcBorders>
              <w:top w:val="nil"/>
              <w:left w:val="nil"/>
              <w:bottom w:val="nil"/>
              <w:right w:val="nil"/>
            </w:tcBorders>
            <w:shd w:val="clear" w:color="auto" w:fill="auto"/>
            <w:noWrap/>
            <w:vAlign w:val="bottom"/>
            <w:hideMark/>
          </w:tcPr>
          <w:p w14:paraId="33307188" w14:textId="77777777" w:rsidR="00ED2E20" w:rsidRPr="00D93780" w:rsidRDefault="00ED2E20" w:rsidP="00227A32">
            <w:pPr>
              <w:jc w:val="right"/>
              <w:rPr>
                <w:rFonts w:ascii="Arial" w:hAnsi="Arial" w:cs="Arial"/>
                <w:color w:val="000000"/>
                <w:sz w:val="18"/>
                <w:szCs w:val="22"/>
              </w:rPr>
            </w:pPr>
            <w:r w:rsidRPr="00D93780">
              <w:rPr>
                <w:rFonts w:ascii="Arial" w:hAnsi="Arial" w:cs="Arial"/>
                <w:color w:val="000000"/>
                <w:sz w:val="18"/>
                <w:szCs w:val="22"/>
              </w:rPr>
              <w:t>5.192.966.659</w:t>
            </w:r>
          </w:p>
        </w:tc>
        <w:tc>
          <w:tcPr>
            <w:tcW w:w="810" w:type="pct"/>
            <w:tcBorders>
              <w:top w:val="nil"/>
              <w:left w:val="nil"/>
              <w:bottom w:val="nil"/>
              <w:right w:val="nil"/>
            </w:tcBorders>
            <w:shd w:val="clear" w:color="auto" w:fill="auto"/>
            <w:noWrap/>
            <w:vAlign w:val="bottom"/>
            <w:hideMark/>
          </w:tcPr>
          <w:p w14:paraId="64802F4B" w14:textId="77777777" w:rsidR="00ED2E20" w:rsidRPr="00D93780" w:rsidRDefault="00ED2E20" w:rsidP="00227A32">
            <w:pPr>
              <w:ind w:right="301"/>
              <w:jc w:val="right"/>
              <w:rPr>
                <w:rFonts w:ascii="Arial" w:hAnsi="Arial" w:cs="Arial"/>
                <w:color w:val="000000"/>
                <w:sz w:val="18"/>
                <w:szCs w:val="22"/>
              </w:rPr>
            </w:pPr>
            <w:r w:rsidRPr="00D93780">
              <w:rPr>
                <w:rFonts w:ascii="Arial" w:hAnsi="Arial" w:cs="Arial"/>
                <w:color w:val="000000"/>
                <w:sz w:val="18"/>
                <w:szCs w:val="22"/>
              </w:rPr>
              <w:t>-1,6</w:t>
            </w:r>
          </w:p>
        </w:tc>
        <w:tc>
          <w:tcPr>
            <w:tcW w:w="582" w:type="pct"/>
            <w:tcBorders>
              <w:top w:val="nil"/>
              <w:left w:val="nil"/>
              <w:bottom w:val="nil"/>
              <w:right w:val="nil"/>
            </w:tcBorders>
            <w:shd w:val="clear" w:color="auto" w:fill="auto"/>
            <w:noWrap/>
            <w:vAlign w:val="bottom"/>
            <w:hideMark/>
          </w:tcPr>
          <w:p w14:paraId="24A335A0" w14:textId="77777777" w:rsidR="00ED2E20" w:rsidRPr="00D93780" w:rsidRDefault="00ED2E20" w:rsidP="00BF7958">
            <w:pPr>
              <w:ind w:right="84"/>
              <w:jc w:val="right"/>
              <w:rPr>
                <w:rFonts w:ascii="Arial" w:hAnsi="Arial" w:cs="Arial"/>
                <w:color w:val="000000"/>
                <w:sz w:val="18"/>
                <w:szCs w:val="22"/>
              </w:rPr>
            </w:pPr>
            <w:r w:rsidRPr="00D93780">
              <w:rPr>
                <w:rFonts w:ascii="Arial" w:hAnsi="Arial" w:cs="Arial"/>
                <w:color w:val="000000"/>
                <w:sz w:val="18"/>
                <w:szCs w:val="22"/>
              </w:rPr>
              <w:t>6,1</w:t>
            </w:r>
          </w:p>
        </w:tc>
        <w:tc>
          <w:tcPr>
            <w:tcW w:w="939" w:type="pct"/>
            <w:tcBorders>
              <w:top w:val="nil"/>
              <w:left w:val="nil"/>
              <w:bottom w:val="nil"/>
              <w:right w:val="nil"/>
            </w:tcBorders>
            <w:shd w:val="clear" w:color="auto" w:fill="auto"/>
            <w:noWrap/>
            <w:vAlign w:val="bottom"/>
            <w:hideMark/>
          </w:tcPr>
          <w:p w14:paraId="244D0BC0" w14:textId="77777777" w:rsidR="00ED2E20" w:rsidRPr="00D93780" w:rsidRDefault="00ED2E20" w:rsidP="00BF7958">
            <w:pPr>
              <w:ind w:right="84"/>
              <w:jc w:val="right"/>
              <w:rPr>
                <w:rFonts w:ascii="Arial" w:hAnsi="Arial" w:cs="Arial"/>
                <w:color w:val="000000"/>
                <w:sz w:val="18"/>
                <w:szCs w:val="22"/>
              </w:rPr>
            </w:pPr>
            <w:r w:rsidRPr="00D93780">
              <w:rPr>
                <w:rFonts w:ascii="Arial" w:hAnsi="Arial" w:cs="Arial"/>
                <w:color w:val="000000"/>
                <w:sz w:val="18"/>
                <w:szCs w:val="22"/>
              </w:rPr>
              <w:t>-7,7</w:t>
            </w:r>
          </w:p>
        </w:tc>
        <w:tc>
          <w:tcPr>
            <w:tcW w:w="1174" w:type="pct"/>
            <w:tcBorders>
              <w:top w:val="nil"/>
              <w:left w:val="nil"/>
              <w:bottom w:val="nil"/>
              <w:right w:val="nil"/>
            </w:tcBorders>
            <w:shd w:val="clear" w:color="auto" w:fill="auto"/>
            <w:noWrap/>
            <w:vAlign w:val="bottom"/>
            <w:hideMark/>
          </w:tcPr>
          <w:p w14:paraId="3AC8894F" w14:textId="77777777" w:rsidR="00ED2E20" w:rsidRPr="00D93780" w:rsidRDefault="00ED2E20" w:rsidP="00BF7958">
            <w:pPr>
              <w:ind w:right="84"/>
              <w:jc w:val="right"/>
              <w:rPr>
                <w:rFonts w:ascii="Arial" w:hAnsi="Arial" w:cs="Arial"/>
                <w:color w:val="000000"/>
                <w:sz w:val="18"/>
                <w:szCs w:val="22"/>
              </w:rPr>
            </w:pPr>
          </w:p>
        </w:tc>
      </w:tr>
      <w:tr w:rsidR="00694FB3" w:rsidRPr="00D93780" w14:paraId="1078DAAE" w14:textId="77777777" w:rsidTr="00694FB3">
        <w:trPr>
          <w:trHeight w:val="240"/>
        </w:trPr>
        <w:tc>
          <w:tcPr>
            <w:tcW w:w="686" w:type="pct"/>
            <w:tcBorders>
              <w:top w:val="nil"/>
              <w:left w:val="nil"/>
              <w:bottom w:val="nil"/>
              <w:right w:val="nil"/>
            </w:tcBorders>
            <w:shd w:val="clear" w:color="auto" w:fill="auto"/>
            <w:noWrap/>
            <w:vAlign w:val="bottom"/>
            <w:hideMark/>
          </w:tcPr>
          <w:p w14:paraId="09FA137D"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2012</w:t>
            </w:r>
          </w:p>
        </w:tc>
        <w:tc>
          <w:tcPr>
            <w:tcW w:w="809" w:type="pct"/>
            <w:tcBorders>
              <w:top w:val="nil"/>
              <w:left w:val="nil"/>
              <w:bottom w:val="nil"/>
              <w:right w:val="nil"/>
            </w:tcBorders>
            <w:shd w:val="clear" w:color="auto" w:fill="auto"/>
            <w:noWrap/>
            <w:vAlign w:val="bottom"/>
            <w:hideMark/>
          </w:tcPr>
          <w:p w14:paraId="59CA52F6" w14:textId="77777777" w:rsidR="00ED2E20" w:rsidRPr="00D93780" w:rsidRDefault="00ED2E20" w:rsidP="00227A32">
            <w:pPr>
              <w:jc w:val="right"/>
              <w:rPr>
                <w:rFonts w:ascii="Arial" w:hAnsi="Arial" w:cs="Arial"/>
                <w:color w:val="000000"/>
                <w:sz w:val="18"/>
                <w:szCs w:val="22"/>
              </w:rPr>
            </w:pPr>
            <w:r w:rsidRPr="00D93780">
              <w:rPr>
                <w:rFonts w:ascii="Arial" w:hAnsi="Arial" w:cs="Arial"/>
                <w:color w:val="000000"/>
                <w:sz w:val="18"/>
                <w:szCs w:val="22"/>
              </w:rPr>
              <w:t>5.326.229.525</w:t>
            </w:r>
          </w:p>
        </w:tc>
        <w:tc>
          <w:tcPr>
            <w:tcW w:w="810" w:type="pct"/>
            <w:tcBorders>
              <w:top w:val="nil"/>
              <w:left w:val="nil"/>
              <w:bottom w:val="nil"/>
              <w:right w:val="nil"/>
            </w:tcBorders>
            <w:shd w:val="clear" w:color="auto" w:fill="auto"/>
            <w:noWrap/>
            <w:vAlign w:val="bottom"/>
            <w:hideMark/>
          </w:tcPr>
          <w:p w14:paraId="41DD9C2E" w14:textId="77777777" w:rsidR="00ED2E20" w:rsidRPr="00D93780" w:rsidRDefault="00ED2E20" w:rsidP="00227A32">
            <w:pPr>
              <w:ind w:right="301"/>
              <w:jc w:val="right"/>
              <w:rPr>
                <w:rFonts w:ascii="Arial" w:hAnsi="Arial" w:cs="Arial"/>
                <w:color w:val="000000"/>
                <w:sz w:val="18"/>
                <w:szCs w:val="22"/>
              </w:rPr>
            </w:pPr>
            <w:r w:rsidRPr="00D93780">
              <w:rPr>
                <w:rFonts w:ascii="Arial" w:hAnsi="Arial" w:cs="Arial"/>
                <w:color w:val="000000"/>
                <w:sz w:val="18"/>
                <w:szCs w:val="22"/>
              </w:rPr>
              <w:t>2,6</w:t>
            </w:r>
          </w:p>
        </w:tc>
        <w:tc>
          <w:tcPr>
            <w:tcW w:w="582" w:type="pct"/>
            <w:tcBorders>
              <w:top w:val="nil"/>
              <w:left w:val="nil"/>
              <w:bottom w:val="nil"/>
              <w:right w:val="nil"/>
            </w:tcBorders>
            <w:shd w:val="clear" w:color="auto" w:fill="auto"/>
            <w:noWrap/>
            <w:vAlign w:val="bottom"/>
            <w:hideMark/>
          </w:tcPr>
          <w:p w14:paraId="6DBD715E" w14:textId="77777777" w:rsidR="00ED2E20" w:rsidRPr="00D93780" w:rsidRDefault="00ED2E20" w:rsidP="00BF7958">
            <w:pPr>
              <w:ind w:right="84"/>
              <w:jc w:val="right"/>
              <w:rPr>
                <w:rFonts w:ascii="Arial" w:hAnsi="Arial" w:cs="Arial"/>
                <w:color w:val="000000"/>
                <w:sz w:val="18"/>
                <w:szCs w:val="22"/>
              </w:rPr>
            </w:pPr>
            <w:r w:rsidRPr="00D93780">
              <w:rPr>
                <w:rFonts w:ascii="Arial" w:hAnsi="Arial" w:cs="Arial"/>
                <w:color w:val="000000"/>
                <w:sz w:val="18"/>
                <w:szCs w:val="22"/>
              </w:rPr>
              <w:t>6,4</w:t>
            </w:r>
          </w:p>
        </w:tc>
        <w:tc>
          <w:tcPr>
            <w:tcW w:w="939" w:type="pct"/>
            <w:tcBorders>
              <w:top w:val="nil"/>
              <w:left w:val="nil"/>
              <w:bottom w:val="nil"/>
              <w:right w:val="nil"/>
            </w:tcBorders>
            <w:shd w:val="clear" w:color="auto" w:fill="auto"/>
            <w:noWrap/>
            <w:vAlign w:val="bottom"/>
            <w:hideMark/>
          </w:tcPr>
          <w:p w14:paraId="17B30921" w14:textId="77777777" w:rsidR="00ED2E20" w:rsidRPr="00D93780" w:rsidRDefault="00ED2E20" w:rsidP="00BF7958">
            <w:pPr>
              <w:ind w:right="84"/>
              <w:jc w:val="right"/>
              <w:rPr>
                <w:rFonts w:ascii="Arial" w:hAnsi="Arial" w:cs="Arial"/>
                <w:color w:val="000000"/>
                <w:sz w:val="18"/>
                <w:szCs w:val="22"/>
              </w:rPr>
            </w:pPr>
            <w:r w:rsidRPr="00D93780">
              <w:rPr>
                <w:rFonts w:ascii="Arial" w:hAnsi="Arial" w:cs="Arial"/>
                <w:color w:val="000000"/>
                <w:sz w:val="18"/>
                <w:szCs w:val="22"/>
              </w:rPr>
              <w:t>-3,7</w:t>
            </w:r>
          </w:p>
        </w:tc>
        <w:tc>
          <w:tcPr>
            <w:tcW w:w="1174" w:type="pct"/>
            <w:tcBorders>
              <w:top w:val="nil"/>
              <w:left w:val="nil"/>
              <w:bottom w:val="nil"/>
              <w:right w:val="nil"/>
            </w:tcBorders>
            <w:shd w:val="clear" w:color="auto" w:fill="auto"/>
            <w:noWrap/>
            <w:vAlign w:val="bottom"/>
            <w:hideMark/>
          </w:tcPr>
          <w:p w14:paraId="4A71F2B5" w14:textId="77777777" w:rsidR="00ED2E20" w:rsidRPr="00D93780" w:rsidRDefault="00ED2E20" w:rsidP="00BF7958">
            <w:pPr>
              <w:ind w:right="84"/>
              <w:jc w:val="right"/>
              <w:rPr>
                <w:rFonts w:ascii="Arial" w:hAnsi="Arial" w:cs="Arial"/>
                <w:color w:val="000000"/>
                <w:sz w:val="18"/>
                <w:szCs w:val="22"/>
              </w:rPr>
            </w:pPr>
          </w:p>
        </w:tc>
      </w:tr>
      <w:tr w:rsidR="00694FB3" w:rsidRPr="00D93780" w14:paraId="41CD5F07" w14:textId="77777777" w:rsidTr="00694FB3">
        <w:trPr>
          <w:trHeight w:val="240"/>
        </w:trPr>
        <w:tc>
          <w:tcPr>
            <w:tcW w:w="686" w:type="pct"/>
            <w:tcBorders>
              <w:top w:val="nil"/>
              <w:left w:val="nil"/>
              <w:right w:val="nil"/>
            </w:tcBorders>
            <w:shd w:val="clear" w:color="auto" w:fill="auto"/>
            <w:noWrap/>
            <w:vAlign w:val="bottom"/>
            <w:hideMark/>
          </w:tcPr>
          <w:p w14:paraId="0769FF49"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2013</w:t>
            </w:r>
          </w:p>
        </w:tc>
        <w:tc>
          <w:tcPr>
            <w:tcW w:w="809" w:type="pct"/>
            <w:tcBorders>
              <w:top w:val="nil"/>
              <w:left w:val="nil"/>
              <w:right w:val="nil"/>
            </w:tcBorders>
            <w:shd w:val="clear" w:color="auto" w:fill="auto"/>
            <w:noWrap/>
            <w:vAlign w:val="bottom"/>
            <w:hideMark/>
          </w:tcPr>
          <w:p w14:paraId="08733E3B" w14:textId="77777777" w:rsidR="00ED2E20" w:rsidRPr="00D93780" w:rsidRDefault="00ED2E20" w:rsidP="00227A32">
            <w:pPr>
              <w:jc w:val="right"/>
              <w:rPr>
                <w:rFonts w:ascii="Arial" w:hAnsi="Arial" w:cs="Arial"/>
                <w:color w:val="000000"/>
                <w:sz w:val="18"/>
                <w:szCs w:val="22"/>
              </w:rPr>
            </w:pPr>
            <w:r w:rsidRPr="00D93780">
              <w:rPr>
                <w:rFonts w:ascii="Arial" w:hAnsi="Arial" w:cs="Arial"/>
                <w:color w:val="000000"/>
                <w:sz w:val="18"/>
                <w:szCs w:val="22"/>
              </w:rPr>
              <w:t>6.235.081.990</w:t>
            </w:r>
          </w:p>
        </w:tc>
        <w:tc>
          <w:tcPr>
            <w:tcW w:w="810" w:type="pct"/>
            <w:tcBorders>
              <w:top w:val="nil"/>
              <w:left w:val="nil"/>
              <w:right w:val="nil"/>
            </w:tcBorders>
            <w:shd w:val="clear" w:color="auto" w:fill="auto"/>
            <w:noWrap/>
            <w:vAlign w:val="bottom"/>
            <w:hideMark/>
          </w:tcPr>
          <w:p w14:paraId="48272571" w14:textId="77777777" w:rsidR="00ED2E20" w:rsidRPr="00D93780" w:rsidRDefault="00ED2E20" w:rsidP="00227A32">
            <w:pPr>
              <w:ind w:right="301"/>
              <w:jc w:val="right"/>
              <w:rPr>
                <w:rFonts w:ascii="Arial" w:hAnsi="Arial" w:cs="Arial"/>
                <w:color w:val="000000"/>
                <w:sz w:val="18"/>
                <w:szCs w:val="22"/>
              </w:rPr>
            </w:pPr>
            <w:r w:rsidRPr="00D93780">
              <w:rPr>
                <w:rFonts w:ascii="Arial" w:hAnsi="Arial" w:cs="Arial"/>
                <w:color w:val="000000"/>
                <w:sz w:val="18"/>
                <w:szCs w:val="22"/>
              </w:rPr>
              <w:t>17,1</w:t>
            </w:r>
          </w:p>
        </w:tc>
        <w:tc>
          <w:tcPr>
            <w:tcW w:w="582" w:type="pct"/>
            <w:tcBorders>
              <w:top w:val="nil"/>
              <w:left w:val="nil"/>
              <w:right w:val="nil"/>
            </w:tcBorders>
            <w:shd w:val="clear" w:color="auto" w:fill="auto"/>
            <w:noWrap/>
            <w:vAlign w:val="bottom"/>
            <w:hideMark/>
          </w:tcPr>
          <w:p w14:paraId="20D428E2" w14:textId="77777777" w:rsidR="00ED2E20" w:rsidRPr="00D93780" w:rsidRDefault="00ED2E20" w:rsidP="00BF7958">
            <w:pPr>
              <w:ind w:right="84"/>
              <w:jc w:val="right"/>
              <w:rPr>
                <w:rFonts w:ascii="Arial" w:hAnsi="Arial" w:cs="Arial"/>
                <w:color w:val="000000"/>
                <w:sz w:val="18"/>
                <w:szCs w:val="22"/>
              </w:rPr>
            </w:pPr>
            <w:r w:rsidRPr="00D93780">
              <w:rPr>
                <w:rFonts w:ascii="Arial" w:hAnsi="Arial" w:cs="Arial"/>
                <w:color w:val="000000"/>
                <w:sz w:val="18"/>
                <w:szCs w:val="22"/>
              </w:rPr>
              <w:t>8,4</w:t>
            </w:r>
          </w:p>
        </w:tc>
        <w:tc>
          <w:tcPr>
            <w:tcW w:w="939" w:type="pct"/>
            <w:tcBorders>
              <w:top w:val="nil"/>
              <w:left w:val="nil"/>
              <w:right w:val="nil"/>
            </w:tcBorders>
            <w:shd w:val="clear" w:color="auto" w:fill="auto"/>
            <w:noWrap/>
            <w:vAlign w:val="bottom"/>
            <w:hideMark/>
          </w:tcPr>
          <w:p w14:paraId="06312EDC" w14:textId="77777777" w:rsidR="00ED2E20" w:rsidRPr="00D93780" w:rsidRDefault="00ED2E20" w:rsidP="00BF7958">
            <w:pPr>
              <w:ind w:right="84"/>
              <w:jc w:val="right"/>
              <w:rPr>
                <w:rFonts w:ascii="Arial" w:hAnsi="Arial" w:cs="Arial"/>
                <w:color w:val="000000"/>
                <w:sz w:val="18"/>
                <w:szCs w:val="22"/>
              </w:rPr>
            </w:pPr>
          </w:p>
        </w:tc>
        <w:tc>
          <w:tcPr>
            <w:tcW w:w="1174" w:type="pct"/>
            <w:tcBorders>
              <w:top w:val="nil"/>
              <w:left w:val="nil"/>
              <w:right w:val="nil"/>
            </w:tcBorders>
            <w:shd w:val="clear" w:color="auto" w:fill="auto"/>
            <w:noWrap/>
            <w:vAlign w:val="bottom"/>
            <w:hideMark/>
          </w:tcPr>
          <w:p w14:paraId="27DF6FB6" w14:textId="7DC8C421" w:rsidR="00ED2E20" w:rsidRPr="00D93780" w:rsidRDefault="00C45FE3" w:rsidP="00BF7958">
            <w:pPr>
              <w:ind w:right="84"/>
              <w:jc w:val="right"/>
              <w:rPr>
                <w:rFonts w:ascii="Arial" w:hAnsi="Arial" w:cs="Arial"/>
                <w:color w:val="000000"/>
                <w:sz w:val="18"/>
                <w:szCs w:val="22"/>
              </w:rPr>
            </w:pPr>
            <w:r w:rsidRPr="00D93780">
              <w:rPr>
                <w:rFonts w:ascii="Arial" w:hAnsi="Arial" w:cs="Arial"/>
                <w:color w:val="000000"/>
                <w:sz w:val="18"/>
                <w:szCs w:val="22"/>
              </w:rPr>
              <w:t>8,7</w:t>
            </w:r>
          </w:p>
        </w:tc>
      </w:tr>
      <w:tr w:rsidR="00694FB3" w:rsidRPr="00D93780" w14:paraId="42AB13FB" w14:textId="77777777" w:rsidTr="00694FB3">
        <w:trPr>
          <w:trHeight w:val="240"/>
        </w:trPr>
        <w:tc>
          <w:tcPr>
            <w:tcW w:w="686" w:type="pct"/>
            <w:tcBorders>
              <w:top w:val="nil"/>
              <w:left w:val="nil"/>
              <w:bottom w:val="single" w:sz="4" w:space="0" w:color="auto"/>
              <w:right w:val="nil"/>
            </w:tcBorders>
            <w:shd w:val="clear" w:color="auto" w:fill="auto"/>
            <w:noWrap/>
            <w:vAlign w:val="bottom"/>
            <w:hideMark/>
          </w:tcPr>
          <w:p w14:paraId="7EC35513" w14:textId="77777777" w:rsidR="00ED2E20" w:rsidRPr="00D93780" w:rsidRDefault="00ED2E20" w:rsidP="00227A32">
            <w:pPr>
              <w:jc w:val="right"/>
              <w:rPr>
                <w:rFonts w:ascii="Arial" w:hAnsi="Arial" w:cs="Arial"/>
                <w:b/>
                <w:bCs/>
                <w:color w:val="000000"/>
                <w:sz w:val="18"/>
                <w:szCs w:val="22"/>
              </w:rPr>
            </w:pPr>
            <w:r w:rsidRPr="00D93780">
              <w:rPr>
                <w:rFonts w:ascii="Arial" w:hAnsi="Arial" w:cs="Arial"/>
                <w:b/>
                <w:bCs/>
                <w:color w:val="000000"/>
                <w:sz w:val="18"/>
                <w:szCs w:val="22"/>
              </w:rPr>
              <w:t>2014</w:t>
            </w:r>
          </w:p>
        </w:tc>
        <w:tc>
          <w:tcPr>
            <w:tcW w:w="809" w:type="pct"/>
            <w:tcBorders>
              <w:top w:val="nil"/>
              <w:left w:val="nil"/>
              <w:bottom w:val="single" w:sz="4" w:space="0" w:color="auto"/>
              <w:right w:val="nil"/>
            </w:tcBorders>
            <w:shd w:val="clear" w:color="auto" w:fill="auto"/>
            <w:noWrap/>
            <w:vAlign w:val="bottom"/>
            <w:hideMark/>
          </w:tcPr>
          <w:p w14:paraId="26A3A953" w14:textId="77777777" w:rsidR="00ED2E20" w:rsidRPr="00D93780" w:rsidRDefault="00ED2E20" w:rsidP="00227A32">
            <w:pPr>
              <w:jc w:val="right"/>
              <w:rPr>
                <w:rFonts w:ascii="Arial" w:hAnsi="Arial" w:cs="Arial"/>
                <w:color w:val="000000"/>
                <w:sz w:val="18"/>
                <w:szCs w:val="22"/>
              </w:rPr>
            </w:pPr>
            <w:r w:rsidRPr="00D93780">
              <w:rPr>
                <w:rFonts w:ascii="Arial" w:hAnsi="Arial" w:cs="Arial"/>
                <w:color w:val="000000"/>
                <w:sz w:val="18"/>
                <w:szCs w:val="22"/>
              </w:rPr>
              <w:t>6.789.309.668</w:t>
            </w:r>
          </w:p>
        </w:tc>
        <w:tc>
          <w:tcPr>
            <w:tcW w:w="810" w:type="pct"/>
            <w:tcBorders>
              <w:top w:val="nil"/>
              <w:left w:val="nil"/>
              <w:bottom w:val="single" w:sz="4" w:space="0" w:color="auto"/>
              <w:right w:val="nil"/>
            </w:tcBorders>
            <w:shd w:val="clear" w:color="auto" w:fill="auto"/>
            <w:noWrap/>
            <w:vAlign w:val="bottom"/>
            <w:hideMark/>
          </w:tcPr>
          <w:p w14:paraId="6FA38C86" w14:textId="77777777" w:rsidR="00ED2E20" w:rsidRPr="00D93780" w:rsidRDefault="00ED2E20" w:rsidP="00227A32">
            <w:pPr>
              <w:ind w:right="301"/>
              <w:jc w:val="right"/>
              <w:rPr>
                <w:rFonts w:ascii="Arial" w:hAnsi="Arial" w:cs="Arial"/>
                <w:color w:val="000000"/>
                <w:sz w:val="18"/>
                <w:szCs w:val="22"/>
              </w:rPr>
            </w:pPr>
            <w:r w:rsidRPr="00D93780">
              <w:rPr>
                <w:rFonts w:ascii="Arial" w:hAnsi="Arial" w:cs="Arial"/>
                <w:color w:val="000000"/>
                <w:sz w:val="18"/>
                <w:szCs w:val="22"/>
              </w:rPr>
              <w:t>8,9</w:t>
            </w:r>
          </w:p>
        </w:tc>
        <w:tc>
          <w:tcPr>
            <w:tcW w:w="582" w:type="pct"/>
            <w:tcBorders>
              <w:top w:val="nil"/>
              <w:left w:val="nil"/>
              <w:bottom w:val="single" w:sz="4" w:space="0" w:color="auto"/>
              <w:right w:val="nil"/>
            </w:tcBorders>
            <w:shd w:val="clear" w:color="auto" w:fill="auto"/>
            <w:noWrap/>
            <w:vAlign w:val="bottom"/>
            <w:hideMark/>
          </w:tcPr>
          <w:p w14:paraId="7052D36F" w14:textId="77777777" w:rsidR="00ED2E20" w:rsidRPr="00D93780" w:rsidRDefault="00ED2E20" w:rsidP="00BF7958">
            <w:pPr>
              <w:ind w:right="84"/>
              <w:jc w:val="right"/>
              <w:rPr>
                <w:rFonts w:ascii="Arial" w:hAnsi="Arial" w:cs="Arial"/>
                <w:color w:val="000000"/>
                <w:sz w:val="18"/>
                <w:szCs w:val="22"/>
              </w:rPr>
            </w:pPr>
            <w:r w:rsidRPr="00D93780">
              <w:rPr>
                <w:rFonts w:ascii="Arial" w:hAnsi="Arial" w:cs="Arial"/>
                <w:color w:val="000000"/>
                <w:sz w:val="18"/>
                <w:szCs w:val="22"/>
              </w:rPr>
              <w:t>7,2</w:t>
            </w:r>
          </w:p>
        </w:tc>
        <w:tc>
          <w:tcPr>
            <w:tcW w:w="939" w:type="pct"/>
            <w:tcBorders>
              <w:top w:val="nil"/>
              <w:left w:val="nil"/>
              <w:bottom w:val="single" w:sz="4" w:space="0" w:color="auto"/>
              <w:right w:val="nil"/>
            </w:tcBorders>
            <w:shd w:val="clear" w:color="auto" w:fill="auto"/>
            <w:noWrap/>
            <w:vAlign w:val="bottom"/>
            <w:hideMark/>
          </w:tcPr>
          <w:p w14:paraId="348632C0" w14:textId="77777777" w:rsidR="00ED2E20" w:rsidRPr="00D93780" w:rsidRDefault="00ED2E20" w:rsidP="00BF7958">
            <w:pPr>
              <w:ind w:right="84"/>
              <w:jc w:val="right"/>
              <w:rPr>
                <w:rFonts w:ascii="Arial" w:hAnsi="Arial" w:cs="Arial"/>
                <w:color w:val="000000"/>
                <w:sz w:val="18"/>
                <w:szCs w:val="22"/>
              </w:rPr>
            </w:pPr>
          </w:p>
        </w:tc>
        <w:tc>
          <w:tcPr>
            <w:tcW w:w="1174" w:type="pct"/>
            <w:tcBorders>
              <w:top w:val="nil"/>
              <w:left w:val="nil"/>
              <w:bottom w:val="single" w:sz="4" w:space="0" w:color="auto"/>
              <w:right w:val="nil"/>
            </w:tcBorders>
            <w:shd w:val="clear" w:color="auto" w:fill="auto"/>
            <w:noWrap/>
            <w:vAlign w:val="bottom"/>
            <w:hideMark/>
          </w:tcPr>
          <w:p w14:paraId="1B55B91B" w14:textId="79D3DAAC" w:rsidR="00ED2E20" w:rsidRPr="00D93780" w:rsidRDefault="00C45FE3" w:rsidP="00BF7958">
            <w:pPr>
              <w:ind w:right="84"/>
              <w:jc w:val="right"/>
              <w:rPr>
                <w:rFonts w:ascii="Arial" w:hAnsi="Arial" w:cs="Arial"/>
                <w:color w:val="000000"/>
                <w:sz w:val="18"/>
                <w:szCs w:val="22"/>
              </w:rPr>
            </w:pPr>
            <w:r w:rsidRPr="00D93780">
              <w:rPr>
                <w:rFonts w:ascii="Arial" w:hAnsi="Arial" w:cs="Arial"/>
                <w:color w:val="000000"/>
                <w:sz w:val="18"/>
                <w:szCs w:val="22"/>
              </w:rPr>
              <w:t>1,7</w:t>
            </w:r>
          </w:p>
        </w:tc>
      </w:tr>
    </w:tbl>
    <w:p w14:paraId="382A4F7D" w14:textId="77777777" w:rsidR="00ED2E20" w:rsidRPr="00D93780" w:rsidRDefault="00ED2E20" w:rsidP="00462E76">
      <w:pPr>
        <w:pStyle w:val="ListParagraph"/>
        <w:spacing w:line="276" w:lineRule="auto"/>
        <w:ind w:left="540"/>
        <w:jc w:val="both"/>
        <w:rPr>
          <w:rFonts w:ascii="Arial" w:hAnsi="Arial" w:cs="Arial"/>
          <w:sz w:val="22"/>
          <w:szCs w:val="22"/>
        </w:rPr>
      </w:pPr>
      <w:r w:rsidRPr="00462E76">
        <w:rPr>
          <w:rFonts w:ascii="Arial" w:hAnsi="Arial" w:cs="Arial"/>
          <w:sz w:val="18"/>
          <w:szCs w:val="22"/>
        </w:rPr>
        <w:t>Elaboración propia con datos de SUCIVE e INE.</w:t>
      </w:r>
      <w:r w:rsidRPr="00D93780">
        <w:rPr>
          <w:rFonts w:ascii="Arial" w:hAnsi="Arial" w:cs="Arial"/>
          <w:sz w:val="22"/>
          <w:szCs w:val="22"/>
        </w:rPr>
        <w:t xml:space="preserve"> </w:t>
      </w:r>
    </w:p>
    <w:p w14:paraId="4A3836F1" w14:textId="77777777" w:rsidR="00ED2E20" w:rsidRPr="00D93780" w:rsidRDefault="00ED2E20" w:rsidP="00ED2E20">
      <w:pPr>
        <w:pStyle w:val="ListParagraph"/>
        <w:spacing w:line="276" w:lineRule="auto"/>
        <w:ind w:left="567"/>
        <w:jc w:val="both"/>
        <w:rPr>
          <w:rFonts w:ascii="Arial" w:hAnsi="Arial" w:cs="Arial"/>
          <w:sz w:val="22"/>
          <w:szCs w:val="22"/>
        </w:rPr>
      </w:pPr>
    </w:p>
    <w:p w14:paraId="0513428F" w14:textId="450C834C" w:rsidR="00BD24E5"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Como puede apreciarse, el efecto de un cambio en el modelo de gestión de la recaudación originó un fuerte incremento en l</w:t>
      </w:r>
      <w:r w:rsidR="008233F3" w:rsidRPr="00D93780">
        <w:rPr>
          <w:rFonts w:ascii="Arial" w:hAnsi="Arial" w:cs="Arial"/>
          <w:sz w:val="22"/>
          <w:szCs w:val="22"/>
        </w:rPr>
        <w:t xml:space="preserve">os ingresos por patente de </w:t>
      </w:r>
      <w:r w:rsidR="00C45FE3" w:rsidRPr="00D93780">
        <w:rPr>
          <w:rFonts w:ascii="Arial" w:hAnsi="Arial" w:cs="Arial"/>
          <w:sz w:val="22"/>
          <w:szCs w:val="22"/>
        </w:rPr>
        <w:t>8,7</w:t>
      </w:r>
      <w:r w:rsidR="008233F3" w:rsidRPr="00D93780">
        <w:rPr>
          <w:rFonts w:ascii="Arial" w:hAnsi="Arial" w:cs="Arial"/>
          <w:sz w:val="22"/>
          <w:szCs w:val="22"/>
        </w:rPr>
        <w:t xml:space="preserve"> puntos porcentuales</w:t>
      </w:r>
      <w:r w:rsidRPr="00D93780">
        <w:rPr>
          <w:rFonts w:ascii="Arial" w:hAnsi="Arial" w:cs="Arial"/>
          <w:sz w:val="22"/>
          <w:szCs w:val="22"/>
        </w:rPr>
        <w:t xml:space="preserve"> </w:t>
      </w:r>
      <w:r w:rsidR="00C45FE3" w:rsidRPr="00D93780">
        <w:rPr>
          <w:rFonts w:ascii="Arial" w:hAnsi="Arial" w:cs="Arial"/>
          <w:sz w:val="22"/>
          <w:szCs w:val="22"/>
        </w:rPr>
        <w:t xml:space="preserve">(pp) </w:t>
      </w:r>
      <w:r w:rsidRPr="00D93780">
        <w:rPr>
          <w:rFonts w:ascii="Arial" w:hAnsi="Arial" w:cs="Arial"/>
          <w:sz w:val="22"/>
          <w:szCs w:val="22"/>
        </w:rPr>
        <w:t>en el año 2013, y 1,</w:t>
      </w:r>
      <w:r w:rsidR="00C45FE3" w:rsidRPr="00D93780">
        <w:rPr>
          <w:rFonts w:ascii="Arial" w:hAnsi="Arial" w:cs="Arial"/>
          <w:sz w:val="22"/>
          <w:szCs w:val="22"/>
        </w:rPr>
        <w:t>7</w:t>
      </w:r>
      <w:r w:rsidR="008233F3" w:rsidRPr="00D93780">
        <w:rPr>
          <w:rFonts w:ascii="Arial" w:hAnsi="Arial" w:cs="Arial"/>
          <w:sz w:val="22"/>
          <w:szCs w:val="22"/>
        </w:rPr>
        <w:t xml:space="preserve"> puntos porcentuales</w:t>
      </w:r>
      <w:r w:rsidRPr="00D93780">
        <w:rPr>
          <w:rFonts w:ascii="Arial" w:hAnsi="Arial" w:cs="Arial"/>
          <w:sz w:val="22"/>
          <w:szCs w:val="22"/>
        </w:rPr>
        <w:t xml:space="preserve"> en el año 2014. </w:t>
      </w:r>
      <w:r w:rsidR="001D280A" w:rsidRPr="00D93780">
        <w:rPr>
          <w:rFonts w:ascii="Arial" w:hAnsi="Arial" w:cs="Arial"/>
          <w:sz w:val="22"/>
          <w:szCs w:val="22"/>
        </w:rPr>
        <w:t>A pesar de que n</w:t>
      </w:r>
      <w:r w:rsidR="00BD24E5" w:rsidRPr="00D93780">
        <w:rPr>
          <w:rFonts w:ascii="Arial" w:hAnsi="Arial" w:cs="Arial"/>
          <w:sz w:val="22"/>
          <w:szCs w:val="22"/>
        </w:rPr>
        <w:t xml:space="preserve">o hay datos disponibles más recientes, </w:t>
      </w:r>
      <w:r w:rsidR="001D280A" w:rsidRPr="00D93780">
        <w:rPr>
          <w:rFonts w:ascii="Arial" w:hAnsi="Arial" w:cs="Arial"/>
          <w:sz w:val="22"/>
          <w:szCs w:val="22"/>
        </w:rPr>
        <w:t>es posible</w:t>
      </w:r>
      <w:r w:rsidR="00BD24E5" w:rsidRPr="00D93780">
        <w:rPr>
          <w:rFonts w:ascii="Arial" w:hAnsi="Arial" w:cs="Arial"/>
          <w:sz w:val="22"/>
          <w:szCs w:val="22"/>
        </w:rPr>
        <w:t xml:space="preserve"> </w:t>
      </w:r>
      <w:r w:rsidR="001D280A" w:rsidRPr="00D93780">
        <w:rPr>
          <w:rFonts w:ascii="Arial" w:hAnsi="Arial" w:cs="Arial"/>
          <w:sz w:val="22"/>
          <w:szCs w:val="22"/>
        </w:rPr>
        <w:t>conjeturar con alto grado de probabilidad de ocurrencia</w:t>
      </w:r>
      <w:r w:rsidR="00BD24E5" w:rsidRPr="00D93780">
        <w:rPr>
          <w:rFonts w:ascii="Arial" w:hAnsi="Arial" w:cs="Arial"/>
          <w:sz w:val="22"/>
          <w:szCs w:val="22"/>
        </w:rPr>
        <w:t xml:space="preserve"> que este incremento de la recaudación por efecto de la gestión </w:t>
      </w:r>
      <w:r w:rsidR="001D280A" w:rsidRPr="00D93780">
        <w:rPr>
          <w:rFonts w:ascii="Arial" w:hAnsi="Arial" w:cs="Arial"/>
          <w:sz w:val="22"/>
          <w:szCs w:val="22"/>
        </w:rPr>
        <w:t xml:space="preserve">se </w:t>
      </w:r>
      <w:r w:rsidR="007D05D5" w:rsidRPr="00D93780">
        <w:rPr>
          <w:rFonts w:ascii="Arial" w:hAnsi="Arial" w:cs="Arial"/>
          <w:sz w:val="22"/>
          <w:szCs w:val="22"/>
        </w:rPr>
        <w:t>disipe</w:t>
      </w:r>
      <w:r w:rsidR="00BD24E5" w:rsidRPr="00D93780">
        <w:rPr>
          <w:rFonts w:ascii="Arial" w:hAnsi="Arial" w:cs="Arial"/>
          <w:sz w:val="22"/>
          <w:szCs w:val="22"/>
        </w:rPr>
        <w:t xml:space="preserve"> a los p</w:t>
      </w:r>
      <w:r w:rsidR="001D280A" w:rsidRPr="00D93780">
        <w:rPr>
          <w:rFonts w:ascii="Arial" w:hAnsi="Arial" w:cs="Arial"/>
          <w:sz w:val="22"/>
          <w:szCs w:val="22"/>
        </w:rPr>
        <w:t>ocos años de su implementación. S</w:t>
      </w:r>
      <w:r w:rsidR="00BD24E5" w:rsidRPr="00D93780">
        <w:rPr>
          <w:rFonts w:ascii="Arial" w:hAnsi="Arial" w:cs="Arial"/>
          <w:sz w:val="22"/>
          <w:szCs w:val="22"/>
        </w:rPr>
        <w:t>in embargo</w:t>
      </w:r>
      <w:r w:rsidR="001D280A" w:rsidRPr="00D93780">
        <w:rPr>
          <w:rFonts w:ascii="Arial" w:hAnsi="Arial" w:cs="Arial"/>
          <w:sz w:val="22"/>
          <w:szCs w:val="22"/>
        </w:rPr>
        <w:t>, ello no tiene por qué afectar a los</w:t>
      </w:r>
      <w:r w:rsidR="00BD24E5" w:rsidRPr="00D93780">
        <w:rPr>
          <w:rFonts w:ascii="Arial" w:hAnsi="Arial" w:cs="Arial"/>
          <w:sz w:val="22"/>
          <w:szCs w:val="22"/>
        </w:rPr>
        <w:t xml:space="preserve"> </w:t>
      </w:r>
      <w:r w:rsidR="00BD24E5" w:rsidRPr="00D93780">
        <w:rPr>
          <w:rFonts w:ascii="Arial" w:hAnsi="Arial" w:cs="Arial"/>
          <w:i/>
          <w:sz w:val="22"/>
          <w:szCs w:val="22"/>
        </w:rPr>
        <w:t>niveles</w:t>
      </w:r>
      <w:r w:rsidR="00BD24E5" w:rsidRPr="00D93780">
        <w:rPr>
          <w:rFonts w:ascii="Arial" w:hAnsi="Arial" w:cs="Arial"/>
          <w:sz w:val="22"/>
          <w:szCs w:val="22"/>
        </w:rPr>
        <w:t xml:space="preserve"> </w:t>
      </w:r>
      <w:r w:rsidR="007D05D5" w:rsidRPr="00D93780">
        <w:rPr>
          <w:rFonts w:ascii="Arial" w:hAnsi="Arial" w:cs="Arial"/>
          <w:sz w:val="22"/>
          <w:szCs w:val="22"/>
        </w:rPr>
        <w:t xml:space="preserve">ni a los </w:t>
      </w:r>
      <w:r w:rsidR="007D05D5" w:rsidRPr="00D93780">
        <w:rPr>
          <w:rFonts w:ascii="Arial" w:hAnsi="Arial" w:cs="Arial"/>
          <w:i/>
          <w:sz w:val="22"/>
          <w:szCs w:val="22"/>
        </w:rPr>
        <w:t>ritmos</w:t>
      </w:r>
      <w:r w:rsidR="007D05D5" w:rsidRPr="00D93780">
        <w:rPr>
          <w:rFonts w:ascii="Arial" w:hAnsi="Arial" w:cs="Arial"/>
          <w:sz w:val="22"/>
          <w:szCs w:val="22"/>
        </w:rPr>
        <w:t xml:space="preserve"> de crecimiento </w:t>
      </w:r>
      <w:r w:rsidR="007D05D5" w:rsidRPr="00D93780">
        <w:rPr>
          <w:rFonts w:ascii="Arial" w:hAnsi="Arial" w:cs="Arial"/>
          <w:i/>
          <w:sz w:val="22"/>
          <w:szCs w:val="22"/>
        </w:rPr>
        <w:t>tendenciales</w:t>
      </w:r>
      <w:r w:rsidR="007D05D5" w:rsidRPr="00D93780">
        <w:rPr>
          <w:rFonts w:ascii="Arial" w:hAnsi="Arial" w:cs="Arial"/>
          <w:sz w:val="22"/>
          <w:szCs w:val="22"/>
        </w:rPr>
        <w:t xml:space="preserve"> </w:t>
      </w:r>
      <w:r w:rsidR="00BD24E5" w:rsidRPr="00D93780">
        <w:rPr>
          <w:rFonts w:ascii="Arial" w:hAnsi="Arial" w:cs="Arial"/>
          <w:sz w:val="22"/>
          <w:szCs w:val="22"/>
        </w:rPr>
        <w:t xml:space="preserve">de </w:t>
      </w:r>
      <w:r w:rsidR="007D05D5" w:rsidRPr="00D93780">
        <w:rPr>
          <w:rFonts w:ascii="Arial" w:hAnsi="Arial" w:cs="Arial"/>
          <w:sz w:val="22"/>
          <w:szCs w:val="22"/>
        </w:rPr>
        <w:t xml:space="preserve">la </w:t>
      </w:r>
      <w:r w:rsidR="00BD24E5" w:rsidRPr="00D93780">
        <w:rPr>
          <w:rFonts w:ascii="Arial" w:hAnsi="Arial" w:cs="Arial"/>
          <w:sz w:val="22"/>
          <w:szCs w:val="22"/>
        </w:rPr>
        <w:t>recaudación</w:t>
      </w:r>
      <w:r w:rsidR="001D280A" w:rsidRPr="00D93780">
        <w:rPr>
          <w:rFonts w:ascii="Arial" w:hAnsi="Arial" w:cs="Arial"/>
          <w:sz w:val="22"/>
          <w:szCs w:val="22"/>
        </w:rPr>
        <w:t>, ya que la centralización en una nueva agencia de cobro supone</w:t>
      </w:r>
      <w:r w:rsidR="00BD24E5" w:rsidRPr="00D93780">
        <w:rPr>
          <w:rFonts w:ascii="Arial" w:hAnsi="Arial" w:cs="Arial"/>
          <w:sz w:val="22"/>
          <w:szCs w:val="22"/>
        </w:rPr>
        <w:t xml:space="preserve"> más capacidad de gestión de la morosidad y de las multas. Una agencia única </w:t>
      </w:r>
      <w:r w:rsidR="001B70A6" w:rsidRPr="00D93780">
        <w:rPr>
          <w:rFonts w:ascii="Arial" w:hAnsi="Arial" w:cs="Arial"/>
          <w:sz w:val="22"/>
          <w:szCs w:val="22"/>
        </w:rPr>
        <w:t xml:space="preserve">puede extender entre los contribuyentes </w:t>
      </w:r>
      <w:r w:rsidR="001D280A" w:rsidRPr="00D93780">
        <w:rPr>
          <w:rFonts w:ascii="Arial" w:hAnsi="Arial" w:cs="Arial"/>
          <w:sz w:val="22"/>
          <w:szCs w:val="22"/>
        </w:rPr>
        <w:t xml:space="preserve">con </w:t>
      </w:r>
      <w:r w:rsidR="001D280A" w:rsidRPr="00D93780">
        <w:rPr>
          <w:rFonts w:ascii="Arial" w:hAnsi="Arial" w:cs="Arial"/>
          <w:sz w:val="22"/>
          <w:szCs w:val="22"/>
        </w:rPr>
        <w:lastRenderedPageBreak/>
        <w:t>preferencias a la evasión</w:t>
      </w:r>
      <w:r w:rsidR="001B70A6" w:rsidRPr="00D93780">
        <w:rPr>
          <w:rFonts w:ascii="Arial" w:hAnsi="Arial" w:cs="Arial"/>
          <w:sz w:val="22"/>
          <w:szCs w:val="22"/>
        </w:rPr>
        <w:t xml:space="preserve"> una percepción más acusada del riesgo </w:t>
      </w:r>
      <w:r w:rsidR="001D280A" w:rsidRPr="00D93780">
        <w:rPr>
          <w:rFonts w:ascii="Arial" w:hAnsi="Arial" w:cs="Arial"/>
          <w:sz w:val="22"/>
          <w:szCs w:val="22"/>
        </w:rPr>
        <w:t>en el caso de</w:t>
      </w:r>
      <w:r w:rsidR="001B70A6" w:rsidRPr="00D93780">
        <w:rPr>
          <w:rFonts w:ascii="Arial" w:hAnsi="Arial" w:cs="Arial"/>
          <w:sz w:val="22"/>
          <w:szCs w:val="22"/>
        </w:rPr>
        <w:t xml:space="preserve"> no cumplir</w:t>
      </w:r>
      <w:r w:rsidR="001D280A" w:rsidRPr="00D93780">
        <w:rPr>
          <w:rFonts w:ascii="Arial" w:hAnsi="Arial" w:cs="Arial"/>
          <w:sz w:val="22"/>
          <w:szCs w:val="22"/>
        </w:rPr>
        <w:t xml:space="preserve"> con sus obligaciones tributarias</w:t>
      </w:r>
      <w:r w:rsidR="001B70A6" w:rsidRPr="00D93780">
        <w:rPr>
          <w:rFonts w:ascii="Arial" w:hAnsi="Arial" w:cs="Arial"/>
          <w:sz w:val="22"/>
          <w:szCs w:val="22"/>
        </w:rPr>
        <w:t>.</w:t>
      </w:r>
    </w:p>
    <w:p w14:paraId="69A08ECB" w14:textId="1B8ED47F" w:rsidR="00ED2E20" w:rsidRPr="00D93780" w:rsidRDefault="001B70A6"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Para el</w:t>
      </w:r>
      <w:r w:rsidR="00ED2E20" w:rsidRPr="00D93780">
        <w:rPr>
          <w:rFonts w:ascii="Arial" w:hAnsi="Arial" w:cs="Arial"/>
          <w:sz w:val="22"/>
          <w:szCs w:val="22"/>
        </w:rPr>
        <w:t xml:space="preserve"> análisis costo-beneficio </w:t>
      </w:r>
      <w:r w:rsidRPr="00D93780">
        <w:rPr>
          <w:rFonts w:ascii="Arial" w:hAnsi="Arial" w:cs="Arial"/>
          <w:sz w:val="22"/>
          <w:szCs w:val="22"/>
        </w:rPr>
        <w:t xml:space="preserve">se </w:t>
      </w:r>
      <w:r w:rsidR="001B2E96" w:rsidRPr="00D93780">
        <w:rPr>
          <w:rFonts w:ascii="Arial" w:hAnsi="Arial" w:cs="Arial"/>
          <w:sz w:val="22"/>
          <w:szCs w:val="22"/>
        </w:rPr>
        <w:t>retiene</w:t>
      </w:r>
      <w:r w:rsidRPr="00D93780">
        <w:rPr>
          <w:rFonts w:ascii="Arial" w:hAnsi="Arial" w:cs="Arial"/>
          <w:sz w:val="22"/>
          <w:szCs w:val="22"/>
        </w:rPr>
        <w:t xml:space="preserve"> este incremento anual de la recaudación de SUCIVE</w:t>
      </w:r>
      <w:r w:rsidR="001B2E96" w:rsidRPr="00D93780">
        <w:rPr>
          <w:rFonts w:ascii="Arial" w:hAnsi="Arial" w:cs="Arial"/>
          <w:sz w:val="22"/>
          <w:szCs w:val="22"/>
        </w:rPr>
        <w:t xml:space="preserve"> </w:t>
      </w:r>
      <w:r w:rsidR="00EC6420" w:rsidRPr="00D93780">
        <w:rPr>
          <w:rFonts w:ascii="Arial" w:hAnsi="Arial" w:cs="Arial"/>
          <w:sz w:val="22"/>
          <w:szCs w:val="22"/>
        </w:rPr>
        <w:t>como resultado de</w:t>
      </w:r>
      <w:r w:rsidRPr="00D93780">
        <w:rPr>
          <w:rFonts w:ascii="Arial" w:hAnsi="Arial" w:cs="Arial"/>
          <w:sz w:val="22"/>
          <w:szCs w:val="22"/>
        </w:rPr>
        <w:t xml:space="preserve"> </w:t>
      </w:r>
      <w:r w:rsidR="00ED2E20" w:rsidRPr="00D93780">
        <w:rPr>
          <w:rFonts w:ascii="Arial" w:hAnsi="Arial" w:cs="Arial"/>
          <w:sz w:val="22"/>
          <w:szCs w:val="22"/>
        </w:rPr>
        <w:t>la centralización de la recaudación del impuesto de c</w:t>
      </w:r>
      <w:r w:rsidRPr="00D93780">
        <w:rPr>
          <w:rFonts w:ascii="Arial" w:hAnsi="Arial" w:cs="Arial"/>
          <w:sz w:val="22"/>
          <w:szCs w:val="22"/>
        </w:rPr>
        <w:t>ontribución inmobiliaria urbana</w:t>
      </w:r>
      <w:r w:rsidR="001B2E96" w:rsidRPr="00D93780">
        <w:rPr>
          <w:rFonts w:ascii="Arial" w:hAnsi="Arial" w:cs="Arial"/>
          <w:sz w:val="22"/>
          <w:szCs w:val="22"/>
        </w:rPr>
        <w:t>, pero se considerará una tasa de crecimiento menor con el fin de adoptar una opción más conservado</w:t>
      </w:r>
      <w:r w:rsidR="008233F3" w:rsidRPr="00D93780">
        <w:rPr>
          <w:rFonts w:ascii="Arial" w:hAnsi="Arial" w:cs="Arial"/>
          <w:sz w:val="22"/>
          <w:szCs w:val="22"/>
        </w:rPr>
        <w:t>ra. En efe</w:t>
      </w:r>
      <w:r w:rsidR="00C45FE3" w:rsidRPr="00D93780">
        <w:rPr>
          <w:rFonts w:ascii="Arial" w:hAnsi="Arial" w:cs="Arial"/>
          <w:sz w:val="22"/>
          <w:szCs w:val="22"/>
        </w:rPr>
        <w:t>cto, en lugar de</w:t>
      </w:r>
      <w:r w:rsidR="008233F3" w:rsidRPr="00D93780">
        <w:rPr>
          <w:rFonts w:ascii="Arial" w:hAnsi="Arial" w:cs="Arial"/>
          <w:sz w:val="22"/>
          <w:szCs w:val="22"/>
        </w:rPr>
        <w:t xml:space="preserve"> </w:t>
      </w:r>
      <w:r w:rsidR="00C45FE3" w:rsidRPr="00D93780">
        <w:rPr>
          <w:rFonts w:ascii="Arial" w:hAnsi="Arial" w:cs="Arial"/>
          <w:sz w:val="22"/>
          <w:szCs w:val="22"/>
        </w:rPr>
        <w:t>8</w:t>
      </w:r>
      <w:r w:rsidR="008233F3" w:rsidRPr="00D93780">
        <w:rPr>
          <w:rFonts w:ascii="Arial" w:hAnsi="Arial" w:cs="Arial"/>
          <w:sz w:val="22"/>
          <w:szCs w:val="22"/>
        </w:rPr>
        <w:t>,</w:t>
      </w:r>
      <w:r w:rsidR="00C45FE3" w:rsidRPr="00D93780">
        <w:rPr>
          <w:rFonts w:ascii="Arial" w:hAnsi="Arial" w:cs="Arial"/>
          <w:sz w:val="22"/>
          <w:szCs w:val="22"/>
        </w:rPr>
        <w:t>7</w:t>
      </w:r>
      <w:r w:rsidR="008233F3" w:rsidRPr="00D93780">
        <w:rPr>
          <w:rFonts w:ascii="Arial" w:hAnsi="Arial" w:cs="Arial"/>
          <w:sz w:val="22"/>
          <w:szCs w:val="22"/>
        </w:rPr>
        <w:t xml:space="preserve"> pp en el primer año y 1,</w:t>
      </w:r>
      <w:r w:rsidR="00C45FE3" w:rsidRPr="00D93780">
        <w:rPr>
          <w:rFonts w:ascii="Arial" w:hAnsi="Arial" w:cs="Arial"/>
          <w:sz w:val="22"/>
          <w:szCs w:val="22"/>
        </w:rPr>
        <w:t>7 pp</w:t>
      </w:r>
      <w:r w:rsidR="001B2E96" w:rsidRPr="00D93780">
        <w:rPr>
          <w:rFonts w:ascii="Arial" w:hAnsi="Arial" w:cs="Arial"/>
          <w:sz w:val="22"/>
          <w:szCs w:val="22"/>
        </w:rPr>
        <w:t xml:space="preserve"> en el segundo año, que se observó tras la implantación del SUCIVE, en el análisis se estima un </w:t>
      </w:r>
      <w:r w:rsidR="00C45FE3" w:rsidRPr="00D93780">
        <w:rPr>
          <w:rFonts w:ascii="Arial" w:hAnsi="Arial" w:cs="Arial"/>
          <w:sz w:val="22"/>
          <w:szCs w:val="22"/>
        </w:rPr>
        <w:t>diferencial de 5 pp</w:t>
      </w:r>
      <w:r w:rsidR="001B2E96" w:rsidRPr="00D93780">
        <w:rPr>
          <w:rFonts w:ascii="Arial" w:hAnsi="Arial" w:cs="Arial"/>
          <w:sz w:val="22"/>
          <w:szCs w:val="22"/>
        </w:rPr>
        <w:t xml:space="preserve"> adicional a la tendencia, en el tercer año y por una única vez</w:t>
      </w:r>
      <w:r w:rsidR="00C45FE3" w:rsidRPr="00D93780">
        <w:rPr>
          <w:rFonts w:ascii="Arial" w:hAnsi="Arial" w:cs="Arial"/>
          <w:sz w:val="22"/>
          <w:szCs w:val="22"/>
        </w:rPr>
        <w:t xml:space="preserve">, es decir, sin </w:t>
      </w:r>
      <w:r w:rsidR="00583C99" w:rsidRPr="00D93780">
        <w:rPr>
          <w:rFonts w:ascii="Arial" w:hAnsi="Arial" w:cs="Arial"/>
          <w:sz w:val="22"/>
          <w:szCs w:val="22"/>
        </w:rPr>
        <w:t>incremento</w:t>
      </w:r>
      <w:r w:rsidR="00C45FE3" w:rsidRPr="00D93780">
        <w:rPr>
          <w:rFonts w:ascii="Arial" w:hAnsi="Arial" w:cs="Arial"/>
          <w:sz w:val="22"/>
          <w:szCs w:val="22"/>
        </w:rPr>
        <w:t xml:space="preserve"> en años posteriores</w:t>
      </w:r>
      <w:r w:rsidR="00583C99" w:rsidRPr="00D93780">
        <w:rPr>
          <w:rFonts w:ascii="Arial" w:hAnsi="Arial" w:cs="Arial"/>
          <w:sz w:val="22"/>
          <w:szCs w:val="22"/>
        </w:rPr>
        <w:t xml:space="preserve"> pero consolidando el efecto diferencial</w:t>
      </w:r>
      <w:r w:rsidR="00C45FE3" w:rsidRPr="00D93780">
        <w:rPr>
          <w:rFonts w:ascii="Arial" w:hAnsi="Arial" w:cs="Arial"/>
          <w:sz w:val="22"/>
          <w:szCs w:val="22"/>
        </w:rPr>
        <w:t>.</w:t>
      </w:r>
      <w:r w:rsidR="001B2E96" w:rsidRPr="00D93780">
        <w:rPr>
          <w:rFonts w:ascii="Arial" w:hAnsi="Arial" w:cs="Arial"/>
          <w:sz w:val="22"/>
          <w:szCs w:val="22"/>
        </w:rPr>
        <w:t xml:space="preserve"> </w:t>
      </w:r>
    </w:p>
    <w:p w14:paraId="549C4603" w14:textId="77777777" w:rsidR="00ED2E20" w:rsidRPr="00D93780" w:rsidRDefault="00ED2E20" w:rsidP="00694FB3">
      <w:pPr>
        <w:pStyle w:val="Heading3"/>
        <w:spacing w:before="120" w:after="120"/>
        <w:rPr>
          <w:rFonts w:ascii="Arial" w:hAnsi="Arial"/>
          <w:szCs w:val="22"/>
        </w:rPr>
      </w:pPr>
      <w:bookmarkStart w:id="14" w:name="_Toc456337507"/>
      <w:r w:rsidRPr="00D93780">
        <w:rPr>
          <w:rFonts w:ascii="Arial" w:hAnsi="Arial"/>
          <w:szCs w:val="22"/>
        </w:rPr>
        <w:t>Cuantificación de los costos</w:t>
      </w:r>
      <w:bookmarkEnd w:id="14"/>
    </w:p>
    <w:p w14:paraId="0A36B4B7" w14:textId="77777777"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Para la cuantificación de los costos se han tenido en consideración los siguientes datos:</w:t>
      </w:r>
    </w:p>
    <w:p w14:paraId="1F8CB2D1" w14:textId="73027A75" w:rsidR="00ED2E20" w:rsidRPr="00D93780" w:rsidRDefault="00ED2E20" w:rsidP="00694FB3">
      <w:pPr>
        <w:pStyle w:val="ListParagraph"/>
        <w:numPr>
          <w:ilvl w:val="0"/>
          <w:numId w:val="38"/>
        </w:numPr>
        <w:spacing w:before="120" w:after="120" w:line="276" w:lineRule="auto"/>
        <w:jc w:val="both"/>
        <w:rPr>
          <w:rFonts w:ascii="Arial" w:hAnsi="Arial" w:cs="Arial"/>
          <w:sz w:val="22"/>
          <w:szCs w:val="22"/>
        </w:rPr>
      </w:pPr>
      <w:r w:rsidRPr="00D93780">
        <w:rPr>
          <w:rFonts w:ascii="Arial" w:hAnsi="Arial" w:cs="Arial"/>
          <w:i/>
          <w:sz w:val="22"/>
          <w:szCs w:val="22"/>
        </w:rPr>
        <w:t>Costos del Programa</w:t>
      </w:r>
      <w:r w:rsidRPr="00D93780">
        <w:rPr>
          <w:rFonts w:ascii="Arial" w:hAnsi="Arial" w:cs="Arial"/>
          <w:sz w:val="22"/>
          <w:szCs w:val="22"/>
        </w:rPr>
        <w:t xml:space="preserve"> relacionados con la mejora de la gestión financiera (Componente 1, línea de actividad 1.1 del Plan de Ejecución del Proyecto -PEP). Se estima la inversión en USD </w:t>
      </w:r>
      <w:r w:rsidR="001B2E96" w:rsidRPr="00D93780">
        <w:rPr>
          <w:rFonts w:ascii="Arial" w:hAnsi="Arial" w:cs="Arial"/>
          <w:sz w:val="22"/>
          <w:szCs w:val="22"/>
        </w:rPr>
        <w:t>4</w:t>
      </w:r>
      <w:r w:rsidRPr="00D93780">
        <w:rPr>
          <w:rFonts w:ascii="Arial" w:hAnsi="Arial" w:cs="Arial"/>
          <w:sz w:val="22"/>
          <w:szCs w:val="22"/>
        </w:rPr>
        <w:t>.</w:t>
      </w:r>
      <w:r w:rsidR="001B2E96" w:rsidRPr="00D93780">
        <w:rPr>
          <w:rFonts w:ascii="Arial" w:hAnsi="Arial" w:cs="Arial"/>
          <w:sz w:val="22"/>
          <w:szCs w:val="22"/>
        </w:rPr>
        <w:t>570</w:t>
      </w:r>
      <w:r w:rsidRPr="00D93780">
        <w:rPr>
          <w:rFonts w:ascii="Arial" w:hAnsi="Arial" w:cs="Arial"/>
          <w:sz w:val="22"/>
          <w:szCs w:val="22"/>
        </w:rPr>
        <w:t>.</w:t>
      </w:r>
      <w:r w:rsidR="001B2E96" w:rsidRPr="00D93780">
        <w:rPr>
          <w:rFonts w:ascii="Arial" w:hAnsi="Arial" w:cs="Arial"/>
          <w:sz w:val="22"/>
          <w:szCs w:val="22"/>
        </w:rPr>
        <w:t>906</w:t>
      </w:r>
      <w:r w:rsidRPr="00D93780">
        <w:rPr>
          <w:rFonts w:ascii="Arial" w:hAnsi="Arial" w:cs="Arial"/>
          <w:sz w:val="22"/>
          <w:szCs w:val="22"/>
        </w:rPr>
        <w:t>.</w:t>
      </w:r>
      <w:r w:rsidRPr="00D93780">
        <w:rPr>
          <w:rStyle w:val="FootnoteReference"/>
          <w:rFonts w:ascii="Arial" w:hAnsi="Arial" w:cs="Arial"/>
          <w:sz w:val="22"/>
          <w:szCs w:val="22"/>
        </w:rPr>
        <w:footnoteReference w:id="11"/>
      </w:r>
    </w:p>
    <w:p w14:paraId="73B4D191" w14:textId="46EA7E6C" w:rsidR="00ED2E20" w:rsidRPr="00D93780" w:rsidRDefault="00ED2E20" w:rsidP="00694FB3">
      <w:pPr>
        <w:pStyle w:val="ListParagraph"/>
        <w:numPr>
          <w:ilvl w:val="0"/>
          <w:numId w:val="38"/>
        </w:numPr>
        <w:spacing w:before="120" w:after="120" w:line="276" w:lineRule="auto"/>
        <w:jc w:val="both"/>
        <w:rPr>
          <w:rFonts w:ascii="Arial" w:hAnsi="Arial" w:cs="Arial"/>
          <w:sz w:val="22"/>
          <w:szCs w:val="22"/>
        </w:rPr>
      </w:pPr>
      <w:r w:rsidRPr="00D93780">
        <w:rPr>
          <w:rFonts w:ascii="Arial" w:hAnsi="Arial" w:cs="Arial"/>
          <w:i/>
          <w:sz w:val="22"/>
          <w:szCs w:val="22"/>
        </w:rPr>
        <w:t>Costos adicionales por recaudación centralizada</w:t>
      </w:r>
      <w:r w:rsidRPr="00D93780">
        <w:rPr>
          <w:rFonts w:ascii="Arial" w:hAnsi="Arial" w:cs="Arial"/>
          <w:sz w:val="22"/>
          <w:szCs w:val="22"/>
        </w:rPr>
        <w:t>. Se considera que al centralizarse la recaudación es necesario financiar adicionalmente los gastos de administración.</w:t>
      </w:r>
      <w:r w:rsidR="001B2E96" w:rsidRPr="00D93780">
        <w:rPr>
          <w:rStyle w:val="FootnoteReference"/>
          <w:rFonts w:ascii="Arial" w:hAnsi="Arial" w:cs="Arial"/>
          <w:sz w:val="22"/>
          <w:szCs w:val="22"/>
        </w:rPr>
        <w:footnoteReference w:id="12"/>
      </w:r>
      <w:r w:rsidRPr="00D93780">
        <w:rPr>
          <w:rFonts w:ascii="Arial" w:hAnsi="Arial" w:cs="Arial"/>
          <w:sz w:val="22"/>
          <w:szCs w:val="22"/>
        </w:rPr>
        <w:t xml:space="preserve"> Podría argumentarse que los servicios tributarios </w:t>
      </w:r>
      <w:r w:rsidR="001B2E96" w:rsidRPr="00D93780">
        <w:rPr>
          <w:rFonts w:ascii="Arial" w:hAnsi="Arial" w:cs="Arial"/>
          <w:sz w:val="22"/>
          <w:szCs w:val="22"/>
        </w:rPr>
        <w:t>actualmente instalados en</w:t>
      </w:r>
      <w:r w:rsidRPr="00D93780">
        <w:rPr>
          <w:rFonts w:ascii="Arial" w:hAnsi="Arial" w:cs="Arial"/>
          <w:sz w:val="22"/>
          <w:szCs w:val="22"/>
        </w:rPr>
        <w:t xml:space="preserve"> las intendencias </w:t>
      </w:r>
      <w:r w:rsidR="001B2E96" w:rsidRPr="00D93780">
        <w:rPr>
          <w:rFonts w:ascii="Arial" w:hAnsi="Arial" w:cs="Arial"/>
          <w:sz w:val="22"/>
          <w:szCs w:val="22"/>
        </w:rPr>
        <w:t>deberían reducir su personal</w:t>
      </w:r>
      <w:r w:rsidRPr="00D93780">
        <w:rPr>
          <w:rFonts w:ascii="Arial" w:hAnsi="Arial" w:cs="Arial"/>
          <w:sz w:val="22"/>
          <w:szCs w:val="22"/>
        </w:rPr>
        <w:t xml:space="preserve"> </w:t>
      </w:r>
      <w:r w:rsidR="001B2E96" w:rsidRPr="00D93780">
        <w:rPr>
          <w:rFonts w:ascii="Arial" w:hAnsi="Arial" w:cs="Arial"/>
          <w:sz w:val="22"/>
          <w:szCs w:val="22"/>
        </w:rPr>
        <w:t>‒</w:t>
      </w:r>
      <w:r w:rsidRPr="00D93780">
        <w:rPr>
          <w:rFonts w:ascii="Arial" w:hAnsi="Arial" w:cs="Arial"/>
          <w:sz w:val="22"/>
          <w:szCs w:val="22"/>
        </w:rPr>
        <w:t xml:space="preserve"> la carga de trabajo de la recaudación</w:t>
      </w:r>
      <w:r w:rsidR="00473003" w:rsidRPr="00D93780">
        <w:rPr>
          <w:rFonts w:ascii="Arial" w:hAnsi="Arial" w:cs="Arial"/>
          <w:sz w:val="22"/>
          <w:szCs w:val="22"/>
        </w:rPr>
        <w:t xml:space="preserve"> la hace la agencia</w:t>
      </w:r>
      <w:r w:rsidR="001B2E96" w:rsidRPr="00D93780">
        <w:rPr>
          <w:rFonts w:ascii="Arial" w:hAnsi="Arial" w:cs="Arial"/>
          <w:sz w:val="22"/>
          <w:szCs w:val="22"/>
        </w:rPr>
        <w:t>‒</w:t>
      </w:r>
      <w:r w:rsidRPr="00D93780">
        <w:rPr>
          <w:rFonts w:ascii="Arial" w:hAnsi="Arial" w:cs="Arial"/>
          <w:sz w:val="22"/>
          <w:szCs w:val="22"/>
        </w:rPr>
        <w:t xml:space="preserve">, pero lo más probable es que la estructura </w:t>
      </w:r>
      <w:r w:rsidR="00473003" w:rsidRPr="00D93780">
        <w:rPr>
          <w:rFonts w:ascii="Arial" w:hAnsi="Arial" w:cs="Arial"/>
          <w:sz w:val="22"/>
          <w:szCs w:val="22"/>
        </w:rPr>
        <w:t>orgánica sea rígida a cualquier ajuste</w:t>
      </w:r>
      <w:r w:rsidRPr="00D93780">
        <w:rPr>
          <w:rFonts w:ascii="Arial" w:hAnsi="Arial" w:cs="Arial"/>
          <w:sz w:val="22"/>
          <w:szCs w:val="22"/>
        </w:rPr>
        <w:t xml:space="preserve">. </w:t>
      </w:r>
      <w:r w:rsidR="00473003" w:rsidRPr="00D93780">
        <w:rPr>
          <w:rFonts w:ascii="Arial" w:hAnsi="Arial" w:cs="Arial"/>
          <w:sz w:val="22"/>
          <w:szCs w:val="22"/>
        </w:rPr>
        <w:t xml:space="preserve">Por lo tanto, </w:t>
      </w:r>
      <w:r w:rsidR="00BF7958" w:rsidRPr="00D93780">
        <w:rPr>
          <w:rFonts w:ascii="Arial" w:hAnsi="Arial" w:cs="Arial"/>
          <w:sz w:val="22"/>
          <w:szCs w:val="22"/>
        </w:rPr>
        <w:t>a</w:t>
      </w:r>
      <w:r w:rsidRPr="00D93780">
        <w:rPr>
          <w:rFonts w:ascii="Arial" w:hAnsi="Arial" w:cs="Arial"/>
          <w:sz w:val="22"/>
          <w:szCs w:val="22"/>
        </w:rPr>
        <w:t xml:space="preserve"> efectos del </w:t>
      </w:r>
      <w:r w:rsidR="001B2E96" w:rsidRPr="00D93780">
        <w:rPr>
          <w:rFonts w:ascii="Arial" w:hAnsi="Arial" w:cs="Arial"/>
          <w:sz w:val="22"/>
          <w:szCs w:val="22"/>
        </w:rPr>
        <w:t xml:space="preserve">presente </w:t>
      </w:r>
      <w:r w:rsidRPr="00D93780">
        <w:rPr>
          <w:rFonts w:ascii="Arial" w:hAnsi="Arial" w:cs="Arial"/>
          <w:sz w:val="22"/>
          <w:szCs w:val="22"/>
        </w:rPr>
        <w:t>análisis, es realista incluir los costos adicionales p</w:t>
      </w:r>
      <w:r w:rsidR="00BF7958" w:rsidRPr="00D93780">
        <w:rPr>
          <w:rFonts w:ascii="Arial" w:hAnsi="Arial" w:cs="Arial"/>
          <w:sz w:val="22"/>
          <w:szCs w:val="22"/>
        </w:rPr>
        <w:t>or los servicios de recaudación</w:t>
      </w:r>
      <w:r w:rsidRPr="00D93780">
        <w:rPr>
          <w:rFonts w:ascii="Arial" w:hAnsi="Arial" w:cs="Arial"/>
          <w:sz w:val="22"/>
          <w:szCs w:val="22"/>
        </w:rPr>
        <w:t xml:space="preserve"> sin reducir los costos actuales que soportan las intendencias. En la evaluación</w:t>
      </w:r>
      <w:r w:rsidR="00BF7958" w:rsidRPr="00D93780">
        <w:rPr>
          <w:rFonts w:ascii="Arial" w:hAnsi="Arial" w:cs="Arial"/>
          <w:sz w:val="22"/>
          <w:szCs w:val="22"/>
        </w:rPr>
        <w:t>,</w:t>
      </w:r>
      <w:r w:rsidRPr="00D93780">
        <w:rPr>
          <w:rFonts w:ascii="Arial" w:hAnsi="Arial" w:cs="Arial"/>
          <w:sz w:val="22"/>
          <w:szCs w:val="22"/>
        </w:rPr>
        <w:t xml:space="preserve"> estos costos se estiman en un 3% del total recaudado.</w:t>
      </w:r>
      <w:r w:rsidRPr="00D93780">
        <w:rPr>
          <w:rStyle w:val="FootnoteReference"/>
          <w:rFonts w:ascii="Arial" w:hAnsi="Arial" w:cs="Arial"/>
          <w:sz w:val="22"/>
          <w:szCs w:val="22"/>
        </w:rPr>
        <w:footnoteReference w:id="13"/>
      </w:r>
    </w:p>
    <w:p w14:paraId="7AD8991D" w14:textId="77777777" w:rsidR="00ED2E20" w:rsidRPr="00D93780" w:rsidRDefault="00ED2E20" w:rsidP="00694FB3">
      <w:pPr>
        <w:pStyle w:val="ListParagraph"/>
        <w:numPr>
          <w:ilvl w:val="0"/>
          <w:numId w:val="38"/>
        </w:numPr>
        <w:spacing w:before="120" w:after="120" w:line="276" w:lineRule="auto"/>
        <w:jc w:val="both"/>
        <w:rPr>
          <w:rFonts w:ascii="Arial" w:hAnsi="Arial" w:cs="Arial"/>
          <w:sz w:val="22"/>
          <w:szCs w:val="22"/>
        </w:rPr>
      </w:pPr>
      <w:r w:rsidRPr="00D93780">
        <w:rPr>
          <w:rFonts w:ascii="Arial" w:hAnsi="Arial" w:cs="Arial"/>
          <w:i/>
          <w:sz w:val="22"/>
          <w:szCs w:val="22"/>
        </w:rPr>
        <w:t>Costos de la unidad coordinadora del Programa.</w:t>
      </w:r>
      <w:r w:rsidRPr="00D93780">
        <w:rPr>
          <w:rFonts w:ascii="Arial" w:hAnsi="Arial" w:cs="Arial"/>
          <w:sz w:val="22"/>
          <w:szCs w:val="22"/>
        </w:rPr>
        <w:t xml:space="preserve"> Se prorratean los costos de administración e imprevistos de acuerdo con el peso relativo de la inversión.</w:t>
      </w:r>
    </w:p>
    <w:p w14:paraId="04621D7C" w14:textId="2E9F3493" w:rsid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514FEB">
        <w:rPr>
          <w:rFonts w:ascii="Arial" w:hAnsi="Arial" w:cs="Arial"/>
          <w:sz w:val="22"/>
          <w:szCs w:val="22"/>
        </w:rPr>
        <w:t xml:space="preserve">En el cuadro </w:t>
      </w:r>
      <w:r w:rsidR="007D05D5" w:rsidRPr="00514FEB">
        <w:rPr>
          <w:rFonts w:ascii="Arial" w:hAnsi="Arial" w:cs="Arial"/>
          <w:sz w:val="22"/>
          <w:szCs w:val="22"/>
        </w:rPr>
        <w:t>5</w:t>
      </w:r>
      <w:r w:rsidRPr="00514FEB">
        <w:rPr>
          <w:rFonts w:ascii="Arial" w:hAnsi="Arial" w:cs="Arial"/>
          <w:sz w:val="22"/>
          <w:szCs w:val="22"/>
        </w:rPr>
        <w:t xml:space="preserve"> pueden consultarse los principales datos de los costos considerados.</w:t>
      </w:r>
    </w:p>
    <w:p w14:paraId="7E4D5805" w14:textId="77777777" w:rsidR="00694FB3" w:rsidRDefault="00694FB3" w:rsidP="00694FB3">
      <w:pPr>
        <w:spacing w:before="120" w:after="120" w:line="276" w:lineRule="auto"/>
        <w:jc w:val="both"/>
        <w:rPr>
          <w:rFonts w:ascii="Arial" w:hAnsi="Arial" w:cs="Arial"/>
          <w:sz w:val="22"/>
          <w:szCs w:val="22"/>
        </w:rPr>
      </w:pPr>
    </w:p>
    <w:p w14:paraId="028CFFC7" w14:textId="77777777" w:rsidR="00694FB3" w:rsidRDefault="00694FB3" w:rsidP="00694FB3">
      <w:pPr>
        <w:spacing w:before="120" w:after="120" w:line="276" w:lineRule="auto"/>
        <w:jc w:val="both"/>
        <w:rPr>
          <w:rFonts w:ascii="Arial" w:hAnsi="Arial" w:cs="Arial"/>
          <w:sz w:val="22"/>
          <w:szCs w:val="22"/>
        </w:rPr>
      </w:pPr>
    </w:p>
    <w:p w14:paraId="763D2324" w14:textId="77777777" w:rsidR="00694FB3" w:rsidRDefault="00694FB3" w:rsidP="00694FB3">
      <w:pPr>
        <w:spacing w:before="120" w:after="120" w:line="276" w:lineRule="auto"/>
        <w:jc w:val="both"/>
        <w:rPr>
          <w:rFonts w:ascii="Arial" w:hAnsi="Arial" w:cs="Arial"/>
          <w:sz w:val="22"/>
          <w:szCs w:val="22"/>
        </w:rPr>
      </w:pPr>
    </w:p>
    <w:p w14:paraId="227A1AF3" w14:textId="77777777" w:rsidR="00694FB3" w:rsidRPr="00694FB3" w:rsidRDefault="00694FB3" w:rsidP="00694FB3">
      <w:pPr>
        <w:spacing w:before="120" w:after="120" w:line="276" w:lineRule="auto"/>
        <w:jc w:val="both"/>
        <w:rPr>
          <w:rFonts w:ascii="Arial" w:hAnsi="Arial" w:cs="Arial"/>
          <w:sz w:val="22"/>
          <w:szCs w:val="22"/>
        </w:rPr>
      </w:pPr>
    </w:p>
    <w:p w14:paraId="767A32FE" w14:textId="3A5DEF65" w:rsidR="00ED2E20" w:rsidRPr="00514FEB" w:rsidRDefault="00ED2E20" w:rsidP="00462E76">
      <w:pPr>
        <w:pStyle w:val="ListParagraph"/>
        <w:spacing w:after="120"/>
        <w:ind w:left="0"/>
        <w:jc w:val="center"/>
        <w:rPr>
          <w:rFonts w:ascii="Arial" w:hAnsi="Arial" w:cs="Arial"/>
          <w:b/>
          <w:sz w:val="18"/>
          <w:szCs w:val="22"/>
        </w:rPr>
      </w:pPr>
      <w:r w:rsidRPr="00514FEB">
        <w:rPr>
          <w:rFonts w:ascii="Arial" w:hAnsi="Arial" w:cs="Arial"/>
          <w:b/>
          <w:sz w:val="18"/>
          <w:szCs w:val="22"/>
        </w:rPr>
        <w:lastRenderedPageBreak/>
        <w:t xml:space="preserve">Cuadro </w:t>
      </w:r>
      <w:r w:rsidR="007D05D5" w:rsidRPr="00514FEB">
        <w:rPr>
          <w:rFonts w:ascii="Arial" w:hAnsi="Arial" w:cs="Arial"/>
          <w:b/>
          <w:sz w:val="18"/>
          <w:szCs w:val="22"/>
        </w:rPr>
        <w:t>5</w:t>
      </w:r>
      <w:r w:rsidRPr="00514FEB">
        <w:rPr>
          <w:rFonts w:ascii="Arial" w:hAnsi="Arial" w:cs="Arial"/>
          <w:b/>
          <w:sz w:val="18"/>
          <w:szCs w:val="22"/>
        </w:rPr>
        <w:t>. Cuantificación de los costos</w:t>
      </w:r>
    </w:p>
    <w:tbl>
      <w:tblPr>
        <w:tblW w:w="4679" w:type="pct"/>
        <w:tblInd w:w="564" w:type="dxa"/>
        <w:tblCellMar>
          <w:left w:w="70" w:type="dxa"/>
          <w:right w:w="70" w:type="dxa"/>
        </w:tblCellMar>
        <w:tblLook w:val="04A0" w:firstRow="1" w:lastRow="0" w:firstColumn="1" w:lastColumn="0" w:noHBand="0" w:noVBand="1"/>
      </w:tblPr>
      <w:tblGrid>
        <w:gridCol w:w="767"/>
        <w:gridCol w:w="2070"/>
        <w:gridCol w:w="1530"/>
        <w:gridCol w:w="2291"/>
        <w:gridCol w:w="1558"/>
      </w:tblGrid>
      <w:tr w:rsidR="00694FB3" w:rsidRPr="00D93780" w14:paraId="2103B9AA" w14:textId="77777777" w:rsidTr="00694FB3">
        <w:trPr>
          <w:trHeight w:val="415"/>
        </w:trPr>
        <w:tc>
          <w:tcPr>
            <w:tcW w:w="467" w:type="pct"/>
            <w:tcBorders>
              <w:top w:val="single" w:sz="4" w:space="0" w:color="auto"/>
              <w:left w:val="nil"/>
              <w:bottom w:val="single" w:sz="4" w:space="0" w:color="auto"/>
              <w:right w:val="nil"/>
            </w:tcBorders>
            <w:shd w:val="clear" w:color="auto" w:fill="D9D9D9" w:themeFill="background1" w:themeFillShade="D9"/>
            <w:vAlign w:val="bottom"/>
            <w:hideMark/>
          </w:tcPr>
          <w:p w14:paraId="49031EAD" w14:textId="77777777" w:rsidR="00ED2E20" w:rsidRPr="00D93780" w:rsidRDefault="00ED2E20" w:rsidP="00227A32">
            <w:pPr>
              <w:rPr>
                <w:rFonts w:ascii="Arial" w:hAnsi="Arial" w:cs="Arial"/>
                <w:b/>
                <w:bCs/>
                <w:color w:val="000000"/>
                <w:sz w:val="18"/>
                <w:szCs w:val="18"/>
              </w:rPr>
            </w:pPr>
          </w:p>
        </w:tc>
        <w:tc>
          <w:tcPr>
            <w:tcW w:w="1260" w:type="pct"/>
            <w:tcBorders>
              <w:top w:val="single" w:sz="4" w:space="0" w:color="auto"/>
              <w:left w:val="nil"/>
              <w:bottom w:val="single" w:sz="4" w:space="0" w:color="auto"/>
              <w:right w:val="nil"/>
            </w:tcBorders>
            <w:shd w:val="clear" w:color="auto" w:fill="D9D9D9" w:themeFill="background1" w:themeFillShade="D9"/>
            <w:vAlign w:val="bottom"/>
            <w:hideMark/>
          </w:tcPr>
          <w:p w14:paraId="17BCBBFA" w14:textId="4168AB2D" w:rsidR="00ED2E20" w:rsidRPr="00D93780" w:rsidRDefault="00ED2E20" w:rsidP="00694FB3">
            <w:pPr>
              <w:jc w:val="center"/>
              <w:rPr>
                <w:rFonts w:ascii="Arial" w:hAnsi="Arial" w:cs="Arial"/>
                <w:b/>
                <w:bCs/>
                <w:color w:val="000000"/>
                <w:sz w:val="18"/>
                <w:szCs w:val="18"/>
              </w:rPr>
            </w:pPr>
            <w:r w:rsidRPr="00D93780">
              <w:rPr>
                <w:rFonts w:ascii="Arial" w:hAnsi="Arial" w:cs="Arial"/>
                <w:b/>
                <w:bCs/>
                <w:color w:val="000000"/>
                <w:sz w:val="18"/>
                <w:szCs w:val="18"/>
              </w:rPr>
              <w:t>Costos mejora de la gestión</w:t>
            </w:r>
          </w:p>
        </w:tc>
        <w:tc>
          <w:tcPr>
            <w:tcW w:w="931" w:type="pct"/>
            <w:tcBorders>
              <w:top w:val="single" w:sz="4" w:space="0" w:color="auto"/>
              <w:left w:val="nil"/>
              <w:bottom w:val="single" w:sz="4" w:space="0" w:color="auto"/>
              <w:right w:val="nil"/>
            </w:tcBorders>
            <w:shd w:val="clear" w:color="auto" w:fill="D9D9D9" w:themeFill="background1" w:themeFillShade="D9"/>
            <w:vAlign w:val="bottom"/>
            <w:hideMark/>
          </w:tcPr>
          <w:p w14:paraId="3E84133A" w14:textId="77777777" w:rsidR="00ED2E20" w:rsidRPr="00D93780" w:rsidRDefault="00ED2E20" w:rsidP="00694FB3">
            <w:pPr>
              <w:jc w:val="center"/>
              <w:rPr>
                <w:rFonts w:ascii="Arial" w:hAnsi="Arial" w:cs="Arial"/>
                <w:b/>
                <w:bCs/>
                <w:color w:val="000000"/>
                <w:sz w:val="18"/>
                <w:szCs w:val="18"/>
              </w:rPr>
            </w:pPr>
            <w:r w:rsidRPr="00D93780">
              <w:rPr>
                <w:rFonts w:ascii="Arial" w:hAnsi="Arial" w:cs="Arial"/>
                <w:b/>
                <w:bCs/>
                <w:color w:val="000000"/>
                <w:sz w:val="18"/>
                <w:szCs w:val="18"/>
              </w:rPr>
              <w:t>Costos administrativos recaudación</w:t>
            </w:r>
          </w:p>
        </w:tc>
        <w:tc>
          <w:tcPr>
            <w:tcW w:w="1394" w:type="pct"/>
            <w:tcBorders>
              <w:top w:val="single" w:sz="4" w:space="0" w:color="auto"/>
              <w:left w:val="nil"/>
              <w:bottom w:val="single" w:sz="4" w:space="0" w:color="auto"/>
              <w:right w:val="nil"/>
            </w:tcBorders>
            <w:shd w:val="clear" w:color="auto" w:fill="D9D9D9" w:themeFill="background1" w:themeFillShade="D9"/>
            <w:vAlign w:val="bottom"/>
            <w:hideMark/>
          </w:tcPr>
          <w:p w14:paraId="6BE274C1" w14:textId="77777777" w:rsidR="00ED2E20" w:rsidRPr="00D93780" w:rsidRDefault="00ED2E20" w:rsidP="00694FB3">
            <w:pPr>
              <w:jc w:val="center"/>
              <w:rPr>
                <w:rFonts w:ascii="Arial" w:hAnsi="Arial" w:cs="Arial"/>
                <w:b/>
                <w:bCs/>
                <w:color w:val="000000"/>
                <w:sz w:val="18"/>
                <w:szCs w:val="18"/>
              </w:rPr>
            </w:pPr>
            <w:r w:rsidRPr="00D93780">
              <w:rPr>
                <w:rFonts w:ascii="Arial" w:hAnsi="Arial" w:cs="Arial"/>
                <w:b/>
                <w:bCs/>
                <w:color w:val="000000"/>
                <w:sz w:val="18"/>
                <w:szCs w:val="18"/>
              </w:rPr>
              <w:t>Costos unidad coordinadora (UC)</w:t>
            </w:r>
          </w:p>
        </w:tc>
        <w:tc>
          <w:tcPr>
            <w:tcW w:w="949" w:type="pct"/>
            <w:tcBorders>
              <w:top w:val="single" w:sz="4" w:space="0" w:color="auto"/>
              <w:left w:val="nil"/>
              <w:bottom w:val="single" w:sz="4" w:space="0" w:color="auto"/>
              <w:right w:val="nil"/>
            </w:tcBorders>
            <w:shd w:val="clear" w:color="auto" w:fill="D9D9D9" w:themeFill="background1" w:themeFillShade="D9"/>
            <w:vAlign w:val="bottom"/>
            <w:hideMark/>
          </w:tcPr>
          <w:p w14:paraId="69A60466" w14:textId="77777777" w:rsidR="00ED2E20" w:rsidRPr="00D93780" w:rsidRDefault="00ED2E20" w:rsidP="00694FB3">
            <w:pPr>
              <w:jc w:val="center"/>
              <w:rPr>
                <w:rFonts w:ascii="Arial" w:hAnsi="Arial" w:cs="Arial"/>
                <w:b/>
                <w:bCs/>
                <w:color w:val="000000"/>
                <w:sz w:val="18"/>
                <w:szCs w:val="18"/>
              </w:rPr>
            </w:pPr>
            <w:r w:rsidRPr="00D93780">
              <w:rPr>
                <w:rFonts w:ascii="Arial" w:hAnsi="Arial" w:cs="Arial"/>
                <w:b/>
                <w:bCs/>
                <w:color w:val="000000"/>
                <w:sz w:val="18"/>
                <w:szCs w:val="18"/>
              </w:rPr>
              <w:t>Total costos</w:t>
            </w:r>
          </w:p>
        </w:tc>
      </w:tr>
      <w:tr w:rsidR="00694FB3" w:rsidRPr="00D93780" w14:paraId="465C1C47" w14:textId="77777777" w:rsidTr="00694FB3">
        <w:trPr>
          <w:trHeight w:val="240"/>
        </w:trPr>
        <w:tc>
          <w:tcPr>
            <w:tcW w:w="467" w:type="pct"/>
            <w:tcBorders>
              <w:top w:val="single" w:sz="4" w:space="0" w:color="auto"/>
              <w:left w:val="nil"/>
              <w:bottom w:val="nil"/>
              <w:right w:val="nil"/>
            </w:tcBorders>
            <w:shd w:val="clear" w:color="auto" w:fill="auto"/>
            <w:noWrap/>
            <w:vAlign w:val="bottom"/>
            <w:hideMark/>
          </w:tcPr>
          <w:p w14:paraId="26F664DC" w14:textId="549C06E3"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w:t>
            </w:r>
          </w:p>
        </w:tc>
        <w:tc>
          <w:tcPr>
            <w:tcW w:w="1260" w:type="pct"/>
            <w:tcBorders>
              <w:top w:val="single" w:sz="4" w:space="0" w:color="auto"/>
              <w:left w:val="nil"/>
              <w:bottom w:val="nil"/>
              <w:right w:val="nil"/>
            </w:tcBorders>
            <w:shd w:val="clear" w:color="auto" w:fill="auto"/>
            <w:noWrap/>
            <w:vAlign w:val="bottom"/>
            <w:hideMark/>
          </w:tcPr>
          <w:p w14:paraId="558804F1" w14:textId="2132D3D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685.978</w:t>
            </w:r>
          </w:p>
        </w:tc>
        <w:tc>
          <w:tcPr>
            <w:tcW w:w="931" w:type="pct"/>
            <w:tcBorders>
              <w:top w:val="single" w:sz="4" w:space="0" w:color="auto"/>
              <w:left w:val="nil"/>
              <w:bottom w:val="nil"/>
              <w:right w:val="nil"/>
            </w:tcBorders>
            <w:shd w:val="clear" w:color="auto" w:fill="auto"/>
            <w:noWrap/>
            <w:vAlign w:val="bottom"/>
            <w:hideMark/>
          </w:tcPr>
          <w:p w14:paraId="5E327428" w14:textId="77777777" w:rsidR="005511CE" w:rsidRPr="00D93780" w:rsidRDefault="005511CE" w:rsidP="00694FB3">
            <w:pPr>
              <w:jc w:val="center"/>
              <w:rPr>
                <w:rFonts w:ascii="Arial" w:hAnsi="Arial" w:cs="Arial"/>
                <w:color w:val="000000"/>
                <w:sz w:val="18"/>
                <w:szCs w:val="18"/>
              </w:rPr>
            </w:pPr>
          </w:p>
        </w:tc>
        <w:tc>
          <w:tcPr>
            <w:tcW w:w="1394" w:type="pct"/>
            <w:tcBorders>
              <w:top w:val="single" w:sz="4" w:space="0" w:color="auto"/>
              <w:left w:val="nil"/>
              <w:bottom w:val="nil"/>
              <w:right w:val="nil"/>
            </w:tcBorders>
            <w:shd w:val="clear" w:color="auto" w:fill="auto"/>
            <w:noWrap/>
            <w:vAlign w:val="bottom"/>
            <w:hideMark/>
          </w:tcPr>
          <w:p w14:paraId="509EFDDE" w14:textId="560A67ED"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20.491</w:t>
            </w:r>
          </w:p>
        </w:tc>
        <w:tc>
          <w:tcPr>
            <w:tcW w:w="949" w:type="pct"/>
            <w:tcBorders>
              <w:top w:val="single" w:sz="4" w:space="0" w:color="auto"/>
              <w:left w:val="nil"/>
              <w:bottom w:val="nil"/>
              <w:right w:val="nil"/>
            </w:tcBorders>
            <w:shd w:val="clear" w:color="auto" w:fill="auto"/>
            <w:noWrap/>
            <w:vAlign w:val="bottom"/>
            <w:hideMark/>
          </w:tcPr>
          <w:p w14:paraId="7E7E1798" w14:textId="5B011C0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706.469</w:t>
            </w:r>
          </w:p>
        </w:tc>
      </w:tr>
      <w:tr w:rsidR="00694FB3" w:rsidRPr="00D93780" w14:paraId="34AC9AC7" w14:textId="77777777" w:rsidTr="00694FB3">
        <w:trPr>
          <w:trHeight w:val="240"/>
        </w:trPr>
        <w:tc>
          <w:tcPr>
            <w:tcW w:w="467" w:type="pct"/>
            <w:tcBorders>
              <w:top w:val="nil"/>
              <w:left w:val="nil"/>
              <w:bottom w:val="nil"/>
              <w:right w:val="nil"/>
            </w:tcBorders>
            <w:shd w:val="clear" w:color="auto" w:fill="auto"/>
            <w:noWrap/>
            <w:vAlign w:val="bottom"/>
            <w:hideMark/>
          </w:tcPr>
          <w:p w14:paraId="56B5A596" w14:textId="6810790F"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2</w:t>
            </w:r>
          </w:p>
        </w:tc>
        <w:tc>
          <w:tcPr>
            <w:tcW w:w="1260" w:type="pct"/>
            <w:tcBorders>
              <w:top w:val="nil"/>
              <w:left w:val="nil"/>
              <w:bottom w:val="nil"/>
              <w:right w:val="nil"/>
            </w:tcBorders>
            <w:shd w:val="clear" w:color="auto" w:fill="auto"/>
            <w:noWrap/>
            <w:vAlign w:val="bottom"/>
            <w:hideMark/>
          </w:tcPr>
          <w:p w14:paraId="119E4483" w14:textId="036D60CA"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1.854.556</w:t>
            </w:r>
          </w:p>
        </w:tc>
        <w:tc>
          <w:tcPr>
            <w:tcW w:w="931" w:type="pct"/>
            <w:tcBorders>
              <w:top w:val="nil"/>
              <w:left w:val="nil"/>
              <w:bottom w:val="nil"/>
              <w:right w:val="nil"/>
            </w:tcBorders>
            <w:shd w:val="clear" w:color="auto" w:fill="auto"/>
            <w:noWrap/>
            <w:vAlign w:val="bottom"/>
            <w:hideMark/>
          </w:tcPr>
          <w:p w14:paraId="7FB700F8" w14:textId="6A103DD3"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8.076.434</w:t>
            </w:r>
          </w:p>
        </w:tc>
        <w:tc>
          <w:tcPr>
            <w:tcW w:w="1394" w:type="pct"/>
            <w:tcBorders>
              <w:top w:val="nil"/>
              <w:left w:val="nil"/>
              <w:bottom w:val="nil"/>
              <w:right w:val="nil"/>
            </w:tcBorders>
            <w:shd w:val="clear" w:color="auto" w:fill="auto"/>
            <w:noWrap/>
            <w:vAlign w:val="bottom"/>
            <w:hideMark/>
          </w:tcPr>
          <w:p w14:paraId="2AAD30D1" w14:textId="42474883"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55.398</w:t>
            </w:r>
          </w:p>
        </w:tc>
        <w:tc>
          <w:tcPr>
            <w:tcW w:w="949" w:type="pct"/>
            <w:tcBorders>
              <w:top w:val="nil"/>
              <w:left w:val="nil"/>
              <w:bottom w:val="nil"/>
              <w:right w:val="nil"/>
            </w:tcBorders>
            <w:shd w:val="clear" w:color="auto" w:fill="auto"/>
            <w:noWrap/>
            <w:vAlign w:val="bottom"/>
            <w:hideMark/>
          </w:tcPr>
          <w:p w14:paraId="51368C2E" w14:textId="08F9892F"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9.986.388</w:t>
            </w:r>
          </w:p>
        </w:tc>
      </w:tr>
      <w:tr w:rsidR="00694FB3" w:rsidRPr="00D93780" w14:paraId="15065A86" w14:textId="77777777" w:rsidTr="00694FB3">
        <w:trPr>
          <w:trHeight w:val="240"/>
        </w:trPr>
        <w:tc>
          <w:tcPr>
            <w:tcW w:w="467" w:type="pct"/>
            <w:tcBorders>
              <w:top w:val="nil"/>
              <w:left w:val="nil"/>
              <w:bottom w:val="nil"/>
              <w:right w:val="nil"/>
            </w:tcBorders>
            <w:shd w:val="clear" w:color="auto" w:fill="auto"/>
            <w:noWrap/>
            <w:vAlign w:val="bottom"/>
            <w:hideMark/>
          </w:tcPr>
          <w:p w14:paraId="5CBA8481" w14:textId="721ACB63"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3</w:t>
            </w:r>
          </w:p>
        </w:tc>
        <w:tc>
          <w:tcPr>
            <w:tcW w:w="1260" w:type="pct"/>
            <w:tcBorders>
              <w:top w:val="nil"/>
              <w:left w:val="nil"/>
              <w:bottom w:val="nil"/>
              <w:right w:val="nil"/>
            </w:tcBorders>
            <w:shd w:val="clear" w:color="auto" w:fill="auto"/>
            <w:noWrap/>
            <w:vAlign w:val="bottom"/>
            <w:hideMark/>
          </w:tcPr>
          <w:p w14:paraId="7A7A3C40" w14:textId="694399A5"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1.056.262</w:t>
            </w:r>
          </w:p>
        </w:tc>
        <w:tc>
          <w:tcPr>
            <w:tcW w:w="931" w:type="pct"/>
            <w:tcBorders>
              <w:top w:val="nil"/>
              <w:left w:val="nil"/>
              <w:bottom w:val="nil"/>
              <w:right w:val="nil"/>
            </w:tcBorders>
            <w:shd w:val="clear" w:color="auto" w:fill="auto"/>
            <w:noWrap/>
            <w:vAlign w:val="bottom"/>
            <w:hideMark/>
          </w:tcPr>
          <w:p w14:paraId="3E6658F6" w14:textId="5F0AA077"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8.188.802</w:t>
            </w:r>
          </w:p>
        </w:tc>
        <w:tc>
          <w:tcPr>
            <w:tcW w:w="1394" w:type="pct"/>
            <w:tcBorders>
              <w:top w:val="nil"/>
              <w:left w:val="nil"/>
              <w:bottom w:val="nil"/>
              <w:right w:val="nil"/>
            </w:tcBorders>
            <w:shd w:val="clear" w:color="auto" w:fill="auto"/>
            <w:noWrap/>
            <w:vAlign w:val="bottom"/>
            <w:hideMark/>
          </w:tcPr>
          <w:p w14:paraId="776FBCFD" w14:textId="2743678D"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31.552</w:t>
            </w:r>
          </w:p>
        </w:tc>
        <w:tc>
          <w:tcPr>
            <w:tcW w:w="949" w:type="pct"/>
            <w:tcBorders>
              <w:top w:val="nil"/>
              <w:left w:val="nil"/>
              <w:bottom w:val="nil"/>
              <w:right w:val="nil"/>
            </w:tcBorders>
            <w:shd w:val="clear" w:color="auto" w:fill="auto"/>
            <w:noWrap/>
            <w:vAlign w:val="bottom"/>
            <w:hideMark/>
          </w:tcPr>
          <w:p w14:paraId="14B23E22" w14:textId="5C70E555"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9.276.616</w:t>
            </w:r>
          </w:p>
        </w:tc>
      </w:tr>
      <w:tr w:rsidR="00694FB3" w:rsidRPr="00D93780" w14:paraId="147857DE" w14:textId="77777777" w:rsidTr="00694FB3">
        <w:trPr>
          <w:trHeight w:val="240"/>
        </w:trPr>
        <w:tc>
          <w:tcPr>
            <w:tcW w:w="467" w:type="pct"/>
            <w:tcBorders>
              <w:top w:val="nil"/>
              <w:left w:val="nil"/>
              <w:right w:val="nil"/>
            </w:tcBorders>
            <w:shd w:val="clear" w:color="auto" w:fill="auto"/>
            <w:noWrap/>
            <w:vAlign w:val="bottom"/>
            <w:hideMark/>
          </w:tcPr>
          <w:p w14:paraId="2FCB74B0" w14:textId="1A4B7915"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4</w:t>
            </w:r>
          </w:p>
        </w:tc>
        <w:tc>
          <w:tcPr>
            <w:tcW w:w="1260" w:type="pct"/>
            <w:tcBorders>
              <w:top w:val="nil"/>
              <w:left w:val="nil"/>
              <w:right w:val="nil"/>
            </w:tcBorders>
            <w:shd w:val="clear" w:color="auto" w:fill="auto"/>
            <w:noWrap/>
            <w:vAlign w:val="bottom"/>
            <w:hideMark/>
          </w:tcPr>
          <w:p w14:paraId="2B484BA5" w14:textId="463D122F"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796.181</w:t>
            </w:r>
          </w:p>
        </w:tc>
        <w:tc>
          <w:tcPr>
            <w:tcW w:w="931" w:type="pct"/>
            <w:tcBorders>
              <w:top w:val="nil"/>
              <w:left w:val="nil"/>
              <w:right w:val="nil"/>
            </w:tcBorders>
            <w:shd w:val="clear" w:color="auto" w:fill="auto"/>
            <w:noWrap/>
            <w:vAlign w:val="bottom"/>
            <w:hideMark/>
          </w:tcPr>
          <w:p w14:paraId="0F8ACC44" w14:textId="5B6D0E49"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8.712.172</w:t>
            </w:r>
          </w:p>
        </w:tc>
        <w:tc>
          <w:tcPr>
            <w:tcW w:w="1394" w:type="pct"/>
            <w:tcBorders>
              <w:top w:val="nil"/>
              <w:left w:val="nil"/>
              <w:right w:val="nil"/>
            </w:tcBorders>
            <w:shd w:val="clear" w:color="auto" w:fill="auto"/>
            <w:noWrap/>
            <w:vAlign w:val="bottom"/>
            <w:hideMark/>
          </w:tcPr>
          <w:p w14:paraId="5ACAFF94" w14:textId="7194C60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23.783</w:t>
            </w:r>
          </w:p>
        </w:tc>
        <w:tc>
          <w:tcPr>
            <w:tcW w:w="949" w:type="pct"/>
            <w:tcBorders>
              <w:top w:val="nil"/>
              <w:left w:val="nil"/>
              <w:right w:val="nil"/>
            </w:tcBorders>
            <w:shd w:val="clear" w:color="auto" w:fill="auto"/>
            <w:noWrap/>
            <w:vAlign w:val="bottom"/>
            <w:hideMark/>
          </w:tcPr>
          <w:p w14:paraId="38BBB76B" w14:textId="1FA86586"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9.532.137</w:t>
            </w:r>
          </w:p>
        </w:tc>
      </w:tr>
      <w:tr w:rsidR="00694FB3" w:rsidRPr="00D93780" w14:paraId="2EF382F9" w14:textId="77777777" w:rsidTr="00694FB3">
        <w:trPr>
          <w:trHeight w:val="240"/>
        </w:trPr>
        <w:tc>
          <w:tcPr>
            <w:tcW w:w="467" w:type="pct"/>
            <w:tcBorders>
              <w:top w:val="nil"/>
              <w:left w:val="nil"/>
              <w:bottom w:val="single" w:sz="4" w:space="0" w:color="auto"/>
              <w:right w:val="nil"/>
            </w:tcBorders>
            <w:shd w:val="clear" w:color="auto" w:fill="auto"/>
            <w:noWrap/>
            <w:vAlign w:val="bottom"/>
            <w:hideMark/>
          </w:tcPr>
          <w:p w14:paraId="67CFAAE0" w14:textId="34118858"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5</w:t>
            </w:r>
          </w:p>
        </w:tc>
        <w:tc>
          <w:tcPr>
            <w:tcW w:w="1260" w:type="pct"/>
            <w:tcBorders>
              <w:top w:val="nil"/>
              <w:left w:val="nil"/>
              <w:bottom w:val="single" w:sz="4" w:space="0" w:color="auto"/>
              <w:right w:val="nil"/>
            </w:tcBorders>
            <w:shd w:val="clear" w:color="auto" w:fill="auto"/>
            <w:noWrap/>
            <w:vAlign w:val="bottom"/>
            <w:hideMark/>
          </w:tcPr>
          <w:p w14:paraId="24DB3B4D" w14:textId="0DCFAC15"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177.928</w:t>
            </w:r>
          </w:p>
        </w:tc>
        <w:tc>
          <w:tcPr>
            <w:tcW w:w="931" w:type="pct"/>
            <w:tcBorders>
              <w:top w:val="nil"/>
              <w:left w:val="nil"/>
              <w:bottom w:val="single" w:sz="4" w:space="0" w:color="auto"/>
              <w:right w:val="nil"/>
            </w:tcBorders>
            <w:shd w:val="clear" w:color="auto" w:fill="auto"/>
            <w:noWrap/>
            <w:vAlign w:val="bottom"/>
            <w:hideMark/>
          </w:tcPr>
          <w:p w14:paraId="097ED058" w14:textId="3C00F4F1"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8.833.385</w:t>
            </w:r>
          </w:p>
        </w:tc>
        <w:tc>
          <w:tcPr>
            <w:tcW w:w="1394" w:type="pct"/>
            <w:tcBorders>
              <w:top w:val="nil"/>
              <w:left w:val="nil"/>
              <w:bottom w:val="single" w:sz="4" w:space="0" w:color="auto"/>
              <w:right w:val="nil"/>
            </w:tcBorders>
            <w:shd w:val="clear" w:color="auto" w:fill="auto"/>
            <w:noWrap/>
            <w:vAlign w:val="bottom"/>
            <w:hideMark/>
          </w:tcPr>
          <w:p w14:paraId="610B6B80" w14:textId="1772792E"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5.315</w:t>
            </w:r>
          </w:p>
        </w:tc>
        <w:tc>
          <w:tcPr>
            <w:tcW w:w="949" w:type="pct"/>
            <w:tcBorders>
              <w:top w:val="nil"/>
              <w:left w:val="nil"/>
              <w:bottom w:val="single" w:sz="4" w:space="0" w:color="auto"/>
              <w:right w:val="nil"/>
            </w:tcBorders>
            <w:shd w:val="clear" w:color="auto" w:fill="auto"/>
            <w:noWrap/>
            <w:vAlign w:val="bottom"/>
            <w:hideMark/>
          </w:tcPr>
          <w:p w14:paraId="0E27FBCC" w14:textId="207E9B1E"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9.016.628</w:t>
            </w:r>
          </w:p>
        </w:tc>
      </w:tr>
      <w:tr w:rsidR="00694FB3" w:rsidRPr="00D93780" w14:paraId="79D1688C" w14:textId="77777777" w:rsidTr="00694FB3">
        <w:trPr>
          <w:trHeight w:val="240"/>
        </w:trPr>
        <w:tc>
          <w:tcPr>
            <w:tcW w:w="467" w:type="pct"/>
            <w:tcBorders>
              <w:top w:val="single" w:sz="4" w:space="0" w:color="auto"/>
              <w:left w:val="nil"/>
              <w:bottom w:val="nil"/>
              <w:right w:val="nil"/>
            </w:tcBorders>
            <w:shd w:val="clear" w:color="auto" w:fill="auto"/>
            <w:noWrap/>
            <w:vAlign w:val="bottom"/>
            <w:hideMark/>
          </w:tcPr>
          <w:p w14:paraId="4EF45755" w14:textId="39558290"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6</w:t>
            </w:r>
          </w:p>
        </w:tc>
        <w:tc>
          <w:tcPr>
            <w:tcW w:w="1260" w:type="pct"/>
            <w:tcBorders>
              <w:top w:val="single" w:sz="4" w:space="0" w:color="auto"/>
              <w:left w:val="nil"/>
              <w:bottom w:val="nil"/>
              <w:right w:val="nil"/>
            </w:tcBorders>
            <w:shd w:val="clear" w:color="auto" w:fill="auto"/>
            <w:noWrap/>
            <w:vAlign w:val="bottom"/>
            <w:hideMark/>
          </w:tcPr>
          <w:p w14:paraId="0EC73FA8" w14:textId="49186E20" w:rsidR="005511CE" w:rsidRPr="00D93780" w:rsidRDefault="005511CE" w:rsidP="00694FB3">
            <w:pPr>
              <w:jc w:val="center"/>
              <w:rPr>
                <w:rFonts w:ascii="Arial" w:hAnsi="Arial" w:cs="Arial"/>
                <w:color w:val="000000"/>
                <w:sz w:val="18"/>
                <w:szCs w:val="18"/>
              </w:rPr>
            </w:pPr>
          </w:p>
        </w:tc>
        <w:tc>
          <w:tcPr>
            <w:tcW w:w="931" w:type="pct"/>
            <w:tcBorders>
              <w:top w:val="single" w:sz="4" w:space="0" w:color="auto"/>
              <w:left w:val="nil"/>
              <w:bottom w:val="nil"/>
              <w:right w:val="nil"/>
            </w:tcBorders>
            <w:shd w:val="clear" w:color="auto" w:fill="auto"/>
            <w:noWrap/>
            <w:vAlign w:val="bottom"/>
            <w:hideMark/>
          </w:tcPr>
          <w:p w14:paraId="0CE1D977" w14:textId="1F2B0038"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8.956.284</w:t>
            </w:r>
          </w:p>
        </w:tc>
        <w:tc>
          <w:tcPr>
            <w:tcW w:w="1394" w:type="pct"/>
            <w:tcBorders>
              <w:top w:val="single" w:sz="4" w:space="0" w:color="auto"/>
              <w:left w:val="nil"/>
              <w:bottom w:val="nil"/>
              <w:right w:val="nil"/>
            </w:tcBorders>
            <w:shd w:val="clear" w:color="auto" w:fill="auto"/>
            <w:noWrap/>
            <w:vAlign w:val="bottom"/>
          </w:tcPr>
          <w:p w14:paraId="4F605E01" w14:textId="4D2E642E" w:rsidR="005511CE" w:rsidRPr="00D93780" w:rsidRDefault="005511CE" w:rsidP="00694FB3">
            <w:pPr>
              <w:jc w:val="center"/>
              <w:rPr>
                <w:rFonts w:ascii="Arial" w:hAnsi="Arial" w:cs="Arial"/>
                <w:color w:val="000000"/>
                <w:sz w:val="18"/>
                <w:szCs w:val="18"/>
              </w:rPr>
            </w:pPr>
          </w:p>
        </w:tc>
        <w:tc>
          <w:tcPr>
            <w:tcW w:w="949" w:type="pct"/>
            <w:tcBorders>
              <w:top w:val="single" w:sz="4" w:space="0" w:color="auto"/>
              <w:left w:val="nil"/>
              <w:bottom w:val="nil"/>
              <w:right w:val="nil"/>
            </w:tcBorders>
            <w:shd w:val="clear" w:color="auto" w:fill="auto"/>
            <w:noWrap/>
            <w:vAlign w:val="bottom"/>
            <w:hideMark/>
          </w:tcPr>
          <w:p w14:paraId="3F0339E9" w14:textId="0D24016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8.956.284</w:t>
            </w:r>
          </w:p>
        </w:tc>
      </w:tr>
      <w:tr w:rsidR="00694FB3" w:rsidRPr="00D93780" w14:paraId="0C6352A7" w14:textId="77777777" w:rsidTr="00694FB3">
        <w:trPr>
          <w:trHeight w:val="240"/>
        </w:trPr>
        <w:tc>
          <w:tcPr>
            <w:tcW w:w="467" w:type="pct"/>
            <w:tcBorders>
              <w:top w:val="nil"/>
              <w:left w:val="nil"/>
              <w:bottom w:val="nil"/>
              <w:right w:val="nil"/>
            </w:tcBorders>
            <w:shd w:val="clear" w:color="auto" w:fill="auto"/>
            <w:noWrap/>
            <w:vAlign w:val="bottom"/>
            <w:hideMark/>
          </w:tcPr>
          <w:p w14:paraId="71A4B8F2" w14:textId="5EEEE069"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7</w:t>
            </w:r>
          </w:p>
        </w:tc>
        <w:tc>
          <w:tcPr>
            <w:tcW w:w="1260" w:type="pct"/>
            <w:tcBorders>
              <w:top w:val="nil"/>
              <w:left w:val="nil"/>
              <w:bottom w:val="nil"/>
              <w:right w:val="nil"/>
            </w:tcBorders>
            <w:shd w:val="clear" w:color="auto" w:fill="auto"/>
            <w:noWrap/>
            <w:vAlign w:val="bottom"/>
            <w:hideMark/>
          </w:tcPr>
          <w:p w14:paraId="5757FFF1"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nil"/>
              <w:right w:val="nil"/>
            </w:tcBorders>
            <w:shd w:val="clear" w:color="auto" w:fill="auto"/>
            <w:noWrap/>
            <w:vAlign w:val="bottom"/>
            <w:hideMark/>
          </w:tcPr>
          <w:p w14:paraId="6602AD45" w14:textId="4CD45002"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9.080.892</w:t>
            </w:r>
          </w:p>
        </w:tc>
        <w:tc>
          <w:tcPr>
            <w:tcW w:w="1394" w:type="pct"/>
            <w:tcBorders>
              <w:top w:val="nil"/>
              <w:left w:val="nil"/>
              <w:bottom w:val="nil"/>
              <w:right w:val="nil"/>
            </w:tcBorders>
            <w:shd w:val="clear" w:color="auto" w:fill="auto"/>
            <w:noWrap/>
            <w:vAlign w:val="bottom"/>
            <w:hideMark/>
          </w:tcPr>
          <w:p w14:paraId="0FBE1F6A"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nil"/>
              <w:right w:val="nil"/>
            </w:tcBorders>
            <w:shd w:val="clear" w:color="auto" w:fill="auto"/>
            <w:noWrap/>
            <w:vAlign w:val="bottom"/>
            <w:hideMark/>
          </w:tcPr>
          <w:p w14:paraId="0BC7D5D7" w14:textId="0D10F76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9.080.892</w:t>
            </w:r>
          </w:p>
        </w:tc>
      </w:tr>
      <w:tr w:rsidR="00694FB3" w:rsidRPr="00D93780" w14:paraId="06B85F50" w14:textId="77777777" w:rsidTr="00694FB3">
        <w:trPr>
          <w:trHeight w:val="240"/>
        </w:trPr>
        <w:tc>
          <w:tcPr>
            <w:tcW w:w="467" w:type="pct"/>
            <w:tcBorders>
              <w:top w:val="nil"/>
              <w:left w:val="nil"/>
              <w:bottom w:val="nil"/>
              <w:right w:val="nil"/>
            </w:tcBorders>
            <w:shd w:val="clear" w:color="auto" w:fill="auto"/>
            <w:noWrap/>
            <w:vAlign w:val="bottom"/>
            <w:hideMark/>
          </w:tcPr>
          <w:p w14:paraId="59669753" w14:textId="4CC06C8B"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8</w:t>
            </w:r>
          </w:p>
        </w:tc>
        <w:tc>
          <w:tcPr>
            <w:tcW w:w="1260" w:type="pct"/>
            <w:tcBorders>
              <w:top w:val="nil"/>
              <w:left w:val="nil"/>
              <w:bottom w:val="nil"/>
              <w:right w:val="nil"/>
            </w:tcBorders>
            <w:shd w:val="clear" w:color="auto" w:fill="auto"/>
            <w:noWrap/>
            <w:vAlign w:val="bottom"/>
            <w:hideMark/>
          </w:tcPr>
          <w:p w14:paraId="4FC83001"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nil"/>
              <w:right w:val="nil"/>
            </w:tcBorders>
            <w:shd w:val="clear" w:color="auto" w:fill="auto"/>
            <w:noWrap/>
            <w:vAlign w:val="bottom"/>
            <w:hideMark/>
          </w:tcPr>
          <w:p w14:paraId="4DE682EF" w14:textId="27AE838D"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9.207.235</w:t>
            </w:r>
          </w:p>
        </w:tc>
        <w:tc>
          <w:tcPr>
            <w:tcW w:w="1394" w:type="pct"/>
            <w:tcBorders>
              <w:top w:val="nil"/>
              <w:left w:val="nil"/>
              <w:bottom w:val="nil"/>
              <w:right w:val="nil"/>
            </w:tcBorders>
            <w:shd w:val="clear" w:color="auto" w:fill="auto"/>
            <w:noWrap/>
            <w:vAlign w:val="bottom"/>
            <w:hideMark/>
          </w:tcPr>
          <w:p w14:paraId="1F39EC3C"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nil"/>
              <w:right w:val="nil"/>
            </w:tcBorders>
            <w:shd w:val="clear" w:color="auto" w:fill="auto"/>
            <w:noWrap/>
            <w:vAlign w:val="bottom"/>
            <w:hideMark/>
          </w:tcPr>
          <w:p w14:paraId="0C28725F" w14:textId="42122273"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9.207.235</w:t>
            </w:r>
          </w:p>
        </w:tc>
      </w:tr>
      <w:tr w:rsidR="00694FB3" w:rsidRPr="00D93780" w14:paraId="1C296CAA" w14:textId="77777777" w:rsidTr="00694FB3">
        <w:trPr>
          <w:trHeight w:val="240"/>
        </w:trPr>
        <w:tc>
          <w:tcPr>
            <w:tcW w:w="467" w:type="pct"/>
            <w:tcBorders>
              <w:top w:val="nil"/>
              <w:left w:val="nil"/>
              <w:right w:val="nil"/>
            </w:tcBorders>
            <w:shd w:val="clear" w:color="auto" w:fill="auto"/>
            <w:noWrap/>
            <w:vAlign w:val="bottom"/>
            <w:hideMark/>
          </w:tcPr>
          <w:p w14:paraId="6A2D2766" w14:textId="23FD28C7"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9</w:t>
            </w:r>
          </w:p>
        </w:tc>
        <w:tc>
          <w:tcPr>
            <w:tcW w:w="1260" w:type="pct"/>
            <w:tcBorders>
              <w:top w:val="nil"/>
              <w:left w:val="nil"/>
              <w:right w:val="nil"/>
            </w:tcBorders>
            <w:shd w:val="clear" w:color="auto" w:fill="auto"/>
            <w:noWrap/>
            <w:vAlign w:val="bottom"/>
            <w:hideMark/>
          </w:tcPr>
          <w:p w14:paraId="614D5BC1"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right w:val="nil"/>
            </w:tcBorders>
            <w:shd w:val="clear" w:color="auto" w:fill="auto"/>
            <w:noWrap/>
            <w:vAlign w:val="bottom"/>
            <w:hideMark/>
          </w:tcPr>
          <w:p w14:paraId="6FC5E3EF" w14:textId="3C069143"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9.335.335</w:t>
            </w:r>
          </w:p>
        </w:tc>
        <w:tc>
          <w:tcPr>
            <w:tcW w:w="1394" w:type="pct"/>
            <w:tcBorders>
              <w:top w:val="nil"/>
              <w:left w:val="nil"/>
              <w:right w:val="nil"/>
            </w:tcBorders>
            <w:shd w:val="clear" w:color="auto" w:fill="auto"/>
            <w:noWrap/>
            <w:vAlign w:val="bottom"/>
            <w:hideMark/>
          </w:tcPr>
          <w:p w14:paraId="15C64C73"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right w:val="nil"/>
            </w:tcBorders>
            <w:shd w:val="clear" w:color="auto" w:fill="auto"/>
            <w:noWrap/>
            <w:vAlign w:val="bottom"/>
            <w:hideMark/>
          </w:tcPr>
          <w:p w14:paraId="736F9EBB" w14:textId="41423522"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9.335.335</w:t>
            </w:r>
          </w:p>
        </w:tc>
      </w:tr>
      <w:tr w:rsidR="00694FB3" w:rsidRPr="00D93780" w14:paraId="1AE62EB5" w14:textId="77777777" w:rsidTr="00694FB3">
        <w:trPr>
          <w:trHeight w:val="240"/>
        </w:trPr>
        <w:tc>
          <w:tcPr>
            <w:tcW w:w="467" w:type="pct"/>
            <w:tcBorders>
              <w:top w:val="nil"/>
              <w:left w:val="nil"/>
              <w:bottom w:val="single" w:sz="4" w:space="0" w:color="auto"/>
              <w:right w:val="nil"/>
            </w:tcBorders>
            <w:shd w:val="clear" w:color="auto" w:fill="auto"/>
            <w:noWrap/>
            <w:vAlign w:val="bottom"/>
            <w:hideMark/>
          </w:tcPr>
          <w:p w14:paraId="7C3A6BA1" w14:textId="0FE0E1C6"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10</w:t>
            </w:r>
          </w:p>
        </w:tc>
        <w:tc>
          <w:tcPr>
            <w:tcW w:w="1260" w:type="pct"/>
            <w:tcBorders>
              <w:top w:val="nil"/>
              <w:left w:val="nil"/>
              <w:bottom w:val="single" w:sz="4" w:space="0" w:color="auto"/>
              <w:right w:val="nil"/>
            </w:tcBorders>
            <w:shd w:val="clear" w:color="auto" w:fill="auto"/>
            <w:noWrap/>
            <w:vAlign w:val="bottom"/>
            <w:hideMark/>
          </w:tcPr>
          <w:p w14:paraId="683FF054"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single" w:sz="4" w:space="0" w:color="auto"/>
              <w:right w:val="nil"/>
            </w:tcBorders>
            <w:shd w:val="clear" w:color="auto" w:fill="auto"/>
            <w:noWrap/>
            <w:vAlign w:val="bottom"/>
            <w:hideMark/>
          </w:tcPr>
          <w:p w14:paraId="77F3B5A2" w14:textId="01FB5D2E"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9.465.217</w:t>
            </w:r>
          </w:p>
        </w:tc>
        <w:tc>
          <w:tcPr>
            <w:tcW w:w="1394" w:type="pct"/>
            <w:tcBorders>
              <w:top w:val="nil"/>
              <w:left w:val="nil"/>
              <w:bottom w:val="single" w:sz="4" w:space="0" w:color="auto"/>
              <w:right w:val="nil"/>
            </w:tcBorders>
            <w:shd w:val="clear" w:color="auto" w:fill="auto"/>
            <w:noWrap/>
            <w:vAlign w:val="bottom"/>
            <w:hideMark/>
          </w:tcPr>
          <w:p w14:paraId="5B8BF000"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single" w:sz="4" w:space="0" w:color="auto"/>
              <w:right w:val="nil"/>
            </w:tcBorders>
            <w:shd w:val="clear" w:color="auto" w:fill="auto"/>
            <w:noWrap/>
            <w:vAlign w:val="bottom"/>
            <w:hideMark/>
          </w:tcPr>
          <w:p w14:paraId="22831C6C" w14:textId="48DE3696"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9.465.217</w:t>
            </w:r>
          </w:p>
        </w:tc>
      </w:tr>
      <w:tr w:rsidR="00694FB3" w:rsidRPr="00D93780" w14:paraId="3068DA0C" w14:textId="77777777" w:rsidTr="00694FB3">
        <w:trPr>
          <w:trHeight w:val="240"/>
        </w:trPr>
        <w:tc>
          <w:tcPr>
            <w:tcW w:w="467" w:type="pct"/>
            <w:tcBorders>
              <w:top w:val="single" w:sz="4" w:space="0" w:color="auto"/>
              <w:left w:val="nil"/>
              <w:bottom w:val="nil"/>
              <w:right w:val="nil"/>
            </w:tcBorders>
            <w:shd w:val="clear" w:color="auto" w:fill="auto"/>
            <w:noWrap/>
            <w:vAlign w:val="bottom"/>
            <w:hideMark/>
          </w:tcPr>
          <w:p w14:paraId="0B9A9692" w14:textId="24F43D3E"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11</w:t>
            </w:r>
          </w:p>
        </w:tc>
        <w:tc>
          <w:tcPr>
            <w:tcW w:w="1260" w:type="pct"/>
            <w:tcBorders>
              <w:top w:val="single" w:sz="4" w:space="0" w:color="auto"/>
              <w:left w:val="nil"/>
              <w:bottom w:val="nil"/>
              <w:right w:val="nil"/>
            </w:tcBorders>
            <w:shd w:val="clear" w:color="auto" w:fill="auto"/>
            <w:noWrap/>
            <w:vAlign w:val="bottom"/>
            <w:hideMark/>
          </w:tcPr>
          <w:p w14:paraId="448F1716" w14:textId="77777777" w:rsidR="005511CE" w:rsidRPr="00D93780" w:rsidRDefault="005511CE" w:rsidP="00694FB3">
            <w:pPr>
              <w:jc w:val="center"/>
              <w:rPr>
                <w:rFonts w:ascii="Arial" w:hAnsi="Arial" w:cs="Arial"/>
                <w:color w:val="000000"/>
                <w:sz w:val="18"/>
                <w:szCs w:val="18"/>
              </w:rPr>
            </w:pPr>
          </w:p>
        </w:tc>
        <w:tc>
          <w:tcPr>
            <w:tcW w:w="931" w:type="pct"/>
            <w:tcBorders>
              <w:top w:val="single" w:sz="4" w:space="0" w:color="auto"/>
              <w:left w:val="nil"/>
              <w:bottom w:val="nil"/>
              <w:right w:val="nil"/>
            </w:tcBorders>
            <w:shd w:val="clear" w:color="auto" w:fill="auto"/>
            <w:noWrap/>
            <w:vAlign w:val="bottom"/>
            <w:hideMark/>
          </w:tcPr>
          <w:p w14:paraId="40757BBD" w14:textId="5DD00B3B"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9.596.907</w:t>
            </w:r>
          </w:p>
        </w:tc>
        <w:tc>
          <w:tcPr>
            <w:tcW w:w="1394" w:type="pct"/>
            <w:tcBorders>
              <w:top w:val="single" w:sz="4" w:space="0" w:color="auto"/>
              <w:left w:val="nil"/>
              <w:bottom w:val="nil"/>
              <w:right w:val="nil"/>
            </w:tcBorders>
            <w:shd w:val="clear" w:color="auto" w:fill="auto"/>
            <w:noWrap/>
            <w:vAlign w:val="bottom"/>
            <w:hideMark/>
          </w:tcPr>
          <w:p w14:paraId="7618C5D8" w14:textId="77777777" w:rsidR="005511CE" w:rsidRPr="00D93780" w:rsidRDefault="005511CE" w:rsidP="00694FB3">
            <w:pPr>
              <w:jc w:val="center"/>
              <w:rPr>
                <w:rFonts w:ascii="Arial" w:hAnsi="Arial" w:cs="Arial"/>
                <w:color w:val="000000"/>
                <w:sz w:val="18"/>
                <w:szCs w:val="18"/>
              </w:rPr>
            </w:pPr>
          </w:p>
        </w:tc>
        <w:tc>
          <w:tcPr>
            <w:tcW w:w="949" w:type="pct"/>
            <w:tcBorders>
              <w:top w:val="single" w:sz="4" w:space="0" w:color="auto"/>
              <w:left w:val="nil"/>
              <w:bottom w:val="nil"/>
              <w:right w:val="nil"/>
            </w:tcBorders>
            <w:shd w:val="clear" w:color="auto" w:fill="auto"/>
            <w:noWrap/>
            <w:vAlign w:val="bottom"/>
            <w:hideMark/>
          </w:tcPr>
          <w:p w14:paraId="2F6AD48C" w14:textId="34D6868A"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9.596.907</w:t>
            </w:r>
          </w:p>
        </w:tc>
      </w:tr>
      <w:tr w:rsidR="00694FB3" w:rsidRPr="00D93780" w14:paraId="76990460" w14:textId="77777777" w:rsidTr="00694FB3">
        <w:trPr>
          <w:trHeight w:val="240"/>
        </w:trPr>
        <w:tc>
          <w:tcPr>
            <w:tcW w:w="467" w:type="pct"/>
            <w:tcBorders>
              <w:top w:val="nil"/>
              <w:left w:val="nil"/>
              <w:bottom w:val="nil"/>
              <w:right w:val="nil"/>
            </w:tcBorders>
            <w:shd w:val="clear" w:color="auto" w:fill="auto"/>
            <w:noWrap/>
            <w:vAlign w:val="bottom"/>
            <w:hideMark/>
          </w:tcPr>
          <w:p w14:paraId="4181DA5F" w14:textId="662BAE9C"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12</w:t>
            </w:r>
          </w:p>
        </w:tc>
        <w:tc>
          <w:tcPr>
            <w:tcW w:w="1260" w:type="pct"/>
            <w:tcBorders>
              <w:top w:val="nil"/>
              <w:left w:val="nil"/>
              <w:bottom w:val="nil"/>
              <w:right w:val="nil"/>
            </w:tcBorders>
            <w:shd w:val="clear" w:color="auto" w:fill="auto"/>
            <w:noWrap/>
            <w:vAlign w:val="bottom"/>
            <w:hideMark/>
          </w:tcPr>
          <w:p w14:paraId="2DA34A73"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nil"/>
              <w:right w:val="nil"/>
            </w:tcBorders>
            <w:shd w:val="clear" w:color="auto" w:fill="auto"/>
            <w:noWrap/>
            <w:vAlign w:val="bottom"/>
            <w:hideMark/>
          </w:tcPr>
          <w:p w14:paraId="6C6BF2BE" w14:textId="24762866"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9.730.428</w:t>
            </w:r>
          </w:p>
        </w:tc>
        <w:tc>
          <w:tcPr>
            <w:tcW w:w="1394" w:type="pct"/>
            <w:tcBorders>
              <w:top w:val="nil"/>
              <w:left w:val="nil"/>
              <w:bottom w:val="nil"/>
              <w:right w:val="nil"/>
            </w:tcBorders>
            <w:shd w:val="clear" w:color="auto" w:fill="auto"/>
            <w:noWrap/>
            <w:vAlign w:val="bottom"/>
            <w:hideMark/>
          </w:tcPr>
          <w:p w14:paraId="044C627B"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nil"/>
              <w:right w:val="nil"/>
            </w:tcBorders>
            <w:shd w:val="clear" w:color="auto" w:fill="auto"/>
            <w:noWrap/>
            <w:vAlign w:val="bottom"/>
            <w:hideMark/>
          </w:tcPr>
          <w:p w14:paraId="016ABB1D" w14:textId="3D5AF9BD"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9.730.428</w:t>
            </w:r>
          </w:p>
        </w:tc>
      </w:tr>
      <w:tr w:rsidR="00694FB3" w:rsidRPr="00D93780" w14:paraId="75C93509" w14:textId="77777777" w:rsidTr="00694FB3">
        <w:trPr>
          <w:trHeight w:val="240"/>
        </w:trPr>
        <w:tc>
          <w:tcPr>
            <w:tcW w:w="467" w:type="pct"/>
            <w:tcBorders>
              <w:top w:val="nil"/>
              <w:left w:val="nil"/>
              <w:bottom w:val="nil"/>
              <w:right w:val="nil"/>
            </w:tcBorders>
            <w:shd w:val="clear" w:color="auto" w:fill="auto"/>
            <w:noWrap/>
            <w:vAlign w:val="bottom"/>
            <w:hideMark/>
          </w:tcPr>
          <w:p w14:paraId="6749C398" w14:textId="63FB5E3B"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13</w:t>
            </w:r>
          </w:p>
        </w:tc>
        <w:tc>
          <w:tcPr>
            <w:tcW w:w="1260" w:type="pct"/>
            <w:tcBorders>
              <w:top w:val="nil"/>
              <w:left w:val="nil"/>
              <w:bottom w:val="nil"/>
              <w:right w:val="nil"/>
            </w:tcBorders>
            <w:shd w:val="clear" w:color="auto" w:fill="auto"/>
            <w:noWrap/>
            <w:vAlign w:val="bottom"/>
            <w:hideMark/>
          </w:tcPr>
          <w:p w14:paraId="13E1992E"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nil"/>
              <w:right w:val="nil"/>
            </w:tcBorders>
            <w:shd w:val="clear" w:color="auto" w:fill="auto"/>
            <w:noWrap/>
            <w:vAlign w:val="bottom"/>
            <w:hideMark/>
          </w:tcPr>
          <w:p w14:paraId="50BE2FF5" w14:textId="5328E2BD"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9.865.808</w:t>
            </w:r>
          </w:p>
        </w:tc>
        <w:tc>
          <w:tcPr>
            <w:tcW w:w="1394" w:type="pct"/>
            <w:tcBorders>
              <w:top w:val="nil"/>
              <w:left w:val="nil"/>
              <w:bottom w:val="nil"/>
              <w:right w:val="nil"/>
            </w:tcBorders>
            <w:shd w:val="clear" w:color="auto" w:fill="auto"/>
            <w:noWrap/>
            <w:vAlign w:val="bottom"/>
            <w:hideMark/>
          </w:tcPr>
          <w:p w14:paraId="2B42B753"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nil"/>
              <w:right w:val="nil"/>
            </w:tcBorders>
            <w:shd w:val="clear" w:color="auto" w:fill="auto"/>
            <w:noWrap/>
            <w:vAlign w:val="bottom"/>
            <w:hideMark/>
          </w:tcPr>
          <w:p w14:paraId="397FC584" w14:textId="24AB8ADF"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9.865.808</w:t>
            </w:r>
          </w:p>
        </w:tc>
      </w:tr>
      <w:tr w:rsidR="00694FB3" w:rsidRPr="00D93780" w14:paraId="39A372B4" w14:textId="77777777" w:rsidTr="00694FB3">
        <w:trPr>
          <w:trHeight w:val="240"/>
        </w:trPr>
        <w:tc>
          <w:tcPr>
            <w:tcW w:w="467" w:type="pct"/>
            <w:tcBorders>
              <w:top w:val="nil"/>
              <w:left w:val="nil"/>
              <w:right w:val="nil"/>
            </w:tcBorders>
            <w:shd w:val="clear" w:color="auto" w:fill="auto"/>
            <w:noWrap/>
            <w:vAlign w:val="bottom"/>
            <w:hideMark/>
          </w:tcPr>
          <w:p w14:paraId="4304A38A" w14:textId="10BFAF0F"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14</w:t>
            </w:r>
          </w:p>
        </w:tc>
        <w:tc>
          <w:tcPr>
            <w:tcW w:w="1260" w:type="pct"/>
            <w:tcBorders>
              <w:top w:val="nil"/>
              <w:left w:val="nil"/>
              <w:right w:val="nil"/>
            </w:tcBorders>
            <w:shd w:val="clear" w:color="auto" w:fill="auto"/>
            <w:noWrap/>
            <w:vAlign w:val="bottom"/>
            <w:hideMark/>
          </w:tcPr>
          <w:p w14:paraId="2402B5FC"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right w:val="nil"/>
            </w:tcBorders>
            <w:shd w:val="clear" w:color="auto" w:fill="auto"/>
            <w:noWrap/>
            <w:vAlign w:val="bottom"/>
            <w:hideMark/>
          </w:tcPr>
          <w:p w14:paraId="170C37A7" w14:textId="2C6E1B3C"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10.003.071</w:t>
            </w:r>
          </w:p>
        </w:tc>
        <w:tc>
          <w:tcPr>
            <w:tcW w:w="1394" w:type="pct"/>
            <w:tcBorders>
              <w:top w:val="nil"/>
              <w:left w:val="nil"/>
              <w:right w:val="nil"/>
            </w:tcBorders>
            <w:shd w:val="clear" w:color="auto" w:fill="auto"/>
            <w:noWrap/>
            <w:vAlign w:val="bottom"/>
            <w:hideMark/>
          </w:tcPr>
          <w:p w14:paraId="4ABFB07F"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right w:val="nil"/>
            </w:tcBorders>
            <w:shd w:val="clear" w:color="auto" w:fill="auto"/>
            <w:noWrap/>
            <w:vAlign w:val="bottom"/>
            <w:hideMark/>
          </w:tcPr>
          <w:p w14:paraId="36E2E622" w14:textId="4A393C0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10.003.071</w:t>
            </w:r>
          </w:p>
        </w:tc>
      </w:tr>
      <w:tr w:rsidR="00694FB3" w:rsidRPr="00D93780" w14:paraId="3FD0413B" w14:textId="77777777" w:rsidTr="00694FB3">
        <w:trPr>
          <w:trHeight w:val="240"/>
        </w:trPr>
        <w:tc>
          <w:tcPr>
            <w:tcW w:w="467" w:type="pct"/>
            <w:tcBorders>
              <w:top w:val="nil"/>
              <w:left w:val="nil"/>
              <w:bottom w:val="single" w:sz="4" w:space="0" w:color="auto"/>
              <w:right w:val="nil"/>
            </w:tcBorders>
            <w:shd w:val="clear" w:color="auto" w:fill="auto"/>
            <w:noWrap/>
            <w:vAlign w:val="bottom"/>
            <w:hideMark/>
          </w:tcPr>
          <w:p w14:paraId="4E7440C0" w14:textId="6542AED0"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15</w:t>
            </w:r>
          </w:p>
        </w:tc>
        <w:tc>
          <w:tcPr>
            <w:tcW w:w="1260" w:type="pct"/>
            <w:tcBorders>
              <w:top w:val="nil"/>
              <w:left w:val="nil"/>
              <w:bottom w:val="single" w:sz="4" w:space="0" w:color="auto"/>
              <w:right w:val="nil"/>
            </w:tcBorders>
            <w:shd w:val="clear" w:color="auto" w:fill="auto"/>
            <w:noWrap/>
            <w:vAlign w:val="bottom"/>
            <w:hideMark/>
          </w:tcPr>
          <w:p w14:paraId="5CE4EC07"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single" w:sz="4" w:space="0" w:color="auto"/>
              <w:right w:val="nil"/>
            </w:tcBorders>
            <w:shd w:val="clear" w:color="auto" w:fill="auto"/>
            <w:noWrap/>
            <w:vAlign w:val="bottom"/>
            <w:hideMark/>
          </w:tcPr>
          <w:p w14:paraId="553FA00F" w14:textId="0071F7A0"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10.142.243</w:t>
            </w:r>
          </w:p>
        </w:tc>
        <w:tc>
          <w:tcPr>
            <w:tcW w:w="1394" w:type="pct"/>
            <w:tcBorders>
              <w:top w:val="nil"/>
              <w:left w:val="nil"/>
              <w:bottom w:val="single" w:sz="4" w:space="0" w:color="auto"/>
              <w:right w:val="nil"/>
            </w:tcBorders>
            <w:shd w:val="clear" w:color="auto" w:fill="auto"/>
            <w:noWrap/>
            <w:vAlign w:val="bottom"/>
            <w:hideMark/>
          </w:tcPr>
          <w:p w14:paraId="04EC3F49"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single" w:sz="4" w:space="0" w:color="auto"/>
              <w:right w:val="nil"/>
            </w:tcBorders>
            <w:shd w:val="clear" w:color="auto" w:fill="auto"/>
            <w:noWrap/>
            <w:vAlign w:val="bottom"/>
            <w:hideMark/>
          </w:tcPr>
          <w:p w14:paraId="76449335" w14:textId="7A63E485"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10.142.243</w:t>
            </w:r>
          </w:p>
        </w:tc>
      </w:tr>
      <w:tr w:rsidR="00694FB3" w:rsidRPr="00D93780" w14:paraId="1ED28AE2" w14:textId="77777777" w:rsidTr="00694FB3">
        <w:trPr>
          <w:trHeight w:val="240"/>
        </w:trPr>
        <w:tc>
          <w:tcPr>
            <w:tcW w:w="467" w:type="pct"/>
            <w:tcBorders>
              <w:top w:val="single" w:sz="4" w:space="0" w:color="auto"/>
              <w:left w:val="nil"/>
              <w:bottom w:val="nil"/>
              <w:right w:val="nil"/>
            </w:tcBorders>
            <w:shd w:val="clear" w:color="auto" w:fill="auto"/>
            <w:noWrap/>
            <w:vAlign w:val="bottom"/>
            <w:hideMark/>
          </w:tcPr>
          <w:p w14:paraId="33633A58" w14:textId="5C1A5CB8"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16</w:t>
            </w:r>
          </w:p>
        </w:tc>
        <w:tc>
          <w:tcPr>
            <w:tcW w:w="1260" w:type="pct"/>
            <w:tcBorders>
              <w:top w:val="single" w:sz="4" w:space="0" w:color="auto"/>
              <w:left w:val="nil"/>
              <w:bottom w:val="nil"/>
              <w:right w:val="nil"/>
            </w:tcBorders>
            <w:shd w:val="clear" w:color="auto" w:fill="auto"/>
            <w:noWrap/>
            <w:vAlign w:val="bottom"/>
            <w:hideMark/>
          </w:tcPr>
          <w:p w14:paraId="00C20782" w14:textId="77777777" w:rsidR="005511CE" w:rsidRPr="00D93780" w:rsidRDefault="005511CE" w:rsidP="00694FB3">
            <w:pPr>
              <w:jc w:val="center"/>
              <w:rPr>
                <w:rFonts w:ascii="Arial" w:hAnsi="Arial" w:cs="Arial"/>
                <w:color w:val="000000"/>
                <w:sz w:val="18"/>
                <w:szCs w:val="18"/>
              </w:rPr>
            </w:pPr>
          </w:p>
        </w:tc>
        <w:tc>
          <w:tcPr>
            <w:tcW w:w="931" w:type="pct"/>
            <w:tcBorders>
              <w:top w:val="single" w:sz="4" w:space="0" w:color="auto"/>
              <w:left w:val="nil"/>
              <w:bottom w:val="nil"/>
              <w:right w:val="nil"/>
            </w:tcBorders>
            <w:shd w:val="clear" w:color="auto" w:fill="auto"/>
            <w:noWrap/>
            <w:vAlign w:val="bottom"/>
            <w:hideMark/>
          </w:tcPr>
          <w:p w14:paraId="2EA6A8EB" w14:textId="2E6DD3F5"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10.283.352</w:t>
            </w:r>
          </w:p>
        </w:tc>
        <w:tc>
          <w:tcPr>
            <w:tcW w:w="1394" w:type="pct"/>
            <w:tcBorders>
              <w:top w:val="single" w:sz="4" w:space="0" w:color="auto"/>
              <w:left w:val="nil"/>
              <w:bottom w:val="nil"/>
              <w:right w:val="nil"/>
            </w:tcBorders>
            <w:shd w:val="clear" w:color="auto" w:fill="auto"/>
            <w:noWrap/>
            <w:vAlign w:val="bottom"/>
            <w:hideMark/>
          </w:tcPr>
          <w:p w14:paraId="4AAB1D08" w14:textId="77777777" w:rsidR="005511CE" w:rsidRPr="00D93780" w:rsidRDefault="005511CE" w:rsidP="00694FB3">
            <w:pPr>
              <w:jc w:val="center"/>
              <w:rPr>
                <w:rFonts w:ascii="Arial" w:hAnsi="Arial" w:cs="Arial"/>
                <w:color w:val="000000"/>
                <w:sz w:val="18"/>
                <w:szCs w:val="18"/>
              </w:rPr>
            </w:pPr>
          </w:p>
        </w:tc>
        <w:tc>
          <w:tcPr>
            <w:tcW w:w="949" w:type="pct"/>
            <w:tcBorders>
              <w:top w:val="single" w:sz="4" w:space="0" w:color="auto"/>
              <w:left w:val="nil"/>
              <w:bottom w:val="nil"/>
              <w:right w:val="nil"/>
            </w:tcBorders>
            <w:shd w:val="clear" w:color="auto" w:fill="auto"/>
            <w:noWrap/>
            <w:vAlign w:val="bottom"/>
            <w:hideMark/>
          </w:tcPr>
          <w:p w14:paraId="2185A332" w14:textId="703FD6A5"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10.283.352</w:t>
            </w:r>
          </w:p>
        </w:tc>
      </w:tr>
      <w:tr w:rsidR="00694FB3" w:rsidRPr="00D93780" w14:paraId="6C15FF25" w14:textId="77777777" w:rsidTr="00694FB3">
        <w:trPr>
          <w:trHeight w:val="240"/>
        </w:trPr>
        <w:tc>
          <w:tcPr>
            <w:tcW w:w="467" w:type="pct"/>
            <w:tcBorders>
              <w:top w:val="nil"/>
              <w:left w:val="nil"/>
              <w:bottom w:val="nil"/>
              <w:right w:val="nil"/>
            </w:tcBorders>
            <w:shd w:val="clear" w:color="auto" w:fill="auto"/>
            <w:noWrap/>
            <w:vAlign w:val="bottom"/>
            <w:hideMark/>
          </w:tcPr>
          <w:p w14:paraId="0E26D227" w14:textId="6CB4D442"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17</w:t>
            </w:r>
          </w:p>
        </w:tc>
        <w:tc>
          <w:tcPr>
            <w:tcW w:w="1260" w:type="pct"/>
            <w:tcBorders>
              <w:top w:val="nil"/>
              <w:left w:val="nil"/>
              <w:bottom w:val="nil"/>
              <w:right w:val="nil"/>
            </w:tcBorders>
            <w:shd w:val="clear" w:color="auto" w:fill="auto"/>
            <w:noWrap/>
            <w:vAlign w:val="bottom"/>
            <w:hideMark/>
          </w:tcPr>
          <w:p w14:paraId="0258D1AD"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nil"/>
              <w:right w:val="nil"/>
            </w:tcBorders>
            <w:shd w:val="clear" w:color="auto" w:fill="auto"/>
            <w:noWrap/>
            <w:vAlign w:val="bottom"/>
            <w:hideMark/>
          </w:tcPr>
          <w:p w14:paraId="24709378" w14:textId="4AFC78D2"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10.426.425</w:t>
            </w:r>
          </w:p>
        </w:tc>
        <w:tc>
          <w:tcPr>
            <w:tcW w:w="1394" w:type="pct"/>
            <w:tcBorders>
              <w:top w:val="nil"/>
              <w:left w:val="nil"/>
              <w:bottom w:val="nil"/>
              <w:right w:val="nil"/>
            </w:tcBorders>
            <w:shd w:val="clear" w:color="auto" w:fill="auto"/>
            <w:noWrap/>
            <w:vAlign w:val="bottom"/>
            <w:hideMark/>
          </w:tcPr>
          <w:p w14:paraId="0DD6303A"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nil"/>
              <w:right w:val="nil"/>
            </w:tcBorders>
            <w:shd w:val="clear" w:color="auto" w:fill="auto"/>
            <w:noWrap/>
            <w:vAlign w:val="bottom"/>
            <w:hideMark/>
          </w:tcPr>
          <w:p w14:paraId="6D04CC14" w14:textId="1A6340AC"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10.426.425</w:t>
            </w:r>
          </w:p>
        </w:tc>
      </w:tr>
      <w:tr w:rsidR="00694FB3" w:rsidRPr="00D93780" w14:paraId="280896DB" w14:textId="77777777" w:rsidTr="00694FB3">
        <w:trPr>
          <w:trHeight w:val="240"/>
        </w:trPr>
        <w:tc>
          <w:tcPr>
            <w:tcW w:w="467" w:type="pct"/>
            <w:tcBorders>
              <w:top w:val="nil"/>
              <w:left w:val="nil"/>
              <w:bottom w:val="nil"/>
              <w:right w:val="nil"/>
            </w:tcBorders>
            <w:shd w:val="clear" w:color="auto" w:fill="auto"/>
            <w:noWrap/>
            <w:vAlign w:val="bottom"/>
            <w:hideMark/>
          </w:tcPr>
          <w:p w14:paraId="22EA0D3A" w14:textId="40265A4E"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18</w:t>
            </w:r>
          </w:p>
        </w:tc>
        <w:tc>
          <w:tcPr>
            <w:tcW w:w="1260" w:type="pct"/>
            <w:tcBorders>
              <w:top w:val="nil"/>
              <w:left w:val="nil"/>
              <w:bottom w:val="nil"/>
              <w:right w:val="nil"/>
            </w:tcBorders>
            <w:shd w:val="clear" w:color="auto" w:fill="auto"/>
            <w:noWrap/>
            <w:vAlign w:val="bottom"/>
            <w:hideMark/>
          </w:tcPr>
          <w:p w14:paraId="080A3B5F"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nil"/>
              <w:right w:val="nil"/>
            </w:tcBorders>
            <w:shd w:val="clear" w:color="auto" w:fill="auto"/>
            <w:noWrap/>
            <w:vAlign w:val="bottom"/>
            <w:hideMark/>
          </w:tcPr>
          <w:p w14:paraId="0B946210" w14:textId="5BFB9C38"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10.571.487</w:t>
            </w:r>
          </w:p>
        </w:tc>
        <w:tc>
          <w:tcPr>
            <w:tcW w:w="1394" w:type="pct"/>
            <w:tcBorders>
              <w:top w:val="nil"/>
              <w:left w:val="nil"/>
              <w:bottom w:val="nil"/>
              <w:right w:val="nil"/>
            </w:tcBorders>
            <w:shd w:val="clear" w:color="auto" w:fill="auto"/>
            <w:noWrap/>
            <w:vAlign w:val="bottom"/>
            <w:hideMark/>
          </w:tcPr>
          <w:p w14:paraId="5682BC47"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nil"/>
              <w:right w:val="nil"/>
            </w:tcBorders>
            <w:shd w:val="clear" w:color="auto" w:fill="auto"/>
            <w:noWrap/>
            <w:vAlign w:val="bottom"/>
            <w:hideMark/>
          </w:tcPr>
          <w:p w14:paraId="707DE008" w14:textId="3995BAA7"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10.571.487</w:t>
            </w:r>
          </w:p>
        </w:tc>
      </w:tr>
      <w:tr w:rsidR="00694FB3" w:rsidRPr="00D93780" w14:paraId="0A793A60" w14:textId="77777777" w:rsidTr="00694FB3">
        <w:trPr>
          <w:trHeight w:val="240"/>
        </w:trPr>
        <w:tc>
          <w:tcPr>
            <w:tcW w:w="467" w:type="pct"/>
            <w:tcBorders>
              <w:top w:val="nil"/>
              <w:left w:val="nil"/>
              <w:right w:val="nil"/>
            </w:tcBorders>
            <w:shd w:val="clear" w:color="auto" w:fill="auto"/>
            <w:noWrap/>
            <w:vAlign w:val="bottom"/>
            <w:hideMark/>
          </w:tcPr>
          <w:p w14:paraId="6C902473" w14:textId="04D34F4C"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19</w:t>
            </w:r>
          </w:p>
        </w:tc>
        <w:tc>
          <w:tcPr>
            <w:tcW w:w="1260" w:type="pct"/>
            <w:tcBorders>
              <w:top w:val="nil"/>
              <w:left w:val="nil"/>
              <w:right w:val="nil"/>
            </w:tcBorders>
            <w:shd w:val="clear" w:color="auto" w:fill="auto"/>
            <w:noWrap/>
            <w:vAlign w:val="bottom"/>
            <w:hideMark/>
          </w:tcPr>
          <w:p w14:paraId="70D34842"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right w:val="nil"/>
            </w:tcBorders>
            <w:shd w:val="clear" w:color="auto" w:fill="auto"/>
            <w:noWrap/>
            <w:vAlign w:val="bottom"/>
            <w:hideMark/>
          </w:tcPr>
          <w:p w14:paraId="74880F2C" w14:textId="7890750B"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10.718.568</w:t>
            </w:r>
          </w:p>
        </w:tc>
        <w:tc>
          <w:tcPr>
            <w:tcW w:w="1394" w:type="pct"/>
            <w:tcBorders>
              <w:top w:val="nil"/>
              <w:left w:val="nil"/>
              <w:right w:val="nil"/>
            </w:tcBorders>
            <w:shd w:val="clear" w:color="auto" w:fill="auto"/>
            <w:noWrap/>
            <w:vAlign w:val="bottom"/>
            <w:hideMark/>
          </w:tcPr>
          <w:p w14:paraId="22BB0D49"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right w:val="nil"/>
            </w:tcBorders>
            <w:shd w:val="clear" w:color="auto" w:fill="auto"/>
            <w:noWrap/>
            <w:vAlign w:val="bottom"/>
            <w:hideMark/>
          </w:tcPr>
          <w:p w14:paraId="7CF97E8F" w14:textId="6F395087"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10.718.568</w:t>
            </w:r>
          </w:p>
        </w:tc>
      </w:tr>
      <w:tr w:rsidR="00694FB3" w:rsidRPr="00D93780" w14:paraId="3F1BEC73" w14:textId="77777777" w:rsidTr="00694FB3">
        <w:trPr>
          <w:trHeight w:val="240"/>
        </w:trPr>
        <w:tc>
          <w:tcPr>
            <w:tcW w:w="467" w:type="pct"/>
            <w:tcBorders>
              <w:top w:val="nil"/>
              <w:left w:val="nil"/>
              <w:bottom w:val="single" w:sz="4" w:space="0" w:color="auto"/>
              <w:right w:val="nil"/>
            </w:tcBorders>
            <w:shd w:val="clear" w:color="auto" w:fill="auto"/>
            <w:noWrap/>
            <w:vAlign w:val="bottom"/>
            <w:hideMark/>
          </w:tcPr>
          <w:p w14:paraId="67C12341" w14:textId="0949CC8F" w:rsidR="005511CE" w:rsidRPr="00D93780" w:rsidRDefault="005511CE" w:rsidP="005511CE">
            <w:pPr>
              <w:jc w:val="right"/>
              <w:rPr>
                <w:rFonts w:ascii="Arial" w:hAnsi="Arial" w:cs="Arial"/>
                <w:color w:val="000000"/>
                <w:sz w:val="18"/>
                <w:szCs w:val="18"/>
              </w:rPr>
            </w:pPr>
            <w:r w:rsidRPr="00D93780">
              <w:rPr>
                <w:rFonts w:ascii="Arial" w:hAnsi="Arial" w:cs="Arial"/>
                <w:color w:val="000000"/>
                <w:sz w:val="18"/>
                <w:szCs w:val="18"/>
              </w:rPr>
              <w:t>20</w:t>
            </w:r>
          </w:p>
        </w:tc>
        <w:tc>
          <w:tcPr>
            <w:tcW w:w="1260" w:type="pct"/>
            <w:tcBorders>
              <w:top w:val="nil"/>
              <w:left w:val="nil"/>
              <w:bottom w:val="single" w:sz="4" w:space="0" w:color="auto"/>
              <w:right w:val="nil"/>
            </w:tcBorders>
            <w:shd w:val="clear" w:color="auto" w:fill="auto"/>
            <w:noWrap/>
            <w:vAlign w:val="bottom"/>
            <w:hideMark/>
          </w:tcPr>
          <w:p w14:paraId="77725F29" w14:textId="77777777" w:rsidR="005511CE" w:rsidRPr="00D93780" w:rsidRDefault="005511CE" w:rsidP="00694FB3">
            <w:pPr>
              <w:jc w:val="center"/>
              <w:rPr>
                <w:rFonts w:ascii="Arial" w:hAnsi="Arial" w:cs="Arial"/>
                <w:color w:val="000000"/>
                <w:sz w:val="18"/>
                <w:szCs w:val="18"/>
              </w:rPr>
            </w:pPr>
          </w:p>
        </w:tc>
        <w:tc>
          <w:tcPr>
            <w:tcW w:w="931" w:type="pct"/>
            <w:tcBorders>
              <w:top w:val="nil"/>
              <w:left w:val="nil"/>
              <w:bottom w:val="single" w:sz="4" w:space="0" w:color="auto"/>
              <w:right w:val="nil"/>
            </w:tcBorders>
            <w:shd w:val="clear" w:color="auto" w:fill="auto"/>
            <w:noWrap/>
            <w:vAlign w:val="bottom"/>
            <w:hideMark/>
          </w:tcPr>
          <w:p w14:paraId="79B98CF8" w14:textId="367305BA"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10.867.696</w:t>
            </w:r>
          </w:p>
        </w:tc>
        <w:tc>
          <w:tcPr>
            <w:tcW w:w="1394" w:type="pct"/>
            <w:tcBorders>
              <w:top w:val="nil"/>
              <w:left w:val="nil"/>
              <w:bottom w:val="single" w:sz="4" w:space="0" w:color="auto"/>
              <w:right w:val="nil"/>
            </w:tcBorders>
            <w:shd w:val="clear" w:color="auto" w:fill="auto"/>
            <w:noWrap/>
            <w:vAlign w:val="bottom"/>
            <w:hideMark/>
          </w:tcPr>
          <w:p w14:paraId="5E6207A5" w14:textId="77777777" w:rsidR="005511CE" w:rsidRPr="00D93780" w:rsidRDefault="005511CE" w:rsidP="00694FB3">
            <w:pPr>
              <w:jc w:val="center"/>
              <w:rPr>
                <w:rFonts w:ascii="Arial" w:hAnsi="Arial" w:cs="Arial"/>
                <w:color w:val="000000"/>
                <w:sz w:val="18"/>
                <w:szCs w:val="18"/>
              </w:rPr>
            </w:pPr>
          </w:p>
        </w:tc>
        <w:tc>
          <w:tcPr>
            <w:tcW w:w="949" w:type="pct"/>
            <w:tcBorders>
              <w:top w:val="nil"/>
              <w:left w:val="nil"/>
              <w:bottom w:val="single" w:sz="4" w:space="0" w:color="auto"/>
              <w:right w:val="nil"/>
            </w:tcBorders>
            <w:shd w:val="clear" w:color="auto" w:fill="auto"/>
            <w:noWrap/>
            <w:vAlign w:val="bottom"/>
            <w:hideMark/>
          </w:tcPr>
          <w:p w14:paraId="71CC2107" w14:textId="4555D7EF" w:rsidR="005511CE" w:rsidRPr="00D93780" w:rsidRDefault="005511CE" w:rsidP="00694FB3">
            <w:pPr>
              <w:jc w:val="center"/>
              <w:rPr>
                <w:rFonts w:ascii="Arial" w:hAnsi="Arial" w:cs="Arial"/>
                <w:color w:val="000000"/>
                <w:sz w:val="18"/>
                <w:szCs w:val="18"/>
              </w:rPr>
            </w:pPr>
            <w:r w:rsidRPr="00D93780">
              <w:rPr>
                <w:rFonts w:ascii="Arial" w:hAnsi="Arial" w:cs="Arial"/>
                <w:color w:val="000000"/>
                <w:sz w:val="18"/>
                <w:szCs w:val="18"/>
              </w:rPr>
              <w:t>10.867.696</w:t>
            </w:r>
          </w:p>
        </w:tc>
      </w:tr>
      <w:tr w:rsidR="00694FB3" w:rsidRPr="00D93780" w14:paraId="6504AF81" w14:textId="77777777" w:rsidTr="00694FB3">
        <w:trPr>
          <w:trHeight w:val="240"/>
        </w:trPr>
        <w:tc>
          <w:tcPr>
            <w:tcW w:w="467" w:type="pct"/>
            <w:tcBorders>
              <w:top w:val="single" w:sz="4" w:space="0" w:color="auto"/>
              <w:left w:val="nil"/>
              <w:bottom w:val="single" w:sz="4" w:space="0" w:color="auto"/>
              <w:right w:val="nil"/>
            </w:tcBorders>
            <w:shd w:val="clear" w:color="auto" w:fill="auto"/>
            <w:noWrap/>
            <w:vAlign w:val="bottom"/>
            <w:hideMark/>
          </w:tcPr>
          <w:p w14:paraId="2D4AC8A0" w14:textId="77777777" w:rsidR="005511CE" w:rsidRPr="00D93780" w:rsidRDefault="005511CE" w:rsidP="005511CE">
            <w:pPr>
              <w:jc w:val="right"/>
              <w:rPr>
                <w:rFonts w:ascii="Arial" w:hAnsi="Arial" w:cs="Arial"/>
                <w:color w:val="000000"/>
                <w:sz w:val="18"/>
                <w:szCs w:val="18"/>
              </w:rPr>
            </w:pPr>
          </w:p>
        </w:tc>
        <w:tc>
          <w:tcPr>
            <w:tcW w:w="1260" w:type="pct"/>
            <w:tcBorders>
              <w:top w:val="single" w:sz="4" w:space="0" w:color="auto"/>
              <w:left w:val="nil"/>
              <w:bottom w:val="single" w:sz="4" w:space="0" w:color="auto"/>
              <w:right w:val="nil"/>
            </w:tcBorders>
            <w:shd w:val="clear" w:color="auto" w:fill="auto"/>
            <w:noWrap/>
            <w:vAlign w:val="bottom"/>
            <w:hideMark/>
          </w:tcPr>
          <w:p w14:paraId="28FF7B97" w14:textId="06FC21E2" w:rsidR="005511CE" w:rsidRPr="00D93780" w:rsidRDefault="005511CE" w:rsidP="00694FB3">
            <w:pPr>
              <w:jc w:val="center"/>
              <w:rPr>
                <w:rFonts w:ascii="Arial" w:hAnsi="Arial" w:cs="Arial"/>
                <w:b/>
                <w:color w:val="000000"/>
                <w:sz w:val="18"/>
                <w:szCs w:val="18"/>
              </w:rPr>
            </w:pPr>
            <w:r w:rsidRPr="00D93780">
              <w:rPr>
                <w:rFonts w:ascii="Arial" w:hAnsi="Arial" w:cs="Arial"/>
                <w:b/>
                <w:color w:val="000000"/>
                <w:sz w:val="18"/>
                <w:szCs w:val="18"/>
              </w:rPr>
              <w:t>4.570.906</w:t>
            </w:r>
          </w:p>
        </w:tc>
        <w:tc>
          <w:tcPr>
            <w:tcW w:w="931" w:type="pct"/>
            <w:tcBorders>
              <w:top w:val="single" w:sz="4" w:space="0" w:color="auto"/>
              <w:left w:val="nil"/>
              <w:bottom w:val="single" w:sz="4" w:space="0" w:color="auto"/>
              <w:right w:val="nil"/>
            </w:tcBorders>
            <w:shd w:val="clear" w:color="auto" w:fill="auto"/>
            <w:noWrap/>
            <w:vAlign w:val="bottom"/>
            <w:hideMark/>
          </w:tcPr>
          <w:p w14:paraId="6C35250C" w14:textId="2687372D" w:rsidR="005511CE" w:rsidRPr="00D93780" w:rsidRDefault="005511CE" w:rsidP="00694FB3">
            <w:pPr>
              <w:jc w:val="center"/>
              <w:rPr>
                <w:rFonts w:ascii="Arial" w:hAnsi="Arial" w:cs="Arial"/>
                <w:b/>
                <w:color w:val="000000"/>
                <w:sz w:val="18"/>
                <w:szCs w:val="18"/>
              </w:rPr>
            </w:pPr>
            <w:r w:rsidRPr="00D93780">
              <w:rPr>
                <w:rFonts w:ascii="Arial" w:hAnsi="Arial" w:cs="Arial"/>
                <w:b/>
                <w:color w:val="000000"/>
                <w:sz w:val="18"/>
                <w:szCs w:val="18"/>
              </w:rPr>
              <w:t>182.061.741</w:t>
            </w:r>
          </w:p>
        </w:tc>
        <w:tc>
          <w:tcPr>
            <w:tcW w:w="1394" w:type="pct"/>
            <w:tcBorders>
              <w:top w:val="single" w:sz="4" w:space="0" w:color="auto"/>
              <w:left w:val="nil"/>
              <w:bottom w:val="single" w:sz="4" w:space="0" w:color="auto"/>
              <w:right w:val="nil"/>
            </w:tcBorders>
            <w:shd w:val="clear" w:color="auto" w:fill="auto"/>
            <w:noWrap/>
            <w:vAlign w:val="bottom"/>
            <w:hideMark/>
          </w:tcPr>
          <w:p w14:paraId="4DDB2B5B" w14:textId="75ACF3EF" w:rsidR="005511CE" w:rsidRPr="00D93780" w:rsidRDefault="005511CE" w:rsidP="00694FB3">
            <w:pPr>
              <w:jc w:val="center"/>
              <w:rPr>
                <w:rFonts w:ascii="Arial" w:hAnsi="Arial" w:cs="Arial"/>
                <w:b/>
                <w:color w:val="000000"/>
                <w:sz w:val="18"/>
                <w:szCs w:val="18"/>
              </w:rPr>
            </w:pPr>
            <w:r w:rsidRPr="00D93780">
              <w:rPr>
                <w:rFonts w:ascii="Arial" w:hAnsi="Arial" w:cs="Arial"/>
                <w:b/>
                <w:color w:val="000000"/>
                <w:sz w:val="18"/>
                <w:szCs w:val="18"/>
              </w:rPr>
              <w:t>136.538</w:t>
            </w:r>
          </w:p>
        </w:tc>
        <w:tc>
          <w:tcPr>
            <w:tcW w:w="949" w:type="pct"/>
            <w:tcBorders>
              <w:top w:val="single" w:sz="4" w:space="0" w:color="auto"/>
              <w:left w:val="nil"/>
              <w:bottom w:val="single" w:sz="4" w:space="0" w:color="auto"/>
              <w:right w:val="nil"/>
            </w:tcBorders>
            <w:shd w:val="clear" w:color="auto" w:fill="auto"/>
            <w:noWrap/>
            <w:vAlign w:val="bottom"/>
            <w:hideMark/>
          </w:tcPr>
          <w:p w14:paraId="6C1B0E68" w14:textId="77777777" w:rsidR="005511CE" w:rsidRPr="00D93780" w:rsidRDefault="005511CE" w:rsidP="005511CE">
            <w:pPr>
              <w:jc w:val="right"/>
              <w:rPr>
                <w:rFonts w:ascii="Arial" w:hAnsi="Arial" w:cs="Arial"/>
                <w:b/>
                <w:color w:val="000000"/>
                <w:sz w:val="18"/>
                <w:szCs w:val="18"/>
              </w:rPr>
            </w:pPr>
          </w:p>
        </w:tc>
      </w:tr>
    </w:tbl>
    <w:p w14:paraId="7FCDCE49" w14:textId="77777777" w:rsidR="00ED2E20" w:rsidRPr="00514FEB" w:rsidRDefault="00ED2E20" w:rsidP="005D454E">
      <w:pPr>
        <w:ind w:left="540"/>
        <w:rPr>
          <w:rFonts w:ascii="Arial" w:hAnsi="Arial" w:cs="Arial"/>
          <w:sz w:val="18"/>
          <w:szCs w:val="22"/>
        </w:rPr>
      </w:pPr>
      <w:r w:rsidRPr="00514FEB">
        <w:rPr>
          <w:rFonts w:ascii="Arial" w:hAnsi="Arial" w:cs="Arial"/>
          <w:sz w:val="18"/>
          <w:szCs w:val="22"/>
        </w:rPr>
        <w:t>Montos en USD. Sin descontar.</w:t>
      </w:r>
    </w:p>
    <w:p w14:paraId="7DE504FB" w14:textId="77777777" w:rsidR="00ED2E20" w:rsidRPr="00D93780" w:rsidRDefault="00ED2E20" w:rsidP="00462E76">
      <w:pPr>
        <w:pStyle w:val="Heading3"/>
        <w:spacing w:before="120" w:after="120"/>
        <w:rPr>
          <w:rFonts w:ascii="Arial" w:hAnsi="Arial"/>
          <w:szCs w:val="22"/>
        </w:rPr>
      </w:pPr>
      <w:bookmarkStart w:id="15" w:name="_Toc456337508"/>
      <w:r w:rsidRPr="00D93780">
        <w:rPr>
          <w:rFonts w:ascii="Arial" w:hAnsi="Arial"/>
          <w:szCs w:val="22"/>
        </w:rPr>
        <w:t>Cuantificación de los beneficios</w:t>
      </w:r>
      <w:bookmarkEnd w:id="15"/>
    </w:p>
    <w:p w14:paraId="55FD05EC" w14:textId="0D387DC5"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Para la estimación de los beneficios se considera </w:t>
      </w:r>
      <w:r w:rsidR="00BF7958" w:rsidRPr="00D93780">
        <w:rPr>
          <w:rFonts w:ascii="Arial" w:hAnsi="Arial" w:cs="Arial"/>
          <w:sz w:val="22"/>
          <w:szCs w:val="22"/>
        </w:rPr>
        <w:t xml:space="preserve">el flujo de incremento de </w:t>
      </w:r>
      <w:r w:rsidRPr="00D93780">
        <w:rPr>
          <w:rFonts w:ascii="Arial" w:hAnsi="Arial" w:cs="Arial"/>
          <w:sz w:val="22"/>
          <w:szCs w:val="22"/>
        </w:rPr>
        <w:t>los ingresos por contribución urbana como resultado de la operación centralizada de una agencia recaudadora. Para ello se consideran los siguientes supuestos:</w:t>
      </w:r>
    </w:p>
    <w:p w14:paraId="2F2AC113" w14:textId="54990EF0" w:rsidR="00ED2E20" w:rsidRPr="00D93780" w:rsidRDefault="00ED2E20" w:rsidP="00462E76">
      <w:pPr>
        <w:pStyle w:val="ListParagraph"/>
        <w:numPr>
          <w:ilvl w:val="0"/>
          <w:numId w:val="39"/>
        </w:numPr>
        <w:spacing w:before="120" w:after="120" w:line="276" w:lineRule="auto"/>
        <w:jc w:val="both"/>
        <w:rPr>
          <w:rFonts w:ascii="Arial" w:hAnsi="Arial" w:cs="Arial"/>
          <w:sz w:val="22"/>
          <w:szCs w:val="22"/>
        </w:rPr>
      </w:pPr>
      <w:r w:rsidRPr="00D93780">
        <w:rPr>
          <w:rFonts w:ascii="Arial" w:hAnsi="Arial" w:cs="Arial"/>
          <w:sz w:val="22"/>
          <w:szCs w:val="22"/>
        </w:rPr>
        <w:t xml:space="preserve">En un escenario sin proyecto, la recaudación de la contribución inmobiliaria urbana crecería en los próximos años a un ritmo del </w:t>
      </w:r>
      <w:r w:rsidR="00BF7958" w:rsidRPr="00D93780">
        <w:rPr>
          <w:rFonts w:ascii="Arial" w:hAnsi="Arial" w:cs="Arial"/>
          <w:sz w:val="22"/>
          <w:szCs w:val="22"/>
        </w:rPr>
        <w:t>1,4</w:t>
      </w:r>
      <w:r w:rsidRPr="00D93780">
        <w:rPr>
          <w:rFonts w:ascii="Arial" w:hAnsi="Arial" w:cs="Arial"/>
          <w:sz w:val="22"/>
          <w:szCs w:val="22"/>
        </w:rPr>
        <w:t>% anual, que es similar al observado en el periodo 201</w:t>
      </w:r>
      <w:r w:rsidR="00BF7958" w:rsidRPr="00D93780">
        <w:rPr>
          <w:rFonts w:ascii="Arial" w:hAnsi="Arial" w:cs="Arial"/>
          <w:sz w:val="22"/>
          <w:szCs w:val="22"/>
        </w:rPr>
        <w:t>1</w:t>
      </w:r>
      <w:r w:rsidRPr="00D93780">
        <w:rPr>
          <w:rFonts w:ascii="Arial" w:hAnsi="Arial" w:cs="Arial"/>
          <w:sz w:val="22"/>
          <w:szCs w:val="22"/>
        </w:rPr>
        <w:t>-2014.</w:t>
      </w:r>
    </w:p>
    <w:p w14:paraId="163DCF4B" w14:textId="0459C359" w:rsidR="00ED2E20" w:rsidRPr="00D93780" w:rsidRDefault="00ED2E20" w:rsidP="00462E76">
      <w:pPr>
        <w:pStyle w:val="ListParagraph"/>
        <w:numPr>
          <w:ilvl w:val="0"/>
          <w:numId w:val="39"/>
        </w:numPr>
        <w:spacing w:before="120" w:after="120" w:line="276" w:lineRule="auto"/>
        <w:jc w:val="both"/>
        <w:rPr>
          <w:rFonts w:ascii="Arial" w:hAnsi="Arial" w:cs="Arial"/>
          <w:sz w:val="22"/>
          <w:szCs w:val="22"/>
        </w:rPr>
      </w:pPr>
      <w:r w:rsidRPr="00D93780">
        <w:rPr>
          <w:rFonts w:ascii="Arial" w:hAnsi="Arial" w:cs="Arial"/>
          <w:sz w:val="22"/>
          <w:szCs w:val="22"/>
        </w:rPr>
        <w:t xml:space="preserve">Como resultado de la centralización de la recaudación, se estima que el efecto de mejora de la eficiencia es de </w:t>
      </w:r>
      <w:r w:rsidR="00BF7958" w:rsidRPr="00D93780">
        <w:rPr>
          <w:rFonts w:ascii="Arial" w:hAnsi="Arial" w:cs="Arial"/>
          <w:sz w:val="22"/>
          <w:szCs w:val="22"/>
        </w:rPr>
        <w:t>5</w:t>
      </w:r>
      <w:r w:rsidR="00C45FE3" w:rsidRPr="00D93780">
        <w:rPr>
          <w:rFonts w:ascii="Arial" w:hAnsi="Arial" w:cs="Arial"/>
          <w:sz w:val="22"/>
          <w:szCs w:val="22"/>
        </w:rPr>
        <w:t xml:space="preserve"> puntos porcentuales</w:t>
      </w:r>
      <w:r w:rsidRPr="00D93780">
        <w:rPr>
          <w:rFonts w:ascii="Arial" w:hAnsi="Arial" w:cs="Arial"/>
          <w:sz w:val="22"/>
          <w:szCs w:val="22"/>
        </w:rPr>
        <w:t xml:space="preserve"> en el </w:t>
      </w:r>
      <w:r w:rsidR="00BF7958" w:rsidRPr="00D93780">
        <w:rPr>
          <w:rFonts w:ascii="Arial" w:hAnsi="Arial" w:cs="Arial"/>
          <w:sz w:val="22"/>
          <w:szCs w:val="22"/>
        </w:rPr>
        <w:t xml:space="preserve">tercer </w:t>
      </w:r>
      <w:r w:rsidRPr="00D93780">
        <w:rPr>
          <w:rFonts w:ascii="Arial" w:hAnsi="Arial" w:cs="Arial"/>
          <w:sz w:val="22"/>
          <w:szCs w:val="22"/>
        </w:rPr>
        <w:t>año de entrada en funcionamiento de la</w:t>
      </w:r>
      <w:r w:rsidR="00BF7958" w:rsidRPr="00D93780">
        <w:rPr>
          <w:rFonts w:ascii="Arial" w:hAnsi="Arial" w:cs="Arial"/>
          <w:sz w:val="22"/>
          <w:szCs w:val="22"/>
        </w:rPr>
        <w:t xml:space="preserve"> agencia de cobro centralizado. </w:t>
      </w:r>
      <w:r w:rsidRPr="00D93780">
        <w:rPr>
          <w:rFonts w:ascii="Arial" w:hAnsi="Arial" w:cs="Arial"/>
          <w:sz w:val="22"/>
          <w:szCs w:val="22"/>
        </w:rPr>
        <w:t>En los años posteriores el efecto queda disipado</w:t>
      </w:r>
      <w:r w:rsidR="00BF7958" w:rsidRPr="00D93780">
        <w:rPr>
          <w:rFonts w:ascii="Arial" w:hAnsi="Arial" w:cs="Arial"/>
          <w:sz w:val="22"/>
          <w:szCs w:val="22"/>
        </w:rPr>
        <w:t>, y la recaudación retoma el crecimiento al 1,4% tendencial</w:t>
      </w:r>
      <w:r w:rsidRPr="00D93780">
        <w:rPr>
          <w:rFonts w:ascii="Arial" w:hAnsi="Arial" w:cs="Arial"/>
          <w:sz w:val="22"/>
          <w:szCs w:val="22"/>
        </w:rPr>
        <w:t xml:space="preserve">. Recuérdese que en el caso de SUCIVE, en el </w:t>
      </w:r>
      <w:r w:rsidR="00BF7958" w:rsidRPr="00D93780">
        <w:rPr>
          <w:rFonts w:ascii="Arial" w:hAnsi="Arial" w:cs="Arial"/>
          <w:sz w:val="22"/>
          <w:szCs w:val="22"/>
        </w:rPr>
        <w:t>segundo</w:t>
      </w:r>
      <w:r w:rsidRPr="00D93780">
        <w:rPr>
          <w:rFonts w:ascii="Arial" w:hAnsi="Arial" w:cs="Arial"/>
          <w:sz w:val="22"/>
          <w:szCs w:val="22"/>
        </w:rPr>
        <w:t xml:space="preserve"> año de funcionamiento el </w:t>
      </w:r>
      <w:r w:rsidR="00BF7958" w:rsidRPr="00D93780">
        <w:rPr>
          <w:rFonts w:ascii="Arial" w:hAnsi="Arial" w:cs="Arial"/>
          <w:sz w:val="22"/>
          <w:szCs w:val="22"/>
        </w:rPr>
        <w:t>aumento</w:t>
      </w:r>
      <w:r w:rsidRPr="00D93780">
        <w:rPr>
          <w:rFonts w:ascii="Arial" w:hAnsi="Arial" w:cs="Arial"/>
          <w:sz w:val="22"/>
          <w:szCs w:val="22"/>
        </w:rPr>
        <w:t xml:space="preserve"> de la recaud</w:t>
      </w:r>
      <w:r w:rsidR="008233F3" w:rsidRPr="00D93780">
        <w:rPr>
          <w:rFonts w:ascii="Arial" w:hAnsi="Arial" w:cs="Arial"/>
          <w:sz w:val="22"/>
          <w:szCs w:val="22"/>
        </w:rPr>
        <w:t>ación por efecto gestión fue de</w:t>
      </w:r>
      <w:r w:rsidRPr="00D93780">
        <w:rPr>
          <w:rFonts w:ascii="Arial" w:hAnsi="Arial" w:cs="Arial"/>
          <w:sz w:val="22"/>
          <w:szCs w:val="22"/>
        </w:rPr>
        <w:t xml:space="preserve"> </w:t>
      </w:r>
      <w:r w:rsidR="00C45FE3" w:rsidRPr="00D93780">
        <w:rPr>
          <w:rFonts w:ascii="Arial" w:hAnsi="Arial" w:cs="Arial"/>
          <w:sz w:val="22"/>
          <w:szCs w:val="22"/>
        </w:rPr>
        <w:t>8</w:t>
      </w:r>
      <w:r w:rsidRPr="00D93780">
        <w:rPr>
          <w:rFonts w:ascii="Arial" w:hAnsi="Arial" w:cs="Arial"/>
          <w:sz w:val="22"/>
          <w:szCs w:val="22"/>
        </w:rPr>
        <w:t>,</w:t>
      </w:r>
      <w:r w:rsidR="00C45FE3" w:rsidRPr="00D93780">
        <w:rPr>
          <w:rFonts w:ascii="Arial" w:hAnsi="Arial" w:cs="Arial"/>
          <w:sz w:val="22"/>
          <w:szCs w:val="22"/>
        </w:rPr>
        <w:t>7</w:t>
      </w:r>
      <w:r w:rsidRPr="00D93780">
        <w:rPr>
          <w:rFonts w:ascii="Arial" w:hAnsi="Arial" w:cs="Arial"/>
          <w:sz w:val="22"/>
          <w:szCs w:val="22"/>
        </w:rPr>
        <w:t xml:space="preserve"> </w:t>
      </w:r>
      <w:r w:rsidR="00C45FE3" w:rsidRPr="00D93780">
        <w:rPr>
          <w:rFonts w:ascii="Arial" w:hAnsi="Arial" w:cs="Arial"/>
          <w:sz w:val="22"/>
          <w:szCs w:val="22"/>
        </w:rPr>
        <w:t xml:space="preserve">puntos porcentuales </w:t>
      </w:r>
      <w:r w:rsidRPr="00D93780">
        <w:rPr>
          <w:rFonts w:ascii="Arial" w:hAnsi="Arial" w:cs="Arial"/>
          <w:sz w:val="22"/>
          <w:szCs w:val="22"/>
        </w:rPr>
        <w:t>y de 1,</w:t>
      </w:r>
      <w:r w:rsidR="00C45FE3" w:rsidRPr="00D93780">
        <w:rPr>
          <w:rFonts w:ascii="Arial" w:hAnsi="Arial" w:cs="Arial"/>
          <w:sz w:val="22"/>
          <w:szCs w:val="22"/>
        </w:rPr>
        <w:t>7</w:t>
      </w:r>
      <w:r w:rsidRPr="00D93780">
        <w:rPr>
          <w:rFonts w:ascii="Arial" w:hAnsi="Arial" w:cs="Arial"/>
          <w:sz w:val="22"/>
          <w:szCs w:val="22"/>
        </w:rPr>
        <w:t xml:space="preserve"> </w:t>
      </w:r>
      <w:r w:rsidR="00C45FE3" w:rsidRPr="00D93780">
        <w:rPr>
          <w:rFonts w:ascii="Arial" w:hAnsi="Arial" w:cs="Arial"/>
          <w:sz w:val="22"/>
          <w:szCs w:val="22"/>
        </w:rPr>
        <w:t xml:space="preserve">pp </w:t>
      </w:r>
      <w:r w:rsidRPr="00D93780">
        <w:rPr>
          <w:rFonts w:ascii="Arial" w:hAnsi="Arial" w:cs="Arial"/>
          <w:sz w:val="22"/>
          <w:szCs w:val="22"/>
        </w:rPr>
        <w:t xml:space="preserve">en el </w:t>
      </w:r>
      <w:r w:rsidR="00BF7958" w:rsidRPr="00D93780">
        <w:rPr>
          <w:rFonts w:ascii="Arial" w:hAnsi="Arial" w:cs="Arial"/>
          <w:sz w:val="22"/>
          <w:szCs w:val="22"/>
        </w:rPr>
        <w:t>tercer</w:t>
      </w:r>
      <w:r w:rsidRPr="00D93780">
        <w:rPr>
          <w:rFonts w:ascii="Arial" w:hAnsi="Arial" w:cs="Arial"/>
          <w:sz w:val="22"/>
          <w:szCs w:val="22"/>
        </w:rPr>
        <w:t xml:space="preserve"> año. Por lo tanto, calcular un crecimiento diferencial de </w:t>
      </w:r>
      <w:r w:rsidR="00BF7958" w:rsidRPr="00D93780">
        <w:rPr>
          <w:rFonts w:ascii="Arial" w:hAnsi="Arial" w:cs="Arial"/>
          <w:sz w:val="22"/>
          <w:szCs w:val="22"/>
        </w:rPr>
        <w:t>5</w:t>
      </w:r>
      <w:r w:rsidRPr="00D93780">
        <w:rPr>
          <w:rFonts w:ascii="Arial" w:hAnsi="Arial" w:cs="Arial"/>
          <w:sz w:val="22"/>
          <w:szCs w:val="22"/>
        </w:rPr>
        <w:t xml:space="preserve"> </w:t>
      </w:r>
      <w:r w:rsidR="00C45FE3" w:rsidRPr="00D93780">
        <w:rPr>
          <w:rFonts w:ascii="Arial" w:hAnsi="Arial" w:cs="Arial"/>
          <w:sz w:val="22"/>
          <w:szCs w:val="22"/>
        </w:rPr>
        <w:t>puntos</w:t>
      </w:r>
      <w:r w:rsidRPr="00D93780">
        <w:rPr>
          <w:rFonts w:ascii="Arial" w:hAnsi="Arial" w:cs="Arial"/>
          <w:sz w:val="22"/>
          <w:szCs w:val="22"/>
        </w:rPr>
        <w:t xml:space="preserve"> adicionales es una estimación conservadora</w:t>
      </w:r>
      <w:r w:rsidR="00BF7958" w:rsidRPr="00D93780">
        <w:rPr>
          <w:rFonts w:ascii="Arial" w:hAnsi="Arial" w:cs="Arial"/>
          <w:sz w:val="22"/>
          <w:szCs w:val="22"/>
        </w:rPr>
        <w:t xml:space="preserve"> con respecto a lo observado en el precedente de SUCIVE</w:t>
      </w:r>
      <w:r w:rsidRPr="00D93780">
        <w:rPr>
          <w:rFonts w:ascii="Arial" w:hAnsi="Arial" w:cs="Arial"/>
          <w:sz w:val="22"/>
          <w:szCs w:val="22"/>
        </w:rPr>
        <w:t>.</w:t>
      </w:r>
    </w:p>
    <w:p w14:paraId="0DD773B7" w14:textId="25358E52"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En el cuadro </w:t>
      </w:r>
      <w:r w:rsidR="007D05D5" w:rsidRPr="00D93780">
        <w:rPr>
          <w:rFonts w:ascii="Arial" w:hAnsi="Arial" w:cs="Arial"/>
          <w:sz w:val="22"/>
          <w:szCs w:val="22"/>
        </w:rPr>
        <w:t>6</w:t>
      </w:r>
      <w:r w:rsidRPr="00D93780">
        <w:rPr>
          <w:rFonts w:ascii="Arial" w:hAnsi="Arial" w:cs="Arial"/>
          <w:sz w:val="22"/>
          <w:szCs w:val="22"/>
        </w:rPr>
        <w:t xml:space="preserve"> puede observarse los flujos de beneficios esperados. </w:t>
      </w:r>
    </w:p>
    <w:p w14:paraId="677BC173" w14:textId="77777777" w:rsidR="00694FB3" w:rsidRDefault="00694FB3" w:rsidP="00462E76">
      <w:pPr>
        <w:pStyle w:val="ListParagraph"/>
        <w:spacing w:after="120"/>
        <w:ind w:left="0"/>
        <w:jc w:val="center"/>
        <w:rPr>
          <w:rFonts w:ascii="Arial" w:hAnsi="Arial" w:cs="Arial"/>
          <w:b/>
          <w:sz w:val="18"/>
          <w:szCs w:val="22"/>
        </w:rPr>
      </w:pPr>
    </w:p>
    <w:p w14:paraId="11B94C65" w14:textId="77777777" w:rsidR="00694FB3" w:rsidRDefault="00694FB3" w:rsidP="00462E76">
      <w:pPr>
        <w:pStyle w:val="ListParagraph"/>
        <w:spacing w:after="120"/>
        <w:ind w:left="0"/>
        <w:jc w:val="center"/>
        <w:rPr>
          <w:rFonts w:ascii="Arial" w:hAnsi="Arial" w:cs="Arial"/>
          <w:b/>
          <w:sz w:val="18"/>
          <w:szCs w:val="22"/>
        </w:rPr>
      </w:pPr>
    </w:p>
    <w:p w14:paraId="0CB47C96" w14:textId="77777777" w:rsidR="00694FB3" w:rsidRDefault="00694FB3" w:rsidP="00462E76">
      <w:pPr>
        <w:pStyle w:val="ListParagraph"/>
        <w:spacing w:after="120"/>
        <w:ind w:left="0"/>
        <w:jc w:val="center"/>
        <w:rPr>
          <w:rFonts w:ascii="Arial" w:hAnsi="Arial" w:cs="Arial"/>
          <w:b/>
          <w:sz w:val="18"/>
          <w:szCs w:val="22"/>
        </w:rPr>
      </w:pPr>
    </w:p>
    <w:p w14:paraId="265B4E9A" w14:textId="7B77D0B3"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lastRenderedPageBreak/>
        <w:t xml:space="preserve">Cuadro </w:t>
      </w:r>
      <w:r w:rsidR="007D05D5" w:rsidRPr="00462E76">
        <w:rPr>
          <w:rFonts w:ascii="Arial" w:hAnsi="Arial" w:cs="Arial"/>
          <w:b/>
          <w:sz w:val="18"/>
          <w:szCs w:val="22"/>
        </w:rPr>
        <w:t>6</w:t>
      </w:r>
      <w:r w:rsidRPr="00462E76">
        <w:rPr>
          <w:rFonts w:ascii="Arial" w:hAnsi="Arial" w:cs="Arial"/>
          <w:b/>
          <w:sz w:val="18"/>
          <w:szCs w:val="22"/>
        </w:rPr>
        <w:t>. Cuantificación de los beneficios</w:t>
      </w:r>
    </w:p>
    <w:tbl>
      <w:tblPr>
        <w:tblW w:w="4664" w:type="pct"/>
        <w:tblInd w:w="610" w:type="dxa"/>
        <w:tblCellMar>
          <w:left w:w="70" w:type="dxa"/>
          <w:right w:w="70" w:type="dxa"/>
        </w:tblCellMar>
        <w:tblLook w:val="04A0" w:firstRow="1" w:lastRow="0" w:firstColumn="1" w:lastColumn="0" w:noHBand="0" w:noVBand="1"/>
      </w:tblPr>
      <w:tblGrid>
        <w:gridCol w:w="341"/>
        <w:gridCol w:w="1852"/>
        <w:gridCol w:w="1852"/>
        <w:gridCol w:w="4145"/>
      </w:tblGrid>
      <w:tr w:rsidR="00ED2E20" w:rsidRPr="00D93780" w14:paraId="7028C998" w14:textId="77777777" w:rsidTr="005D454E">
        <w:trPr>
          <w:trHeight w:val="440"/>
        </w:trPr>
        <w:tc>
          <w:tcPr>
            <w:tcW w:w="98" w:type="pct"/>
            <w:tcBorders>
              <w:top w:val="nil"/>
              <w:left w:val="nil"/>
              <w:bottom w:val="single" w:sz="4" w:space="0" w:color="auto"/>
              <w:right w:val="nil"/>
            </w:tcBorders>
            <w:shd w:val="clear" w:color="auto" w:fill="auto"/>
            <w:noWrap/>
            <w:vAlign w:val="bottom"/>
            <w:hideMark/>
          </w:tcPr>
          <w:p w14:paraId="17E33E78" w14:textId="77777777" w:rsidR="00ED2E20" w:rsidRPr="00D93780" w:rsidRDefault="00ED2E20" w:rsidP="00227A32">
            <w:pPr>
              <w:rPr>
                <w:rFonts w:ascii="Arial" w:hAnsi="Arial" w:cs="Arial"/>
                <w:sz w:val="18"/>
                <w:szCs w:val="18"/>
              </w:rPr>
            </w:pPr>
          </w:p>
        </w:tc>
        <w:tc>
          <w:tcPr>
            <w:tcW w:w="1131" w:type="pct"/>
            <w:tcBorders>
              <w:top w:val="nil"/>
              <w:left w:val="nil"/>
              <w:bottom w:val="single" w:sz="4" w:space="0" w:color="auto"/>
              <w:right w:val="nil"/>
            </w:tcBorders>
            <w:shd w:val="clear" w:color="auto" w:fill="auto"/>
            <w:vAlign w:val="bottom"/>
            <w:hideMark/>
          </w:tcPr>
          <w:p w14:paraId="03E030E1" w14:textId="77777777" w:rsidR="00ED2E20" w:rsidRPr="00D93780" w:rsidRDefault="00ED2E20" w:rsidP="00227A32">
            <w:pPr>
              <w:jc w:val="center"/>
              <w:rPr>
                <w:rFonts w:ascii="Arial" w:hAnsi="Arial" w:cs="Arial"/>
                <w:b/>
                <w:bCs/>
                <w:color w:val="000000"/>
                <w:sz w:val="18"/>
                <w:szCs w:val="18"/>
              </w:rPr>
            </w:pPr>
          </w:p>
        </w:tc>
        <w:tc>
          <w:tcPr>
            <w:tcW w:w="1131" w:type="pct"/>
            <w:tcBorders>
              <w:top w:val="nil"/>
              <w:left w:val="nil"/>
              <w:bottom w:val="single" w:sz="4" w:space="0" w:color="auto"/>
              <w:right w:val="nil"/>
            </w:tcBorders>
            <w:shd w:val="clear" w:color="auto" w:fill="auto"/>
            <w:noWrap/>
            <w:vAlign w:val="bottom"/>
            <w:hideMark/>
          </w:tcPr>
          <w:p w14:paraId="4ABFCC74" w14:textId="77777777" w:rsidR="00ED2E20" w:rsidRPr="00D93780" w:rsidRDefault="00ED2E20" w:rsidP="00227A32">
            <w:pPr>
              <w:jc w:val="center"/>
              <w:rPr>
                <w:rFonts w:ascii="Arial" w:hAnsi="Arial" w:cs="Arial"/>
                <w:b/>
                <w:bCs/>
                <w:color w:val="000000"/>
                <w:sz w:val="18"/>
                <w:szCs w:val="18"/>
              </w:rPr>
            </w:pPr>
          </w:p>
        </w:tc>
        <w:tc>
          <w:tcPr>
            <w:tcW w:w="2641" w:type="pct"/>
            <w:tcBorders>
              <w:top w:val="single" w:sz="4" w:space="0" w:color="auto"/>
              <w:left w:val="nil"/>
              <w:bottom w:val="single" w:sz="4" w:space="0" w:color="auto"/>
              <w:right w:val="nil"/>
            </w:tcBorders>
            <w:shd w:val="clear" w:color="auto" w:fill="D9D9D9" w:themeFill="background1" w:themeFillShade="D9"/>
            <w:noWrap/>
            <w:vAlign w:val="bottom"/>
            <w:hideMark/>
          </w:tcPr>
          <w:p w14:paraId="3B135821" w14:textId="77777777" w:rsidR="00ED2E20" w:rsidRPr="00D93780" w:rsidRDefault="00ED2E20" w:rsidP="00BF7958">
            <w:pPr>
              <w:jc w:val="right"/>
              <w:rPr>
                <w:rFonts w:ascii="Arial" w:hAnsi="Arial" w:cs="Arial"/>
                <w:sz w:val="18"/>
                <w:szCs w:val="18"/>
              </w:rPr>
            </w:pPr>
            <w:r w:rsidRPr="00D93780">
              <w:rPr>
                <w:rFonts w:ascii="Arial" w:hAnsi="Arial" w:cs="Arial"/>
                <w:b/>
                <w:bCs/>
                <w:color w:val="000000"/>
                <w:sz w:val="18"/>
                <w:szCs w:val="18"/>
              </w:rPr>
              <w:t>Incremento recaudación por centralización</w:t>
            </w:r>
          </w:p>
        </w:tc>
      </w:tr>
      <w:tr w:rsidR="00ED2E20" w:rsidRPr="00D93780" w14:paraId="5B0F6045" w14:textId="77777777" w:rsidTr="005D454E">
        <w:trPr>
          <w:trHeight w:val="257"/>
        </w:trPr>
        <w:tc>
          <w:tcPr>
            <w:tcW w:w="98" w:type="pct"/>
            <w:tcBorders>
              <w:top w:val="single" w:sz="4" w:space="0" w:color="auto"/>
              <w:left w:val="nil"/>
              <w:bottom w:val="single" w:sz="4" w:space="0" w:color="auto"/>
              <w:right w:val="nil"/>
            </w:tcBorders>
            <w:shd w:val="clear" w:color="auto" w:fill="D9D9D9" w:themeFill="background1" w:themeFillShade="D9"/>
            <w:noWrap/>
            <w:vAlign w:val="bottom"/>
            <w:hideMark/>
          </w:tcPr>
          <w:p w14:paraId="67CAC3BA" w14:textId="77777777" w:rsidR="00ED2E20" w:rsidRPr="00D93780" w:rsidRDefault="00ED2E20" w:rsidP="00227A32">
            <w:pPr>
              <w:rPr>
                <w:rFonts w:ascii="Arial" w:hAnsi="Arial" w:cs="Arial"/>
                <w:sz w:val="18"/>
                <w:szCs w:val="18"/>
              </w:rPr>
            </w:pPr>
          </w:p>
        </w:tc>
        <w:tc>
          <w:tcPr>
            <w:tcW w:w="1131" w:type="pct"/>
            <w:tcBorders>
              <w:top w:val="single" w:sz="4" w:space="0" w:color="auto"/>
              <w:left w:val="nil"/>
              <w:bottom w:val="single" w:sz="4" w:space="0" w:color="auto"/>
              <w:right w:val="nil"/>
            </w:tcBorders>
            <w:shd w:val="clear" w:color="auto" w:fill="D9D9D9" w:themeFill="background1" w:themeFillShade="D9"/>
            <w:vAlign w:val="bottom"/>
            <w:hideMark/>
          </w:tcPr>
          <w:p w14:paraId="68C3ABFB"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Escenario sin proyecto</w:t>
            </w:r>
          </w:p>
        </w:tc>
        <w:tc>
          <w:tcPr>
            <w:tcW w:w="1131" w:type="pct"/>
            <w:tcBorders>
              <w:top w:val="single" w:sz="4" w:space="0" w:color="auto"/>
              <w:left w:val="nil"/>
              <w:bottom w:val="single" w:sz="4" w:space="0" w:color="auto"/>
              <w:right w:val="nil"/>
            </w:tcBorders>
            <w:shd w:val="clear" w:color="auto" w:fill="D9D9D9" w:themeFill="background1" w:themeFillShade="D9"/>
            <w:vAlign w:val="bottom"/>
            <w:hideMark/>
          </w:tcPr>
          <w:p w14:paraId="35A9AE3A"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Escenario con proyecto</w:t>
            </w:r>
          </w:p>
        </w:tc>
        <w:tc>
          <w:tcPr>
            <w:tcW w:w="2641" w:type="pct"/>
            <w:tcBorders>
              <w:top w:val="single" w:sz="4" w:space="0" w:color="auto"/>
              <w:left w:val="nil"/>
              <w:bottom w:val="single" w:sz="4" w:space="0" w:color="auto"/>
              <w:right w:val="nil"/>
            </w:tcBorders>
            <w:shd w:val="clear" w:color="auto" w:fill="D9D9D9" w:themeFill="background1" w:themeFillShade="D9"/>
            <w:vAlign w:val="bottom"/>
            <w:hideMark/>
          </w:tcPr>
          <w:p w14:paraId="498DAC14"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Diferencia con versus sin</w:t>
            </w:r>
          </w:p>
        </w:tc>
      </w:tr>
      <w:tr w:rsidR="00BF7958" w:rsidRPr="00D93780" w14:paraId="207957FE" w14:textId="77777777" w:rsidTr="005D454E">
        <w:trPr>
          <w:trHeight w:val="240"/>
        </w:trPr>
        <w:tc>
          <w:tcPr>
            <w:tcW w:w="98" w:type="pct"/>
            <w:tcBorders>
              <w:top w:val="single" w:sz="4" w:space="0" w:color="auto"/>
              <w:left w:val="nil"/>
              <w:bottom w:val="nil"/>
              <w:right w:val="nil"/>
            </w:tcBorders>
            <w:shd w:val="clear" w:color="auto" w:fill="auto"/>
            <w:noWrap/>
            <w:vAlign w:val="bottom"/>
            <w:hideMark/>
          </w:tcPr>
          <w:p w14:paraId="77ED0B35"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w:t>
            </w:r>
          </w:p>
        </w:tc>
        <w:tc>
          <w:tcPr>
            <w:tcW w:w="1131" w:type="pct"/>
            <w:tcBorders>
              <w:top w:val="single" w:sz="4" w:space="0" w:color="auto"/>
              <w:left w:val="nil"/>
              <w:bottom w:val="nil"/>
              <w:right w:val="nil"/>
            </w:tcBorders>
            <w:shd w:val="clear" w:color="auto" w:fill="auto"/>
            <w:noWrap/>
            <w:vAlign w:val="bottom"/>
            <w:hideMark/>
          </w:tcPr>
          <w:p w14:paraId="5BD3EFC8" w14:textId="0C90B204"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8.231.129.138</w:t>
            </w:r>
          </w:p>
        </w:tc>
        <w:tc>
          <w:tcPr>
            <w:tcW w:w="1131" w:type="pct"/>
            <w:tcBorders>
              <w:top w:val="single" w:sz="4" w:space="0" w:color="auto"/>
              <w:left w:val="nil"/>
              <w:bottom w:val="nil"/>
              <w:right w:val="nil"/>
            </w:tcBorders>
            <w:shd w:val="clear" w:color="auto" w:fill="auto"/>
            <w:noWrap/>
            <w:vAlign w:val="bottom"/>
            <w:hideMark/>
          </w:tcPr>
          <w:p w14:paraId="6CA2AB7D" w14:textId="66C040BA"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8.231.129.138</w:t>
            </w:r>
          </w:p>
        </w:tc>
        <w:tc>
          <w:tcPr>
            <w:tcW w:w="2641" w:type="pct"/>
            <w:tcBorders>
              <w:top w:val="single" w:sz="4" w:space="0" w:color="auto"/>
              <w:left w:val="nil"/>
              <w:bottom w:val="nil"/>
              <w:right w:val="nil"/>
            </w:tcBorders>
            <w:shd w:val="clear" w:color="auto" w:fill="auto"/>
            <w:noWrap/>
            <w:vAlign w:val="bottom"/>
            <w:hideMark/>
          </w:tcPr>
          <w:p w14:paraId="3799C077" w14:textId="633F03E8"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0</w:t>
            </w:r>
          </w:p>
        </w:tc>
      </w:tr>
      <w:tr w:rsidR="00BF7958" w:rsidRPr="00D93780" w14:paraId="108C817D" w14:textId="77777777" w:rsidTr="005D454E">
        <w:trPr>
          <w:trHeight w:val="240"/>
        </w:trPr>
        <w:tc>
          <w:tcPr>
            <w:tcW w:w="98" w:type="pct"/>
            <w:tcBorders>
              <w:top w:val="nil"/>
              <w:left w:val="nil"/>
              <w:bottom w:val="nil"/>
              <w:right w:val="nil"/>
            </w:tcBorders>
            <w:shd w:val="clear" w:color="auto" w:fill="auto"/>
            <w:noWrap/>
            <w:vAlign w:val="bottom"/>
            <w:hideMark/>
          </w:tcPr>
          <w:p w14:paraId="6A317F0B"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2</w:t>
            </w:r>
          </w:p>
        </w:tc>
        <w:tc>
          <w:tcPr>
            <w:tcW w:w="1131" w:type="pct"/>
            <w:tcBorders>
              <w:top w:val="nil"/>
              <w:left w:val="nil"/>
              <w:bottom w:val="nil"/>
              <w:right w:val="nil"/>
            </w:tcBorders>
            <w:shd w:val="clear" w:color="auto" w:fill="auto"/>
            <w:noWrap/>
            <w:vAlign w:val="bottom"/>
            <w:hideMark/>
          </w:tcPr>
          <w:p w14:paraId="07E3A5B0" w14:textId="3D53E2FC"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8.345.648.765</w:t>
            </w:r>
          </w:p>
        </w:tc>
        <w:tc>
          <w:tcPr>
            <w:tcW w:w="1131" w:type="pct"/>
            <w:tcBorders>
              <w:top w:val="nil"/>
              <w:left w:val="nil"/>
              <w:bottom w:val="nil"/>
              <w:right w:val="nil"/>
            </w:tcBorders>
            <w:shd w:val="clear" w:color="auto" w:fill="auto"/>
            <w:noWrap/>
            <w:vAlign w:val="bottom"/>
            <w:hideMark/>
          </w:tcPr>
          <w:p w14:paraId="4357F880" w14:textId="3021BE0E"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8.345.648.765</w:t>
            </w:r>
          </w:p>
        </w:tc>
        <w:tc>
          <w:tcPr>
            <w:tcW w:w="2641" w:type="pct"/>
            <w:tcBorders>
              <w:top w:val="nil"/>
              <w:left w:val="nil"/>
              <w:bottom w:val="nil"/>
              <w:right w:val="nil"/>
            </w:tcBorders>
            <w:shd w:val="clear" w:color="auto" w:fill="auto"/>
            <w:noWrap/>
            <w:vAlign w:val="bottom"/>
            <w:hideMark/>
          </w:tcPr>
          <w:p w14:paraId="20E51CBF" w14:textId="1BEFBD8D"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0</w:t>
            </w:r>
          </w:p>
        </w:tc>
      </w:tr>
      <w:tr w:rsidR="00BF7958" w:rsidRPr="00D93780" w14:paraId="19C8D955" w14:textId="77777777" w:rsidTr="005D454E">
        <w:trPr>
          <w:trHeight w:val="240"/>
        </w:trPr>
        <w:tc>
          <w:tcPr>
            <w:tcW w:w="98" w:type="pct"/>
            <w:tcBorders>
              <w:top w:val="nil"/>
              <w:left w:val="nil"/>
              <w:bottom w:val="nil"/>
              <w:right w:val="nil"/>
            </w:tcBorders>
            <w:shd w:val="clear" w:color="auto" w:fill="auto"/>
            <w:noWrap/>
            <w:vAlign w:val="bottom"/>
            <w:hideMark/>
          </w:tcPr>
          <w:p w14:paraId="7950516D"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3</w:t>
            </w:r>
          </w:p>
        </w:tc>
        <w:tc>
          <w:tcPr>
            <w:tcW w:w="1131" w:type="pct"/>
            <w:tcBorders>
              <w:top w:val="nil"/>
              <w:left w:val="nil"/>
              <w:bottom w:val="nil"/>
              <w:right w:val="nil"/>
            </w:tcBorders>
            <w:shd w:val="clear" w:color="auto" w:fill="auto"/>
            <w:noWrap/>
            <w:vAlign w:val="bottom"/>
            <w:hideMark/>
          </w:tcPr>
          <w:p w14:paraId="1950CB92" w14:textId="6D38077D"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8.461.761.703</w:t>
            </w:r>
          </w:p>
        </w:tc>
        <w:tc>
          <w:tcPr>
            <w:tcW w:w="1131" w:type="pct"/>
            <w:tcBorders>
              <w:top w:val="nil"/>
              <w:left w:val="nil"/>
              <w:bottom w:val="nil"/>
              <w:right w:val="nil"/>
            </w:tcBorders>
            <w:shd w:val="clear" w:color="auto" w:fill="auto"/>
            <w:noWrap/>
            <w:vAlign w:val="bottom"/>
            <w:hideMark/>
          </w:tcPr>
          <w:p w14:paraId="4B9E5503" w14:textId="019E91E8"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8.461.761.703</w:t>
            </w:r>
          </w:p>
        </w:tc>
        <w:tc>
          <w:tcPr>
            <w:tcW w:w="2641" w:type="pct"/>
            <w:tcBorders>
              <w:top w:val="nil"/>
              <w:left w:val="nil"/>
              <w:bottom w:val="nil"/>
              <w:right w:val="nil"/>
            </w:tcBorders>
            <w:shd w:val="clear" w:color="auto" w:fill="auto"/>
            <w:noWrap/>
            <w:vAlign w:val="bottom"/>
            <w:hideMark/>
          </w:tcPr>
          <w:p w14:paraId="14303E0B" w14:textId="0EF7BD20"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0</w:t>
            </w:r>
          </w:p>
        </w:tc>
      </w:tr>
      <w:tr w:rsidR="00BF7958" w:rsidRPr="00D93780" w14:paraId="2CEC45B3" w14:textId="77777777" w:rsidTr="005D454E">
        <w:trPr>
          <w:trHeight w:val="240"/>
        </w:trPr>
        <w:tc>
          <w:tcPr>
            <w:tcW w:w="98" w:type="pct"/>
            <w:tcBorders>
              <w:top w:val="nil"/>
              <w:left w:val="nil"/>
              <w:right w:val="nil"/>
            </w:tcBorders>
            <w:shd w:val="clear" w:color="auto" w:fill="auto"/>
            <w:noWrap/>
            <w:vAlign w:val="bottom"/>
            <w:hideMark/>
          </w:tcPr>
          <w:p w14:paraId="4946413C"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4</w:t>
            </w:r>
          </w:p>
        </w:tc>
        <w:tc>
          <w:tcPr>
            <w:tcW w:w="1131" w:type="pct"/>
            <w:tcBorders>
              <w:top w:val="nil"/>
              <w:left w:val="nil"/>
              <w:right w:val="nil"/>
            </w:tcBorders>
            <w:shd w:val="clear" w:color="auto" w:fill="auto"/>
            <w:noWrap/>
            <w:vAlign w:val="bottom"/>
            <w:hideMark/>
          </w:tcPr>
          <w:p w14:paraId="27416CD8" w14:textId="3260C9FB"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8.579.490.118</w:t>
            </w:r>
          </w:p>
        </w:tc>
        <w:tc>
          <w:tcPr>
            <w:tcW w:w="1131" w:type="pct"/>
            <w:tcBorders>
              <w:top w:val="nil"/>
              <w:left w:val="nil"/>
              <w:right w:val="nil"/>
            </w:tcBorders>
            <w:shd w:val="clear" w:color="auto" w:fill="auto"/>
            <w:noWrap/>
            <w:vAlign w:val="bottom"/>
            <w:hideMark/>
          </w:tcPr>
          <w:p w14:paraId="13F97057" w14:textId="73810313"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9.002.578.204</w:t>
            </w:r>
          </w:p>
        </w:tc>
        <w:tc>
          <w:tcPr>
            <w:tcW w:w="2641" w:type="pct"/>
            <w:tcBorders>
              <w:top w:val="nil"/>
              <w:left w:val="nil"/>
              <w:right w:val="nil"/>
            </w:tcBorders>
            <w:shd w:val="clear" w:color="auto" w:fill="auto"/>
            <w:noWrap/>
            <w:vAlign w:val="bottom"/>
            <w:hideMark/>
          </w:tcPr>
          <w:p w14:paraId="63577339" w14:textId="72C53902"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423.088.085</w:t>
            </w:r>
          </w:p>
        </w:tc>
      </w:tr>
      <w:tr w:rsidR="00BF7958" w:rsidRPr="00D93780" w14:paraId="19191FBF" w14:textId="77777777" w:rsidTr="005D454E">
        <w:trPr>
          <w:trHeight w:val="240"/>
        </w:trPr>
        <w:tc>
          <w:tcPr>
            <w:tcW w:w="98" w:type="pct"/>
            <w:tcBorders>
              <w:top w:val="nil"/>
              <w:left w:val="nil"/>
              <w:bottom w:val="single" w:sz="4" w:space="0" w:color="auto"/>
              <w:right w:val="nil"/>
            </w:tcBorders>
            <w:shd w:val="clear" w:color="auto" w:fill="auto"/>
            <w:noWrap/>
            <w:vAlign w:val="bottom"/>
            <w:hideMark/>
          </w:tcPr>
          <w:p w14:paraId="7F3A9E65"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5</w:t>
            </w:r>
          </w:p>
        </w:tc>
        <w:tc>
          <w:tcPr>
            <w:tcW w:w="1131" w:type="pct"/>
            <w:tcBorders>
              <w:top w:val="nil"/>
              <w:left w:val="nil"/>
              <w:bottom w:val="single" w:sz="4" w:space="0" w:color="auto"/>
              <w:right w:val="nil"/>
            </w:tcBorders>
            <w:shd w:val="clear" w:color="auto" w:fill="auto"/>
            <w:noWrap/>
            <w:vAlign w:val="bottom"/>
            <w:hideMark/>
          </w:tcPr>
          <w:p w14:paraId="06DB75A4" w14:textId="23002A0A"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8.698.856.489</w:t>
            </w:r>
          </w:p>
        </w:tc>
        <w:tc>
          <w:tcPr>
            <w:tcW w:w="1131" w:type="pct"/>
            <w:tcBorders>
              <w:top w:val="nil"/>
              <w:left w:val="nil"/>
              <w:bottom w:val="single" w:sz="4" w:space="0" w:color="auto"/>
              <w:right w:val="nil"/>
            </w:tcBorders>
            <w:shd w:val="clear" w:color="auto" w:fill="auto"/>
            <w:noWrap/>
            <w:vAlign w:val="bottom"/>
            <w:hideMark/>
          </w:tcPr>
          <w:p w14:paraId="2C3CCC40" w14:textId="7FD0EC95"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9.127.830.995</w:t>
            </w:r>
          </w:p>
        </w:tc>
        <w:tc>
          <w:tcPr>
            <w:tcW w:w="2641" w:type="pct"/>
            <w:tcBorders>
              <w:top w:val="nil"/>
              <w:left w:val="nil"/>
              <w:bottom w:val="single" w:sz="4" w:space="0" w:color="auto"/>
              <w:right w:val="nil"/>
            </w:tcBorders>
            <w:shd w:val="clear" w:color="auto" w:fill="auto"/>
            <w:noWrap/>
            <w:vAlign w:val="bottom"/>
            <w:hideMark/>
          </w:tcPr>
          <w:p w14:paraId="33748B84" w14:textId="642AAD59"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428.974.506</w:t>
            </w:r>
          </w:p>
        </w:tc>
      </w:tr>
      <w:tr w:rsidR="00BF7958" w:rsidRPr="00D93780" w14:paraId="5B600602" w14:textId="77777777" w:rsidTr="005D454E">
        <w:trPr>
          <w:trHeight w:val="240"/>
        </w:trPr>
        <w:tc>
          <w:tcPr>
            <w:tcW w:w="98" w:type="pct"/>
            <w:tcBorders>
              <w:top w:val="single" w:sz="4" w:space="0" w:color="auto"/>
              <w:left w:val="nil"/>
              <w:bottom w:val="nil"/>
              <w:right w:val="nil"/>
            </w:tcBorders>
            <w:shd w:val="clear" w:color="auto" w:fill="auto"/>
            <w:noWrap/>
            <w:vAlign w:val="bottom"/>
            <w:hideMark/>
          </w:tcPr>
          <w:p w14:paraId="73E39F3A"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6</w:t>
            </w:r>
          </w:p>
        </w:tc>
        <w:tc>
          <w:tcPr>
            <w:tcW w:w="1131" w:type="pct"/>
            <w:tcBorders>
              <w:top w:val="single" w:sz="4" w:space="0" w:color="auto"/>
              <w:left w:val="nil"/>
              <w:bottom w:val="nil"/>
              <w:right w:val="nil"/>
            </w:tcBorders>
            <w:shd w:val="clear" w:color="auto" w:fill="auto"/>
            <w:noWrap/>
            <w:vAlign w:val="bottom"/>
            <w:hideMark/>
          </w:tcPr>
          <w:p w14:paraId="7E6060CA" w14:textId="14F9A03B"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8.819.883.602</w:t>
            </w:r>
          </w:p>
        </w:tc>
        <w:tc>
          <w:tcPr>
            <w:tcW w:w="1131" w:type="pct"/>
            <w:tcBorders>
              <w:top w:val="single" w:sz="4" w:space="0" w:color="auto"/>
              <w:left w:val="nil"/>
              <w:bottom w:val="nil"/>
              <w:right w:val="nil"/>
            </w:tcBorders>
            <w:shd w:val="clear" w:color="auto" w:fill="auto"/>
            <w:noWrap/>
            <w:vAlign w:val="bottom"/>
            <w:hideMark/>
          </w:tcPr>
          <w:p w14:paraId="526E14CD" w14:textId="4A0D4241"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9.254.826.427</w:t>
            </w:r>
          </w:p>
        </w:tc>
        <w:tc>
          <w:tcPr>
            <w:tcW w:w="2641" w:type="pct"/>
            <w:tcBorders>
              <w:top w:val="single" w:sz="4" w:space="0" w:color="auto"/>
              <w:left w:val="nil"/>
              <w:bottom w:val="nil"/>
              <w:right w:val="nil"/>
            </w:tcBorders>
            <w:shd w:val="clear" w:color="auto" w:fill="auto"/>
            <w:noWrap/>
            <w:vAlign w:val="bottom"/>
            <w:hideMark/>
          </w:tcPr>
          <w:p w14:paraId="6420DA35" w14:textId="77059626"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434.942.824</w:t>
            </w:r>
          </w:p>
        </w:tc>
      </w:tr>
      <w:tr w:rsidR="00BF7958" w:rsidRPr="00D93780" w14:paraId="38F01518" w14:textId="77777777" w:rsidTr="005D454E">
        <w:trPr>
          <w:trHeight w:val="240"/>
        </w:trPr>
        <w:tc>
          <w:tcPr>
            <w:tcW w:w="98" w:type="pct"/>
            <w:tcBorders>
              <w:top w:val="nil"/>
              <w:left w:val="nil"/>
              <w:bottom w:val="nil"/>
              <w:right w:val="nil"/>
            </w:tcBorders>
            <w:shd w:val="clear" w:color="auto" w:fill="auto"/>
            <w:noWrap/>
            <w:vAlign w:val="bottom"/>
            <w:hideMark/>
          </w:tcPr>
          <w:p w14:paraId="0DD36401"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7</w:t>
            </w:r>
          </w:p>
        </w:tc>
        <w:tc>
          <w:tcPr>
            <w:tcW w:w="1131" w:type="pct"/>
            <w:tcBorders>
              <w:top w:val="nil"/>
              <w:left w:val="nil"/>
              <w:bottom w:val="nil"/>
              <w:right w:val="nil"/>
            </w:tcBorders>
            <w:shd w:val="clear" w:color="auto" w:fill="auto"/>
            <w:noWrap/>
            <w:vAlign w:val="bottom"/>
            <w:hideMark/>
          </w:tcPr>
          <w:p w14:paraId="01B035B6" w14:textId="32C0E15B"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8.942.594.565</w:t>
            </w:r>
          </w:p>
        </w:tc>
        <w:tc>
          <w:tcPr>
            <w:tcW w:w="1131" w:type="pct"/>
            <w:tcBorders>
              <w:top w:val="nil"/>
              <w:left w:val="nil"/>
              <w:bottom w:val="nil"/>
              <w:right w:val="nil"/>
            </w:tcBorders>
            <w:shd w:val="clear" w:color="auto" w:fill="auto"/>
            <w:noWrap/>
            <w:vAlign w:val="bottom"/>
            <w:hideMark/>
          </w:tcPr>
          <w:p w14:paraId="60093532" w14:textId="7FEC67EC"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9.383.588.745</w:t>
            </w:r>
          </w:p>
        </w:tc>
        <w:tc>
          <w:tcPr>
            <w:tcW w:w="2641" w:type="pct"/>
            <w:tcBorders>
              <w:top w:val="nil"/>
              <w:left w:val="nil"/>
              <w:bottom w:val="nil"/>
              <w:right w:val="nil"/>
            </w:tcBorders>
            <w:shd w:val="clear" w:color="auto" w:fill="auto"/>
            <w:noWrap/>
            <w:vAlign w:val="bottom"/>
            <w:hideMark/>
          </w:tcPr>
          <w:p w14:paraId="5C4AB434" w14:textId="7B7A8E08"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440.994.180</w:t>
            </w:r>
          </w:p>
        </w:tc>
      </w:tr>
      <w:tr w:rsidR="00BF7958" w:rsidRPr="00D93780" w14:paraId="4A903157" w14:textId="77777777" w:rsidTr="005D454E">
        <w:trPr>
          <w:trHeight w:val="240"/>
        </w:trPr>
        <w:tc>
          <w:tcPr>
            <w:tcW w:w="98" w:type="pct"/>
            <w:tcBorders>
              <w:top w:val="nil"/>
              <w:left w:val="nil"/>
              <w:bottom w:val="nil"/>
              <w:right w:val="nil"/>
            </w:tcBorders>
            <w:shd w:val="clear" w:color="auto" w:fill="auto"/>
            <w:noWrap/>
            <w:vAlign w:val="bottom"/>
            <w:hideMark/>
          </w:tcPr>
          <w:p w14:paraId="6D660A44"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8</w:t>
            </w:r>
          </w:p>
        </w:tc>
        <w:tc>
          <w:tcPr>
            <w:tcW w:w="1131" w:type="pct"/>
            <w:tcBorders>
              <w:top w:val="nil"/>
              <w:left w:val="nil"/>
              <w:bottom w:val="nil"/>
              <w:right w:val="nil"/>
            </w:tcBorders>
            <w:shd w:val="clear" w:color="auto" w:fill="auto"/>
            <w:noWrap/>
            <w:vAlign w:val="bottom"/>
            <w:hideMark/>
          </w:tcPr>
          <w:p w14:paraId="7EA4B6A7" w14:textId="6A2BB0E1"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9.067.012.804</w:t>
            </w:r>
          </w:p>
        </w:tc>
        <w:tc>
          <w:tcPr>
            <w:tcW w:w="1131" w:type="pct"/>
            <w:tcBorders>
              <w:top w:val="nil"/>
              <w:left w:val="nil"/>
              <w:bottom w:val="nil"/>
              <w:right w:val="nil"/>
            </w:tcBorders>
            <w:shd w:val="clear" w:color="auto" w:fill="auto"/>
            <w:noWrap/>
            <w:vAlign w:val="bottom"/>
            <w:hideMark/>
          </w:tcPr>
          <w:p w14:paraId="100030DD" w14:textId="5703C08F"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9.514.142.532</w:t>
            </w:r>
          </w:p>
        </w:tc>
        <w:tc>
          <w:tcPr>
            <w:tcW w:w="2641" w:type="pct"/>
            <w:tcBorders>
              <w:top w:val="nil"/>
              <w:left w:val="nil"/>
              <w:bottom w:val="nil"/>
              <w:right w:val="nil"/>
            </w:tcBorders>
            <w:shd w:val="clear" w:color="auto" w:fill="auto"/>
            <w:noWrap/>
            <w:vAlign w:val="bottom"/>
            <w:hideMark/>
          </w:tcPr>
          <w:p w14:paraId="725F3C10" w14:textId="654D715F"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447.129.728</w:t>
            </w:r>
          </w:p>
        </w:tc>
      </w:tr>
      <w:tr w:rsidR="00BF7958" w:rsidRPr="00D93780" w14:paraId="4DF6874A" w14:textId="77777777" w:rsidTr="005D454E">
        <w:trPr>
          <w:trHeight w:val="240"/>
        </w:trPr>
        <w:tc>
          <w:tcPr>
            <w:tcW w:w="98" w:type="pct"/>
            <w:tcBorders>
              <w:top w:val="nil"/>
              <w:left w:val="nil"/>
              <w:right w:val="nil"/>
            </w:tcBorders>
            <w:shd w:val="clear" w:color="auto" w:fill="auto"/>
            <w:noWrap/>
            <w:vAlign w:val="bottom"/>
            <w:hideMark/>
          </w:tcPr>
          <w:p w14:paraId="18C1B671"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9</w:t>
            </w:r>
          </w:p>
        </w:tc>
        <w:tc>
          <w:tcPr>
            <w:tcW w:w="1131" w:type="pct"/>
            <w:tcBorders>
              <w:top w:val="nil"/>
              <w:left w:val="nil"/>
              <w:right w:val="nil"/>
            </w:tcBorders>
            <w:shd w:val="clear" w:color="auto" w:fill="auto"/>
            <w:noWrap/>
            <w:vAlign w:val="bottom"/>
            <w:hideMark/>
          </w:tcPr>
          <w:p w14:paraId="5A80CCBD" w14:textId="7F309CB3"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9.193.162.073</w:t>
            </w:r>
          </w:p>
        </w:tc>
        <w:tc>
          <w:tcPr>
            <w:tcW w:w="1131" w:type="pct"/>
            <w:tcBorders>
              <w:top w:val="nil"/>
              <w:left w:val="nil"/>
              <w:right w:val="nil"/>
            </w:tcBorders>
            <w:shd w:val="clear" w:color="auto" w:fill="auto"/>
            <w:noWrap/>
            <w:vAlign w:val="bottom"/>
            <w:hideMark/>
          </w:tcPr>
          <w:p w14:paraId="1A3B57A3" w14:textId="050239F2"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9.646.512.713</w:t>
            </w:r>
          </w:p>
        </w:tc>
        <w:tc>
          <w:tcPr>
            <w:tcW w:w="2641" w:type="pct"/>
            <w:tcBorders>
              <w:top w:val="nil"/>
              <w:left w:val="nil"/>
              <w:right w:val="nil"/>
            </w:tcBorders>
            <w:shd w:val="clear" w:color="auto" w:fill="auto"/>
            <w:noWrap/>
            <w:vAlign w:val="bottom"/>
            <w:hideMark/>
          </w:tcPr>
          <w:p w14:paraId="719DCE0C" w14:textId="5D294A0E"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453.350.640</w:t>
            </w:r>
          </w:p>
        </w:tc>
      </w:tr>
      <w:tr w:rsidR="00BF7958" w:rsidRPr="00D93780" w14:paraId="4D2EC99D" w14:textId="77777777" w:rsidTr="005D454E">
        <w:trPr>
          <w:trHeight w:val="240"/>
        </w:trPr>
        <w:tc>
          <w:tcPr>
            <w:tcW w:w="98" w:type="pct"/>
            <w:tcBorders>
              <w:top w:val="nil"/>
              <w:left w:val="nil"/>
              <w:bottom w:val="single" w:sz="4" w:space="0" w:color="auto"/>
              <w:right w:val="nil"/>
            </w:tcBorders>
            <w:shd w:val="clear" w:color="auto" w:fill="auto"/>
            <w:noWrap/>
            <w:vAlign w:val="bottom"/>
            <w:hideMark/>
          </w:tcPr>
          <w:p w14:paraId="05B0EF23"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10</w:t>
            </w:r>
          </w:p>
        </w:tc>
        <w:tc>
          <w:tcPr>
            <w:tcW w:w="1131" w:type="pct"/>
            <w:tcBorders>
              <w:top w:val="nil"/>
              <w:left w:val="nil"/>
              <w:bottom w:val="single" w:sz="4" w:space="0" w:color="auto"/>
              <w:right w:val="nil"/>
            </w:tcBorders>
            <w:shd w:val="clear" w:color="auto" w:fill="auto"/>
            <w:noWrap/>
            <w:vAlign w:val="bottom"/>
            <w:hideMark/>
          </w:tcPr>
          <w:p w14:paraId="6FD2CF9A" w14:textId="01351BA4"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9.321.066.456</w:t>
            </w:r>
          </w:p>
        </w:tc>
        <w:tc>
          <w:tcPr>
            <w:tcW w:w="1131" w:type="pct"/>
            <w:tcBorders>
              <w:top w:val="nil"/>
              <w:left w:val="nil"/>
              <w:bottom w:val="single" w:sz="4" w:space="0" w:color="auto"/>
              <w:right w:val="nil"/>
            </w:tcBorders>
            <w:shd w:val="clear" w:color="auto" w:fill="auto"/>
            <w:noWrap/>
            <w:vAlign w:val="bottom"/>
            <w:hideMark/>
          </w:tcPr>
          <w:p w14:paraId="05734880" w14:textId="4C888B79"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9.780.724.560</w:t>
            </w:r>
          </w:p>
        </w:tc>
        <w:tc>
          <w:tcPr>
            <w:tcW w:w="2641" w:type="pct"/>
            <w:tcBorders>
              <w:top w:val="nil"/>
              <w:left w:val="nil"/>
              <w:bottom w:val="single" w:sz="4" w:space="0" w:color="auto"/>
              <w:right w:val="nil"/>
            </w:tcBorders>
            <w:shd w:val="clear" w:color="auto" w:fill="auto"/>
            <w:noWrap/>
            <w:vAlign w:val="bottom"/>
            <w:hideMark/>
          </w:tcPr>
          <w:p w14:paraId="32B10C3A" w14:textId="2CA79192"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459.658.104</w:t>
            </w:r>
          </w:p>
        </w:tc>
      </w:tr>
      <w:tr w:rsidR="00BF7958" w:rsidRPr="00D93780" w14:paraId="4A8B862A" w14:textId="77777777" w:rsidTr="005D454E">
        <w:trPr>
          <w:trHeight w:val="240"/>
        </w:trPr>
        <w:tc>
          <w:tcPr>
            <w:tcW w:w="98" w:type="pct"/>
            <w:tcBorders>
              <w:top w:val="single" w:sz="4" w:space="0" w:color="auto"/>
              <w:left w:val="nil"/>
              <w:bottom w:val="nil"/>
              <w:right w:val="nil"/>
            </w:tcBorders>
            <w:shd w:val="clear" w:color="auto" w:fill="auto"/>
            <w:noWrap/>
            <w:vAlign w:val="bottom"/>
            <w:hideMark/>
          </w:tcPr>
          <w:p w14:paraId="16F95CE3"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11</w:t>
            </w:r>
          </w:p>
        </w:tc>
        <w:tc>
          <w:tcPr>
            <w:tcW w:w="1131" w:type="pct"/>
            <w:tcBorders>
              <w:top w:val="single" w:sz="4" w:space="0" w:color="auto"/>
              <w:left w:val="nil"/>
              <w:bottom w:val="nil"/>
              <w:right w:val="nil"/>
            </w:tcBorders>
            <w:shd w:val="clear" w:color="auto" w:fill="auto"/>
            <w:noWrap/>
            <w:vAlign w:val="bottom"/>
            <w:hideMark/>
          </w:tcPr>
          <w:p w14:paraId="776D2390" w14:textId="1281BA5D"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9.450.750.371</w:t>
            </w:r>
          </w:p>
        </w:tc>
        <w:tc>
          <w:tcPr>
            <w:tcW w:w="1131" w:type="pct"/>
            <w:tcBorders>
              <w:top w:val="single" w:sz="4" w:space="0" w:color="auto"/>
              <w:left w:val="nil"/>
              <w:bottom w:val="nil"/>
              <w:right w:val="nil"/>
            </w:tcBorders>
            <w:shd w:val="clear" w:color="auto" w:fill="auto"/>
            <w:noWrap/>
            <w:vAlign w:val="bottom"/>
            <w:hideMark/>
          </w:tcPr>
          <w:p w14:paraId="30FA46DF" w14:textId="7BBBA1AA"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9.916.803.694</w:t>
            </w:r>
          </w:p>
        </w:tc>
        <w:tc>
          <w:tcPr>
            <w:tcW w:w="2641" w:type="pct"/>
            <w:tcBorders>
              <w:top w:val="single" w:sz="4" w:space="0" w:color="auto"/>
              <w:left w:val="nil"/>
              <w:bottom w:val="nil"/>
              <w:right w:val="nil"/>
            </w:tcBorders>
            <w:shd w:val="clear" w:color="auto" w:fill="auto"/>
            <w:noWrap/>
            <w:vAlign w:val="bottom"/>
            <w:hideMark/>
          </w:tcPr>
          <w:p w14:paraId="0C7DA0B9" w14:textId="787B56AE"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466.053.323</w:t>
            </w:r>
          </w:p>
        </w:tc>
      </w:tr>
      <w:tr w:rsidR="00BF7958" w:rsidRPr="00D93780" w14:paraId="4F0EFA28" w14:textId="77777777" w:rsidTr="005D454E">
        <w:trPr>
          <w:trHeight w:val="240"/>
        </w:trPr>
        <w:tc>
          <w:tcPr>
            <w:tcW w:w="98" w:type="pct"/>
            <w:tcBorders>
              <w:top w:val="nil"/>
              <w:left w:val="nil"/>
              <w:bottom w:val="nil"/>
              <w:right w:val="nil"/>
            </w:tcBorders>
            <w:shd w:val="clear" w:color="auto" w:fill="auto"/>
            <w:noWrap/>
            <w:vAlign w:val="bottom"/>
            <w:hideMark/>
          </w:tcPr>
          <w:p w14:paraId="65A6D27F"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12</w:t>
            </w:r>
          </w:p>
        </w:tc>
        <w:tc>
          <w:tcPr>
            <w:tcW w:w="1131" w:type="pct"/>
            <w:tcBorders>
              <w:top w:val="nil"/>
              <w:left w:val="nil"/>
              <w:bottom w:val="nil"/>
              <w:right w:val="nil"/>
            </w:tcBorders>
            <w:shd w:val="clear" w:color="auto" w:fill="auto"/>
            <w:noWrap/>
            <w:vAlign w:val="bottom"/>
            <w:hideMark/>
          </w:tcPr>
          <w:p w14:paraId="4BE638CA" w14:textId="1724794B"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9.582.238.578</w:t>
            </w:r>
          </w:p>
        </w:tc>
        <w:tc>
          <w:tcPr>
            <w:tcW w:w="1131" w:type="pct"/>
            <w:tcBorders>
              <w:top w:val="nil"/>
              <w:left w:val="nil"/>
              <w:bottom w:val="nil"/>
              <w:right w:val="nil"/>
            </w:tcBorders>
            <w:shd w:val="clear" w:color="auto" w:fill="auto"/>
            <w:noWrap/>
            <w:vAlign w:val="bottom"/>
            <w:hideMark/>
          </w:tcPr>
          <w:p w14:paraId="5A1D7160" w14:textId="62F3BF0A"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10.054.776.096</w:t>
            </w:r>
          </w:p>
        </w:tc>
        <w:tc>
          <w:tcPr>
            <w:tcW w:w="2641" w:type="pct"/>
            <w:tcBorders>
              <w:top w:val="nil"/>
              <w:left w:val="nil"/>
              <w:bottom w:val="nil"/>
              <w:right w:val="nil"/>
            </w:tcBorders>
            <w:shd w:val="clear" w:color="auto" w:fill="auto"/>
            <w:noWrap/>
            <w:vAlign w:val="bottom"/>
            <w:hideMark/>
          </w:tcPr>
          <w:p w14:paraId="36936178" w14:textId="3722FD4D"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472.537.519</w:t>
            </w:r>
          </w:p>
        </w:tc>
      </w:tr>
      <w:tr w:rsidR="00BF7958" w:rsidRPr="00D93780" w14:paraId="34DEDC15" w14:textId="77777777" w:rsidTr="005D454E">
        <w:trPr>
          <w:trHeight w:val="240"/>
        </w:trPr>
        <w:tc>
          <w:tcPr>
            <w:tcW w:w="98" w:type="pct"/>
            <w:tcBorders>
              <w:top w:val="nil"/>
              <w:left w:val="nil"/>
              <w:bottom w:val="nil"/>
              <w:right w:val="nil"/>
            </w:tcBorders>
            <w:shd w:val="clear" w:color="auto" w:fill="auto"/>
            <w:noWrap/>
            <w:vAlign w:val="bottom"/>
            <w:hideMark/>
          </w:tcPr>
          <w:p w14:paraId="0C9FA7E7"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13</w:t>
            </w:r>
          </w:p>
        </w:tc>
        <w:tc>
          <w:tcPr>
            <w:tcW w:w="1131" w:type="pct"/>
            <w:tcBorders>
              <w:top w:val="nil"/>
              <w:left w:val="nil"/>
              <w:bottom w:val="nil"/>
              <w:right w:val="nil"/>
            </w:tcBorders>
            <w:shd w:val="clear" w:color="auto" w:fill="auto"/>
            <w:noWrap/>
            <w:vAlign w:val="bottom"/>
            <w:hideMark/>
          </w:tcPr>
          <w:p w14:paraId="63F8F473" w14:textId="744C159C"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9.715.556.178</w:t>
            </w:r>
          </w:p>
        </w:tc>
        <w:tc>
          <w:tcPr>
            <w:tcW w:w="1131" w:type="pct"/>
            <w:tcBorders>
              <w:top w:val="nil"/>
              <w:left w:val="nil"/>
              <w:bottom w:val="nil"/>
              <w:right w:val="nil"/>
            </w:tcBorders>
            <w:shd w:val="clear" w:color="auto" w:fill="auto"/>
            <w:noWrap/>
            <w:vAlign w:val="bottom"/>
            <w:hideMark/>
          </w:tcPr>
          <w:p w14:paraId="60C6CE12" w14:textId="03C6016B"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10.194.668.107</w:t>
            </w:r>
          </w:p>
        </w:tc>
        <w:tc>
          <w:tcPr>
            <w:tcW w:w="2641" w:type="pct"/>
            <w:tcBorders>
              <w:top w:val="nil"/>
              <w:left w:val="nil"/>
              <w:bottom w:val="nil"/>
              <w:right w:val="nil"/>
            </w:tcBorders>
            <w:shd w:val="clear" w:color="auto" w:fill="auto"/>
            <w:noWrap/>
            <w:vAlign w:val="bottom"/>
            <w:hideMark/>
          </w:tcPr>
          <w:p w14:paraId="45DC70C4" w14:textId="1E0D8CD7"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479.111.929</w:t>
            </w:r>
          </w:p>
        </w:tc>
      </w:tr>
      <w:tr w:rsidR="00BF7958" w:rsidRPr="00D93780" w14:paraId="463F713F" w14:textId="77777777" w:rsidTr="005D454E">
        <w:trPr>
          <w:trHeight w:val="240"/>
        </w:trPr>
        <w:tc>
          <w:tcPr>
            <w:tcW w:w="98" w:type="pct"/>
            <w:tcBorders>
              <w:top w:val="nil"/>
              <w:left w:val="nil"/>
              <w:right w:val="nil"/>
            </w:tcBorders>
            <w:shd w:val="clear" w:color="auto" w:fill="auto"/>
            <w:noWrap/>
            <w:vAlign w:val="bottom"/>
            <w:hideMark/>
          </w:tcPr>
          <w:p w14:paraId="64ADD30A"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14</w:t>
            </w:r>
          </w:p>
        </w:tc>
        <w:tc>
          <w:tcPr>
            <w:tcW w:w="1131" w:type="pct"/>
            <w:tcBorders>
              <w:top w:val="nil"/>
              <w:left w:val="nil"/>
              <w:right w:val="nil"/>
            </w:tcBorders>
            <w:shd w:val="clear" w:color="auto" w:fill="auto"/>
            <w:noWrap/>
            <w:vAlign w:val="bottom"/>
            <w:hideMark/>
          </w:tcPr>
          <w:p w14:paraId="7B86166C" w14:textId="358E6BAF"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9.850.728.626</w:t>
            </w:r>
          </w:p>
        </w:tc>
        <w:tc>
          <w:tcPr>
            <w:tcW w:w="1131" w:type="pct"/>
            <w:tcBorders>
              <w:top w:val="nil"/>
              <w:left w:val="nil"/>
              <w:right w:val="nil"/>
            </w:tcBorders>
            <w:shd w:val="clear" w:color="auto" w:fill="auto"/>
            <w:noWrap/>
            <w:vAlign w:val="bottom"/>
            <w:hideMark/>
          </w:tcPr>
          <w:p w14:paraId="62172DBC" w14:textId="4CDA73B4"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10.336.506.435</w:t>
            </w:r>
          </w:p>
        </w:tc>
        <w:tc>
          <w:tcPr>
            <w:tcW w:w="2641" w:type="pct"/>
            <w:tcBorders>
              <w:top w:val="nil"/>
              <w:left w:val="nil"/>
              <w:right w:val="nil"/>
            </w:tcBorders>
            <w:shd w:val="clear" w:color="auto" w:fill="auto"/>
            <w:noWrap/>
            <w:vAlign w:val="bottom"/>
            <w:hideMark/>
          </w:tcPr>
          <w:p w14:paraId="2E4272EB" w14:textId="4EF12818"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485.777.809</w:t>
            </w:r>
          </w:p>
        </w:tc>
      </w:tr>
      <w:tr w:rsidR="00BF7958" w:rsidRPr="00D93780" w14:paraId="5C2FEB70" w14:textId="77777777" w:rsidTr="005D454E">
        <w:trPr>
          <w:trHeight w:val="240"/>
        </w:trPr>
        <w:tc>
          <w:tcPr>
            <w:tcW w:w="98" w:type="pct"/>
            <w:tcBorders>
              <w:top w:val="nil"/>
              <w:left w:val="nil"/>
              <w:bottom w:val="single" w:sz="4" w:space="0" w:color="auto"/>
              <w:right w:val="nil"/>
            </w:tcBorders>
            <w:shd w:val="clear" w:color="auto" w:fill="auto"/>
            <w:noWrap/>
            <w:vAlign w:val="bottom"/>
            <w:hideMark/>
          </w:tcPr>
          <w:p w14:paraId="0AE8497E"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15</w:t>
            </w:r>
          </w:p>
        </w:tc>
        <w:tc>
          <w:tcPr>
            <w:tcW w:w="1131" w:type="pct"/>
            <w:tcBorders>
              <w:top w:val="nil"/>
              <w:left w:val="nil"/>
              <w:bottom w:val="single" w:sz="4" w:space="0" w:color="auto"/>
              <w:right w:val="nil"/>
            </w:tcBorders>
            <w:shd w:val="clear" w:color="auto" w:fill="auto"/>
            <w:noWrap/>
            <w:vAlign w:val="bottom"/>
            <w:hideMark/>
          </w:tcPr>
          <w:p w14:paraId="0C5824D1" w14:textId="400D446E"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9.987.781.726</w:t>
            </w:r>
          </w:p>
        </w:tc>
        <w:tc>
          <w:tcPr>
            <w:tcW w:w="1131" w:type="pct"/>
            <w:tcBorders>
              <w:top w:val="nil"/>
              <w:left w:val="nil"/>
              <w:bottom w:val="single" w:sz="4" w:space="0" w:color="auto"/>
              <w:right w:val="nil"/>
            </w:tcBorders>
            <w:shd w:val="clear" w:color="auto" w:fill="auto"/>
            <w:noWrap/>
            <w:vAlign w:val="bottom"/>
            <w:hideMark/>
          </w:tcPr>
          <w:p w14:paraId="2C8928B0" w14:textId="213DCD14"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10.480.318.157</w:t>
            </w:r>
          </w:p>
        </w:tc>
        <w:tc>
          <w:tcPr>
            <w:tcW w:w="2641" w:type="pct"/>
            <w:tcBorders>
              <w:top w:val="nil"/>
              <w:left w:val="nil"/>
              <w:bottom w:val="single" w:sz="4" w:space="0" w:color="auto"/>
              <w:right w:val="nil"/>
            </w:tcBorders>
            <w:shd w:val="clear" w:color="auto" w:fill="auto"/>
            <w:noWrap/>
            <w:vAlign w:val="bottom"/>
            <w:hideMark/>
          </w:tcPr>
          <w:p w14:paraId="24EABBB6" w14:textId="72B497D8"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492.536.431</w:t>
            </w:r>
          </w:p>
        </w:tc>
      </w:tr>
      <w:tr w:rsidR="00BF7958" w:rsidRPr="00D93780" w14:paraId="530997E9" w14:textId="77777777" w:rsidTr="005D454E">
        <w:trPr>
          <w:trHeight w:val="240"/>
        </w:trPr>
        <w:tc>
          <w:tcPr>
            <w:tcW w:w="98" w:type="pct"/>
            <w:tcBorders>
              <w:top w:val="single" w:sz="4" w:space="0" w:color="auto"/>
              <w:left w:val="nil"/>
              <w:bottom w:val="nil"/>
              <w:right w:val="nil"/>
            </w:tcBorders>
            <w:shd w:val="clear" w:color="auto" w:fill="auto"/>
            <w:noWrap/>
            <w:vAlign w:val="bottom"/>
            <w:hideMark/>
          </w:tcPr>
          <w:p w14:paraId="35681BFA"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16</w:t>
            </w:r>
          </w:p>
        </w:tc>
        <w:tc>
          <w:tcPr>
            <w:tcW w:w="1131" w:type="pct"/>
            <w:tcBorders>
              <w:top w:val="single" w:sz="4" w:space="0" w:color="auto"/>
              <w:left w:val="nil"/>
              <w:bottom w:val="nil"/>
              <w:right w:val="nil"/>
            </w:tcBorders>
            <w:shd w:val="clear" w:color="auto" w:fill="auto"/>
            <w:noWrap/>
            <w:vAlign w:val="bottom"/>
            <w:hideMark/>
          </w:tcPr>
          <w:p w14:paraId="76061C0F" w14:textId="43CCC25E"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10.126.741.645</w:t>
            </w:r>
          </w:p>
        </w:tc>
        <w:tc>
          <w:tcPr>
            <w:tcW w:w="1131" w:type="pct"/>
            <w:tcBorders>
              <w:top w:val="single" w:sz="4" w:space="0" w:color="auto"/>
              <w:left w:val="nil"/>
              <w:bottom w:val="nil"/>
              <w:right w:val="nil"/>
            </w:tcBorders>
            <w:shd w:val="clear" w:color="auto" w:fill="auto"/>
            <w:noWrap/>
            <w:vAlign w:val="bottom"/>
            <w:hideMark/>
          </w:tcPr>
          <w:p w14:paraId="636F6E46" w14:textId="194B76E3"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10.626.130.731</w:t>
            </w:r>
          </w:p>
        </w:tc>
        <w:tc>
          <w:tcPr>
            <w:tcW w:w="2641" w:type="pct"/>
            <w:tcBorders>
              <w:top w:val="single" w:sz="4" w:space="0" w:color="auto"/>
              <w:left w:val="nil"/>
              <w:bottom w:val="nil"/>
              <w:right w:val="nil"/>
            </w:tcBorders>
            <w:shd w:val="clear" w:color="auto" w:fill="auto"/>
            <w:noWrap/>
            <w:vAlign w:val="bottom"/>
            <w:hideMark/>
          </w:tcPr>
          <w:p w14:paraId="44E652F7" w14:textId="064C74C1"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499.389.086</w:t>
            </w:r>
          </w:p>
        </w:tc>
      </w:tr>
      <w:tr w:rsidR="00BF7958" w:rsidRPr="00D93780" w14:paraId="301ABB30" w14:textId="77777777" w:rsidTr="005D454E">
        <w:trPr>
          <w:trHeight w:val="240"/>
        </w:trPr>
        <w:tc>
          <w:tcPr>
            <w:tcW w:w="98" w:type="pct"/>
            <w:tcBorders>
              <w:top w:val="nil"/>
              <w:left w:val="nil"/>
              <w:bottom w:val="nil"/>
              <w:right w:val="nil"/>
            </w:tcBorders>
            <w:shd w:val="clear" w:color="auto" w:fill="auto"/>
            <w:noWrap/>
            <w:vAlign w:val="bottom"/>
            <w:hideMark/>
          </w:tcPr>
          <w:p w14:paraId="321598BE"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17</w:t>
            </w:r>
          </w:p>
        </w:tc>
        <w:tc>
          <w:tcPr>
            <w:tcW w:w="1131" w:type="pct"/>
            <w:tcBorders>
              <w:top w:val="nil"/>
              <w:left w:val="nil"/>
              <w:bottom w:val="nil"/>
              <w:right w:val="nil"/>
            </w:tcBorders>
            <w:shd w:val="clear" w:color="auto" w:fill="auto"/>
            <w:noWrap/>
            <w:vAlign w:val="bottom"/>
            <w:hideMark/>
          </w:tcPr>
          <w:p w14:paraId="0191755D" w14:textId="15175A15"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10.267.634.912</w:t>
            </w:r>
          </w:p>
        </w:tc>
        <w:tc>
          <w:tcPr>
            <w:tcW w:w="1131" w:type="pct"/>
            <w:tcBorders>
              <w:top w:val="nil"/>
              <w:left w:val="nil"/>
              <w:bottom w:val="nil"/>
              <w:right w:val="nil"/>
            </w:tcBorders>
            <w:shd w:val="clear" w:color="auto" w:fill="auto"/>
            <w:noWrap/>
            <w:vAlign w:val="bottom"/>
            <w:hideMark/>
          </w:tcPr>
          <w:p w14:paraId="44501713" w14:textId="410EEB98"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10.773.971.994</w:t>
            </w:r>
          </w:p>
        </w:tc>
        <w:tc>
          <w:tcPr>
            <w:tcW w:w="2641" w:type="pct"/>
            <w:tcBorders>
              <w:top w:val="nil"/>
              <w:left w:val="nil"/>
              <w:bottom w:val="nil"/>
              <w:right w:val="nil"/>
            </w:tcBorders>
            <w:shd w:val="clear" w:color="auto" w:fill="auto"/>
            <w:noWrap/>
            <w:vAlign w:val="bottom"/>
            <w:hideMark/>
          </w:tcPr>
          <w:p w14:paraId="4F9206C6" w14:textId="304F77C6"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506.337.082</w:t>
            </w:r>
          </w:p>
        </w:tc>
      </w:tr>
      <w:tr w:rsidR="00BF7958" w:rsidRPr="00D93780" w14:paraId="368DCDFE" w14:textId="77777777" w:rsidTr="005D454E">
        <w:trPr>
          <w:trHeight w:val="240"/>
        </w:trPr>
        <w:tc>
          <w:tcPr>
            <w:tcW w:w="98" w:type="pct"/>
            <w:tcBorders>
              <w:top w:val="nil"/>
              <w:left w:val="nil"/>
              <w:bottom w:val="nil"/>
              <w:right w:val="nil"/>
            </w:tcBorders>
            <w:shd w:val="clear" w:color="auto" w:fill="auto"/>
            <w:noWrap/>
            <w:vAlign w:val="bottom"/>
            <w:hideMark/>
          </w:tcPr>
          <w:p w14:paraId="0C8BF170"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18</w:t>
            </w:r>
          </w:p>
        </w:tc>
        <w:tc>
          <w:tcPr>
            <w:tcW w:w="1131" w:type="pct"/>
            <w:tcBorders>
              <w:top w:val="nil"/>
              <w:left w:val="nil"/>
              <w:bottom w:val="nil"/>
              <w:right w:val="nil"/>
            </w:tcBorders>
            <w:shd w:val="clear" w:color="auto" w:fill="auto"/>
            <w:noWrap/>
            <w:vAlign w:val="bottom"/>
            <w:hideMark/>
          </w:tcPr>
          <w:p w14:paraId="6FBA16B9" w14:textId="2B3E1B61"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10.410.488.426</w:t>
            </w:r>
          </w:p>
        </w:tc>
        <w:tc>
          <w:tcPr>
            <w:tcW w:w="1131" w:type="pct"/>
            <w:tcBorders>
              <w:top w:val="nil"/>
              <w:left w:val="nil"/>
              <w:bottom w:val="nil"/>
              <w:right w:val="nil"/>
            </w:tcBorders>
            <w:shd w:val="clear" w:color="auto" w:fill="auto"/>
            <w:noWrap/>
            <w:vAlign w:val="bottom"/>
            <w:hideMark/>
          </w:tcPr>
          <w:p w14:paraId="5106AA85" w14:textId="741FA0B3"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10.923.870.172</w:t>
            </w:r>
          </w:p>
        </w:tc>
        <w:tc>
          <w:tcPr>
            <w:tcW w:w="2641" w:type="pct"/>
            <w:tcBorders>
              <w:top w:val="nil"/>
              <w:left w:val="nil"/>
              <w:bottom w:val="nil"/>
              <w:right w:val="nil"/>
            </w:tcBorders>
            <w:shd w:val="clear" w:color="auto" w:fill="auto"/>
            <w:noWrap/>
            <w:vAlign w:val="bottom"/>
            <w:hideMark/>
          </w:tcPr>
          <w:p w14:paraId="07C89F24" w14:textId="441F5ADC"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513.381.746</w:t>
            </w:r>
          </w:p>
        </w:tc>
      </w:tr>
      <w:tr w:rsidR="00BF7958" w:rsidRPr="00D93780" w14:paraId="24233167" w14:textId="77777777" w:rsidTr="005D454E">
        <w:trPr>
          <w:trHeight w:val="240"/>
        </w:trPr>
        <w:tc>
          <w:tcPr>
            <w:tcW w:w="98" w:type="pct"/>
            <w:tcBorders>
              <w:top w:val="nil"/>
              <w:left w:val="nil"/>
              <w:right w:val="nil"/>
            </w:tcBorders>
            <w:shd w:val="clear" w:color="auto" w:fill="auto"/>
            <w:noWrap/>
            <w:vAlign w:val="bottom"/>
            <w:hideMark/>
          </w:tcPr>
          <w:p w14:paraId="79245FAA"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19</w:t>
            </w:r>
          </w:p>
        </w:tc>
        <w:tc>
          <w:tcPr>
            <w:tcW w:w="1131" w:type="pct"/>
            <w:tcBorders>
              <w:top w:val="nil"/>
              <w:left w:val="nil"/>
              <w:right w:val="nil"/>
            </w:tcBorders>
            <w:shd w:val="clear" w:color="auto" w:fill="auto"/>
            <w:noWrap/>
            <w:vAlign w:val="bottom"/>
            <w:hideMark/>
          </w:tcPr>
          <w:p w14:paraId="0376E729" w14:textId="0DB6FA9B"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10.555.329.460</w:t>
            </w:r>
          </w:p>
        </w:tc>
        <w:tc>
          <w:tcPr>
            <w:tcW w:w="1131" w:type="pct"/>
            <w:tcBorders>
              <w:top w:val="nil"/>
              <w:left w:val="nil"/>
              <w:right w:val="nil"/>
            </w:tcBorders>
            <w:shd w:val="clear" w:color="auto" w:fill="auto"/>
            <w:noWrap/>
            <w:vAlign w:val="bottom"/>
            <w:hideMark/>
          </w:tcPr>
          <w:p w14:paraId="038EC0AD" w14:textId="2CA57614"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11.075.853.881</w:t>
            </w:r>
          </w:p>
        </w:tc>
        <w:tc>
          <w:tcPr>
            <w:tcW w:w="2641" w:type="pct"/>
            <w:tcBorders>
              <w:top w:val="nil"/>
              <w:left w:val="nil"/>
              <w:right w:val="nil"/>
            </w:tcBorders>
            <w:shd w:val="clear" w:color="auto" w:fill="auto"/>
            <w:noWrap/>
            <w:vAlign w:val="bottom"/>
            <w:hideMark/>
          </w:tcPr>
          <w:p w14:paraId="168269D8" w14:textId="057E6D1F"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520.524.421</w:t>
            </w:r>
          </w:p>
        </w:tc>
      </w:tr>
      <w:tr w:rsidR="00BF7958" w:rsidRPr="00D93780" w14:paraId="79829DDB" w14:textId="77777777" w:rsidTr="005D454E">
        <w:trPr>
          <w:trHeight w:val="240"/>
        </w:trPr>
        <w:tc>
          <w:tcPr>
            <w:tcW w:w="98" w:type="pct"/>
            <w:tcBorders>
              <w:top w:val="nil"/>
              <w:left w:val="nil"/>
              <w:bottom w:val="single" w:sz="4" w:space="0" w:color="auto"/>
              <w:right w:val="nil"/>
            </w:tcBorders>
            <w:shd w:val="clear" w:color="auto" w:fill="auto"/>
            <w:noWrap/>
            <w:vAlign w:val="bottom"/>
            <w:hideMark/>
          </w:tcPr>
          <w:p w14:paraId="752AFD27" w14:textId="77777777" w:rsidR="00BF7958" w:rsidRPr="00D93780" w:rsidRDefault="00BF7958" w:rsidP="00BF7958">
            <w:pPr>
              <w:jc w:val="right"/>
              <w:rPr>
                <w:rFonts w:ascii="Arial" w:hAnsi="Arial" w:cs="Arial"/>
                <w:color w:val="000000"/>
                <w:sz w:val="18"/>
                <w:szCs w:val="18"/>
              </w:rPr>
            </w:pPr>
            <w:r w:rsidRPr="00D93780">
              <w:rPr>
                <w:rFonts w:ascii="Arial" w:hAnsi="Arial" w:cs="Arial"/>
                <w:color w:val="000000"/>
                <w:sz w:val="18"/>
                <w:szCs w:val="18"/>
              </w:rPr>
              <w:t>20</w:t>
            </w:r>
          </w:p>
        </w:tc>
        <w:tc>
          <w:tcPr>
            <w:tcW w:w="1131" w:type="pct"/>
            <w:tcBorders>
              <w:top w:val="nil"/>
              <w:left w:val="nil"/>
              <w:bottom w:val="single" w:sz="4" w:space="0" w:color="auto"/>
              <w:right w:val="nil"/>
            </w:tcBorders>
            <w:shd w:val="clear" w:color="auto" w:fill="auto"/>
            <w:noWrap/>
            <w:vAlign w:val="bottom"/>
            <w:hideMark/>
          </w:tcPr>
          <w:p w14:paraId="0D3EBEFA" w14:textId="7B966499"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10.702.185.665</w:t>
            </w:r>
          </w:p>
        </w:tc>
        <w:tc>
          <w:tcPr>
            <w:tcW w:w="1131" w:type="pct"/>
            <w:tcBorders>
              <w:top w:val="nil"/>
              <w:left w:val="nil"/>
              <w:bottom w:val="single" w:sz="4" w:space="0" w:color="auto"/>
              <w:right w:val="nil"/>
            </w:tcBorders>
            <w:shd w:val="clear" w:color="auto" w:fill="auto"/>
            <w:noWrap/>
            <w:vAlign w:val="bottom"/>
            <w:hideMark/>
          </w:tcPr>
          <w:p w14:paraId="3B312F66" w14:textId="7945EE14"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11.229.952.138</w:t>
            </w:r>
          </w:p>
        </w:tc>
        <w:tc>
          <w:tcPr>
            <w:tcW w:w="2641" w:type="pct"/>
            <w:tcBorders>
              <w:top w:val="nil"/>
              <w:left w:val="nil"/>
              <w:bottom w:val="single" w:sz="4" w:space="0" w:color="auto"/>
              <w:right w:val="nil"/>
            </w:tcBorders>
            <w:shd w:val="clear" w:color="auto" w:fill="auto"/>
            <w:noWrap/>
            <w:vAlign w:val="bottom"/>
            <w:hideMark/>
          </w:tcPr>
          <w:p w14:paraId="68F426D5" w14:textId="366F9C12" w:rsidR="00BF7958" w:rsidRPr="00D93780" w:rsidRDefault="00BF7958" w:rsidP="00BF7958">
            <w:pPr>
              <w:ind w:right="360"/>
              <w:jc w:val="right"/>
              <w:rPr>
                <w:rFonts w:ascii="Arial" w:hAnsi="Arial" w:cs="Arial"/>
                <w:color w:val="000000"/>
                <w:sz w:val="18"/>
                <w:szCs w:val="18"/>
              </w:rPr>
            </w:pPr>
            <w:r w:rsidRPr="00D93780">
              <w:rPr>
                <w:rFonts w:ascii="Arial" w:hAnsi="Arial" w:cs="Arial"/>
                <w:color w:val="000000"/>
                <w:sz w:val="18"/>
                <w:szCs w:val="18"/>
              </w:rPr>
              <w:t>527.766.473</w:t>
            </w:r>
          </w:p>
        </w:tc>
      </w:tr>
      <w:tr w:rsidR="00BF7958" w:rsidRPr="00D93780" w14:paraId="26E7F0DC" w14:textId="77777777" w:rsidTr="005D454E">
        <w:trPr>
          <w:trHeight w:val="240"/>
        </w:trPr>
        <w:tc>
          <w:tcPr>
            <w:tcW w:w="98" w:type="pct"/>
            <w:tcBorders>
              <w:top w:val="single" w:sz="4" w:space="0" w:color="auto"/>
              <w:left w:val="nil"/>
              <w:bottom w:val="single" w:sz="4" w:space="0" w:color="auto"/>
              <w:right w:val="nil"/>
            </w:tcBorders>
            <w:shd w:val="clear" w:color="auto" w:fill="auto"/>
            <w:noWrap/>
            <w:vAlign w:val="bottom"/>
          </w:tcPr>
          <w:p w14:paraId="00295408" w14:textId="00D223A0" w:rsidR="00BF7958" w:rsidRPr="00D93780" w:rsidRDefault="00BF7958" w:rsidP="00BF7958">
            <w:pPr>
              <w:jc w:val="right"/>
              <w:rPr>
                <w:rFonts w:ascii="Arial" w:hAnsi="Arial" w:cs="Arial"/>
                <w:color w:val="000000"/>
                <w:sz w:val="18"/>
                <w:szCs w:val="18"/>
              </w:rPr>
            </w:pPr>
          </w:p>
        </w:tc>
        <w:tc>
          <w:tcPr>
            <w:tcW w:w="1131" w:type="pct"/>
            <w:tcBorders>
              <w:top w:val="single" w:sz="4" w:space="0" w:color="auto"/>
              <w:left w:val="nil"/>
              <w:bottom w:val="single" w:sz="4" w:space="0" w:color="auto"/>
              <w:right w:val="nil"/>
            </w:tcBorders>
            <w:shd w:val="clear" w:color="auto" w:fill="auto"/>
            <w:noWrap/>
            <w:vAlign w:val="bottom"/>
          </w:tcPr>
          <w:p w14:paraId="4C8979F7" w14:textId="72C31C6D" w:rsidR="00BF7958" w:rsidRPr="00D93780" w:rsidRDefault="00BF7958" w:rsidP="00BF7958">
            <w:pPr>
              <w:ind w:right="360"/>
              <w:jc w:val="right"/>
              <w:rPr>
                <w:rFonts w:ascii="Arial" w:hAnsi="Arial" w:cs="Arial"/>
                <w:b/>
                <w:color w:val="000000"/>
                <w:sz w:val="18"/>
                <w:szCs w:val="18"/>
              </w:rPr>
            </w:pPr>
            <w:r w:rsidRPr="00D93780">
              <w:rPr>
                <w:rFonts w:ascii="Arial" w:hAnsi="Arial" w:cs="Arial"/>
                <w:b/>
                <w:color w:val="000000"/>
                <w:sz w:val="18"/>
                <w:szCs w:val="18"/>
              </w:rPr>
              <w:t>188.310.041.300</w:t>
            </w:r>
          </w:p>
        </w:tc>
        <w:tc>
          <w:tcPr>
            <w:tcW w:w="1131" w:type="pct"/>
            <w:tcBorders>
              <w:top w:val="single" w:sz="4" w:space="0" w:color="auto"/>
              <w:left w:val="nil"/>
              <w:bottom w:val="single" w:sz="4" w:space="0" w:color="auto"/>
              <w:right w:val="nil"/>
            </w:tcBorders>
            <w:shd w:val="clear" w:color="auto" w:fill="auto"/>
            <w:noWrap/>
            <w:vAlign w:val="bottom"/>
          </w:tcPr>
          <w:p w14:paraId="5118E860" w14:textId="42268326" w:rsidR="00BF7958" w:rsidRPr="00D93780" w:rsidRDefault="00BF7958" w:rsidP="00BF7958">
            <w:pPr>
              <w:ind w:right="360"/>
              <w:jc w:val="right"/>
              <w:rPr>
                <w:rFonts w:ascii="Arial" w:hAnsi="Arial" w:cs="Arial"/>
                <w:b/>
                <w:color w:val="000000"/>
                <w:sz w:val="18"/>
                <w:szCs w:val="18"/>
              </w:rPr>
            </w:pPr>
            <w:r w:rsidRPr="00D93780">
              <w:rPr>
                <w:rFonts w:ascii="Arial" w:hAnsi="Arial" w:cs="Arial"/>
                <w:b/>
                <w:color w:val="000000"/>
                <w:sz w:val="18"/>
                <w:szCs w:val="18"/>
              </w:rPr>
              <w:t>196.361.595.187</w:t>
            </w:r>
          </w:p>
        </w:tc>
        <w:tc>
          <w:tcPr>
            <w:tcW w:w="2641" w:type="pct"/>
            <w:tcBorders>
              <w:top w:val="single" w:sz="4" w:space="0" w:color="auto"/>
              <w:left w:val="nil"/>
              <w:bottom w:val="single" w:sz="4" w:space="0" w:color="auto"/>
              <w:right w:val="nil"/>
            </w:tcBorders>
            <w:shd w:val="clear" w:color="auto" w:fill="auto"/>
            <w:noWrap/>
            <w:vAlign w:val="bottom"/>
          </w:tcPr>
          <w:p w14:paraId="43978577" w14:textId="724FF760" w:rsidR="00BF7958" w:rsidRPr="00D93780" w:rsidRDefault="00BF7958" w:rsidP="00BF7958">
            <w:pPr>
              <w:ind w:right="360"/>
              <w:jc w:val="right"/>
              <w:rPr>
                <w:rFonts w:ascii="Arial" w:hAnsi="Arial" w:cs="Arial"/>
                <w:b/>
                <w:color w:val="000000"/>
                <w:sz w:val="18"/>
                <w:szCs w:val="18"/>
              </w:rPr>
            </w:pPr>
            <w:r w:rsidRPr="00D93780">
              <w:rPr>
                <w:rFonts w:ascii="Arial" w:hAnsi="Arial" w:cs="Arial"/>
                <w:b/>
                <w:color w:val="000000"/>
                <w:sz w:val="18"/>
                <w:szCs w:val="18"/>
              </w:rPr>
              <w:t>8.051.553.887</w:t>
            </w:r>
          </w:p>
        </w:tc>
      </w:tr>
    </w:tbl>
    <w:p w14:paraId="22EECAA7" w14:textId="77777777" w:rsidR="00ED2E20" w:rsidRPr="00462E76" w:rsidRDefault="00ED2E20" w:rsidP="005D454E">
      <w:pPr>
        <w:tabs>
          <w:tab w:val="left" w:pos="540"/>
        </w:tabs>
        <w:ind w:left="540"/>
        <w:rPr>
          <w:rFonts w:ascii="Arial" w:hAnsi="Arial" w:cs="Arial"/>
          <w:sz w:val="18"/>
          <w:szCs w:val="22"/>
        </w:rPr>
      </w:pPr>
      <w:r w:rsidRPr="00462E76">
        <w:rPr>
          <w:rFonts w:ascii="Arial" w:hAnsi="Arial" w:cs="Arial"/>
          <w:sz w:val="18"/>
          <w:szCs w:val="22"/>
        </w:rPr>
        <w:t>Montos en USD. Sin descontar.</w:t>
      </w:r>
    </w:p>
    <w:p w14:paraId="043A587E" w14:textId="77777777" w:rsidR="00ED2E20" w:rsidRPr="00D93780" w:rsidRDefault="00ED2E20" w:rsidP="005D454E">
      <w:pPr>
        <w:pStyle w:val="Heading3"/>
        <w:tabs>
          <w:tab w:val="clear" w:pos="720"/>
          <w:tab w:val="left" w:pos="630"/>
        </w:tabs>
        <w:spacing w:before="120" w:after="120"/>
        <w:rPr>
          <w:rFonts w:ascii="Arial" w:hAnsi="Arial"/>
          <w:szCs w:val="22"/>
        </w:rPr>
      </w:pPr>
      <w:bookmarkStart w:id="16" w:name="_Toc456337509"/>
      <w:r w:rsidRPr="00D93780">
        <w:rPr>
          <w:rFonts w:ascii="Arial" w:hAnsi="Arial"/>
          <w:szCs w:val="22"/>
        </w:rPr>
        <w:t>Resultados de la evaluación económica: escenario base</w:t>
      </w:r>
      <w:bookmarkEnd w:id="16"/>
    </w:p>
    <w:p w14:paraId="4D617DD0" w14:textId="7E31FAB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Descontando los flujos, en el cuadro </w:t>
      </w:r>
      <w:r w:rsidR="007D05D5" w:rsidRPr="00D93780">
        <w:rPr>
          <w:rFonts w:ascii="Arial" w:hAnsi="Arial" w:cs="Arial"/>
          <w:sz w:val="22"/>
          <w:szCs w:val="22"/>
        </w:rPr>
        <w:t>7</w:t>
      </w:r>
      <w:r w:rsidRPr="00D93780">
        <w:rPr>
          <w:rFonts w:ascii="Arial" w:hAnsi="Arial" w:cs="Arial"/>
          <w:sz w:val="22"/>
          <w:szCs w:val="22"/>
        </w:rPr>
        <w:t xml:space="preserve"> se muestra que los beneficios igualan a los costos con una tasa interna de retorno del </w:t>
      </w:r>
      <w:r w:rsidR="008233F3" w:rsidRPr="00D93780">
        <w:rPr>
          <w:rFonts w:ascii="Arial" w:hAnsi="Arial" w:cs="Arial"/>
          <w:sz w:val="22"/>
          <w:szCs w:val="22"/>
        </w:rPr>
        <w:t>21</w:t>
      </w:r>
      <w:r w:rsidRPr="00D93780">
        <w:rPr>
          <w:rFonts w:ascii="Arial" w:hAnsi="Arial" w:cs="Arial"/>
          <w:sz w:val="22"/>
          <w:szCs w:val="22"/>
        </w:rPr>
        <w:t>,</w:t>
      </w:r>
      <w:r w:rsidR="008233F3" w:rsidRPr="00D93780">
        <w:rPr>
          <w:rFonts w:ascii="Arial" w:hAnsi="Arial" w:cs="Arial"/>
          <w:sz w:val="22"/>
          <w:szCs w:val="22"/>
        </w:rPr>
        <w:t>6</w:t>
      </w:r>
      <w:r w:rsidRPr="00D93780">
        <w:rPr>
          <w:rFonts w:ascii="Arial" w:hAnsi="Arial" w:cs="Arial"/>
          <w:sz w:val="22"/>
          <w:szCs w:val="22"/>
        </w:rPr>
        <w:t xml:space="preserve">%, netamente superior a cualquiera de las tasas de descuento alternativas (6% y 12%). Los flujos descontados de beneficios son superiores en un </w:t>
      </w:r>
      <w:r w:rsidR="008233F3" w:rsidRPr="00D93780">
        <w:rPr>
          <w:rFonts w:ascii="Arial" w:hAnsi="Arial" w:cs="Arial"/>
          <w:sz w:val="22"/>
          <w:szCs w:val="22"/>
        </w:rPr>
        <w:t>28</w:t>
      </w:r>
      <w:r w:rsidRPr="00D93780">
        <w:rPr>
          <w:rFonts w:ascii="Arial" w:hAnsi="Arial" w:cs="Arial"/>
          <w:sz w:val="22"/>
          <w:szCs w:val="22"/>
        </w:rPr>
        <w:t>,</w:t>
      </w:r>
      <w:r w:rsidR="008233F3" w:rsidRPr="00D93780">
        <w:rPr>
          <w:rFonts w:ascii="Arial" w:hAnsi="Arial" w:cs="Arial"/>
          <w:sz w:val="22"/>
          <w:szCs w:val="22"/>
        </w:rPr>
        <w:t>9</w:t>
      </w:r>
      <w:r w:rsidRPr="00D93780">
        <w:rPr>
          <w:rFonts w:ascii="Arial" w:hAnsi="Arial" w:cs="Arial"/>
          <w:sz w:val="22"/>
          <w:szCs w:val="22"/>
        </w:rPr>
        <w:t xml:space="preserve">% a los flujos descontados de costos, para una tasa de descuento del 6%. En el caso de aplicar la tasa del 12%, similar a la tasa social de descuento, los flujos descontados de beneficios superan en un </w:t>
      </w:r>
      <w:r w:rsidR="008233F3" w:rsidRPr="00D93780">
        <w:rPr>
          <w:rFonts w:ascii="Arial" w:hAnsi="Arial" w:cs="Arial"/>
          <w:sz w:val="22"/>
          <w:szCs w:val="22"/>
        </w:rPr>
        <w:t>17</w:t>
      </w:r>
      <w:r w:rsidRPr="00D93780">
        <w:rPr>
          <w:rFonts w:ascii="Arial" w:hAnsi="Arial" w:cs="Arial"/>
          <w:sz w:val="22"/>
          <w:szCs w:val="22"/>
        </w:rPr>
        <w:t>,</w:t>
      </w:r>
      <w:r w:rsidR="008233F3" w:rsidRPr="00D93780">
        <w:rPr>
          <w:rFonts w:ascii="Arial" w:hAnsi="Arial" w:cs="Arial"/>
          <w:sz w:val="22"/>
          <w:szCs w:val="22"/>
        </w:rPr>
        <w:t>6</w:t>
      </w:r>
      <w:r w:rsidRPr="00D93780">
        <w:rPr>
          <w:rFonts w:ascii="Arial" w:hAnsi="Arial" w:cs="Arial"/>
          <w:sz w:val="22"/>
          <w:szCs w:val="22"/>
        </w:rPr>
        <w:t>% al de costos.</w:t>
      </w:r>
    </w:p>
    <w:p w14:paraId="02CB7EA7" w14:textId="228EC99E"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7D05D5" w:rsidRPr="00462E76">
        <w:rPr>
          <w:rFonts w:ascii="Arial" w:hAnsi="Arial" w:cs="Arial"/>
          <w:b/>
          <w:sz w:val="18"/>
          <w:szCs w:val="22"/>
        </w:rPr>
        <w:t>7</w:t>
      </w:r>
      <w:r w:rsidRPr="00462E76">
        <w:rPr>
          <w:rFonts w:ascii="Arial" w:hAnsi="Arial" w:cs="Arial"/>
          <w:b/>
          <w:sz w:val="18"/>
          <w:szCs w:val="22"/>
        </w:rPr>
        <w:t>. Resultados del escenario base</w:t>
      </w:r>
    </w:p>
    <w:tbl>
      <w:tblPr>
        <w:tblW w:w="4738" w:type="pct"/>
        <w:tblInd w:w="390" w:type="dxa"/>
        <w:tblCellMar>
          <w:left w:w="70" w:type="dxa"/>
          <w:right w:w="70" w:type="dxa"/>
        </w:tblCellMar>
        <w:tblLook w:val="04A0" w:firstRow="1" w:lastRow="0" w:firstColumn="1" w:lastColumn="0" w:noHBand="0" w:noVBand="1"/>
      </w:tblPr>
      <w:tblGrid>
        <w:gridCol w:w="3060"/>
        <w:gridCol w:w="2484"/>
        <w:gridCol w:w="2776"/>
      </w:tblGrid>
      <w:tr w:rsidR="00ED2E20" w:rsidRPr="00D93780" w14:paraId="239CF988" w14:textId="77777777" w:rsidTr="005D454E">
        <w:trPr>
          <w:trHeight w:val="225"/>
        </w:trPr>
        <w:tc>
          <w:tcPr>
            <w:tcW w:w="1839" w:type="pct"/>
            <w:tcBorders>
              <w:top w:val="single" w:sz="4" w:space="0" w:color="auto"/>
              <w:left w:val="nil"/>
              <w:bottom w:val="single" w:sz="4" w:space="0" w:color="auto"/>
              <w:right w:val="nil"/>
            </w:tcBorders>
            <w:shd w:val="clear" w:color="auto" w:fill="D9D9D9" w:themeFill="background1" w:themeFillShade="D9"/>
            <w:noWrap/>
            <w:vAlign w:val="bottom"/>
            <w:hideMark/>
          </w:tcPr>
          <w:p w14:paraId="53C67414" w14:textId="77777777" w:rsidR="00ED2E20" w:rsidRPr="00D93780" w:rsidRDefault="00ED2E20" w:rsidP="00227A32">
            <w:pPr>
              <w:rPr>
                <w:rFonts w:ascii="Arial" w:hAnsi="Arial" w:cs="Arial"/>
                <w:b/>
                <w:bCs/>
                <w:color w:val="000000"/>
                <w:sz w:val="18"/>
                <w:szCs w:val="18"/>
                <w:lang w:val="es-ES_tradnl" w:eastAsia="es-ES_tradnl"/>
              </w:rPr>
            </w:pPr>
            <w:r w:rsidRPr="00D93780">
              <w:rPr>
                <w:rFonts w:ascii="Arial" w:hAnsi="Arial" w:cs="Arial"/>
                <w:b/>
                <w:bCs/>
                <w:color w:val="000000"/>
                <w:sz w:val="18"/>
                <w:szCs w:val="18"/>
                <w:lang w:val="es-ES_tradnl" w:eastAsia="es-ES_tradnl"/>
              </w:rPr>
              <w:t>TIR</w:t>
            </w:r>
          </w:p>
        </w:tc>
        <w:tc>
          <w:tcPr>
            <w:tcW w:w="3161"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7F6011EF" w14:textId="1B520CA9" w:rsidR="00ED2E20" w:rsidRPr="00D93780" w:rsidRDefault="008233F3" w:rsidP="00227A32">
            <w:pPr>
              <w:jc w:val="center"/>
              <w:rPr>
                <w:rFonts w:ascii="Arial" w:hAnsi="Arial" w:cs="Arial"/>
                <w:b/>
                <w:bCs/>
                <w:color w:val="000000"/>
                <w:sz w:val="18"/>
                <w:szCs w:val="18"/>
                <w:lang w:val="es-ES_tradnl" w:eastAsia="es-ES_tradnl"/>
              </w:rPr>
            </w:pPr>
            <w:r w:rsidRPr="00D93780">
              <w:rPr>
                <w:rFonts w:ascii="Arial" w:hAnsi="Arial" w:cs="Arial"/>
                <w:b/>
                <w:bCs/>
                <w:color w:val="000000"/>
                <w:sz w:val="18"/>
                <w:szCs w:val="18"/>
                <w:lang w:val="es-ES_tradnl" w:eastAsia="es-ES_tradnl"/>
              </w:rPr>
              <w:t>21,6</w:t>
            </w:r>
            <w:r w:rsidR="00ED2E20" w:rsidRPr="00D93780">
              <w:rPr>
                <w:rFonts w:ascii="Arial" w:hAnsi="Arial" w:cs="Arial"/>
                <w:b/>
                <w:bCs/>
                <w:color w:val="000000"/>
                <w:sz w:val="18"/>
                <w:szCs w:val="18"/>
                <w:lang w:val="es-ES_tradnl" w:eastAsia="es-ES_tradnl"/>
              </w:rPr>
              <w:t>%</w:t>
            </w:r>
          </w:p>
        </w:tc>
      </w:tr>
      <w:tr w:rsidR="00ED2E20" w:rsidRPr="00D93780" w14:paraId="3FAE597A" w14:textId="77777777" w:rsidTr="005D454E">
        <w:trPr>
          <w:trHeight w:val="225"/>
        </w:trPr>
        <w:tc>
          <w:tcPr>
            <w:tcW w:w="1839" w:type="pct"/>
            <w:tcBorders>
              <w:top w:val="single" w:sz="4" w:space="0" w:color="auto"/>
              <w:left w:val="nil"/>
              <w:right w:val="nil"/>
            </w:tcBorders>
            <w:shd w:val="clear" w:color="auto" w:fill="auto"/>
            <w:noWrap/>
            <w:vAlign w:val="bottom"/>
            <w:hideMark/>
          </w:tcPr>
          <w:p w14:paraId="581DAC0C" w14:textId="77777777" w:rsidR="00ED2E20" w:rsidRPr="00D93780" w:rsidRDefault="00ED2E20" w:rsidP="00227A32">
            <w:pPr>
              <w:rPr>
                <w:rFonts w:ascii="Arial" w:hAnsi="Arial" w:cs="Arial"/>
                <w:b/>
                <w:bCs/>
                <w:color w:val="000000"/>
                <w:sz w:val="18"/>
                <w:szCs w:val="18"/>
                <w:lang w:val="es-ES_tradnl" w:eastAsia="es-ES_tradnl"/>
              </w:rPr>
            </w:pPr>
          </w:p>
        </w:tc>
        <w:tc>
          <w:tcPr>
            <w:tcW w:w="1493" w:type="pct"/>
            <w:tcBorders>
              <w:top w:val="single" w:sz="4" w:space="0" w:color="auto"/>
              <w:left w:val="nil"/>
              <w:right w:val="nil"/>
            </w:tcBorders>
            <w:shd w:val="clear" w:color="auto" w:fill="auto"/>
            <w:noWrap/>
            <w:vAlign w:val="bottom"/>
            <w:hideMark/>
          </w:tcPr>
          <w:p w14:paraId="055E39CE" w14:textId="77777777" w:rsidR="00ED2E20" w:rsidRPr="00D93780" w:rsidRDefault="00ED2E20" w:rsidP="00227A32">
            <w:pPr>
              <w:jc w:val="center"/>
              <w:rPr>
                <w:rFonts w:ascii="Arial" w:hAnsi="Arial" w:cs="Arial"/>
                <w:b/>
                <w:bCs/>
                <w:color w:val="000000"/>
                <w:sz w:val="18"/>
                <w:szCs w:val="18"/>
                <w:lang w:val="es-ES_tradnl" w:eastAsia="es-ES_tradnl"/>
              </w:rPr>
            </w:pPr>
          </w:p>
        </w:tc>
        <w:tc>
          <w:tcPr>
            <w:tcW w:w="1668" w:type="pct"/>
            <w:tcBorders>
              <w:top w:val="single" w:sz="4" w:space="0" w:color="auto"/>
              <w:left w:val="nil"/>
              <w:right w:val="nil"/>
            </w:tcBorders>
            <w:shd w:val="clear" w:color="auto" w:fill="auto"/>
            <w:noWrap/>
            <w:vAlign w:val="bottom"/>
            <w:hideMark/>
          </w:tcPr>
          <w:p w14:paraId="0ADC4777" w14:textId="77777777" w:rsidR="00ED2E20" w:rsidRPr="00D93780" w:rsidRDefault="00ED2E20" w:rsidP="00227A32">
            <w:pPr>
              <w:jc w:val="center"/>
              <w:rPr>
                <w:rFonts w:ascii="Arial" w:hAnsi="Arial" w:cs="Arial"/>
                <w:b/>
                <w:bCs/>
                <w:color w:val="000000"/>
                <w:sz w:val="18"/>
                <w:szCs w:val="18"/>
                <w:lang w:val="es-ES_tradnl" w:eastAsia="es-ES_tradnl"/>
              </w:rPr>
            </w:pPr>
          </w:p>
        </w:tc>
      </w:tr>
      <w:tr w:rsidR="00ED2E20" w:rsidRPr="00D93780" w14:paraId="08D53FE2" w14:textId="77777777" w:rsidTr="005D454E">
        <w:trPr>
          <w:trHeight w:val="225"/>
        </w:trPr>
        <w:tc>
          <w:tcPr>
            <w:tcW w:w="1839" w:type="pct"/>
            <w:tcBorders>
              <w:top w:val="nil"/>
              <w:left w:val="nil"/>
              <w:bottom w:val="single" w:sz="4" w:space="0" w:color="auto"/>
              <w:right w:val="nil"/>
            </w:tcBorders>
            <w:shd w:val="clear" w:color="auto" w:fill="auto"/>
            <w:noWrap/>
            <w:vAlign w:val="bottom"/>
            <w:hideMark/>
          </w:tcPr>
          <w:p w14:paraId="1EAB6E78" w14:textId="77777777" w:rsidR="00ED2E20" w:rsidRPr="00D93780" w:rsidRDefault="00ED2E20" w:rsidP="00227A32">
            <w:pPr>
              <w:rPr>
                <w:rFonts w:ascii="Arial" w:hAnsi="Arial" w:cs="Arial"/>
                <w:color w:val="000000"/>
                <w:sz w:val="18"/>
                <w:szCs w:val="18"/>
              </w:rPr>
            </w:pPr>
            <w:r w:rsidRPr="00D93780">
              <w:rPr>
                <w:rFonts w:ascii="Arial" w:hAnsi="Arial" w:cs="Arial"/>
                <w:color w:val="000000"/>
                <w:sz w:val="18"/>
                <w:szCs w:val="18"/>
              </w:rPr>
              <w:t>Tasa de descuento</w:t>
            </w:r>
          </w:p>
        </w:tc>
        <w:tc>
          <w:tcPr>
            <w:tcW w:w="1493" w:type="pct"/>
            <w:tcBorders>
              <w:top w:val="nil"/>
              <w:left w:val="nil"/>
              <w:bottom w:val="single" w:sz="4" w:space="0" w:color="auto"/>
              <w:right w:val="nil"/>
            </w:tcBorders>
            <w:shd w:val="clear" w:color="auto" w:fill="auto"/>
            <w:noWrap/>
            <w:vAlign w:val="bottom"/>
            <w:hideMark/>
          </w:tcPr>
          <w:p w14:paraId="31B9C092" w14:textId="77777777" w:rsidR="00ED2E20" w:rsidRPr="00D93780" w:rsidRDefault="00ED2E20" w:rsidP="00227A32">
            <w:pPr>
              <w:jc w:val="right"/>
              <w:rPr>
                <w:rFonts w:ascii="Arial" w:hAnsi="Arial" w:cs="Arial"/>
                <w:color w:val="000000"/>
                <w:sz w:val="18"/>
                <w:szCs w:val="18"/>
                <w:lang w:val="es-ES_tradnl" w:eastAsia="es-ES_tradnl"/>
              </w:rPr>
            </w:pPr>
            <w:r w:rsidRPr="00D93780">
              <w:rPr>
                <w:rFonts w:ascii="Arial" w:hAnsi="Arial" w:cs="Arial"/>
                <w:color w:val="000000"/>
                <w:sz w:val="18"/>
                <w:szCs w:val="18"/>
                <w:lang w:val="es-ES_tradnl" w:eastAsia="es-ES_tradnl"/>
              </w:rPr>
              <w:t>6,0%</w:t>
            </w:r>
          </w:p>
        </w:tc>
        <w:tc>
          <w:tcPr>
            <w:tcW w:w="1668" w:type="pct"/>
            <w:tcBorders>
              <w:top w:val="nil"/>
              <w:left w:val="nil"/>
              <w:bottom w:val="single" w:sz="4" w:space="0" w:color="auto"/>
              <w:right w:val="nil"/>
            </w:tcBorders>
            <w:shd w:val="clear" w:color="auto" w:fill="auto"/>
            <w:noWrap/>
            <w:vAlign w:val="bottom"/>
            <w:hideMark/>
          </w:tcPr>
          <w:p w14:paraId="3E1D65C0" w14:textId="77777777" w:rsidR="00ED2E20" w:rsidRPr="00D93780" w:rsidRDefault="00ED2E20" w:rsidP="00227A32">
            <w:pPr>
              <w:jc w:val="right"/>
              <w:rPr>
                <w:rFonts w:ascii="Arial" w:hAnsi="Arial" w:cs="Arial"/>
                <w:color w:val="000000"/>
                <w:sz w:val="18"/>
                <w:szCs w:val="18"/>
                <w:lang w:val="es-ES_tradnl" w:eastAsia="es-ES_tradnl"/>
              </w:rPr>
            </w:pPr>
            <w:r w:rsidRPr="00D93780">
              <w:rPr>
                <w:rFonts w:ascii="Arial" w:hAnsi="Arial" w:cs="Arial"/>
                <w:color w:val="000000"/>
                <w:sz w:val="18"/>
                <w:szCs w:val="18"/>
                <w:lang w:val="es-ES_tradnl" w:eastAsia="es-ES_tradnl"/>
              </w:rPr>
              <w:t>12%</w:t>
            </w:r>
          </w:p>
        </w:tc>
      </w:tr>
      <w:tr w:rsidR="008233F3" w:rsidRPr="00D93780" w14:paraId="6A31FF6E" w14:textId="77777777" w:rsidTr="005D454E">
        <w:trPr>
          <w:trHeight w:val="225"/>
        </w:trPr>
        <w:tc>
          <w:tcPr>
            <w:tcW w:w="1839" w:type="pct"/>
            <w:tcBorders>
              <w:top w:val="single" w:sz="4" w:space="0" w:color="auto"/>
              <w:left w:val="nil"/>
              <w:bottom w:val="nil"/>
              <w:right w:val="nil"/>
            </w:tcBorders>
            <w:shd w:val="clear" w:color="auto" w:fill="auto"/>
            <w:noWrap/>
            <w:vAlign w:val="bottom"/>
            <w:hideMark/>
          </w:tcPr>
          <w:p w14:paraId="78007F5D" w14:textId="77777777" w:rsidR="008233F3" w:rsidRPr="00D93780" w:rsidRDefault="008233F3" w:rsidP="008233F3">
            <w:pPr>
              <w:rPr>
                <w:rFonts w:ascii="Arial" w:hAnsi="Arial" w:cs="Arial"/>
                <w:color w:val="000000"/>
                <w:sz w:val="18"/>
                <w:szCs w:val="18"/>
              </w:rPr>
            </w:pPr>
            <w:r w:rsidRPr="00D93780">
              <w:rPr>
                <w:rFonts w:ascii="Arial" w:hAnsi="Arial" w:cs="Arial"/>
                <w:color w:val="000000"/>
                <w:sz w:val="18"/>
                <w:szCs w:val="18"/>
              </w:rPr>
              <w:t>Beneficios (VPB)</w:t>
            </w:r>
          </w:p>
        </w:tc>
        <w:tc>
          <w:tcPr>
            <w:tcW w:w="1493" w:type="pct"/>
            <w:tcBorders>
              <w:top w:val="single" w:sz="4" w:space="0" w:color="auto"/>
              <w:left w:val="nil"/>
              <w:bottom w:val="nil"/>
              <w:right w:val="nil"/>
            </w:tcBorders>
            <w:shd w:val="clear" w:color="auto" w:fill="auto"/>
            <w:noWrap/>
            <w:vAlign w:val="bottom"/>
            <w:hideMark/>
          </w:tcPr>
          <w:p w14:paraId="462310D1" w14:textId="4A6145FC"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131.856.702</w:t>
            </w:r>
          </w:p>
        </w:tc>
        <w:tc>
          <w:tcPr>
            <w:tcW w:w="1668" w:type="pct"/>
            <w:tcBorders>
              <w:top w:val="single" w:sz="4" w:space="0" w:color="auto"/>
              <w:left w:val="nil"/>
              <w:bottom w:val="nil"/>
              <w:right w:val="nil"/>
            </w:tcBorders>
            <w:shd w:val="clear" w:color="auto" w:fill="auto"/>
            <w:noWrap/>
            <w:vAlign w:val="bottom"/>
            <w:hideMark/>
          </w:tcPr>
          <w:p w14:paraId="4A48E97B" w14:textId="31509B4F"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74.702.131</w:t>
            </w:r>
          </w:p>
        </w:tc>
      </w:tr>
      <w:tr w:rsidR="008233F3" w:rsidRPr="00D93780" w14:paraId="1D91344A" w14:textId="77777777" w:rsidTr="005D454E">
        <w:trPr>
          <w:trHeight w:val="225"/>
        </w:trPr>
        <w:tc>
          <w:tcPr>
            <w:tcW w:w="1839" w:type="pct"/>
            <w:tcBorders>
              <w:top w:val="nil"/>
              <w:left w:val="nil"/>
              <w:bottom w:val="nil"/>
              <w:right w:val="nil"/>
            </w:tcBorders>
            <w:shd w:val="clear" w:color="auto" w:fill="auto"/>
            <w:noWrap/>
            <w:vAlign w:val="bottom"/>
            <w:hideMark/>
          </w:tcPr>
          <w:p w14:paraId="1B210072" w14:textId="77777777" w:rsidR="008233F3" w:rsidRPr="00D93780" w:rsidRDefault="008233F3" w:rsidP="008233F3">
            <w:pPr>
              <w:rPr>
                <w:rFonts w:ascii="Arial" w:hAnsi="Arial" w:cs="Arial"/>
                <w:color w:val="000000"/>
                <w:sz w:val="18"/>
                <w:szCs w:val="18"/>
              </w:rPr>
            </w:pPr>
            <w:r w:rsidRPr="00D93780">
              <w:rPr>
                <w:rFonts w:ascii="Arial" w:hAnsi="Arial" w:cs="Arial"/>
                <w:color w:val="000000"/>
                <w:sz w:val="18"/>
                <w:szCs w:val="18"/>
              </w:rPr>
              <w:t>Costos (VPC)</w:t>
            </w:r>
          </w:p>
        </w:tc>
        <w:tc>
          <w:tcPr>
            <w:tcW w:w="1493" w:type="pct"/>
            <w:tcBorders>
              <w:top w:val="nil"/>
              <w:left w:val="nil"/>
              <w:bottom w:val="nil"/>
              <w:right w:val="nil"/>
            </w:tcBorders>
            <w:shd w:val="clear" w:color="auto" w:fill="auto"/>
            <w:noWrap/>
            <w:vAlign w:val="bottom"/>
            <w:hideMark/>
          </w:tcPr>
          <w:p w14:paraId="5C1AD4F4" w14:textId="7D429F2E"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102.300.009</w:t>
            </w:r>
          </w:p>
        </w:tc>
        <w:tc>
          <w:tcPr>
            <w:tcW w:w="1668" w:type="pct"/>
            <w:tcBorders>
              <w:top w:val="nil"/>
              <w:left w:val="nil"/>
              <w:bottom w:val="nil"/>
              <w:right w:val="nil"/>
            </w:tcBorders>
            <w:shd w:val="clear" w:color="auto" w:fill="auto"/>
            <w:noWrap/>
            <w:vAlign w:val="bottom"/>
            <w:hideMark/>
          </w:tcPr>
          <w:p w14:paraId="0C686FAF" w14:textId="0EDC8ECB"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63.505.795</w:t>
            </w:r>
          </w:p>
        </w:tc>
      </w:tr>
      <w:tr w:rsidR="008233F3" w:rsidRPr="00D93780" w14:paraId="642ABF60" w14:textId="77777777" w:rsidTr="005D454E">
        <w:trPr>
          <w:trHeight w:val="225"/>
        </w:trPr>
        <w:tc>
          <w:tcPr>
            <w:tcW w:w="1839" w:type="pct"/>
            <w:tcBorders>
              <w:top w:val="nil"/>
              <w:left w:val="nil"/>
              <w:right w:val="nil"/>
            </w:tcBorders>
            <w:shd w:val="clear" w:color="auto" w:fill="auto"/>
            <w:noWrap/>
            <w:vAlign w:val="bottom"/>
            <w:hideMark/>
          </w:tcPr>
          <w:p w14:paraId="668FB8B2" w14:textId="77777777" w:rsidR="008233F3" w:rsidRPr="00D93780" w:rsidRDefault="008233F3" w:rsidP="008233F3">
            <w:pPr>
              <w:rPr>
                <w:rFonts w:ascii="Arial" w:hAnsi="Arial" w:cs="Arial"/>
                <w:color w:val="000000"/>
                <w:sz w:val="18"/>
                <w:szCs w:val="18"/>
              </w:rPr>
            </w:pPr>
            <w:r w:rsidRPr="00D93780">
              <w:rPr>
                <w:rFonts w:ascii="Arial" w:hAnsi="Arial" w:cs="Arial"/>
                <w:color w:val="000000"/>
                <w:sz w:val="18"/>
                <w:szCs w:val="18"/>
              </w:rPr>
              <w:t>Saldo neto (VPN)</w:t>
            </w:r>
          </w:p>
        </w:tc>
        <w:tc>
          <w:tcPr>
            <w:tcW w:w="1493" w:type="pct"/>
            <w:tcBorders>
              <w:top w:val="nil"/>
              <w:left w:val="nil"/>
              <w:right w:val="nil"/>
            </w:tcBorders>
            <w:shd w:val="clear" w:color="auto" w:fill="auto"/>
            <w:noWrap/>
            <w:vAlign w:val="bottom"/>
            <w:hideMark/>
          </w:tcPr>
          <w:p w14:paraId="32AD7F3F" w14:textId="52891B4F"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29.556.693</w:t>
            </w:r>
          </w:p>
        </w:tc>
        <w:tc>
          <w:tcPr>
            <w:tcW w:w="1668" w:type="pct"/>
            <w:tcBorders>
              <w:top w:val="nil"/>
              <w:left w:val="nil"/>
              <w:right w:val="nil"/>
            </w:tcBorders>
            <w:shd w:val="clear" w:color="auto" w:fill="auto"/>
            <w:noWrap/>
            <w:vAlign w:val="bottom"/>
            <w:hideMark/>
          </w:tcPr>
          <w:p w14:paraId="44F77405" w14:textId="4A5B50F5"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11.196.336</w:t>
            </w:r>
          </w:p>
        </w:tc>
      </w:tr>
      <w:tr w:rsidR="008233F3" w:rsidRPr="00D93780" w14:paraId="7AFB1656" w14:textId="77777777" w:rsidTr="005D454E">
        <w:trPr>
          <w:trHeight w:val="225"/>
        </w:trPr>
        <w:tc>
          <w:tcPr>
            <w:tcW w:w="1839" w:type="pct"/>
            <w:tcBorders>
              <w:top w:val="nil"/>
              <w:left w:val="nil"/>
              <w:bottom w:val="single" w:sz="4" w:space="0" w:color="auto"/>
              <w:right w:val="nil"/>
            </w:tcBorders>
            <w:shd w:val="clear" w:color="auto" w:fill="auto"/>
            <w:noWrap/>
            <w:vAlign w:val="bottom"/>
            <w:hideMark/>
          </w:tcPr>
          <w:p w14:paraId="56FCC4BA" w14:textId="77777777" w:rsidR="008233F3" w:rsidRPr="00D93780" w:rsidRDefault="008233F3" w:rsidP="008233F3">
            <w:pPr>
              <w:rPr>
                <w:rFonts w:ascii="Arial" w:hAnsi="Arial" w:cs="Arial"/>
                <w:color w:val="000000"/>
                <w:sz w:val="18"/>
                <w:szCs w:val="18"/>
              </w:rPr>
            </w:pPr>
            <w:r w:rsidRPr="00D93780">
              <w:rPr>
                <w:rFonts w:ascii="Arial" w:hAnsi="Arial" w:cs="Arial"/>
                <w:color w:val="000000"/>
                <w:sz w:val="18"/>
                <w:szCs w:val="18"/>
              </w:rPr>
              <w:t>Beneficios sobre costos (VPB/VPC)</w:t>
            </w:r>
          </w:p>
        </w:tc>
        <w:tc>
          <w:tcPr>
            <w:tcW w:w="1493" w:type="pct"/>
            <w:tcBorders>
              <w:top w:val="nil"/>
              <w:left w:val="nil"/>
              <w:bottom w:val="single" w:sz="4" w:space="0" w:color="auto"/>
              <w:right w:val="nil"/>
            </w:tcBorders>
            <w:shd w:val="clear" w:color="auto" w:fill="auto"/>
            <w:noWrap/>
            <w:vAlign w:val="bottom"/>
            <w:hideMark/>
          </w:tcPr>
          <w:p w14:paraId="3A140144" w14:textId="5441C547"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28,9%</w:t>
            </w:r>
          </w:p>
        </w:tc>
        <w:tc>
          <w:tcPr>
            <w:tcW w:w="1668" w:type="pct"/>
            <w:tcBorders>
              <w:top w:val="nil"/>
              <w:left w:val="nil"/>
              <w:bottom w:val="single" w:sz="4" w:space="0" w:color="auto"/>
              <w:right w:val="nil"/>
            </w:tcBorders>
            <w:shd w:val="clear" w:color="auto" w:fill="auto"/>
            <w:noWrap/>
            <w:vAlign w:val="bottom"/>
            <w:hideMark/>
          </w:tcPr>
          <w:p w14:paraId="2C81648C" w14:textId="201C70DB" w:rsidR="008233F3" w:rsidRPr="00D93780" w:rsidRDefault="008233F3" w:rsidP="008233F3">
            <w:pPr>
              <w:jc w:val="right"/>
              <w:rPr>
                <w:rFonts w:ascii="Arial" w:hAnsi="Arial" w:cs="Arial"/>
                <w:color w:val="000000"/>
                <w:sz w:val="18"/>
                <w:szCs w:val="18"/>
              </w:rPr>
            </w:pPr>
            <w:r w:rsidRPr="00D93780">
              <w:rPr>
                <w:rFonts w:ascii="Arial" w:hAnsi="Arial" w:cs="Arial"/>
                <w:color w:val="000000"/>
                <w:sz w:val="18"/>
                <w:szCs w:val="18"/>
              </w:rPr>
              <w:t>17,6%</w:t>
            </w:r>
          </w:p>
        </w:tc>
      </w:tr>
    </w:tbl>
    <w:p w14:paraId="0D94EC63" w14:textId="77777777" w:rsidR="00ED2E20" w:rsidRPr="00462E76" w:rsidRDefault="00ED2E20" w:rsidP="005D454E">
      <w:pPr>
        <w:ind w:firstLine="360"/>
        <w:rPr>
          <w:rFonts w:ascii="Arial" w:hAnsi="Arial" w:cs="Arial"/>
          <w:bCs/>
          <w:sz w:val="18"/>
          <w:szCs w:val="22"/>
          <w:lang w:val="es-ES_tradnl"/>
        </w:rPr>
      </w:pPr>
      <w:r w:rsidRPr="00462E76">
        <w:rPr>
          <w:rFonts w:ascii="Arial" w:hAnsi="Arial" w:cs="Arial"/>
          <w:sz w:val="18"/>
          <w:szCs w:val="22"/>
        </w:rPr>
        <w:t>Montos en USD.</w:t>
      </w:r>
    </w:p>
    <w:p w14:paraId="3C63FD4A"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bCs/>
          <w:sz w:val="22"/>
          <w:szCs w:val="22"/>
          <w:lang w:val="es-ES_tradnl"/>
        </w:rPr>
      </w:pPr>
      <w:r w:rsidRPr="00D93780">
        <w:rPr>
          <w:rFonts w:ascii="Arial" w:hAnsi="Arial" w:cs="Arial"/>
          <w:sz w:val="22"/>
          <w:szCs w:val="22"/>
        </w:rPr>
        <w:t xml:space="preserve">Por tanto, en relación con estas tasas de descuento y aplicando el criterio de Kaldor-Hicks, el proyecto es eficiente y superior a las tasas de descuento de referencia que puedan aplicarse (6% y 12%). Por tanto, la inversión en obras </w:t>
      </w:r>
      <w:r w:rsidRPr="00D93780">
        <w:rPr>
          <w:rFonts w:ascii="Arial" w:hAnsi="Arial" w:cs="Arial"/>
          <w:sz w:val="22"/>
          <w:szCs w:val="22"/>
        </w:rPr>
        <w:lastRenderedPageBreak/>
        <w:t>públicas se justificaría independientemente de su comparación con otras alternativas.</w:t>
      </w:r>
      <w:r w:rsidRPr="00D93780">
        <w:rPr>
          <w:rStyle w:val="FootnoteReference"/>
          <w:rFonts w:ascii="Arial" w:hAnsi="Arial" w:cs="Arial"/>
          <w:sz w:val="22"/>
          <w:szCs w:val="22"/>
        </w:rPr>
        <w:footnoteReference w:id="14"/>
      </w:r>
    </w:p>
    <w:p w14:paraId="7FDC5ED7" w14:textId="77777777" w:rsidR="00ED2E20" w:rsidRPr="00D93780" w:rsidRDefault="00ED2E20" w:rsidP="00462E76">
      <w:pPr>
        <w:pStyle w:val="Heading3"/>
        <w:spacing w:before="120" w:after="120"/>
        <w:rPr>
          <w:rFonts w:ascii="Arial" w:hAnsi="Arial"/>
          <w:szCs w:val="22"/>
        </w:rPr>
      </w:pPr>
      <w:bookmarkStart w:id="17" w:name="_Toc456337510"/>
      <w:r w:rsidRPr="00D93780">
        <w:rPr>
          <w:rFonts w:ascii="Arial" w:hAnsi="Arial"/>
          <w:szCs w:val="22"/>
        </w:rPr>
        <w:t>Análisis de sensibilidad</w:t>
      </w:r>
      <w:bookmarkEnd w:id="17"/>
    </w:p>
    <w:p w14:paraId="442F6341" w14:textId="3DBE8626"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El análisis de sensibilidad muestra que el modelo es sensible a una reducción de</w:t>
      </w:r>
      <w:r w:rsidR="00751121" w:rsidRPr="00D93780">
        <w:rPr>
          <w:rFonts w:ascii="Arial" w:hAnsi="Arial" w:cs="Arial"/>
          <w:sz w:val="22"/>
          <w:szCs w:val="22"/>
        </w:rPr>
        <w:t>l</w:t>
      </w:r>
      <w:r w:rsidRPr="00D93780">
        <w:rPr>
          <w:rFonts w:ascii="Arial" w:hAnsi="Arial" w:cs="Arial"/>
          <w:sz w:val="22"/>
          <w:szCs w:val="22"/>
        </w:rPr>
        <w:t xml:space="preserve"> diferencial de </w:t>
      </w:r>
      <w:r w:rsidR="00751121" w:rsidRPr="00D93780">
        <w:rPr>
          <w:rFonts w:ascii="Arial" w:hAnsi="Arial" w:cs="Arial"/>
          <w:sz w:val="22"/>
          <w:szCs w:val="22"/>
        </w:rPr>
        <w:t>más de 0,8</w:t>
      </w:r>
      <w:r w:rsidRPr="00D93780">
        <w:rPr>
          <w:rFonts w:ascii="Arial" w:hAnsi="Arial" w:cs="Arial"/>
          <w:sz w:val="22"/>
          <w:szCs w:val="22"/>
        </w:rPr>
        <w:t xml:space="preserve"> punto</w:t>
      </w:r>
      <w:r w:rsidR="00751121" w:rsidRPr="00D93780">
        <w:rPr>
          <w:rFonts w:ascii="Arial" w:hAnsi="Arial" w:cs="Arial"/>
          <w:sz w:val="22"/>
          <w:szCs w:val="22"/>
        </w:rPr>
        <w:t>s</w:t>
      </w:r>
      <w:r w:rsidRPr="00D93780">
        <w:rPr>
          <w:rFonts w:ascii="Arial" w:hAnsi="Arial" w:cs="Arial"/>
          <w:sz w:val="22"/>
          <w:szCs w:val="22"/>
        </w:rPr>
        <w:t xml:space="preserve"> porcentual</w:t>
      </w:r>
      <w:r w:rsidR="00751121" w:rsidRPr="00D93780">
        <w:rPr>
          <w:rFonts w:ascii="Arial" w:hAnsi="Arial" w:cs="Arial"/>
          <w:sz w:val="22"/>
          <w:szCs w:val="22"/>
        </w:rPr>
        <w:t>es, equivalente a una caída del 16% del diferencial (pasa del 5 pp a 4,2 pp)</w:t>
      </w:r>
      <w:r w:rsidRPr="00D93780">
        <w:rPr>
          <w:rFonts w:ascii="Arial" w:hAnsi="Arial" w:cs="Arial"/>
          <w:sz w:val="22"/>
          <w:szCs w:val="22"/>
        </w:rPr>
        <w:t xml:space="preserve">. Es decir, si el diferencial de crecimiento con proyecto es menor a </w:t>
      </w:r>
      <w:r w:rsidR="00751121" w:rsidRPr="00D93780">
        <w:rPr>
          <w:rFonts w:ascii="Arial" w:hAnsi="Arial" w:cs="Arial"/>
          <w:sz w:val="22"/>
          <w:szCs w:val="22"/>
        </w:rPr>
        <w:t>4</w:t>
      </w:r>
      <w:r w:rsidRPr="00D93780">
        <w:rPr>
          <w:rFonts w:ascii="Arial" w:hAnsi="Arial" w:cs="Arial"/>
          <w:sz w:val="22"/>
          <w:szCs w:val="22"/>
        </w:rPr>
        <w:t>,</w:t>
      </w:r>
      <w:r w:rsidR="00751121" w:rsidRPr="00D93780">
        <w:rPr>
          <w:rFonts w:ascii="Arial" w:hAnsi="Arial" w:cs="Arial"/>
          <w:sz w:val="22"/>
          <w:szCs w:val="22"/>
        </w:rPr>
        <w:t>2</w:t>
      </w:r>
      <w:r w:rsidRPr="00D93780">
        <w:rPr>
          <w:rFonts w:ascii="Arial" w:hAnsi="Arial" w:cs="Arial"/>
          <w:sz w:val="22"/>
          <w:szCs w:val="22"/>
        </w:rPr>
        <w:t xml:space="preserve"> puntos porcentuales (umbral mínimo de rentabilidad), entonces la TIR baja del 12%. Recuérdese que en el ejercicio de escenario base, el diferencial de crecimiento es de </w:t>
      </w:r>
      <w:r w:rsidR="009B2687" w:rsidRPr="00D93780">
        <w:rPr>
          <w:rFonts w:ascii="Arial" w:hAnsi="Arial" w:cs="Arial"/>
          <w:sz w:val="22"/>
          <w:szCs w:val="22"/>
        </w:rPr>
        <w:t>5</w:t>
      </w:r>
      <w:r w:rsidRPr="00D93780">
        <w:rPr>
          <w:rFonts w:ascii="Arial" w:hAnsi="Arial" w:cs="Arial"/>
          <w:sz w:val="22"/>
          <w:szCs w:val="22"/>
        </w:rPr>
        <w:t xml:space="preserve"> puntos porcentuales. </w:t>
      </w:r>
    </w:p>
    <w:p w14:paraId="2DC1188F"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En cualquier caso, es necesario hacer dos puntualizaciones que permiten matizar el resultado del ejercicio de sensibilidad:</w:t>
      </w:r>
    </w:p>
    <w:p w14:paraId="6C15ECBF" w14:textId="7EDFD9A3" w:rsidR="00ED2E20" w:rsidRPr="00D93780" w:rsidRDefault="00ED2E20" w:rsidP="00462E76">
      <w:pPr>
        <w:pStyle w:val="ListParagraph"/>
        <w:numPr>
          <w:ilvl w:val="0"/>
          <w:numId w:val="40"/>
        </w:numPr>
        <w:spacing w:before="120" w:after="120" w:line="276" w:lineRule="auto"/>
        <w:jc w:val="both"/>
        <w:rPr>
          <w:rFonts w:ascii="Arial" w:hAnsi="Arial" w:cs="Arial"/>
          <w:sz w:val="22"/>
          <w:szCs w:val="22"/>
        </w:rPr>
      </w:pPr>
      <w:r w:rsidRPr="00D93780">
        <w:rPr>
          <w:rFonts w:ascii="Arial" w:hAnsi="Arial" w:cs="Arial"/>
          <w:sz w:val="22"/>
          <w:szCs w:val="22"/>
        </w:rPr>
        <w:t xml:space="preserve">Las evidencias de SUCIVE muestran que los incrementos producidos como consecuencia de la centralización fueron superiores a las tasas diferenciales que se utilizan en el escenario base. El </w:t>
      </w:r>
      <w:r w:rsidR="008233F3" w:rsidRPr="00D93780">
        <w:rPr>
          <w:rFonts w:ascii="Arial" w:hAnsi="Arial" w:cs="Arial"/>
          <w:sz w:val="22"/>
          <w:szCs w:val="22"/>
        </w:rPr>
        <w:t>diferencial de 5</w:t>
      </w:r>
      <w:r w:rsidR="009B2687" w:rsidRPr="00D93780">
        <w:rPr>
          <w:rFonts w:ascii="Arial" w:hAnsi="Arial" w:cs="Arial"/>
          <w:sz w:val="22"/>
          <w:szCs w:val="22"/>
        </w:rPr>
        <w:t xml:space="preserve"> </w:t>
      </w:r>
      <w:r w:rsidR="004632D1" w:rsidRPr="00D93780">
        <w:rPr>
          <w:rFonts w:ascii="Arial" w:hAnsi="Arial" w:cs="Arial"/>
          <w:sz w:val="22"/>
          <w:szCs w:val="22"/>
        </w:rPr>
        <w:t>puntos porcentuales</w:t>
      </w:r>
      <w:r w:rsidRPr="00D93780">
        <w:rPr>
          <w:rFonts w:ascii="Arial" w:hAnsi="Arial" w:cs="Arial"/>
          <w:sz w:val="22"/>
          <w:szCs w:val="22"/>
        </w:rPr>
        <w:t xml:space="preserve"> </w:t>
      </w:r>
      <w:r w:rsidR="008233F3" w:rsidRPr="00D93780">
        <w:rPr>
          <w:rFonts w:ascii="Arial" w:hAnsi="Arial" w:cs="Arial"/>
          <w:sz w:val="22"/>
          <w:szCs w:val="22"/>
        </w:rPr>
        <w:t xml:space="preserve">utilizado en el análisis </w:t>
      </w:r>
      <w:r w:rsidRPr="00D93780">
        <w:rPr>
          <w:rFonts w:ascii="Arial" w:hAnsi="Arial" w:cs="Arial"/>
          <w:sz w:val="22"/>
          <w:szCs w:val="22"/>
        </w:rPr>
        <w:t>es bajo en relación a</w:t>
      </w:r>
      <w:r w:rsidR="009B2687" w:rsidRPr="00D93780">
        <w:rPr>
          <w:rFonts w:ascii="Arial" w:hAnsi="Arial" w:cs="Arial"/>
          <w:sz w:val="22"/>
          <w:szCs w:val="22"/>
        </w:rPr>
        <w:t xml:space="preserve"> </w:t>
      </w:r>
      <w:r w:rsidRPr="00D93780">
        <w:rPr>
          <w:rFonts w:ascii="Arial" w:hAnsi="Arial" w:cs="Arial"/>
          <w:sz w:val="22"/>
          <w:szCs w:val="22"/>
        </w:rPr>
        <w:t>l</w:t>
      </w:r>
      <w:r w:rsidR="009B2687" w:rsidRPr="00D93780">
        <w:rPr>
          <w:rFonts w:ascii="Arial" w:hAnsi="Arial" w:cs="Arial"/>
          <w:sz w:val="22"/>
          <w:szCs w:val="22"/>
        </w:rPr>
        <w:t>os</w:t>
      </w:r>
      <w:r w:rsidRPr="00D93780">
        <w:rPr>
          <w:rFonts w:ascii="Arial" w:hAnsi="Arial" w:cs="Arial"/>
          <w:sz w:val="22"/>
          <w:szCs w:val="22"/>
        </w:rPr>
        <w:t xml:space="preserve"> </w:t>
      </w:r>
      <w:r w:rsidR="009B2687" w:rsidRPr="00D93780">
        <w:rPr>
          <w:rFonts w:ascii="Arial" w:hAnsi="Arial" w:cs="Arial"/>
          <w:sz w:val="22"/>
          <w:szCs w:val="22"/>
        </w:rPr>
        <w:t>8,7 pp</w:t>
      </w:r>
      <w:r w:rsidRPr="00D93780">
        <w:rPr>
          <w:rFonts w:ascii="Arial" w:hAnsi="Arial" w:cs="Arial"/>
          <w:sz w:val="22"/>
          <w:szCs w:val="22"/>
        </w:rPr>
        <w:t xml:space="preserve"> que se </w:t>
      </w:r>
      <w:r w:rsidR="009B2687" w:rsidRPr="00D93780">
        <w:rPr>
          <w:rFonts w:ascii="Arial" w:hAnsi="Arial" w:cs="Arial"/>
          <w:sz w:val="22"/>
          <w:szCs w:val="22"/>
        </w:rPr>
        <w:t>lograron</w:t>
      </w:r>
      <w:r w:rsidRPr="00D93780">
        <w:rPr>
          <w:rFonts w:ascii="Arial" w:hAnsi="Arial" w:cs="Arial"/>
          <w:sz w:val="22"/>
          <w:szCs w:val="22"/>
        </w:rPr>
        <w:t xml:space="preserve"> con la entrada en funcionamiento de SUCIVE. Por lo tanto, es improbable que al primer año de funcionamiento de una nueva agencia recaudadora de contribución el efecto diferencial sea menor a </w:t>
      </w:r>
      <w:r w:rsidR="009B2687" w:rsidRPr="00D93780">
        <w:rPr>
          <w:rFonts w:ascii="Arial" w:hAnsi="Arial" w:cs="Arial"/>
          <w:sz w:val="22"/>
          <w:szCs w:val="22"/>
        </w:rPr>
        <w:t>4</w:t>
      </w:r>
      <w:r w:rsidRPr="00D93780">
        <w:rPr>
          <w:rFonts w:ascii="Arial" w:hAnsi="Arial" w:cs="Arial"/>
          <w:sz w:val="22"/>
          <w:szCs w:val="22"/>
        </w:rPr>
        <w:t>,</w:t>
      </w:r>
      <w:r w:rsidR="009B2687" w:rsidRPr="00D93780">
        <w:rPr>
          <w:rFonts w:ascii="Arial" w:hAnsi="Arial" w:cs="Arial"/>
          <w:sz w:val="22"/>
          <w:szCs w:val="22"/>
        </w:rPr>
        <w:t>2</w:t>
      </w:r>
      <w:r w:rsidRPr="00D93780">
        <w:rPr>
          <w:rFonts w:ascii="Arial" w:hAnsi="Arial" w:cs="Arial"/>
          <w:sz w:val="22"/>
          <w:szCs w:val="22"/>
        </w:rPr>
        <w:t xml:space="preserve"> puntos porcentuales.</w:t>
      </w:r>
    </w:p>
    <w:p w14:paraId="338F7FD6" w14:textId="3313A6D2" w:rsidR="00ED2E20" w:rsidRPr="00D93780" w:rsidRDefault="00ED2E20" w:rsidP="00462E76">
      <w:pPr>
        <w:pStyle w:val="ListParagraph"/>
        <w:numPr>
          <w:ilvl w:val="0"/>
          <w:numId w:val="40"/>
        </w:numPr>
        <w:spacing w:before="120" w:after="120" w:line="276" w:lineRule="auto"/>
        <w:jc w:val="both"/>
        <w:rPr>
          <w:rFonts w:ascii="Arial" w:hAnsi="Arial" w:cs="Arial"/>
          <w:sz w:val="22"/>
          <w:szCs w:val="22"/>
        </w:rPr>
      </w:pPr>
      <w:r w:rsidRPr="00D93780">
        <w:rPr>
          <w:rFonts w:ascii="Arial" w:hAnsi="Arial" w:cs="Arial"/>
          <w:sz w:val="22"/>
          <w:szCs w:val="22"/>
        </w:rPr>
        <w:t xml:space="preserve">La inversión para la implementación de la agencia central de cobro es un porcentaje muy reducido de la inversión total del Programa: </w:t>
      </w:r>
      <w:r w:rsidR="009B2687" w:rsidRPr="00D93780">
        <w:rPr>
          <w:rFonts w:ascii="Arial" w:hAnsi="Arial" w:cs="Arial"/>
          <w:sz w:val="22"/>
          <w:szCs w:val="22"/>
        </w:rPr>
        <w:t>5,2</w:t>
      </w:r>
      <w:r w:rsidRPr="00D93780">
        <w:rPr>
          <w:rFonts w:ascii="Arial" w:hAnsi="Arial" w:cs="Arial"/>
          <w:sz w:val="22"/>
          <w:szCs w:val="22"/>
        </w:rPr>
        <w:t xml:space="preserve">%. En el caso hipotético de que la recaudación efectiva resulte ser inferior al umbral mínimo de rentabilidad, su efecto sobre el </w:t>
      </w:r>
      <w:r w:rsidRPr="00D93780">
        <w:rPr>
          <w:rFonts w:ascii="Arial" w:hAnsi="Arial" w:cs="Arial"/>
          <w:i/>
          <w:sz w:val="22"/>
          <w:szCs w:val="22"/>
        </w:rPr>
        <w:t>conjunto</w:t>
      </w:r>
      <w:r w:rsidRPr="00D93780">
        <w:rPr>
          <w:rFonts w:ascii="Arial" w:hAnsi="Arial" w:cs="Arial"/>
          <w:sz w:val="22"/>
          <w:szCs w:val="22"/>
        </w:rPr>
        <w:t xml:space="preserve"> de la inversión del Programa es muy reducido. </w:t>
      </w:r>
    </w:p>
    <w:p w14:paraId="0B47EC43" w14:textId="61D054DD" w:rsidR="00ED2E20" w:rsidRPr="00D93780" w:rsidRDefault="00ED2E20" w:rsidP="00462E76">
      <w:pPr>
        <w:pStyle w:val="Heading1"/>
        <w:spacing w:before="120" w:after="120"/>
        <w:rPr>
          <w:rFonts w:ascii="Arial" w:hAnsi="Arial" w:cs="Arial"/>
          <w:sz w:val="22"/>
          <w:szCs w:val="22"/>
        </w:rPr>
      </w:pPr>
      <w:bookmarkStart w:id="18" w:name="_Ref456137033"/>
      <w:bookmarkStart w:id="19" w:name="_Toc456337511"/>
      <w:r w:rsidRPr="00D93780">
        <w:rPr>
          <w:rFonts w:ascii="Arial" w:hAnsi="Arial" w:cs="Arial"/>
          <w:sz w:val="22"/>
          <w:szCs w:val="22"/>
        </w:rPr>
        <w:t>Análisis costo-beneficio (ACB 2) de las inversiones en obras públicas</w:t>
      </w:r>
      <w:bookmarkEnd w:id="18"/>
      <w:bookmarkEnd w:id="19"/>
    </w:p>
    <w:p w14:paraId="613F7A57" w14:textId="77777777" w:rsidR="00ED2E20" w:rsidRPr="00D93780" w:rsidRDefault="00ED2E20" w:rsidP="00462E76">
      <w:pPr>
        <w:pStyle w:val="Heading3"/>
        <w:spacing w:before="120" w:after="120"/>
        <w:rPr>
          <w:rFonts w:ascii="Arial" w:hAnsi="Arial"/>
          <w:szCs w:val="22"/>
        </w:rPr>
      </w:pPr>
      <w:bookmarkStart w:id="20" w:name="_Toc456337512"/>
      <w:r w:rsidRPr="00D93780">
        <w:rPr>
          <w:rFonts w:ascii="Arial" w:hAnsi="Arial"/>
          <w:szCs w:val="22"/>
        </w:rPr>
        <w:t>Planteamiento metodológico</w:t>
      </w:r>
      <w:bookmarkEnd w:id="20"/>
    </w:p>
    <w:p w14:paraId="4C5CC610" w14:textId="4973E509" w:rsidR="007C67B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Como se ha señalado anteriormente, las obras públicas previstas en el marco del Programa se financian con recursos asignados en el Componentes 2. El monto total previsto para financiar los proyectos de obras e infraestructuras asciende a USD 78,65 millones, lo que representa el 87% del total de la inversión del Programa. </w:t>
      </w:r>
      <w:r w:rsidR="007C67B0" w:rsidRPr="00D93780">
        <w:rPr>
          <w:rFonts w:ascii="Arial" w:hAnsi="Arial" w:cs="Arial"/>
          <w:sz w:val="22"/>
          <w:szCs w:val="22"/>
          <w:lang w:val="es-ES_tradnl"/>
        </w:rPr>
        <w:t xml:space="preserve">Además, casi USD 4,2 millones se destinarán a la mejora de la formulación de proyectos, dirección de obras y supervisión y control de calidad, es decir, para el fortalecimiento de la gestión de los proyectos. </w:t>
      </w:r>
      <w:r w:rsidR="00B232B5" w:rsidRPr="00D93780">
        <w:rPr>
          <w:rFonts w:ascii="Arial" w:hAnsi="Arial" w:cs="Arial"/>
          <w:sz w:val="22"/>
          <w:szCs w:val="22"/>
          <w:lang w:val="es-ES_tradnl"/>
        </w:rPr>
        <w:t>Se considera que esta inversión en gestión de proyectos deberá facilitar una ejecución eficiente de los mismos.</w:t>
      </w:r>
      <w:r w:rsidR="00B232B5" w:rsidRPr="00D93780">
        <w:rPr>
          <w:rStyle w:val="FootnoteReference"/>
          <w:rFonts w:ascii="Arial" w:hAnsi="Arial" w:cs="Arial"/>
          <w:sz w:val="22"/>
          <w:szCs w:val="22"/>
          <w:lang w:val="es-ES_tradnl"/>
        </w:rPr>
        <w:footnoteReference w:id="15"/>
      </w:r>
      <w:r w:rsidR="00B232B5" w:rsidRPr="00D93780">
        <w:rPr>
          <w:rFonts w:ascii="Arial" w:hAnsi="Arial" w:cs="Arial"/>
          <w:sz w:val="22"/>
          <w:szCs w:val="22"/>
          <w:lang w:val="es-ES_tradnl"/>
        </w:rPr>
        <w:t xml:space="preserve"> </w:t>
      </w:r>
      <w:r w:rsidR="007C67B0" w:rsidRPr="00D93780">
        <w:rPr>
          <w:rFonts w:ascii="Arial" w:hAnsi="Arial" w:cs="Arial"/>
          <w:sz w:val="22"/>
          <w:szCs w:val="22"/>
          <w:lang w:val="es-ES_tradnl"/>
        </w:rPr>
        <w:t xml:space="preserve">El </w:t>
      </w:r>
      <w:r w:rsidR="009A3B43" w:rsidRPr="00D93780">
        <w:rPr>
          <w:rFonts w:ascii="Arial" w:hAnsi="Arial" w:cs="Arial"/>
          <w:sz w:val="22"/>
          <w:szCs w:val="22"/>
          <w:lang w:val="es-ES_tradnl"/>
        </w:rPr>
        <w:t xml:space="preserve">presupuesto </w:t>
      </w:r>
      <w:r w:rsidR="007C67B0" w:rsidRPr="00D93780">
        <w:rPr>
          <w:rFonts w:ascii="Arial" w:hAnsi="Arial" w:cs="Arial"/>
          <w:sz w:val="22"/>
          <w:szCs w:val="22"/>
          <w:lang w:val="es-ES_tradnl"/>
        </w:rPr>
        <w:t xml:space="preserve">total del componente 2 supone casi el 95% de la inversión total del Programa. </w:t>
      </w:r>
    </w:p>
    <w:p w14:paraId="5B4537B1" w14:textId="1F483698" w:rsidR="00ED2E20" w:rsidRPr="00D93780" w:rsidRDefault="007C67B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lastRenderedPageBreak/>
        <w:t>Con estos recursos s</w:t>
      </w:r>
      <w:r w:rsidR="00ED2E20" w:rsidRPr="00D93780">
        <w:rPr>
          <w:rFonts w:ascii="Arial" w:hAnsi="Arial" w:cs="Arial"/>
          <w:sz w:val="22"/>
          <w:szCs w:val="22"/>
          <w:lang w:val="es-ES_tradnl"/>
        </w:rPr>
        <w:t xml:space="preserve">e financiarán obras vinculadas con mejoramiento del entorno urbano (pavimentación, veredas, etc.), servicios y equipamientos urbanos, accesibilidad y conectividad y saneamiento y mejoramiento ambiental, entre otros. Cada </w:t>
      </w:r>
      <w:r w:rsidR="007F6DBA" w:rsidRPr="00D93780">
        <w:rPr>
          <w:rFonts w:ascii="Arial" w:hAnsi="Arial" w:cs="Arial"/>
          <w:sz w:val="22"/>
          <w:szCs w:val="22"/>
          <w:lang w:val="es-ES_tradnl"/>
        </w:rPr>
        <w:t>gobierno departamental</w:t>
      </w:r>
      <w:r w:rsidR="00ED2E20" w:rsidRPr="00D93780">
        <w:rPr>
          <w:rFonts w:ascii="Arial" w:hAnsi="Arial" w:cs="Arial"/>
          <w:sz w:val="22"/>
          <w:szCs w:val="22"/>
          <w:lang w:val="es-ES_tradnl"/>
        </w:rPr>
        <w:t xml:space="preserve"> contará con una asignación inicial de acuerdo a coeficientes de coparticipación previamente establecidos. Existirá también un fondo concursable.</w:t>
      </w:r>
    </w:p>
    <w:p w14:paraId="1DEF161B" w14:textId="07186A2F"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Dado que estos recursos disponibles no están todavía asignados a proyectos de obras concretos –la demanda de estos proyectos se irá revelando a lo largo del proceso de ejecución del Programa–, a los efectos del análisis costo-beneficio se consideró conveniente tratar de analizar el resultado económico de las inversiones públicas a través de una </w:t>
      </w:r>
      <w:r w:rsidRPr="00D93780">
        <w:rPr>
          <w:rFonts w:ascii="Arial" w:hAnsi="Arial" w:cs="Arial"/>
          <w:i/>
          <w:sz w:val="22"/>
          <w:szCs w:val="22"/>
          <w:lang w:val="es-ES_tradnl"/>
        </w:rPr>
        <w:t>muestra representativa</w:t>
      </w:r>
      <w:r w:rsidRPr="00D93780">
        <w:rPr>
          <w:rFonts w:ascii="Arial" w:hAnsi="Arial" w:cs="Arial"/>
          <w:sz w:val="22"/>
          <w:szCs w:val="22"/>
          <w:lang w:val="es-ES_tradnl"/>
        </w:rPr>
        <w:t xml:space="preserve"> de planes de obras que cuentan ya con una definición al menos básicas de sus características técnicas (descripción de las obras a realizar, tipo de materiales, costeo de los insumos, etc.). </w:t>
      </w:r>
    </w:p>
    <w:p w14:paraId="5A6F0BD6" w14:textId="5AF60EFC" w:rsidR="00ED2E20" w:rsidRPr="00D93780" w:rsidRDefault="00ED2E20" w:rsidP="00462E76">
      <w:pPr>
        <w:pStyle w:val="Heading3"/>
        <w:spacing w:before="120" w:after="120"/>
        <w:rPr>
          <w:rFonts w:ascii="Arial" w:hAnsi="Arial"/>
          <w:szCs w:val="22"/>
        </w:rPr>
      </w:pPr>
      <w:bookmarkStart w:id="21" w:name="_Toc456337513"/>
      <w:r w:rsidRPr="00D93780">
        <w:rPr>
          <w:rFonts w:ascii="Arial" w:hAnsi="Arial"/>
          <w:szCs w:val="22"/>
        </w:rPr>
        <w:t>Indicador de la matriz de resultados vinculado al análisis</w:t>
      </w:r>
      <w:bookmarkEnd w:id="21"/>
    </w:p>
    <w:p w14:paraId="7125FECF" w14:textId="2B38C498"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La matriz de resultados incluye como resultado esperado la revalorización de los bienes inmuebles en las áreas afectadas por las obras públicas. Se entiende que como consecuencia la mejora de las condiciones de las infraestructuras urbanas, los precios de los inmuebles tendrán un incremento en su valor real.</w:t>
      </w:r>
      <w:r w:rsidR="007F6DBA" w:rsidRPr="00D93780">
        <w:rPr>
          <w:rFonts w:ascii="Arial" w:hAnsi="Arial" w:cs="Arial"/>
          <w:sz w:val="22"/>
          <w:szCs w:val="22"/>
          <w:lang w:val="es-ES_tradnl"/>
        </w:rPr>
        <w:t xml:space="preserve"> </w:t>
      </w:r>
    </w:p>
    <w:p w14:paraId="6BA6480F" w14:textId="2F50DD46" w:rsidR="00573897" w:rsidRPr="00462E76" w:rsidRDefault="00573897" w:rsidP="00462E76">
      <w:pPr>
        <w:pStyle w:val="ListParagraph"/>
        <w:spacing w:after="120"/>
        <w:ind w:left="0"/>
        <w:jc w:val="center"/>
        <w:rPr>
          <w:rFonts w:ascii="Arial" w:hAnsi="Arial" w:cs="Arial"/>
          <w:b/>
          <w:sz w:val="18"/>
          <w:szCs w:val="22"/>
        </w:rPr>
      </w:pPr>
      <w:r w:rsidRPr="00462E76">
        <w:rPr>
          <w:rFonts w:ascii="Arial" w:hAnsi="Arial" w:cs="Arial"/>
          <w:b/>
          <w:sz w:val="18"/>
          <w:szCs w:val="22"/>
        </w:rPr>
        <w:t>Cuadro 8. Indicador utilizado en el ACB 2</w:t>
      </w:r>
    </w:p>
    <w:tbl>
      <w:tblPr>
        <w:tblW w:w="4634" w:type="pct"/>
        <w:tblInd w:w="648" w:type="dxa"/>
        <w:tblLook w:val="04A0" w:firstRow="1" w:lastRow="0" w:firstColumn="1" w:lastColumn="0" w:noHBand="0" w:noVBand="1"/>
      </w:tblPr>
      <w:tblGrid>
        <w:gridCol w:w="2028"/>
        <w:gridCol w:w="3373"/>
        <w:gridCol w:w="983"/>
        <w:gridCol w:w="962"/>
        <w:gridCol w:w="862"/>
      </w:tblGrid>
      <w:tr w:rsidR="00ED2E20" w:rsidRPr="00D93780" w14:paraId="15BF31C3" w14:textId="77777777" w:rsidTr="005D454E">
        <w:tc>
          <w:tcPr>
            <w:tcW w:w="1235" w:type="pct"/>
            <w:tcBorders>
              <w:top w:val="single" w:sz="4" w:space="0" w:color="auto"/>
              <w:bottom w:val="single" w:sz="4" w:space="0" w:color="auto"/>
            </w:tcBorders>
            <w:shd w:val="clear" w:color="auto" w:fill="D9D9D9" w:themeFill="background1" w:themeFillShade="D9"/>
          </w:tcPr>
          <w:p w14:paraId="67386B57" w14:textId="77777777" w:rsidR="00ED2E20" w:rsidRPr="00D93780" w:rsidRDefault="00ED2E20" w:rsidP="00227A32">
            <w:pPr>
              <w:tabs>
                <w:tab w:val="left" w:pos="435"/>
              </w:tabs>
              <w:ind w:left="426" w:hanging="426"/>
              <w:rPr>
                <w:rFonts w:ascii="Arial" w:hAnsi="Arial" w:cs="Arial"/>
                <w:b/>
                <w:sz w:val="18"/>
                <w:szCs w:val="18"/>
                <w:lang w:val="es-ES_tradnl"/>
              </w:rPr>
            </w:pPr>
            <w:r w:rsidRPr="00D93780">
              <w:rPr>
                <w:rFonts w:ascii="Arial" w:hAnsi="Arial" w:cs="Arial"/>
                <w:b/>
                <w:sz w:val="18"/>
                <w:szCs w:val="18"/>
                <w:lang w:val="es-ES_tradnl"/>
              </w:rPr>
              <w:t>Resultado</w:t>
            </w:r>
          </w:p>
        </w:tc>
        <w:tc>
          <w:tcPr>
            <w:tcW w:w="2055" w:type="pct"/>
            <w:tcBorders>
              <w:top w:val="single" w:sz="4" w:space="0" w:color="auto"/>
              <w:bottom w:val="single" w:sz="4" w:space="0" w:color="auto"/>
            </w:tcBorders>
            <w:shd w:val="clear" w:color="auto" w:fill="D9D9D9" w:themeFill="background1" w:themeFillShade="D9"/>
          </w:tcPr>
          <w:p w14:paraId="7A7ACF41"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Indicador</w:t>
            </w:r>
          </w:p>
        </w:tc>
        <w:tc>
          <w:tcPr>
            <w:tcW w:w="599" w:type="pct"/>
            <w:tcBorders>
              <w:top w:val="single" w:sz="4" w:space="0" w:color="auto"/>
              <w:bottom w:val="single" w:sz="4" w:space="0" w:color="auto"/>
            </w:tcBorders>
            <w:shd w:val="clear" w:color="auto" w:fill="D9D9D9" w:themeFill="background1" w:themeFillShade="D9"/>
          </w:tcPr>
          <w:p w14:paraId="546DEAF8" w14:textId="77777777" w:rsidR="00ED2E20" w:rsidRPr="00D93780" w:rsidRDefault="00ED2E20" w:rsidP="00227A32">
            <w:pPr>
              <w:rPr>
                <w:rFonts w:ascii="Arial" w:hAnsi="Arial" w:cs="Arial"/>
                <w:b/>
                <w:sz w:val="18"/>
                <w:szCs w:val="18"/>
                <w:lang w:val="es-CL"/>
              </w:rPr>
            </w:pPr>
            <w:r w:rsidRPr="00D93780">
              <w:rPr>
                <w:rFonts w:ascii="Arial" w:hAnsi="Arial" w:cs="Arial"/>
                <w:b/>
                <w:sz w:val="18"/>
                <w:szCs w:val="18"/>
                <w:lang w:val="es-CL"/>
              </w:rPr>
              <w:t>Unidad</w:t>
            </w:r>
          </w:p>
        </w:tc>
        <w:tc>
          <w:tcPr>
            <w:tcW w:w="586" w:type="pct"/>
            <w:tcBorders>
              <w:top w:val="single" w:sz="4" w:space="0" w:color="auto"/>
              <w:bottom w:val="single" w:sz="4" w:space="0" w:color="auto"/>
            </w:tcBorders>
            <w:shd w:val="clear" w:color="auto" w:fill="D9D9D9" w:themeFill="background1" w:themeFillShade="D9"/>
          </w:tcPr>
          <w:p w14:paraId="17DC1DC3" w14:textId="77777777" w:rsidR="00ED2E20" w:rsidRPr="00D93780" w:rsidRDefault="00ED2E20" w:rsidP="00227A32">
            <w:pPr>
              <w:rPr>
                <w:rFonts w:ascii="Arial" w:hAnsi="Arial" w:cs="Arial"/>
                <w:b/>
                <w:sz w:val="18"/>
                <w:szCs w:val="18"/>
                <w:lang w:val="es-CL"/>
              </w:rPr>
            </w:pPr>
            <w:r w:rsidRPr="00D93780">
              <w:rPr>
                <w:rFonts w:ascii="Arial" w:hAnsi="Arial" w:cs="Arial"/>
                <w:b/>
                <w:sz w:val="18"/>
                <w:szCs w:val="18"/>
                <w:lang w:val="es-CL"/>
              </w:rPr>
              <w:t>Línea de base</w:t>
            </w:r>
          </w:p>
        </w:tc>
        <w:tc>
          <w:tcPr>
            <w:tcW w:w="526" w:type="pct"/>
            <w:tcBorders>
              <w:top w:val="single" w:sz="4" w:space="0" w:color="auto"/>
              <w:bottom w:val="single" w:sz="4" w:space="0" w:color="auto"/>
            </w:tcBorders>
            <w:shd w:val="clear" w:color="auto" w:fill="D9D9D9" w:themeFill="background1" w:themeFillShade="D9"/>
          </w:tcPr>
          <w:p w14:paraId="726E8A5E"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2019</w:t>
            </w:r>
          </w:p>
        </w:tc>
      </w:tr>
      <w:tr w:rsidR="004632D1" w:rsidRPr="00D93780" w14:paraId="0F95483E" w14:textId="77777777" w:rsidTr="005D454E">
        <w:tc>
          <w:tcPr>
            <w:tcW w:w="1235" w:type="pct"/>
            <w:tcBorders>
              <w:top w:val="single" w:sz="4" w:space="0" w:color="auto"/>
              <w:bottom w:val="single" w:sz="4" w:space="0" w:color="auto"/>
            </w:tcBorders>
          </w:tcPr>
          <w:p w14:paraId="62E4B1D2" w14:textId="77777777" w:rsidR="004632D1" w:rsidRPr="00D93780" w:rsidRDefault="004632D1" w:rsidP="004632D1">
            <w:pPr>
              <w:pStyle w:val="ListParagraph"/>
              <w:numPr>
                <w:ilvl w:val="0"/>
                <w:numId w:val="42"/>
              </w:numPr>
              <w:rPr>
                <w:rFonts w:ascii="Arial" w:hAnsi="Arial" w:cs="Arial"/>
                <w:sz w:val="18"/>
                <w:szCs w:val="18"/>
              </w:rPr>
            </w:pPr>
            <w:r w:rsidRPr="00D93780">
              <w:rPr>
                <w:rFonts w:ascii="Arial" w:hAnsi="Arial" w:cs="Arial"/>
                <w:sz w:val="18"/>
                <w:szCs w:val="18"/>
                <w:lang w:val="es-ES_tradnl"/>
              </w:rPr>
              <w:t>Precio de bienes inmobiliarios en las áreas intervenidas incrementado</w:t>
            </w:r>
          </w:p>
        </w:tc>
        <w:tc>
          <w:tcPr>
            <w:tcW w:w="2055" w:type="pct"/>
            <w:tcBorders>
              <w:top w:val="single" w:sz="4" w:space="0" w:color="auto"/>
              <w:bottom w:val="single" w:sz="4" w:space="0" w:color="auto"/>
            </w:tcBorders>
            <w:vAlign w:val="center"/>
          </w:tcPr>
          <w:p w14:paraId="7A86B707" w14:textId="51566F77" w:rsidR="004632D1" w:rsidRPr="00D93780" w:rsidRDefault="004632D1" w:rsidP="004632D1">
            <w:pPr>
              <w:spacing w:before="30" w:after="30"/>
              <w:rPr>
                <w:rFonts w:ascii="Arial" w:hAnsi="Arial" w:cs="Arial"/>
                <w:sz w:val="18"/>
                <w:szCs w:val="18"/>
                <w:lang w:val="es-ES_tradnl"/>
              </w:rPr>
            </w:pPr>
            <w:r w:rsidRPr="00D93780">
              <w:rPr>
                <w:rFonts w:ascii="Arial" w:hAnsi="Arial" w:cs="Arial"/>
                <w:sz w:val="18"/>
                <w:szCs w:val="18"/>
                <w:lang w:val="es-ES_tradnl"/>
              </w:rPr>
              <w:t>Incremento real promedio del precio, en pesos uruguayos, del m2 de las áreas intervenidas respecto a las áreas sin intervención (valor base del padrón promedio= USD 47.455)</w:t>
            </w:r>
          </w:p>
        </w:tc>
        <w:tc>
          <w:tcPr>
            <w:tcW w:w="599" w:type="pct"/>
            <w:tcBorders>
              <w:top w:val="single" w:sz="4" w:space="0" w:color="auto"/>
              <w:bottom w:val="single" w:sz="4" w:space="0" w:color="auto"/>
            </w:tcBorders>
            <w:vAlign w:val="center"/>
          </w:tcPr>
          <w:p w14:paraId="1D287D68" w14:textId="036382AB" w:rsidR="004632D1" w:rsidRPr="00D93780" w:rsidRDefault="004632D1" w:rsidP="004632D1">
            <w:pPr>
              <w:spacing w:before="30" w:after="30" w:line="276" w:lineRule="auto"/>
              <w:jc w:val="center"/>
              <w:rPr>
                <w:rFonts w:ascii="Arial" w:hAnsi="Arial" w:cs="Arial"/>
                <w:sz w:val="18"/>
                <w:szCs w:val="18"/>
                <w:lang w:val="es-ES_tradnl"/>
              </w:rPr>
            </w:pPr>
            <w:r w:rsidRPr="00D93780">
              <w:rPr>
                <w:rFonts w:ascii="Arial" w:hAnsi="Arial" w:cs="Arial"/>
                <w:sz w:val="18"/>
                <w:szCs w:val="18"/>
                <w:lang w:val="es-ES_tradnl"/>
              </w:rPr>
              <w:t>%</w:t>
            </w:r>
          </w:p>
        </w:tc>
        <w:tc>
          <w:tcPr>
            <w:tcW w:w="586" w:type="pct"/>
            <w:tcBorders>
              <w:top w:val="single" w:sz="4" w:space="0" w:color="auto"/>
              <w:bottom w:val="single" w:sz="4" w:space="0" w:color="auto"/>
            </w:tcBorders>
            <w:vAlign w:val="center"/>
          </w:tcPr>
          <w:p w14:paraId="355FCDFB" w14:textId="471DF103" w:rsidR="004632D1" w:rsidRPr="00D93780" w:rsidRDefault="004632D1" w:rsidP="004632D1">
            <w:pPr>
              <w:spacing w:before="30" w:after="30" w:line="276" w:lineRule="auto"/>
              <w:jc w:val="center"/>
              <w:rPr>
                <w:rFonts w:ascii="Arial" w:hAnsi="Arial" w:cs="Arial"/>
                <w:sz w:val="18"/>
                <w:szCs w:val="18"/>
                <w:lang w:val="es-ES_tradnl"/>
              </w:rPr>
            </w:pPr>
            <w:r w:rsidRPr="00D93780">
              <w:rPr>
                <w:rFonts w:ascii="Arial" w:hAnsi="Arial" w:cs="Arial"/>
                <w:sz w:val="18"/>
                <w:szCs w:val="18"/>
                <w:lang w:val="es-ES_tradnl"/>
              </w:rPr>
              <w:t>0</w:t>
            </w:r>
          </w:p>
        </w:tc>
        <w:tc>
          <w:tcPr>
            <w:tcW w:w="526" w:type="pct"/>
            <w:tcBorders>
              <w:top w:val="single" w:sz="4" w:space="0" w:color="auto"/>
              <w:bottom w:val="single" w:sz="4" w:space="0" w:color="auto"/>
            </w:tcBorders>
            <w:vAlign w:val="center"/>
          </w:tcPr>
          <w:p w14:paraId="376DEFCC" w14:textId="289412F2" w:rsidR="004632D1" w:rsidRPr="00D93780" w:rsidRDefault="004632D1" w:rsidP="004632D1">
            <w:pPr>
              <w:spacing w:before="30" w:after="30" w:line="276" w:lineRule="auto"/>
              <w:jc w:val="center"/>
              <w:rPr>
                <w:rFonts w:ascii="Arial" w:hAnsi="Arial" w:cs="Arial"/>
                <w:sz w:val="18"/>
                <w:szCs w:val="18"/>
                <w:lang w:val="es-ES_tradnl"/>
              </w:rPr>
            </w:pPr>
            <w:r w:rsidRPr="00D93780">
              <w:rPr>
                <w:rFonts w:ascii="Arial" w:hAnsi="Arial" w:cs="Arial"/>
                <w:sz w:val="18"/>
                <w:szCs w:val="18"/>
                <w:lang w:val="es-ES_tradnl"/>
              </w:rPr>
              <w:t>23,51%</w:t>
            </w:r>
          </w:p>
        </w:tc>
      </w:tr>
    </w:tbl>
    <w:p w14:paraId="61E4AB1B" w14:textId="77777777" w:rsidR="00ED2E20" w:rsidRPr="00D93780" w:rsidRDefault="00ED2E20" w:rsidP="00462E76">
      <w:pPr>
        <w:pStyle w:val="Heading3"/>
        <w:spacing w:before="120" w:after="120"/>
        <w:rPr>
          <w:rFonts w:ascii="Arial" w:hAnsi="Arial"/>
          <w:szCs w:val="22"/>
        </w:rPr>
      </w:pPr>
      <w:bookmarkStart w:id="22" w:name="_Toc456337514"/>
      <w:r w:rsidRPr="00D93780">
        <w:rPr>
          <w:rFonts w:ascii="Arial" w:hAnsi="Arial"/>
          <w:szCs w:val="22"/>
        </w:rPr>
        <w:t>Proyectos identificados para la muestra</w:t>
      </w:r>
      <w:bookmarkEnd w:id="22"/>
    </w:p>
    <w:p w14:paraId="1C852791" w14:textId="5C09D4F6"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En la actualidad se cuentan con ocho proyectos identificados. En el cuadro </w:t>
      </w:r>
      <w:r w:rsidR="00573897" w:rsidRPr="00D93780">
        <w:rPr>
          <w:rFonts w:ascii="Arial" w:hAnsi="Arial" w:cs="Arial"/>
          <w:sz w:val="22"/>
          <w:szCs w:val="22"/>
          <w:lang w:val="es-ES_tradnl"/>
        </w:rPr>
        <w:t>9</w:t>
      </w:r>
      <w:r w:rsidRPr="00D93780">
        <w:rPr>
          <w:rFonts w:ascii="Arial" w:hAnsi="Arial" w:cs="Arial"/>
          <w:sz w:val="22"/>
          <w:szCs w:val="22"/>
          <w:lang w:val="es-ES_tradnl"/>
        </w:rPr>
        <w:t xml:space="preserve"> se describen de forma sucinta sus características, el monto presupuestado, así como el grado de avance que se tiene en la formulación del proyecto técnico:</w:t>
      </w:r>
    </w:p>
    <w:p w14:paraId="60BA8242" w14:textId="5F088B65"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573897" w:rsidRPr="00462E76">
        <w:rPr>
          <w:rFonts w:ascii="Arial" w:hAnsi="Arial" w:cs="Arial"/>
          <w:b/>
          <w:sz w:val="18"/>
          <w:szCs w:val="22"/>
        </w:rPr>
        <w:t>9</w:t>
      </w:r>
      <w:r w:rsidRPr="00462E76">
        <w:rPr>
          <w:rFonts w:ascii="Arial" w:hAnsi="Arial" w:cs="Arial"/>
          <w:b/>
          <w:sz w:val="18"/>
          <w:szCs w:val="22"/>
        </w:rPr>
        <w:t>. Proyectos seleccionados</w:t>
      </w:r>
    </w:p>
    <w:tbl>
      <w:tblPr>
        <w:tblW w:w="4634" w:type="pct"/>
        <w:tblInd w:w="648" w:type="dxa"/>
        <w:tblLook w:val="04A0" w:firstRow="1" w:lastRow="0" w:firstColumn="1" w:lastColumn="0" w:noHBand="0" w:noVBand="1"/>
      </w:tblPr>
      <w:tblGrid>
        <w:gridCol w:w="2723"/>
        <w:gridCol w:w="1686"/>
        <w:gridCol w:w="1829"/>
        <w:gridCol w:w="1970"/>
      </w:tblGrid>
      <w:tr w:rsidR="00ED2E20" w:rsidRPr="00D93780" w14:paraId="371AD8F4" w14:textId="77777777" w:rsidTr="005D454E">
        <w:trPr>
          <w:cantSplit/>
          <w:tblHeader/>
        </w:trPr>
        <w:tc>
          <w:tcPr>
            <w:tcW w:w="1659" w:type="pct"/>
            <w:tcBorders>
              <w:top w:val="single" w:sz="4" w:space="0" w:color="auto"/>
              <w:bottom w:val="single" w:sz="4" w:space="0" w:color="auto"/>
            </w:tcBorders>
            <w:shd w:val="clear" w:color="auto" w:fill="D9D9D9" w:themeFill="background1" w:themeFillShade="D9"/>
          </w:tcPr>
          <w:p w14:paraId="6E240154" w14:textId="77777777" w:rsidR="00ED2E20" w:rsidRPr="00D93780" w:rsidRDefault="00ED2E20" w:rsidP="00227A32">
            <w:pPr>
              <w:tabs>
                <w:tab w:val="left" w:pos="435"/>
              </w:tabs>
              <w:ind w:left="426" w:hanging="426"/>
              <w:rPr>
                <w:rFonts w:ascii="Arial" w:hAnsi="Arial" w:cs="Arial"/>
                <w:b/>
                <w:sz w:val="18"/>
                <w:szCs w:val="18"/>
                <w:lang w:val="es-ES_tradnl"/>
              </w:rPr>
            </w:pPr>
            <w:r w:rsidRPr="00D93780">
              <w:rPr>
                <w:rFonts w:ascii="Arial" w:hAnsi="Arial" w:cs="Arial"/>
                <w:b/>
                <w:sz w:val="18"/>
                <w:szCs w:val="18"/>
                <w:lang w:val="es-ES_tradnl"/>
              </w:rPr>
              <w:t>Proyecto</w:t>
            </w:r>
          </w:p>
        </w:tc>
        <w:tc>
          <w:tcPr>
            <w:tcW w:w="1027" w:type="pct"/>
            <w:tcBorders>
              <w:top w:val="single" w:sz="4" w:space="0" w:color="auto"/>
              <w:bottom w:val="single" w:sz="4" w:space="0" w:color="auto"/>
            </w:tcBorders>
            <w:shd w:val="clear" w:color="auto" w:fill="D9D9D9" w:themeFill="background1" w:themeFillShade="D9"/>
          </w:tcPr>
          <w:p w14:paraId="7653EE2C"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Tipo de obra</w:t>
            </w:r>
          </w:p>
        </w:tc>
        <w:tc>
          <w:tcPr>
            <w:tcW w:w="1114" w:type="pct"/>
            <w:tcBorders>
              <w:top w:val="single" w:sz="4" w:space="0" w:color="auto"/>
              <w:bottom w:val="single" w:sz="4" w:space="0" w:color="auto"/>
            </w:tcBorders>
            <w:shd w:val="clear" w:color="auto" w:fill="D9D9D9" w:themeFill="background1" w:themeFillShade="D9"/>
          </w:tcPr>
          <w:p w14:paraId="0CE4F52A" w14:textId="5F82F4A6"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 xml:space="preserve">Monto previsto </w:t>
            </w:r>
            <w:r w:rsidR="004632D1" w:rsidRPr="00D93780">
              <w:rPr>
                <w:rFonts w:ascii="Arial" w:hAnsi="Arial" w:cs="Arial"/>
                <w:b/>
                <w:sz w:val="18"/>
                <w:szCs w:val="18"/>
                <w:lang w:val="es-CL"/>
              </w:rPr>
              <w:t xml:space="preserve">de inversión </w:t>
            </w:r>
            <w:r w:rsidRPr="00D93780">
              <w:rPr>
                <w:rFonts w:ascii="Arial" w:hAnsi="Arial" w:cs="Arial"/>
                <w:b/>
                <w:sz w:val="18"/>
                <w:szCs w:val="18"/>
                <w:lang w:val="es-CL"/>
              </w:rPr>
              <w:t>(USD)</w:t>
            </w:r>
          </w:p>
        </w:tc>
        <w:tc>
          <w:tcPr>
            <w:tcW w:w="1200" w:type="pct"/>
            <w:tcBorders>
              <w:top w:val="single" w:sz="4" w:space="0" w:color="auto"/>
              <w:bottom w:val="single" w:sz="4" w:space="0" w:color="auto"/>
            </w:tcBorders>
            <w:shd w:val="clear" w:color="auto" w:fill="D9D9D9" w:themeFill="background1" w:themeFillShade="D9"/>
          </w:tcPr>
          <w:p w14:paraId="469E0461"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Avance formulación proyecto</w:t>
            </w:r>
          </w:p>
        </w:tc>
      </w:tr>
      <w:tr w:rsidR="00ED2E20" w:rsidRPr="00D93780" w14:paraId="6CBC4B2E" w14:textId="77777777" w:rsidTr="005D454E">
        <w:trPr>
          <w:cantSplit/>
        </w:trPr>
        <w:tc>
          <w:tcPr>
            <w:tcW w:w="1659" w:type="pct"/>
            <w:tcBorders>
              <w:top w:val="single" w:sz="4" w:space="0" w:color="auto"/>
              <w:bottom w:val="single" w:sz="4" w:space="0" w:color="auto"/>
            </w:tcBorders>
          </w:tcPr>
          <w:p w14:paraId="1C01C8B5" w14:textId="77777777" w:rsidR="00ED2E20" w:rsidRPr="00D93780" w:rsidRDefault="00ED2E20" w:rsidP="00227A32">
            <w:pPr>
              <w:pStyle w:val="ListParagraph"/>
              <w:numPr>
                <w:ilvl w:val="0"/>
                <w:numId w:val="36"/>
              </w:numPr>
              <w:rPr>
                <w:rFonts w:ascii="Arial" w:hAnsi="Arial" w:cs="Arial"/>
                <w:sz w:val="18"/>
                <w:szCs w:val="18"/>
              </w:rPr>
            </w:pPr>
            <w:r w:rsidRPr="00D93780">
              <w:rPr>
                <w:rFonts w:ascii="Arial" w:hAnsi="Arial" w:cs="Arial"/>
                <w:sz w:val="18"/>
                <w:szCs w:val="18"/>
                <w:lang w:val="es-ES_tradnl"/>
              </w:rPr>
              <w:t>Mejora de accesos a Bella Unión la Avenida General Artigas (Artigas)</w:t>
            </w:r>
          </w:p>
        </w:tc>
        <w:tc>
          <w:tcPr>
            <w:tcW w:w="1027" w:type="pct"/>
            <w:tcBorders>
              <w:top w:val="single" w:sz="4" w:space="0" w:color="auto"/>
              <w:bottom w:val="single" w:sz="4" w:space="0" w:color="auto"/>
            </w:tcBorders>
            <w:vAlign w:val="center"/>
          </w:tcPr>
          <w:p w14:paraId="0B7D86D9" w14:textId="77777777" w:rsidR="00ED2E20" w:rsidRPr="00D93780" w:rsidRDefault="00ED2E20" w:rsidP="00227A32">
            <w:pPr>
              <w:rPr>
                <w:rFonts w:ascii="Arial" w:hAnsi="Arial" w:cs="Arial"/>
                <w:sz w:val="18"/>
                <w:szCs w:val="18"/>
              </w:rPr>
            </w:pPr>
            <w:r w:rsidRPr="00D93780">
              <w:rPr>
                <w:rFonts w:ascii="Arial" w:hAnsi="Arial" w:cs="Arial"/>
                <w:sz w:val="18"/>
                <w:szCs w:val="18"/>
              </w:rPr>
              <w:t>Pavimentación y aguas pluviales</w:t>
            </w:r>
          </w:p>
        </w:tc>
        <w:tc>
          <w:tcPr>
            <w:tcW w:w="1114" w:type="pct"/>
            <w:tcBorders>
              <w:top w:val="single" w:sz="4" w:space="0" w:color="auto"/>
              <w:bottom w:val="single" w:sz="4" w:space="0" w:color="auto"/>
            </w:tcBorders>
            <w:vAlign w:val="center"/>
          </w:tcPr>
          <w:p w14:paraId="69AAE40F" w14:textId="77777777" w:rsidR="00ED2E20" w:rsidRPr="00D93780" w:rsidRDefault="00ED2E20" w:rsidP="00227A32">
            <w:pPr>
              <w:spacing w:before="30" w:after="30"/>
              <w:ind w:right="159"/>
              <w:jc w:val="right"/>
              <w:rPr>
                <w:rFonts w:ascii="Arial" w:hAnsi="Arial" w:cs="Arial"/>
                <w:sz w:val="18"/>
                <w:szCs w:val="18"/>
              </w:rPr>
            </w:pPr>
            <w:r w:rsidRPr="00D93780">
              <w:rPr>
                <w:rFonts w:ascii="Arial" w:hAnsi="Arial" w:cs="Arial"/>
                <w:sz w:val="18"/>
                <w:szCs w:val="18"/>
              </w:rPr>
              <w:t>1.622.087</w:t>
            </w:r>
          </w:p>
        </w:tc>
        <w:tc>
          <w:tcPr>
            <w:tcW w:w="1200" w:type="pct"/>
            <w:tcBorders>
              <w:top w:val="single" w:sz="4" w:space="0" w:color="auto"/>
              <w:bottom w:val="single" w:sz="4" w:space="0" w:color="auto"/>
            </w:tcBorders>
            <w:vAlign w:val="center"/>
          </w:tcPr>
          <w:p w14:paraId="5BFBFA40" w14:textId="77777777" w:rsidR="00ED2E20" w:rsidRPr="00D93780" w:rsidRDefault="00ED2E20" w:rsidP="00227A32">
            <w:pPr>
              <w:spacing w:before="30" w:after="30"/>
              <w:rPr>
                <w:rFonts w:ascii="Arial" w:hAnsi="Arial" w:cs="Arial"/>
                <w:sz w:val="18"/>
                <w:szCs w:val="18"/>
              </w:rPr>
            </w:pPr>
            <w:r w:rsidRPr="00D93780">
              <w:rPr>
                <w:rFonts w:ascii="Arial" w:hAnsi="Arial" w:cs="Arial"/>
                <w:sz w:val="18"/>
                <w:szCs w:val="18"/>
              </w:rPr>
              <w:t>Proyecto ejecutivo</w:t>
            </w:r>
          </w:p>
        </w:tc>
      </w:tr>
      <w:tr w:rsidR="00ED2E20" w:rsidRPr="00D93780" w14:paraId="4B49CF99" w14:textId="77777777" w:rsidTr="005D454E">
        <w:trPr>
          <w:cantSplit/>
        </w:trPr>
        <w:tc>
          <w:tcPr>
            <w:tcW w:w="1659" w:type="pct"/>
            <w:tcBorders>
              <w:top w:val="single" w:sz="4" w:space="0" w:color="auto"/>
              <w:bottom w:val="single" w:sz="4" w:space="0" w:color="auto"/>
            </w:tcBorders>
            <w:shd w:val="clear" w:color="auto" w:fill="auto"/>
          </w:tcPr>
          <w:p w14:paraId="0E9D0D10"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rPr>
              <w:t>Consolidación del barrio Borbonet de la Ciudad de Canelones (Canelones)</w:t>
            </w:r>
          </w:p>
        </w:tc>
        <w:tc>
          <w:tcPr>
            <w:tcW w:w="1027" w:type="pct"/>
            <w:tcBorders>
              <w:top w:val="single" w:sz="4" w:space="0" w:color="auto"/>
              <w:bottom w:val="single" w:sz="4" w:space="0" w:color="auto"/>
            </w:tcBorders>
            <w:vAlign w:val="center"/>
          </w:tcPr>
          <w:p w14:paraId="3A0AE146" w14:textId="77777777" w:rsidR="00ED2E20" w:rsidRPr="00D93780" w:rsidRDefault="00ED2E20" w:rsidP="00227A32">
            <w:pPr>
              <w:rPr>
                <w:rFonts w:ascii="Arial" w:hAnsi="Arial" w:cs="Arial"/>
                <w:sz w:val="18"/>
                <w:szCs w:val="18"/>
              </w:rPr>
            </w:pPr>
            <w:r w:rsidRPr="00D93780">
              <w:rPr>
                <w:rFonts w:ascii="Arial" w:hAnsi="Arial" w:cs="Arial"/>
                <w:sz w:val="18"/>
                <w:szCs w:val="18"/>
              </w:rPr>
              <w:t>Pavimentación y aguas pluviales</w:t>
            </w:r>
          </w:p>
        </w:tc>
        <w:tc>
          <w:tcPr>
            <w:tcW w:w="1114" w:type="pct"/>
            <w:tcBorders>
              <w:top w:val="single" w:sz="4" w:space="0" w:color="auto"/>
              <w:bottom w:val="single" w:sz="4" w:space="0" w:color="auto"/>
            </w:tcBorders>
            <w:shd w:val="clear" w:color="auto" w:fill="auto"/>
            <w:vAlign w:val="center"/>
          </w:tcPr>
          <w:p w14:paraId="4E7118B0" w14:textId="77777777" w:rsidR="00ED2E20" w:rsidRPr="00D93780" w:rsidRDefault="00ED2E20" w:rsidP="00227A32">
            <w:pPr>
              <w:spacing w:before="30" w:after="30"/>
              <w:ind w:right="159"/>
              <w:jc w:val="right"/>
              <w:rPr>
                <w:rFonts w:ascii="Arial" w:hAnsi="Arial" w:cs="Arial"/>
                <w:sz w:val="18"/>
                <w:szCs w:val="18"/>
              </w:rPr>
            </w:pPr>
            <w:r w:rsidRPr="00D93780">
              <w:rPr>
                <w:rFonts w:ascii="Arial" w:hAnsi="Arial" w:cs="Arial"/>
                <w:sz w:val="18"/>
                <w:szCs w:val="18"/>
              </w:rPr>
              <w:t>2.500.000</w:t>
            </w:r>
          </w:p>
        </w:tc>
        <w:tc>
          <w:tcPr>
            <w:tcW w:w="1200" w:type="pct"/>
            <w:tcBorders>
              <w:top w:val="single" w:sz="4" w:space="0" w:color="auto"/>
              <w:bottom w:val="single" w:sz="4" w:space="0" w:color="auto"/>
            </w:tcBorders>
            <w:vAlign w:val="center"/>
          </w:tcPr>
          <w:p w14:paraId="63CD051B" w14:textId="2E058E05" w:rsidR="00ED2E20" w:rsidRPr="00D93780" w:rsidRDefault="007F6DBA" w:rsidP="00227A32">
            <w:pPr>
              <w:rPr>
                <w:rFonts w:ascii="Arial" w:hAnsi="Arial" w:cs="Arial"/>
                <w:bCs/>
                <w:color w:val="000000"/>
                <w:sz w:val="18"/>
                <w:szCs w:val="18"/>
              </w:rPr>
            </w:pPr>
            <w:r w:rsidRPr="00D93780">
              <w:rPr>
                <w:rFonts w:ascii="Arial" w:hAnsi="Arial" w:cs="Arial"/>
                <w:bCs/>
                <w:color w:val="000000"/>
                <w:sz w:val="18"/>
                <w:szCs w:val="18"/>
              </w:rPr>
              <w:t>Anteproyecto</w:t>
            </w:r>
          </w:p>
        </w:tc>
      </w:tr>
      <w:tr w:rsidR="00ED2E20" w:rsidRPr="00D93780" w14:paraId="2A94FC88" w14:textId="77777777" w:rsidTr="005D454E">
        <w:trPr>
          <w:cantSplit/>
        </w:trPr>
        <w:tc>
          <w:tcPr>
            <w:tcW w:w="1659" w:type="pct"/>
            <w:tcBorders>
              <w:top w:val="single" w:sz="4" w:space="0" w:color="auto"/>
              <w:bottom w:val="single" w:sz="4" w:space="0" w:color="auto"/>
            </w:tcBorders>
          </w:tcPr>
          <w:p w14:paraId="69AE04E9"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lang w:val="es-ES_tradnl"/>
              </w:rPr>
              <w:t>Pluviales Barrio Libertad de Juan Lacaze (Colonia)</w:t>
            </w:r>
          </w:p>
        </w:tc>
        <w:tc>
          <w:tcPr>
            <w:tcW w:w="1027" w:type="pct"/>
            <w:tcBorders>
              <w:top w:val="single" w:sz="4" w:space="0" w:color="auto"/>
              <w:bottom w:val="single" w:sz="4" w:space="0" w:color="auto"/>
            </w:tcBorders>
            <w:vAlign w:val="center"/>
          </w:tcPr>
          <w:p w14:paraId="53FF40CD" w14:textId="77777777" w:rsidR="00ED2E20" w:rsidRPr="00D93780" w:rsidRDefault="00ED2E20" w:rsidP="00227A32">
            <w:pPr>
              <w:rPr>
                <w:rFonts w:ascii="Arial" w:hAnsi="Arial" w:cs="Arial"/>
                <w:sz w:val="18"/>
                <w:szCs w:val="18"/>
              </w:rPr>
            </w:pPr>
            <w:r w:rsidRPr="00D93780">
              <w:rPr>
                <w:rFonts w:ascii="Arial" w:hAnsi="Arial" w:cs="Arial"/>
                <w:sz w:val="18"/>
                <w:szCs w:val="18"/>
              </w:rPr>
              <w:t>Pavimentación y aguas pluviales</w:t>
            </w:r>
          </w:p>
        </w:tc>
        <w:tc>
          <w:tcPr>
            <w:tcW w:w="1114" w:type="pct"/>
            <w:tcBorders>
              <w:top w:val="single" w:sz="4" w:space="0" w:color="auto"/>
              <w:bottom w:val="single" w:sz="4" w:space="0" w:color="auto"/>
            </w:tcBorders>
            <w:vAlign w:val="center"/>
          </w:tcPr>
          <w:p w14:paraId="0265D05E" w14:textId="77777777" w:rsidR="00ED2E20" w:rsidRPr="00D93780" w:rsidRDefault="00ED2E20" w:rsidP="00227A32">
            <w:pPr>
              <w:spacing w:before="30" w:after="30"/>
              <w:ind w:right="159"/>
              <w:jc w:val="right"/>
              <w:rPr>
                <w:rFonts w:ascii="Arial" w:hAnsi="Arial" w:cs="Arial"/>
                <w:sz w:val="18"/>
                <w:szCs w:val="18"/>
              </w:rPr>
            </w:pPr>
            <w:r w:rsidRPr="00D93780">
              <w:rPr>
                <w:rFonts w:ascii="Arial" w:hAnsi="Arial" w:cs="Arial"/>
                <w:sz w:val="18"/>
                <w:szCs w:val="18"/>
              </w:rPr>
              <w:t>3.854.153</w:t>
            </w:r>
          </w:p>
        </w:tc>
        <w:tc>
          <w:tcPr>
            <w:tcW w:w="1200" w:type="pct"/>
            <w:tcBorders>
              <w:top w:val="single" w:sz="4" w:space="0" w:color="auto"/>
              <w:bottom w:val="single" w:sz="4" w:space="0" w:color="auto"/>
            </w:tcBorders>
            <w:vAlign w:val="center"/>
          </w:tcPr>
          <w:p w14:paraId="16F75C1A" w14:textId="77777777" w:rsidR="00ED2E20" w:rsidRPr="00D93780" w:rsidRDefault="00ED2E20" w:rsidP="00227A32">
            <w:pPr>
              <w:rPr>
                <w:rFonts w:ascii="Arial" w:hAnsi="Arial" w:cs="Arial"/>
                <w:bCs/>
                <w:color w:val="000000"/>
                <w:sz w:val="18"/>
                <w:szCs w:val="18"/>
              </w:rPr>
            </w:pPr>
            <w:r w:rsidRPr="00D93780">
              <w:rPr>
                <w:rFonts w:ascii="Arial" w:hAnsi="Arial" w:cs="Arial"/>
                <w:bCs/>
                <w:color w:val="000000"/>
                <w:sz w:val="18"/>
                <w:szCs w:val="18"/>
              </w:rPr>
              <w:t>Proyecto ejecutivo</w:t>
            </w:r>
          </w:p>
        </w:tc>
      </w:tr>
      <w:tr w:rsidR="00ED2E20" w:rsidRPr="00D93780" w14:paraId="437BD440" w14:textId="77777777" w:rsidTr="005D454E">
        <w:trPr>
          <w:cantSplit/>
        </w:trPr>
        <w:tc>
          <w:tcPr>
            <w:tcW w:w="1659" w:type="pct"/>
            <w:tcBorders>
              <w:top w:val="single" w:sz="4" w:space="0" w:color="auto"/>
              <w:bottom w:val="single" w:sz="4" w:space="0" w:color="auto"/>
            </w:tcBorders>
          </w:tcPr>
          <w:p w14:paraId="30A8C8E5"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lang w:val="es-ES_tradnl"/>
              </w:rPr>
              <w:t>Recuperación y refuncionalización de la Plaza de Toros de Colonia del Sacramento (Colonia)</w:t>
            </w:r>
          </w:p>
        </w:tc>
        <w:tc>
          <w:tcPr>
            <w:tcW w:w="1027" w:type="pct"/>
            <w:tcBorders>
              <w:top w:val="single" w:sz="4" w:space="0" w:color="auto"/>
              <w:bottom w:val="single" w:sz="4" w:space="0" w:color="auto"/>
            </w:tcBorders>
            <w:vAlign w:val="center"/>
          </w:tcPr>
          <w:p w14:paraId="562FCAB6" w14:textId="77777777" w:rsidR="00ED2E20" w:rsidRPr="00D93780" w:rsidRDefault="00ED2E20" w:rsidP="00227A32">
            <w:pPr>
              <w:rPr>
                <w:rFonts w:ascii="Arial" w:hAnsi="Arial" w:cs="Arial"/>
                <w:sz w:val="18"/>
                <w:szCs w:val="18"/>
              </w:rPr>
            </w:pPr>
            <w:r w:rsidRPr="00D93780">
              <w:rPr>
                <w:rFonts w:ascii="Arial" w:hAnsi="Arial" w:cs="Arial"/>
                <w:sz w:val="18"/>
                <w:szCs w:val="18"/>
              </w:rPr>
              <w:t>Recuperación patrimonio histórico</w:t>
            </w:r>
          </w:p>
        </w:tc>
        <w:tc>
          <w:tcPr>
            <w:tcW w:w="1114" w:type="pct"/>
            <w:tcBorders>
              <w:top w:val="single" w:sz="4" w:space="0" w:color="auto"/>
              <w:bottom w:val="single" w:sz="4" w:space="0" w:color="auto"/>
            </w:tcBorders>
            <w:vAlign w:val="center"/>
          </w:tcPr>
          <w:p w14:paraId="028099F0" w14:textId="77777777" w:rsidR="00ED2E20" w:rsidRPr="00D93780" w:rsidRDefault="00ED2E20" w:rsidP="00227A32">
            <w:pPr>
              <w:spacing w:before="30" w:after="30"/>
              <w:ind w:right="159"/>
              <w:jc w:val="right"/>
              <w:rPr>
                <w:rFonts w:ascii="Arial" w:hAnsi="Arial" w:cs="Arial"/>
                <w:sz w:val="18"/>
                <w:szCs w:val="18"/>
              </w:rPr>
            </w:pPr>
            <w:r w:rsidRPr="00D93780">
              <w:rPr>
                <w:rFonts w:ascii="Arial" w:hAnsi="Arial" w:cs="Arial"/>
                <w:sz w:val="18"/>
                <w:szCs w:val="18"/>
              </w:rPr>
              <w:t>4.970.000</w:t>
            </w:r>
          </w:p>
        </w:tc>
        <w:tc>
          <w:tcPr>
            <w:tcW w:w="1200" w:type="pct"/>
            <w:tcBorders>
              <w:top w:val="single" w:sz="4" w:space="0" w:color="auto"/>
              <w:bottom w:val="single" w:sz="4" w:space="0" w:color="auto"/>
            </w:tcBorders>
            <w:vAlign w:val="center"/>
          </w:tcPr>
          <w:p w14:paraId="1A9E3C4B" w14:textId="24990292" w:rsidR="00ED2E20" w:rsidRPr="00D93780" w:rsidRDefault="007F6DBA" w:rsidP="00227A32">
            <w:pPr>
              <w:rPr>
                <w:rFonts w:ascii="Arial" w:hAnsi="Arial" w:cs="Arial"/>
                <w:bCs/>
                <w:color w:val="000000"/>
                <w:sz w:val="18"/>
                <w:szCs w:val="18"/>
              </w:rPr>
            </w:pPr>
            <w:r w:rsidRPr="00D93780">
              <w:rPr>
                <w:rFonts w:ascii="Arial" w:hAnsi="Arial" w:cs="Arial"/>
                <w:bCs/>
                <w:color w:val="000000"/>
                <w:sz w:val="18"/>
                <w:szCs w:val="18"/>
              </w:rPr>
              <w:t>Anteproyecto</w:t>
            </w:r>
          </w:p>
        </w:tc>
      </w:tr>
      <w:tr w:rsidR="00ED2E20" w:rsidRPr="00D93780" w14:paraId="3647AB64" w14:textId="77777777" w:rsidTr="005D454E">
        <w:trPr>
          <w:cantSplit/>
        </w:trPr>
        <w:tc>
          <w:tcPr>
            <w:tcW w:w="1659" w:type="pct"/>
            <w:tcBorders>
              <w:top w:val="single" w:sz="4" w:space="0" w:color="auto"/>
              <w:bottom w:val="single" w:sz="4" w:space="0" w:color="auto"/>
            </w:tcBorders>
          </w:tcPr>
          <w:p w14:paraId="008A8547"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lang w:val="es-ES_tradnl"/>
              </w:rPr>
              <w:lastRenderedPageBreak/>
              <w:t>Reconversión edilicia y funcional del Estadio “10 de Julio” (Florida)</w:t>
            </w:r>
          </w:p>
        </w:tc>
        <w:tc>
          <w:tcPr>
            <w:tcW w:w="1027" w:type="pct"/>
            <w:tcBorders>
              <w:top w:val="single" w:sz="4" w:space="0" w:color="auto"/>
              <w:bottom w:val="single" w:sz="4" w:space="0" w:color="auto"/>
            </w:tcBorders>
            <w:vAlign w:val="center"/>
          </w:tcPr>
          <w:p w14:paraId="5D27A917" w14:textId="77777777" w:rsidR="00ED2E20" w:rsidRPr="00D93780" w:rsidRDefault="00ED2E20" w:rsidP="00227A32">
            <w:pPr>
              <w:rPr>
                <w:rFonts w:ascii="Arial" w:hAnsi="Arial" w:cs="Arial"/>
                <w:sz w:val="18"/>
                <w:szCs w:val="18"/>
              </w:rPr>
            </w:pPr>
            <w:r w:rsidRPr="00D93780">
              <w:rPr>
                <w:rFonts w:ascii="Arial" w:hAnsi="Arial" w:cs="Arial"/>
                <w:sz w:val="18"/>
                <w:szCs w:val="18"/>
              </w:rPr>
              <w:t>Equipamiento urbano</w:t>
            </w:r>
          </w:p>
        </w:tc>
        <w:tc>
          <w:tcPr>
            <w:tcW w:w="1114" w:type="pct"/>
            <w:tcBorders>
              <w:top w:val="single" w:sz="4" w:space="0" w:color="auto"/>
              <w:bottom w:val="single" w:sz="4" w:space="0" w:color="auto"/>
            </w:tcBorders>
            <w:vAlign w:val="center"/>
          </w:tcPr>
          <w:p w14:paraId="558ECF51" w14:textId="77777777" w:rsidR="00ED2E20" w:rsidRPr="00D93780" w:rsidRDefault="00ED2E20" w:rsidP="00227A32">
            <w:pPr>
              <w:spacing w:before="30" w:after="30"/>
              <w:ind w:right="159"/>
              <w:jc w:val="right"/>
              <w:rPr>
                <w:rFonts w:ascii="Arial" w:hAnsi="Arial" w:cs="Arial"/>
                <w:sz w:val="18"/>
                <w:szCs w:val="18"/>
              </w:rPr>
            </w:pPr>
            <w:r w:rsidRPr="00D93780">
              <w:rPr>
                <w:rFonts w:ascii="Arial" w:hAnsi="Arial" w:cs="Arial"/>
                <w:sz w:val="18"/>
                <w:szCs w:val="18"/>
              </w:rPr>
              <w:t>1.350.000</w:t>
            </w:r>
          </w:p>
        </w:tc>
        <w:tc>
          <w:tcPr>
            <w:tcW w:w="1200" w:type="pct"/>
            <w:tcBorders>
              <w:top w:val="single" w:sz="4" w:space="0" w:color="auto"/>
              <w:bottom w:val="single" w:sz="4" w:space="0" w:color="auto"/>
            </w:tcBorders>
            <w:vAlign w:val="center"/>
          </w:tcPr>
          <w:p w14:paraId="62B4344F" w14:textId="075A3D41" w:rsidR="00ED2E20" w:rsidRPr="00D93780" w:rsidRDefault="007F6DBA" w:rsidP="00227A32">
            <w:pPr>
              <w:rPr>
                <w:rFonts w:ascii="Arial" w:hAnsi="Arial" w:cs="Arial"/>
                <w:bCs/>
                <w:color w:val="000000"/>
                <w:sz w:val="18"/>
                <w:szCs w:val="18"/>
              </w:rPr>
            </w:pPr>
            <w:r w:rsidRPr="00D93780">
              <w:rPr>
                <w:rFonts w:ascii="Arial" w:hAnsi="Arial" w:cs="Arial"/>
                <w:bCs/>
                <w:color w:val="000000"/>
                <w:sz w:val="18"/>
                <w:szCs w:val="18"/>
              </w:rPr>
              <w:t>Proyecto ejecutivo</w:t>
            </w:r>
          </w:p>
        </w:tc>
      </w:tr>
      <w:tr w:rsidR="00ED2E20" w:rsidRPr="00D93780" w14:paraId="4CE45B02" w14:textId="77777777" w:rsidTr="005D454E">
        <w:trPr>
          <w:cantSplit/>
        </w:trPr>
        <w:tc>
          <w:tcPr>
            <w:tcW w:w="1659" w:type="pct"/>
            <w:tcBorders>
              <w:top w:val="single" w:sz="4" w:space="0" w:color="auto"/>
              <w:bottom w:val="single" w:sz="4" w:space="0" w:color="auto"/>
            </w:tcBorders>
          </w:tcPr>
          <w:p w14:paraId="7686FC5B"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lang w:val="es-ES_tradnl"/>
              </w:rPr>
              <w:t>Anillo perimetral Maldonado Tramo Ruta 39 (Maldonado)</w:t>
            </w:r>
          </w:p>
        </w:tc>
        <w:tc>
          <w:tcPr>
            <w:tcW w:w="1027" w:type="pct"/>
            <w:tcBorders>
              <w:top w:val="single" w:sz="4" w:space="0" w:color="auto"/>
              <w:bottom w:val="single" w:sz="4" w:space="0" w:color="auto"/>
            </w:tcBorders>
            <w:vAlign w:val="center"/>
          </w:tcPr>
          <w:p w14:paraId="338C37E1" w14:textId="77777777" w:rsidR="00ED2E20" w:rsidRPr="00D93780" w:rsidRDefault="00ED2E20" w:rsidP="00227A32">
            <w:pPr>
              <w:rPr>
                <w:rFonts w:ascii="Arial" w:hAnsi="Arial" w:cs="Arial"/>
                <w:sz w:val="18"/>
                <w:szCs w:val="18"/>
                <w:lang w:val="es-ES_tradnl"/>
              </w:rPr>
            </w:pPr>
            <w:r w:rsidRPr="00D93780">
              <w:rPr>
                <w:rFonts w:ascii="Arial" w:hAnsi="Arial" w:cs="Arial"/>
                <w:sz w:val="18"/>
                <w:szCs w:val="18"/>
                <w:lang w:val="es-ES_tradnl"/>
              </w:rPr>
              <w:t>Accesibilidad</w:t>
            </w:r>
          </w:p>
        </w:tc>
        <w:tc>
          <w:tcPr>
            <w:tcW w:w="1114" w:type="pct"/>
            <w:tcBorders>
              <w:top w:val="single" w:sz="4" w:space="0" w:color="auto"/>
              <w:bottom w:val="single" w:sz="4" w:space="0" w:color="auto"/>
            </w:tcBorders>
            <w:vAlign w:val="center"/>
          </w:tcPr>
          <w:p w14:paraId="2548804B" w14:textId="77777777" w:rsidR="00ED2E20" w:rsidRPr="00D93780" w:rsidRDefault="00ED2E20" w:rsidP="00227A32">
            <w:pPr>
              <w:spacing w:before="30" w:after="30"/>
              <w:ind w:right="159"/>
              <w:jc w:val="right"/>
              <w:rPr>
                <w:rFonts w:ascii="Arial" w:hAnsi="Arial" w:cs="Arial"/>
                <w:sz w:val="18"/>
                <w:szCs w:val="18"/>
              </w:rPr>
            </w:pPr>
            <w:r w:rsidRPr="00D93780">
              <w:rPr>
                <w:rFonts w:ascii="Arial" w:hAnsi="Arial" w:cs="Arial"/>
                <w:sz w:val="18"/>
                <w:szCs w:val="18"/>
              </w:rPr>
              <w:t>5.585.775</w:t>
            </w:r>
          </w:p>
        </w:tc>
        <w:tc>
          <w:tcPr>
            <w:tcW w:w="1200" w:type="pct"/>
            <w:tcBorders>
              <w:top w:val="single" w:sz="4" w:space="0" w:color="auto"/>
              <w:bottom w:val="single" w:sz="4" w:space="0" w:color="auto"/>
            </w:tcBorders>
            <w:vAlign w:val="center"/>
          </w:tcPr>
          <w:p w14:paraId="696E70A5" w14:textId="77777777" w:rsidR="00ED2E20" w:rsidRPr="00D93780" w:rsidRDefault="00ED2E20" w:rsidP="00227A32">
            <w:pPr>
              <w:rPr>
                <w:rFonts w:ascii="Arial" w:hAnsi="Arial" w:cs="Arial"/>
                <w:bCs/>
                <w:color w:val="000000"/>
                <w:sz w:val="18"/>
                <w:szCs w:val="18"/>
              </w:rPr>
            </w:pPr>
            <w:r w:rsidRPr="00D93780">
              <w:rPr>
                <w:rFonts w:ascii="Arial" w:hAnsi="Arial" w:cs="Arial"/>
                <w:bCs/>
                <w:color w:val="000000"/>
                <w:sz w:val="18"/>
                <w:szCs w:val="18"/>
              </w:rPr>
              <w:t>Proyecto ejecutivo</w:t>
            </w:r>
          </w:p>
        </w:tc>
      </w:tr>
      <w:tr w:rsidR="00ED2E20" w:rsidRPr="00D93780" w14:paraId="2281040D" w14:textId="77777777" w:rsidTr="005D454E">
        <w:trPr>
          <w:cantSplit/>
        </w:trPr>
        <w:tc>
          <w:tcPr>
            <w:tcW w:w="1659" w:type="pct"/>
            <w:tcBorders>
              <w:top w:val="single" w:sz="4" w:space="0" w:color="auto"/>
              <w:bottom w:val="single" w:sz="4" w:space="0" w:color="auto"/>
            </w:tcBorders>
          </w:tcPr>
          <w:p w14:paraId="6F84393C"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lang w:val="es-ES_tradnl"/>
              </w:rPr>
              <w:t>Pavimentación y desagües pluviales en el Barrio Lavalleja de la Ciudad de Rocha (Rocha)</w:t>
            </w:r>
          </w:p>
        </w:tc>
        <w:tc>
          <w:tcPr>
            <w:tcW w:w="1027" w:type="pct"/>
            <w:tcBorders>
              <w:top w:val="single" w:sz="4" w:space="0" w:color="auto"/>
              <w:bottom w:val="single" w:sz="4" w:space="0" w:color="auto"/>
            </w:tcBorders>
            <w:vAlign w:val="center"/>
          </w:tcPr>
          <w:p w14:paraId="3E94A703" w14:textId="77777777" w:rsidR="00ED2E20" w:rsidRPr="00D93780" w:rsidRDefault="00ED2E20" w:rsidP="00227A32">
            <w:pPr>
              <w:rPr>
                <w:rFonts w:ascii="Arial" w:hAnsi="Arial" w:cs="Arial"/>
                <w:sz w:val="18"/>
                <w:szCs w:val="18"/>
                <w:lang w:val="es-ES_tradnl"/>
              </w:rPr>
            </w:pPr>
            <w:r w:rsidRPr="00D93780">
              <w:rPr>
                <w:rFonts w:ascii="Arial" w:hAnsi="Arial" w:cs="Arial"/>
                <w:sz w:val="18"/>
                <w:szCs w:val="18"/>
              </w:rPr>
              <w:t>Pavimentación y aguas pluviales</w:t>
            </w:r>
          </w:p>
        </w:tc>
        <w:tc>
          <w:tcPr>
            <w:tcW w:w="1114" w:type="pct"/>
            <w:tcBorders>
              <w:top w:val="single" w:sz="4" w:space="0" w:color="auto"/>
              <w:bottom w:val="single" w:sz="4" w:space="0" w:color="auto"/>
            </w:tcBorders>
            <w:vAlign w:val="center"/>
          </w:tcPr>
          <w:p w14:paraId="67D7ED70" w14:textId="77777777" w:rsidR="00ED2E20" w:rsidRPr="00D93780" w:rsidRDefault="00ED2E20" w:rsidP="00227A32">
            <w:pPr>
              <w:tabs>
                <w:tab w:val="left" w:pos="1305"/>
              </w:tabs>
              <w:spacing w:before="30" w:after="30"/>
              <w:ind w:right="159"/>
              <w:jc w:val="right"/>
              <w:rPr>
                <w:rFonts w:ascii="Arial" w:hAnsi="Arial" w:cs="Arial"/>
                <w:sz w:val="18"/>
                <w:szCs w:val="18"/>
              </w:rPr>
            </w:pPr>
            <w:r w:rsidRPr="00D93780">
              <w:rPr>
                <w:rFonts w:ascii="Arial" w:hAnsi="Arial" w:cs="Arial"/>
                <w:sz w:val="18"/>
                <w:szCs w:val="18"/>
              </w:rPr>
              <w:t>2.781.331</w:t>
            </w:r>
          </w:p>
        </w:tc>
        <w:tc>
          <w:tcPr>
            <w:tcW w:w="1200" w:type="pct"/>
            <w:tcBorders>
              <w:top w:val="single" w:sz="4" w:space="0" w:color="auto"/>
              <w:bottom w:val="single" w:sz="4" w:space="0" w:color="auto"/>
            </w:tcBorders>
            <w:vAlign w:val="center"/>
          </w:tcPr>
          <w:p w14:paraId="61BCC93D" w14:textId="77777777" w:rsidR="00ED2E20" w:rsidRPr="00D93780" w:rsidRDefault="00ED2E20" w:rsidP="00227A32">
            <w:pPr>
              <w:rPr>
                <w:rFonts w:ascii="Arial" w:hAnsi="Arial" w:cs="Arial"/>
                <w:bCs/>
                <w:color w:val="000000"/>
                <w:sz w:val="18"/>
                <w:szCs w:val="18"/>
              </w:rPr>
            </w:pPr>
            <w:r w:rsidRPr="00D93780">
              <w:rPr>
                <w:rFonts w:ascii="Arial" w:hAnsi="Arial" w:cs="Arial"/>
                <w:bCs/>
                <w:color w:val="000000"/>
                <w:sz w:val="18"/>
                <w:szCs w:val="18"/>
              </w:rPr>
              <w:t>Proyecto ejecutivo</w:t>
            </w:r>
          </w:p>
        </w:tc>
      </w:tr>
      <w:tr w:rsidR="00ED2E20" w:rsidRPr="00D93780" w14:paraId="0C9D2484" w14:textId="77777777" w:rsidTr="005D454E">
        <w:trPr>
          <w:cantSplit/>
        </w:trPr>
        <w:tc>
          <w:tcPr>
            <w:tcW w:w="1659" w:type="pct"/>
            <w:tcBorders>
              <w:top w:val="single" w:sz="4" w:space="0" w:color="auto"/>
              <w:bottom w:val="single" w:sz="4" w:space="0" w:color="auto"/>
            </w:tcBorders>
          </w:tcPr>
          <w:p w14:paraId="4A8526DC" w14:textId="77777777" w:rsidR="00ED2E20" w:rsidRPr="00D93780" w:rsidRDefault="00ED2E20" w:rsidP="00227A32">
            <w:pPr>
              <w:pStyle w:val="ListParagraph"/>
              <w:numPr>
                <w:ilvl w:val="0"/>
                <w:numId w:val="36"/>
              </w:numPr>
              <w:rPr>
                <w:rFonts w:ascii="Arial" w:hAnsi="Arial" w:cs="Arial"/>
                <w:sz w:val="18"/>
                <w:szCs w:val="18"/>
                <w:lang w:val="es-ES_tradnl"/>
              </w:rPr>
            </w:pPr>
            <w:r w:rsidRPr="00D93780">
              <w:rPr>
                <w:rFonts w:ascii="Arial" w:hAnsi="Arial" w:cs="Arial"/>
                <w:sz w:val="18"/>
                <w:szCs w:val="18"/>
              </w:rPr>
              <w:t>Intervención urbanística en ingreso a la ciudad de San José de Mayo (San José)</w:t>
            </w:r>
          </w:p>
        </w:tc>
        <w:tc>
          <w:tcPr>
            <w:tcW w:w="1027" w:type="pct"/>
            <w:tcBorders>
              <w:top w:val="single" w:sz="4" w:space="0" w:color="auto"/>
              <w:bottom w:val="single" w:sz="4" w:space="0" w:color="auto"/>
            </w:tcBorders>
            <w:vAlign w:val="center"/>
          </w:tcPr>
          <w:p w14:paraId="7130B257" w14:textId="7F686B82" w:rsidR="00ED2E20" w:rsidRPr="00D93780" w:rsidRDefault="004632D1" w:rsidP="00227A32">
            <w:pPr>
              <w:rPr>
                <w:rFonts w:ascii="Arial" w:hAnsi="Arial" w:cs="Arial"/>
                <w:sz w:val="18"/>
                <w:szCs w:val="18"/>
              </w:rPr>
            </w:pPr>
            <w:r w:rsidRPr="00D93780">
              <w:rPr>
                <w:rFonts w:ascii="Arial" w:hAnsi="Arial" w:cs="Arial"/>
                <w:sz w:val="18"/>
                <w:szCs w:val="18"/>
              </w:rPr>
              <w:t>Pavimentación y aguas pluviales</w:t>
            </w:r>
          </w:p>
        </w:tc>
        <w:tc>
          <w:tcPr>
            <w:tcW w:w="1114" w:type="pct"/>
            <w:tcBorders>
              <w:top w:val="single" w:sz="4" w:space="0" w:color="auto"/>
              <w:bottom w:val="single" w:sz="4" w:space="0" w:color="auto"/>
            </w:tcBorders>
            <w:vAlign w:val="center"/>
          </w:tcPr>
          <w:p w14:paraId="7436AD70" w14:textId="77777777" w:rsidR="00ED2E20" w:rsidRPr="00D93780" w:rsidRDefault="00ED2E20" w:rsidP="00227A32">
            <w:pPr>
              <w:tabs>
                <w:tab w:val="left" w:pos="1305"/>
              </w:tabs>
              <w:spacing w:before="30" w:after="30"/>
              <w:ind w:right="159"/>
              <w:jc w:val="right"/>
              <w:rPr>
                <w:rFonts w:ascii="Arial" w:hAnsi="Arial" w:cs="Arial"/>
                <w:sz w:val="18"/>
                <w:szCs w:val="18"/>
              </w:rPr>
            </w:pPr>
            <w:r w:rsidRPr="00D93780">
              <w:rPr>
                <w:rFonts w:ascii="Arial" w:hAnsi="Arial" w:cs="Arial"/>
                <w:sz w:val="18"/>
                <w:szCs w:val="18"/>
              </w:rPr>
              <w:t>1.677.845</w:t>
            </w:r>
          </w:p>
        </w:tc>
        <w:tc>
          <w:tcPr>
            <w:tcW w:w="1200" w:type="pct"/>
            <w:tcBorders>
              <w:top w:val="single" w:sz="4" w:space="0" w:color="auto"/>
              <w:bottom w:val="single" w:sz="4" w:space="0" w:color="auto"/>
            </w:tcBorders>
            <w:vAlign w:val="center"/>
          </w:tcPr>
          <w:p w14:paraId="70A88903" w14:textId="77777777" w:rsidR="00ED2E20" w:rsidRPr="00D93780" w:rsidRDefault="00ED2E20" w:rsidP="00227A32">
            <w:pPr>
              <w:rPr>
                <w:rFonts w:ascii="Arial" w:hAnsi="Arial" w:cs="Arial"/>
                <w:bCs/>
                <w:color w:val="000000"/>
                <w:sz w:val="18"/>
                <w:szCs w:val="18"/>
              </w:rPr>
            </w:pPr>
            <w:r w:rsidRPr="00D93780">
              <w:rPr>
                <w:rFonts w:ascii="Arial" w:hAnsi="Arial" w:cs="Arial"/>
                <w:bCs/>
                <w:color w:val="000000"/>
                <w:sz w:val="18"/>
                <w:szCs w:val="18"/>
              </w:rPr>
              <w:t>Proyecto ejecutivo</w:t>
            </w:r>
          </w:p>
        </w:tc>
      </w:tr>
    </w:tbl>
    <w:p w14:paraId="0E2FCB80"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El total de la inversión incluida en la muestra asciende a USD 24,34 millones, lo que representa el 31% de los recursos asignados en el Componente 2 para financiar obras de inversión pública. Estos proyectos incluidos en la muestra serán los que formen parte del análisis costo-beneficio.</w:t>
      </w:r>
    </w:p>
    <w:p w14:paraId="12A3A7B8" w14:textId="77777777" w:rsidR="00ED2E20" w:rsidRPr="00D93780" w:rsidRDefault="00ED2E20" w:rsidP="00462E76">
      <w:pPr>
        <w:pStyle w:val="Heading3"/>
        <w:spacing w:before="120" w:after="120"/>
        <w:rPr>
          <w:rFonts w:ascii="Arial" w:hAnsi="Arial"/>
          <w:szCs w:val="22"/>
        </w:rPr>
      </w:pPr>
      <w:bookmarkStart w:id="23" w:name="_Ref456136976"/>
      <w:bookmarkStart w:id="24" w:name="_Toc456337515"/>
      <w:r w:rsidRPr="00D93780">
        <w:rPr>
          <w:rFonts w:ascii="Arial" w:hAnsi="Arial"/>
          <w:szCs w:val="22"/>
        </w:rPr>
        <w:t>Cuantificación de los costos</w:t>
      </w:r>
      <w:bookmarkEnd w:id="23"/>
      <w:bookmarkEnd w:id="24"/>
    </w:p>
    <w:p w14:paraId="2B65FE82"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La evaluación económica compara el flujo descontado de beneficios con el flujo descontado de costos, lo que permite determinar el valor actual neto de la inversión, aplicando una tasa de descuento del 12%. Si la tasa interna de retorno de los flujos es igual o superior a la tasa de descuento, puede afirmarse que la inversión es rentable desde un punto de vista económico.</w:t>
      </w:r>
    </w:p>
    <w:p w14:paraId="3A899305" w14:textId="77777777" w:rsidR="007110EF" w:rsidRPr="00D93780" w:rsidRDefault="00965E22"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Se han considerado cuatro tipos diferentes de costos: costos de inversión en obras, costos de mantenimiento asociados a las obras, costos relacionados con el fortalecimiento de la gestión de proyectos y costos de la unidad coordinadora (UC) del Programa.</w:t>
      </w:r>
      <w:r w:rsidR="007110EF" w:rsidRPr="00D93780">
        <w:rPr>
          <w:rFonts w:ascii="Arial" w:hAnsi="Arial" w:cs="Arial"/>
          <w:sz w:val="22"/>
          <w:szCs w:val="22"/>
        </w:rPr>
        <w:t xml:space="preserve"> En el cuadro 10 se muestran los costos considerados.</w:t>
      </w:r>
    </w:p>
    <w:p w14:paraId="2BAE7FCE" w14:textId="6291C8F6" w:rsidR="00644E31" w:rsidRDefault="00644E31"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Para los costos de inversión </w:t>
      </w:r>
      <w:r w:rsidR="005669D1" w:rsidRPr="00D93780">
        <w:rPr>
          <w:rFonts w:ascii="Arial" w:hAnsi="Arial" w:cs="Arial"/>
          <w:sz w:val="22"/>
          <w:szCs w:val="22"/>
        </w:rPr>
        <w:t xml:space="preserve">en obras </w:t>
      </w:r>
      <w:r w:rsidRPr="00D93780">
        <w:rPr>
          <w:rFonts w:ascii="Arial" w:hAnsi="Arial" w:cs="Arial"/>
          <w:sz w:val="22"/>
          <w:szCs w:val="22"/>
        </w:rPr>
        <w:t>se han tomado los valores expresados en los anteproyectos y proyectos ejecutivos</w:t>
      </w:r>
      <w:r w:rsidR="007110EF" w:rsidRPr="00D93780">
        <w:rPr>
          <w:rFonts w:ascii="Arial" w:hAnsi="Arial" w:cs="Arial"/>
          <w:sz w:val="22"/>
          <w:szCs w:val="22"/>
        </w:rPr>
        <w:t xml:space="preserve"> de los ocho proyectos de inversión identificados hasta el momento</w:t>
      </w:r>
      <w:r w:rsidRPr="00D93780">
        <w:rPr>
          <w:rFonts w:ascii="Arial" w:hAnsi="Arial" w:cs="Arial"/>
          <w:sz w:val="22"/>
          <w:szCs w:val="22"/>
        </w:rPr>
        <w:t xml:space="preserve">. </w:t>
      </w:r>
      <w:r w:rsidR="005669D1" w:rsidRPr="00D93780">
        <w:rPr>
          <w:rFonts w:ascii="Arial" w:hAnsi="Arial" w:cs="Arial"/>
          <w:sz w:val="22"/>
          <w:szCs w:val="22"/>
        </w:rPr>
        <w:t>En el caso de los costos de mantenimiento se han incluido las estimaciones recogidas en los proyectos técnicos y ejecutivos</w:t>
      </w:r>
      <w:r w:rsidR="00965E22" w:rsidRPr="00D93780">
        <w:rPr>
          <w:rFonts w:ascii="Arial" w:hAnsi="Arial" w:cs="Arial"/>
          <w:sz w:val="22"/>
          <w:szCs w:val="22"/>
        </w:rPr>
        <w:t xml:space="preserve"> disponibles de los seis proyectos</w:t>
      </w:r>
      <w:r w:rsidR="005669D1" w:rsidRPr="00D93780">
        <w:rPr>
          <w:rFonts w:ascii="Arial" w:hAnsi="Arial" w:cs="Arial"/>
          <w:sz w:val="22"/>
          <w:szCs w:val="22"/>
        </w:rPr>
        <w:t xml:space="preserve">. En </w:t>
      </w:r>
      <w:r w:rsidR="00965E22" w:rsidRPr="00D93780">
        <w:rPr>
          <w:rFonts w:ascii="Arial" w:hAnsi="Arial" w:cs="Arial"/>
          <w:sz w:val="22"/>
          <w:szCs w:val="22"/>
        </w:rPr>
        <w:t xml:space="preserve">los dos proyectos de los que se dispone de anteproyecto, </w:t>
      </w:r>
      <w:r w:rsidR="005669D1" w:rsidRPr="00D93780">
        <w:rPr>
          <w:rFonts w:ascii="Arial" w:hAnsi="Arial" w:cs="Arial"/>
          <w:sz w:val="22"/>
          <w:szCs w:val="22"/>
        </w:rPr>
        <w:t xml:space="preserve">se ha optado por aplicar la tasa de mantenimiento del 1% de la inversión, similar a la utilizada en la evaluación económica y financiera del anterior Programa de Desarrollo y Gestión Subnacional (UR-L1038). </w:t>
      </w:r>
    </w:p>
    <w:p w14:paraId="7593F12B" w14:textId="77777777" w:rsidR="005D454E" w:rsidRDefault="005D454E" w:rsidP="005D454E">
      <w:pPr>
        <w:spacing w:before="120" w:after="120" w:line="276" w:lineRule="auto"/>
        <w:jc w:val="both"/>
        <w:rPr>
          <w:rFonts w:ascii="Arial" w:hAnsi="Arial" w:cs="Arial"/>
          <w:sz w:val="22"/>
          <w:szCs w:val="22"/>
        </w:rPr>
      </w:pPr>
    </w:p>
    <w:p w14:paraId="370D1BF5" w14:textId="77777777" w:rsidR="005D454E" w:rsidRDefault="005D454E" w:rsidP="005D454E">
      <w:pPr>
        <w:spacing w:before="120" w:after="120" w:line="276" w:lineRule="auto"/>
        <w:jc w:val="both"/>
        <w:rPr>
          <w:rFonts w:ascii="Arial" w:hAnsi="Arial" w:cs="Arial"/>
          <w:sz w:val="22"/>
          <w:szCs w:val="22"/>
        </w:rPr>
      </w:pPr>
    </w:p>
    <w:p w14:paraId="0CF65236" w14:textId="77777777" w:rsidR="005D454E" w:rsidRDefault="005D454E" w:rsidP="005D454E">
      <w:pPr>
        <w:spacing w:before="120" w:after="120" w:line="276" w:lineRule="auto"/>
        <w:jc w:val="both"/>
        <w:rPr>
          <w:rFonts w:ascii="Arial" w:hAnsi="Arial" w:cs="Arial"/>
          <w:sz w:val="22"/>
          <w:szCs w:val="22"/>
        </w:rPr>
      </w:pPr>
    </w:p>
    <w:p w14:paraId="60BC8AAD" w14:textId="77777777" w:rsidR="005D454E" w:rsidRDefault="005D454E" w:rsidP="005D454E">
      <w:pPr>
        <w:spacing w:before="120" w:after="120" w:line="276" w:lineRule="auto"/>
        <w:jc w:val="both"/>
        <w:rPr>
          <w:rFonts w:ascii="Arial" w:hAnsi="Arial" w:cs="Arial"/>
          <w:sz w:val="22"/>
          <w:szCs w:val="22"/>
        </w:rPr>
      </w:pPr>
    </w:p>
    <w:p w14:paraId="3C20FD5E" w14:textId="77777777" w:rsidR="005D454E" w:rsidRDefault="005D454E" w:rsidP="005D454E">
      <w:pPr>
        <w:spacing w:before="120" w:after="120" w:line="276" w:lineRule="auto"/>
        <w:jc w:val="both"/>
        <w:rPr>
          <w:rFonts w:ascii="Arial" w:hAnsi="Arial" w:cs="Arial"/>
          <w:sz w:val="22"/>
          <w:szCs w:val="22"/>
        </w:rPr>
      </w:pPr>
    </w:p>
    <w:p w14:paraId="58A4D5EA" w14:textId="77777777" w:rsidR="005D454E" w:rsidRPr="005D454E" w:rsidRDefault="005D454E" w:rsidP="005D454E">
      <w:pPr>
        <w:spacing w:before="120" w:after="120" w:line="276" w:lineRule="auto"/>
        <w:jc w:val="both"/>
        <w:rPr>
          <w:rFonts w:ascii="Arial" w:hAnsi="Arial" w:cs="Arial"/>
          <w:sz w:val="22"/>
          <w:szCs w:val="22"/>
        </w:rPr>
      </w:pPr>
    </w:p>
    <w:p w14:paraId="247A7897" w14:textId="3DFCCE2A"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lastRenderedPageBreak/>
        <w:t xml:space="preserve">Cuadro </w:t>
      </w:r>
      <w:r w:rsidR="00573897" w:rsidRPr="00462E76">
        <w:rPr>
          <w:rFonts w:ascii="Arial" w:hAnsi="Arial" w:cs="Arial"/>
          <w:b/>
          <w:sz w:val="18"/>
          <w:szCs w:val="22"/>
        </w:rPr>
        <w:t>10</w:t>
      </w:r>
      <w:r w:rsidRPr="00462E76">
        <w:rPr>
          <w:rFonts w:ascii="Arial" w:hAnsi="Arial" w:cs="Arial"/>
          <w:b/>
          <w:sz w:val="18"/>
          <w:szCs w:val="22"/>
        </w:rPr>
        <w:t>. Costos incorporados al análisis</w:t>
      </w:r>
    </w:p>
    <w:tbl>
      <w:tblPr>
        <w:tblW w:w="4617" w:type="pct"/>
        <w:tblInd w:w="610" w:type="dxa"/>
        <w:tblCellMar>
          <w:left w:w="70" w:type="dxa"/>
          <w:right w:w="70" w:type="dxa"/>
        </w:tblCellMar>
        <w:tblLook w:val="04A0" w:firstRow="1" w:lastRow="0" w:firstColumn="1" w:lastColumn="0" w:noHBand="0" w:noVBand="1"/>
      </w:tblPr>
      <w:tblGrid>
        <w:gridCol w:w="522"/>
        <w:gridCol w:w="1788"/>
        <w:gridCol w:w="1472"/>
        <w:gridCol w:w="2178"/>
        <w:gridCol w:w="1106"/>
        <w:gridCol w:w="1041"/>
      </w:tblGrid>
      <w:tr w:rsidR="00965E22" w:rsidRPr="00D93780" w14:paraId="78B3FC09" w14:textId="77777777" w:rsidTr="005D454E">
        <w:trPr>
          <w:trHeight w:val="499"/>
        </w:trPr>
        <w:tc>
          <w:tcPr>
            <w:tcW w:w="322" w:type="pct"/>
            <w:tcBorders>
              <w:top w:val="single" w:sz="4" w:space="0" w:color="auto"/>
              <w:left w:val="nil"/>
              <w:bottom w:val="single" w:sz="4" w:space="0" w:color="auto"/>
              <w:right w:val="nil"/>
            </w:tcBorders>
            <w:shd w:val="clear" w:color="auto" w:fill="D9D9D9" w:themeFill="background1" w:themeFillShade="D9"/>
            <w:noWrap/>
            <w:vAlign w:val="bottom"/>
            <w:hideMark/>
          </w:tcPr>
          <w:p w14:paraId="6806AD44" w14:textId="77777777" w:rsidR="00965E22" w:rsidRPr="00D93780" w:rsidRDefault="00965E22">
            <w:pPr>
              <w:rPr>
                <w:rFonts w:ascii="Arial" w:hAnsi="Arial" w:cs="Arial"/>
                <w:sz w:val="18"/>
                <w:szCs w:val="18"/>
              </w:rPr>
            </w:pPr>
          </w:p>
        </w:tc>
        <w:tc>
          <w:tcPr>
            <w:tcW w:w="1103" w:type="pct"/>
            <w:tcBorders>
              <w:top w:val="single" w:sz="4" w:space="0" w:color="auto"/>
              <w:left w:val="nil"/>
              <w:bottom w:val="single" w:sz="4" w:space="0" w:color="auto"/>
              <w:right w:val="nil"/>
            </w:tcBorders>
            <w:shd w:val="clear" w:color="auto" w:fill="D9D9D9" w:themeFill="background1" w:themeFillShade="D9"/>
            <w:vAlign w:val="bottom"/>
            <w:hideMark/>
          </w:tcPr>
          <w:p w14:paraId="6331E7F6" w14:textId="77777777" w:rsidR="00965E22" w:rsidRPr="00D93780" w:rsidRDefault="00965E22">
            <w:pPr>
              <w:jc w:val="center"/>
              <w:rPr>
                <w:rFonts w:ascii="Arial" w:hAnsi="Arial" w:cs="Arial"/>
                <w:b/>
                <w:bCs/>
                <w:color w:val="000000"/>
                <w:sz w:val="18"/>
                <w:szCs w:val="18"/>
              </w:rPr>
            </w:pPr>
            <w:r w:rsidRPr="00D93780">
              <w:rPr>
                <w:rFonts w:ascii="Arial" w:hAnsi="Arial" w:cs="Arial"/>
                <w:b/>
                <w:bCs/>
                <w:color w:val="000000"/>
                <w:sz w:val="18"/>
                <w:szCs w:val="18"/>
              </w:rPr>
              <w:t>Costos de inversión obras</w:t>
            </w:r>
          </w:p>
        </w:tc>
        <w:tc>
          <w:tcPr>
            <w:tcW w:w="908" w:type="pct"/>
            <w:tcBorders>
              <w:top w:val="single" w:sz="4" w:space="0" w:color="auto"/>
              <w:left w:val="nil"/>
              <w:bottom w:val="single" w:sz="4" w:space="0" w:color="auto"/>
              <w:right w:val="nil"/>
            </w:tcBorders>
            <w:shd w:val="clear" w:color="auto" w:fill="D9D9D9" w:themeFill="background1" w:themeFillShade="D9"/>
            <w:vAlign w:val="bottom"/>
            <w:hideMark/>
          </w:tcPr>
          <w:p w14:paraId="0C9CB58B" w14:textId="77777777" w:rsidR="00965E22" w:rsidRPr="00D93780" w:rsidRDefault="00965E22">
            <w:pPr>
              <w:jc w:val="center"/>
              <w:rPr>
                <w:rFonts w:ascii="Arial" w:hAnsi="Arial" w:cs="Arial"/>
                <w:b/>
                <w:bCs/>
                <w:color w:val="000000"/>
                <w:sz w:val="18"/>
                <w:szCs w:val="18"/>
              </w:rPr>
            </w:pPr>
            <w:r w:rsidRPr="00D93780">
              <w:rPr>
                <w:rFonts w:ascii="Arial" w:hAnsi="Arial" w:cs="Arial"/>
                <w:b/>
                <w:bCs/>
                <w:color w:val="000000"/>
                <w:sz w:val="18"/>
                <w:szCs w:val="18"/>
              </w:rPr>
              <w:t>Costos de mantenimiento</w:t>
            </w:r>
          </w:p>
        </w:tc>
        <w:tc>
          <w:tcPr>
            <w:tcW w:w="1343" w:type="pct"/>
            <w:tcBorders>
              <w:top w:val="single" w:sz="4" w:space="0" w:color="auto"/>
              <w:left w:val="nil"/>
              <w:bottom w:val="single" w:sz="4" w:space="0" w:color="auto"/>
              <w:right w:val="nil"/>
            </w:tcBorders>
            <w:shd w:val="clear" w:color="auto" w:fill="D9D9D9" w:themeFill="background1" w:themeFillShade="D9"/>
            <w:vAlign w:val="bottom"/>
            <w:hideMark/>
          </w:tcPr>
          <w:p w14:paraId="72ED3B8F" w14:textId="77777777" w:rsidR="00965E22" w:rsidRPr="00D93780" w:rsidRDefault="00965E22">
            <w:pPr>
              <w:jc w:val="center"/>
              <w:rPr>
                <w:rFonts w:ascii="Arial" w:hAnsi="Arial" w:cs="Arial"/>
                <w:b/>
                <w:bCs/>
                <w:color w:val="000000"/>
                <w:sz w:val="18"/>
                <w:szCs w:val="18"/>
              </w:rPr>
            </w:pPr>
            <w:r w:rsidRPr="00D93780">
              <w:rPr>
                <w:rFonts w:ascii="Arial" w:hAnsi="Arial" w:cs="Arial"/>
                <w:b/>
                <w:bCs/>
                <w:color w:val="000000"/>
                <w:sz w:val="18"/>
                <w:szCs w:val="18"/>
              </w:rPr>
              <w:t>Costos fortalecimiento gestión</w:t>
            </w:r>
          </w:p>
        </w:tc>
        <w:tc>
          <w:tcPr>
            <w:tcW w:w="682" w:type="pct"/>
            <w:tcBorders>
              <w:top w:val="single" w:sz="4" w:space="0" w:color="auto"/>
              <w:left w:val="nil"/>
              <w:bottom w:val="single" w:sz="4" w:space="0" w:color="auto"/>
              <w:right w:val="nil"/>
            </w:tcBorders>
            <w:shd w:val="clear" w:color="auto" w:fill="D9D9D9" w:themeFill="background1" w:themeFillShade="D9"/>
            <w:vAlign w:val="bottom"/>
            <w:hideMark/>
          </w:tcPr>
          <w:p w14:paraId="1212C148" w14:textId="77777777" w:rsidR="00965E22" w:rsidRPr="00D93780" w:rsidRDefault="00965E22">
            <w:pPr>
              <w:jc w:val="center"/>
              <w:rPr>
                <w:rFonts w:ascii="Arial" w:hAnsi="Arial" w:cs="Arial"/>
                <w:b/>
                <w:bCs/>
                <w:color w:val="000000"/>
                <w:sz w:val="18"/>
                <w:szCs w:val="18"/>
              </w:rPr>
            </w:pPr>
            <w:r w:rsidRPr="00D93780">
              <w:rPr>
                <w:rFonts w:ascii="Arial" w:hAnsi="Arial" w:cs="Arial"/>
                <w:b/>
                <w:bCs/>
                <w:color w:val="000000"/>
                <w:sz w:val="18"/>
                <w:szCs w:val="18"/>
              </w:rPr>
              <w:t>Costos de UC</w:t>
            </w:r>
          </w:p>
        </w:tc>
        <w:tc>
          <w:tcPr>
            <w:tcW w:w="642" w:type="pct"/>
            <w:tcBorders>
              <w:top w:val="single" w:sz="4" w:space="0" w:color="auto"/>
              <w:left w:val="nil"/>
              <w:bottom w:val="single" w:sz="4" w:space="0" w:color="auto"/>
              <w:right w:val="nil"/>
            </w:tcBorders>
            <w:shd w:val="clear" w:color="auto" w:fill="D9D9D9" w:themeFill="background1" w:themeFillShade="D9"/>
            <w:vAlign w:val="bottom"/>
            <w:hideMark/>
          </w:tcPr>
          <w:p w14:paraId="748DA305" w14:textId="77777777" w:rsidR="00965E22" w:rsidRPr="00D93780" w:rsidRDefault="00965E22">
            <w:pPr>
              <w:jc w:val="center"/>
              <w:rPr>
                <w:rFonts w:ascii="Arial" w:hAnsi="Arial" w:cs="Arial"/>
                <w:b/>
                <w:bCs/>
                <w:color w:val="000000"/>
                <w:sz w:val="18"/>
                <w:szCs w:val="18"/>
              </w:rPr>
            </w:pPr>
            <w:r w:rsidRPr="00D93780">
              <w:rPr>
                <w:rFonts w:ascii="Arial" w:hAnsi="Arial" w:cs="Arial"/>
                <w:b/>
                <w:bCs/>
                <w:color w:val="000000"/>
                <w:sz w:val="18"/>
                <w:szCs w:val="18"/>
              </w:rPr>
              <w:t>Total costos</w:t>
            </w:r>
          </w:p>
        </w:tc>
      </w:tr>
      <w:tr w:rsidR="00965E22" w:rsidRPr="00D93780" w14:paraId="7D1800F3" w14:textId="77777777" w:rsidTr="005D454E">
        <w:trPr>
          <w:trHeight w:val="240"/>
        </w:trPr>
        <w:tc>
          <w:tcPr>
            <w:tcW w:w="322" w:type="pct"/>
            <w:tcBorders>
              <w:top w:val="single" w:sz="4" w:space="0" w:color="auto"/>
              <w:left w:val="nil"/>
              <w:bottom w:val="nil"/>
              <w:right w:val="nil"/>
            </w:tcBorders>
            <w:shd w:val="clear" w:color="auto" w:fill="auto"/>
            <w:noWrap/>
            <w:vAlign w:val="bottom"/>
            <w:hideMark/>
          </w:tcPr>
          <w:p w14:paraId="2BD8E3FA"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0</w:t>
            </w:r>
          </w:p>
        </w:tc>
        <w:tc>
          <w:tcPr>
            <w:tcW w:w="1103" w:type="pct"/>
            <w:tcBorders>
              <w:top w:val="single" w:sz="4" w:space="0" w:color="auto"/>
              <w:left w:val="nil"/>
              <w:bottom w:val="nil"/>
              <w:right w:val="nil"/>
            </w:tcBorders>
            <w:shd w:val="clear" w:color="auto" w:fill="auto"/>
            <w:noWrap/>
            <w:vAlign w:val="bottom"/>
            <w:hideMark/>
          </w:tcPr>
          <w:p w14:paraId="3AAEA74A" w14:textId="77777777" w:rsidR="00965E22" w:rsidRPr="00D93780" w:rsidRDefault="00965E22">
            <w:pPr>
              <w:jc w:val="right"/>
              <w:rPr>
                <w:rFonts w:ascii="Arial" w:hAnsi="Arial" w:cs="Arial"/>
                <w:color w:val="000000"/>
                <w:sz w:val="18"/>
                <w:szCs w:val="18"/>
              </w:rPr>
            </w:pPr>
          </w:p>
        </w:tc>
        <w:tc>
          <w:tcPr>
            <w:tcW w:w="908" w:type="pct"/>
            <w:tcBorders>
              <w:top w:val="single" w:sz="4" w:space="0" w:color="auto"/>
              <w:left w:val="nil"/>
              <w:bottom w:val="nil"/>
              <w:right w:val="nil"/>
            </w:tcBorders>
            <w:shd w:val="clear" w:color="auto" w:fill="auto"/>
            <w:noWrap/>
            <w:vAlign w:val="bottom"/>
            <w:hideMark/>
          </w:tcPr>
          <w:p w14:paraId="5954A7EF" w14:textId="77777777" w:rsidR="00965E22" w:rsidRPr="00D93780" w:rsidRDefault="00965E22">
            <w:pPr>
              <w:rPr>
                <w:rFonts w:ascii="Arial" w:hAnsi="Arial" w:cs="Arial"/>
                <w:sz w:val="18"/>
                <w:szCs w:val="18"/>
              </w:rPr>
            </w:pPr>
          </w:p>
        </w:tc>
        <w:tc>
          <w:tcPr>
            <w:tcW w:w="1343" w:type="pct"/>
            <w:tcBorders>
              <w:top w:val="single" w:sz="4" w:space="0" w:color="auto"/>
              <w:left w:val="nil"/>
              <w:bottom w:val="nil"/>
              <w:right w:val="nil"/>
            </w:tcBorders>
            <w:shd w:val="clear" w:color="auto" w:fill="auto"/>
            <w:noWrap/>
            <w:vAlign w:val="bottom"/>
            <w:hideMark/>
          </w:tcPr>
          <w:p w14:paraId="1FBB64CD" w14:textId="77777777" w:rsidR="00965E22" w:rsidRPr="00D93780" w:rsidRDefault="00965E22">
            <w:pPr>
              <w:rPr>
                <w:rFonts w:ascii="Arial" w:hAnsi="Arial" w:cs="Arial"/>
                <w:sz w:val="18"/>
                <w:szCs w:val="18"/>
              </w:rPr>
            </w:pPr>
          </w:p>
        </w:tc>
        <w:tc>
          <w:tcPr>
            <w:tcW w:w="682" w:type="pct"/>
            <w:tcBorders>
              <w:top w:val="single" w:sz="4" w:space="0" w:color="auto"/>
              <w:left w:val="nil"/>
              <w:bottom w:val="nil"/>
              <w:right w:val="nil"/>
            </w:tcBorders>
            <w:shd w:val="clear" w:color="auto" w:fill="auto"/>
            <w:noWrap/>
            <w:vAlign w:val="bottom"/>
            <w:hideMark/>
          </w:tcPr>
          <w:p w14:paraId="7316D24E" w14:textId="77777777" w:rsidR="00965E22" w:rsidRPr="00D93780" w:rsidRDefault="00965E22">
            <w:pPr>
              <w:rPr>
                <w:rFonts w:ascii="Arial" w:hAnsi="Arial" w:cs="Arial"/>
                <w:sz w:val="18"/>
                <w:szCs w:val="18"/>
              </w:rPr>
            </w:pPr>
          </w:p>
        </w:tc>
        <w:tc>
          <w:tcPr>
            <w:tcW w:w="642" w:type="pct"/>
            <w:tcBorders>
              <w:top w:val="single" w:sz="4" w:space="0" w:color="auto"/>
              <w:left w:val="nil"/>
              <w:bottom w:val="nil"/>
              <w:right w:val="nil"/>
            </w:tcBorders>
            <w:shd w:val="clear" w:color="auto" w:fill="auto"/>
            <w:noWrap/>
            <w:vAlign w:val="bottom"/>
            <w:hideMark/>
          </w:tcPr>
          <w:p w14:paraId="4D8EDF44" w14:textId="77777777" w:rsidR="00965E22" w:rsidRPr="00D93780" w:rsidRDefault="00965E22">
            <w:pPr>
              <w:rPr>
                <w:rFonts w:ascii="Arial" w:hAnsi="Arial" w:cs="Arial"/>
                <w:sz w:val="18"/>
                <w:szCs w:val="18"/>
              </w:rPr>
            </w:pPr>
          </w:p>
        </w:tc>
      </w:tr>
      <w:tr w:rsidR="00965E22" w:rsidRPr="00D93780" w14:paraId="601A398A" w14:textId="77777777" w:rsidTr="005D454E">
        <w:trPr>
          <w:trHeight w:val="240"/>
        </w:trPr>
        <w:tc>
          <w:tcPr>
            <w:tcW w:w="322" w:type="pct"/>
            <w:tcBorders>
              <w:top w:val="nil"/>
              <w:left w:val="nil"/>
              <w:bottom w:val="nil"/>
              <w:right w:val="nil"/>
            </w:tcBorders>
            <w:shd w:val="clear" w:color="auto" w:fill="auto"/>
            <w:noWrap/>
            <w:vAlign w:val="bottom"/>
            <w:hideMark/>
          </w:tcPr>
          <w:p w14:paraId="1CE974E6"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w:t>
            </w:r>
          </w:p>
        </w:tc>
        <w:tc>
          <w:tcPr>
            <w:tcW w:w="1103" w:type="pct"/>
            <w:tcBorders>
              <w:top w:val="nil"/>
              <w:left w:val="nil"/>
              <w:bottom w:val="nil"/>
              <w:right w:val="nil"/>
            </w:tcBorders>
            <w:shd w:val="clear" w:color="auto" w:fill="auto"/>
            <w:noWrap/>
            <w:vAlign w:val="bottom"/>
            <w:hideMark/>
          </w:tcPr>
          <w:p w14:paraId="43365087"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24.341.192</w:t>
            </w:r>
          </w:p>
        </w:tc>
        <w:tc>
          <w:tcPr>
            <w:tcW w:w="908" w:type="pct"/>
            <w:tcBorders>
              <w:top w:val="nil"/>
              <w:left w:val="nil"/>
              <w:bottom w:val="nil"/>
              <w:right w:val="nil"/>
            </w:tcBorders>
            <w:shd w:val="clear" w:color="auto" w:fill="auto"/>
            <w:noWrap/>
            <w:vAlign w:val="bottom"/>
            <w:hideMark/>
          </w:tcPr>
          <w:p w14:paraId="15BC34FF"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403.519</w:t>
            </w:r>
          </w:p>
        </w:tc>
        <w:tc>
          <w:tcPr>
            <w:tcW w:w="1343" w:type="pct"/>
            <w:tcBorders>
              <w:top w:val="nil"/>
              <w:left w:val="nil"/>
              <w:bottom w:val="nil"/>
              <w:right w:val="nil"/>
            </w:tcBorders>
            <w:shd w:val="clear" w:color="auto" w:fill="auto"/>
            <w:noWrap/>
            <w:vAlign w:val="bottom"/>
            <w:hideMark/>
          </w:tcPr>
          <w:p w14:paraId="7049C7F7"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1.359.771</w:t>
            </w:r>
          </w:p>
        </w:tc>
        <w:tc>
          <w:tcPr>
            <w:tcW w:w="682" w:type="pct"/>
            <w:tcBorders>
              <w:top w:val="nil"/>
              <w:left w:val="nil"/>
              <w:bottom w:val="nil"/>
              <w:right w:val="nil"/>
            </w:tcBorders>
            <w:shd w:val="clear" w:color="auto" w:fill="auto"/>
            <w:noWrap/>
            <w:vAlign w:val="bottom"/>
            <w:hideMark/>
          </w:tcPr>
          <w:p w14:paraId="59894ACF"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425.934</w:t>
            </w:r>
          </w:p>
        </w:tc>
        <w:tc>
          <w:tcPr>
            <w:tcW w:w="642" w:type="pct"/>
            <w:tcBorders>
              <w:top w:val="nil"/>
              <w:left w:val="nil"/>
              <w:bottom w:val="nil"/>
              <w:right w:val="nil"/>
            </w:tcBorders>
            <w:shd w:val="clear" w:color="auto" w:fill="auto"/>
            <w:noWrap/>
            <w:vAlign w:val="bottom"/>
            <w:hideMark/>
          </w:tcPr>
          <w:p w14:paraId="0307DF9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26.530.416</w:t>
            </w:r>
          </w:p>
        </w:tc>
      </w:tr>
      <w:tr w:rsidR="00965E22" w:rsidRPr="00D93780" w14:paraId="59F61581" w14:textId="77777777" w:rsidTr="005D454E">
        <w:trPr>
          <w:trHeight w:val="240"/>
        </w:trPr>
        <w:tc>
          <w:tcPr>
            <w:tcW w:w="322" w:type="pct"/>
            <w:tcBorders>
              <w:top w:val="nil"/>
              <w:left w:val="nil"/>
              <w:bottom w:val="nil"/>
              <w:right w:val="nil"/>
            </w:tcBorders>
            <w:shd w:val="clear" w:color="auto" w:fill="auto"/>
            <w:noWrap/>
            <w:vAlign w:val="bottom"/>
            <w:hideMark/>
          </w:tcPr>
          <w:p w14:paraId="691E431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w:t>
            </w:r>
          </w:p>
        </w:tc>
        <w:tc>
          <w:tcPr>
            <w:tcW w:w="1103" w:type="pct"/>
            <w:tcBorders>
              <w:top w:val="nil"/>
              <w:left w:val="nil"/>
              <w:bottom w:val="nil"/>
              <w:right w:val="nil"/>
            </w:tcBorders>
            <w:shd w:val="clear" w:color="auto" w:fill="auto"/>
            <w:noWrap/>
            <w:vAlign w:val="bottom"/>
            <w:hideMark/>
          </w:tcPr>
          <w:p w14:paraId="4901BA87"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625DA4B5"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360.351</w:t>
            </w:r>
          </w:p>
        </w:tc>
        <w:tc>
          <w:tcPr>
            <w:tcW w:w="1343" w:type="pct"/>
            <w:tcBorders>
              <w:top w:val="nil"/>
              <w:left w:val="nil"/>
              <w:bottom w:val="nil"/>
              <w:right w:val="nil"/>
            </w:tcBorders>
            <w:shd w:val="clear" w:color="auto" w:fill="auto"/>
            <w:noWrap/>
            <w:vAlign w:val="bottom"/>
            <w:hideMark/>
          </w:tcPr>
          <w:p w14:paraId="3D84A186"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1.388.160</w:t>
            </w:r>
          </w:p>
        </w:tc>
        <w:tc>
          <w:tcPr>
            <w:tcW w:w="682" w:type="pct"/>
            <w:tcBorders>
              <w:top w:val="nil"/>
              <w:left w:val="nil"/>
              <w:bottom w:val="nil"/>
              <w:right w:val="nil"/>
            </w:tcBorders>
            <w:shd w:val="clear" w:color="auto" w:fill="auto"/>
            <w:noWrap/>
            <w:vAlign w:val="bottom"/>
            <w:hideMark/>
          </w:tcPr>
          <w:p w14:paraId="24356F7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1.197.976</w:t>
            </w:r>
          </w:p>
        </w:tc>
        <w:tc>
          <w:tcPr>
            <w:tcW w:w="642" w:type="pct"/>
            <w:tcBorders>
              <w:top w:val="nil"/>
              <w:left w:val="nil"/>
              <w:bottom w:val="nil"/>
              <w:right w:val="nil"/>
            </w:tcBorders>
            <w:shd w:val="clear" w:color="auto" w:fill="auto"/>
            <w:noWrap/>
            <w:vAlign w:val="bottom"/>
            <w:hideMark/>
          </w:tcPr>
          <w:p w14:paraId="3102F823"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2.946.487</w:t>
            </w:r>
          </w:p>
        </w:tc>
      </w:tr>
      <w:tr w:rsidR="00965E22" w:rsidRPr="00D93780" w14:paraId="3C92D577" w14:textId="77777777" w:rsidTr="005D454E">
        <w:trPr>
          <w:trHeight w:val="240"/>
        </w:trPr>
        <w:tc>
          <w:tcPr>
            <w:tcW w:w="322" w:type="pct"/>
            <w:tcBorders>
              <w:top w:val="nil"/>
              <w:left w:val="nil"/>
              <w:bottom w:val="nil"/>
              <w:right w:val="nil"/>
            </w:tcBorders>
            <w:shd w:val="clear" w:color="auto" w:fill="auto"/>
            <w:noWrap/>
            <w:vAlign w:val="bottom"/>
            <w:hideMark/>
          </w:tcPr>
          <w:p w14:paraId="50A3D7F2"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w:t>
            </w:r>
          </w:p>
        </w:tc>
        <w:tc>
          <w:tcPr>
            <w:tcW w:w="1103" w:type="pct"/>
            <w:tcBorders>
              <w:top w:val="nil"/>
              <w:left w:val="nil"/>
              <w:bottom w:val="nil"/>
              <w:right w:val="nil"/>
            </w:tcBorders>
            <w:shd w:val="clear" w:color="auto" w:fill="auto"/>
            <w:noWrap/>
            <w:vAlign w:val="bottom"/>
            <w:hideMark/>
          </w:tcPr>
          <w:p w14:paraId="38A02FD6"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7458052C"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472.754</w:t>
            </w:r>
          </w:p>
        </w:tc>
        <w:tc>
          <w:tcPr>
            <w:tcW w:w="1343" w:type="pct"/>
            <w:tcBorders>
              <w:top w:val="nil"/>
              <w:left w:val="nil"/>
              <w:bottom w:val="nil"/>
              <w:right w:val="nil"/>
            </w:tcBorders>
            <w:shd w:val="clear" w:color="auto" w:fill="auto"/>
            <w:noWrap/>
            <w:vAlign w:val="bottom"/>
            <w:hideMark/>
          </w:tcPr>
          <w:p w14:paraId="6FCB606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590.854</w:t>
            </w:r>
          </w:p>
        </w:tc>
        <w:tc>
          <w:tcPr>
            <w:tcW w:w="682" w:type="pct"/>
            <w:tcBorders>
              <w:top w:val="nil"/>
              <w:left w:val="nil"/>
              <w:bottom w:val="nil"/>
              <w:right w:val="nil"/>
            </w:tcBorders>
            <w:shd w:val="clear" w:color="auto" w:fill="auto"/>
            <w:noWrap/>
            <w:vAlign w:val="bottom"/>
            <w:hideMark/>
          </w:tcPr>
          <w:p w14:paraId="683ED763"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468.059</w:t>
            </w:r>
          </w:p>
        </w:tc>
        <w:tc>
          <w:tcPr>
            <w:tcW w:w="642" w:type="pct"/>
            <w:tcBorders>
              <w:top w:val="nil"/>
              <w:left w:val="nil"/>
              <w:bottom w:val="nil"/>
              <w:right w:val="nil"/>
            </w:tcBorders>
            <w:shd w:val="clear" w:color="auto" w:fill="auto"/>
            <w:noWrap/>
            <w:vAlign w:val="bottom"/>
            <w:hideMark/>
          </w:tcPr>
          <w:p w14:paraId="4DD9EE2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1.531.667</w:t>
            </w:r>
          </w:p>
        </w:tc>
      </w:tr>
      <w:tr w:rsidR="00965E22" w:rsidRPr="00D93780" w14:paraId="0606D08F" w14:textId="77777777" w:rsidTr="005D454E">
        <w:trPr>
          <w:trHeight w:val="240"/>
        </w:trPr>
        <w:tc>
          <w:tcPr>
            <w:tcW w:w="322" w:type="pct"/>
            <w:tcBorders>
              <w:top w:val="nil"/>
              <w:left w:val="nil"/>
              <w:right w:val="nil"/>
            </w:tcBorders>
            <w:shd w:val="clear" w:color="auto" w:fill="auto"/>
            <w:noWrap/>
            <w:vAlign w:val="bottom"/>
            <w:hideMark/>
          </w:tcPr>
          <w:p w14:paraId="68141B02"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w:t>
            </w:r>
          </w:p>
        </w:tc>
        <w:tc>
          <w:tcPr>
            <w:tcW w:w="1103" w:type="pct"/>
            <w:tcBorders>
              <w:top w:val="nil"/>
              <w:left w:val="nil"/>
              <w:right w:val="nil"/>
            </w:tcBorders>
            <w:shd w:val="clear" w:color="auto" w:fill="auto"/>
            <w:noWrap/>
            <w:vAlign w:val="bottom"/>
            <w:hideMark/>
          </w:tcPr>
          <w:p w14:paraId="665D0154" w14:textId="77777777" w:rsidR="00965E22" w:rsidRPr="00D93780" w:rsidRDefault="00965E22">
            <w:pPr>
              <w:jc w:val="right"/>
              <w:rPr>
                <w:rFonts w:ascii="Arial" w:hAnsi="Arial" w:cs="Arial"/>
                <w:color w:val="000000"/>
                <w:sz w:val="18"/>
                <w:szCs w:val="18"/>
              </w:rPr>
            </w:pPr>
          </w:p>
        </w:tc>
        <w:tc>
          <w:tcPr>
            <w:tcW w:w="908" w:type="pct"/>
            <w:tcBorders>
              <w:top w:val="nil"/>
              <w:left w:val="nil"/>
              <w:right w:val="nil"/>
            </w:tcBorders>
            <w:shd w:val="clear" w:color="auto" w:fill="auto"/>
            <w:noWrap/>
            <w:vAlign w:val="bottom"/>
            <w:hideMark/>
          </w:tcPr>
          <w:p w14:paraId="1908D90C"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c>
          <w:tcPr>
            <w:tcW w:w="1343" w:type="pct"/>
            <w:tcBorders>
              <w:top w:val="nil"/>
              <w:left w:val="nil"/>
              <w:right w:val="nil"/>
            </w:tcBorders>
            <w:shd w:val="clear" w:color="auto" w:fill="auto"/>
            <w:noWrap/>
            <w:vAlign w:val="bottom"/>
            <w:hideMark/>
          </w:tcPr>
          <w:p w14:paraId="037B598F"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555.291</w:t>
            </w:r>
          </w:p>
        </w:tc>
        <w:tc>
          <w:tcPr>
            <w:tcW w:w="682" w:type="pct"/>
            <w:tcBorders>
              <w:top w:val="nil"/>
              <w:left w:val="nil"/>
              <w:right w:val="nil"/>
            </w:tcBorders>
            <w:shd w:val="clear" w:color="auto" w:fill="auto"/>
            <w:noWrap/>
            <w:vAlign w:val="bottom"/>
            <w:hideMark/>
          </w:tcPr>
          <w:p w14:paraId="2E277F45"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258.123</w:t>
            </w:r>
          </w:p>
        </w:tc>
        <w:tc>
          <w:tcPr>
            <w:tcW w:w="642" w:type="pct"/>
            <w:tcBorders>
              <w:top w:val="nil"/>
              <w:left w:val="nil"/>
              <w:right w:val="nil"/>
            </w:tcBorders>
            <w:shd w:val="clear" w:color="auto" w:fill="auto"/>
            <w:noWrap/>
            <w:vAlign w:val="bottom"/>
            <w:hideMark/>
          </w:tcPr>
          <w:p w14:paraId="3C4A3602"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1.176.842</w:t>
            </w:r>
          </w:p>
        </w:tc>
      </w:tr>
      <w:tr w:rsidR="00965E22" w:rsidRPr="00D93780" w14:paraId="5A731FFF" w14:textId="77777777" w:rsidTr="005D454E">
        <w:trPr>
          <w:trHeight w:val="240"/>
        </w:trPr>
        <w:tc>
          <w:tcPr>
            <w:tcW w:w="322" w:type="pct"/>
            <w:tcBorders>
              <w:top w:val="nil"/>
              <w:left w:val="nil"/>
              <w:bottom w:val="single" w:sz="4" w:space="0" w:color="auto"/>
              <w:right w:val="nil"/>
            </w:tcBorders>
            <w:shd w:val="clear" w:color="auto" w:fill="auto"/>
            <w:noWrap/>
            <w:vAlign w:val="bottom"/>
            <w:hideMark/>
          </w:tcPr>
          <w:p w14:paraId="4E7BABA8"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5</w:t>
            </w:r>
          </w:p>
        </w:tc>
        <w:tc>
          <w:tcPr>
            <w:tcW w:w="1103" w:type="pct"/>
            <w:tcBorders>
              <w:top w:val="nil"/>
              <w:left w:val="nil"/>
              <w:bottom w:val="single" w:sz="4" w:space="0" w:color="auto"/>
              <w:right w:val="nil"/>
            </w:tcBorders>
            <w:shd w:val="clear" w:color="auto" w:fill="auto"/>
            <w:noWrap/>
            <w:vAlign w:val="bottom"/>
            <w:hideMark/>
          </w:tcPr>
          <w:p w14:paraId="79751E39" w14:textId="77777777" w:rsidR="00965E22" w:rsidRPr="00D93780" w:rsidRDefault="00965E22">
            <w:pPr>
              <w:jc w:val="right"/>
              <w:rPr>
                <w:rFonts w:ascii="Arial" w:hAnsi="Arial" w:cs="Arial"/>
                <w:color w:val="000000"/>
                <w:sz w:val="18"/>
                <w:szCs w:val="18"/>
              </w:rPr>
            </w:pPr>
          </w:p>
        </w:tc>
        <w:tc>
          <w:tcPr>
            <w:tcW w:w="908" w:type="pct"/>
            <w:tcBorders>
              <w:top w:val="nil"/>
              <w:left w:val="nil"/>
              <w:bottom w:val="single" w:sz="4" w:space="0" w:color="auto"/>
              <w:right w:val="nil"/>
            </w:tcBorders>
            <w:shd w:val="clear" w:color="auto" w:fill="auto"/>
            <w:noWrap/>
            <w:vAlign w:val="bottom"/>
            <w:hideMark/>
          </w:tcPr>
          <w:p w14:paraId="1D157AE1"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358.828</w:t>
            </w:r>
          </w:p>
        </w:tc>
        <w:tc>
          <w:tcPr>
            <w:tcW w:w="1343" w:type="pct"/>
            <w:tcBorders>
              <w:top w:val="nil"/>
              <w:left w:val="nil"/>
              <w:bottom w:val="single" w:sz="4" w:space="0" w:color="auto"/>
              <w:right w:val="nil"/>
            </w:tcBorders>
            <w:shd w:val="clear" w:color="auto" w:fill="auto"/>
            <w:noWrap/>
            <w:vAlign w:val="bottom"/>
            <w:hideMark/>
          </w:tcPr>
          <w:p w14:paraId="5C17BB1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276.754</w:t>
            </w:r>
          </w:p>
        </w:tc>
        <w:tc>
          <w:tcPr>
            <w:tcW w:w="682" w:type="pct"/>
            <w:tcBorders>
              <w:top w:val="nil"/>
              <w:left w:val="nil"/>
              <w:bottom w:val="single" w:sz="4" w:space="0" w:color="auto"/>
              <w:right w:val="nil"/>
            </w:tcBorders>
            <w:shd w:val="clear" w:color="auto" w:fill="auto"/>
            <w:noWrap/>
            <w:vAlign w:val="bottom"/>
            <w:hideMark/>
          </w:tcPr>
          <w:p w14:paraId="15723C47"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123.798</w:t>
            </w:r>
          </w:p>
        </w:tc>
        <w:tc>
          <w:tcPr>
            <w:tcW w:w="642" w:type="pct"/>
            <w:tcBorders>
              <w:top w:val="nil"/>
              <w:left w:val="nil"/>
              <w:bottom w:val="single" w:sz="4" w:space="0" w:color="auto"/>
              <w:right w:val="nil"/>
            </w:tcBorders>
            <w:shd w:val="clear" w:color="auto" w:fill="auto"/>
            <w:noWrap/>
            <w:vAlign w:val="bottom"/>
            <w:hideMark/>
          </w:tcPr>
          <w:p w14:paraId="5A7F231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759.380</w:t>
            </w:r>
          </w:p>
        </w:tc>
      </w:tr>
      <w:tr w:rsidR="00965E22" w:rsidRPr="00D93780" w14:paraId="0B083F19" w14:textId="77777777" w:rsidTr="005D454E">
        <w:trPr>
          <w:trHeight w:val="240"/>
        </w:trPr>
        <w:tc>
          <w:tcPr>
            <w:tcW w:w="322" w:type="pct"/>
            <w:tcBorders>
              <w:top w:val="single" w:sz="4" w:space="0" w:color="auto"/>
              <w:left w:val="nil"/>
              <w:bottom w:val="nil"/>
              <w:right w:val="nil"/>
            </w:tcBorders>
            <w:shd w:val="clear" w:color="auto" w:fill="auto"/>
            <w:noWrap/>
            <w:vAlign w:val="bottom"/>
            <w:hideMark/>
          </w:tcPr>
          <w:p w14:paraId="0D9F5B46"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w:t>
            </w:r>
          </w:p>
        </w:tc>
        <w:tc>
          <w:tcPr>
            <w:tcW w:w="1103" w:type="pct"/>
            <w:tcBorders>
              <w:top w:val="single" w:sz="4" w:space="0" w:color="auto"/>
              <w:left w:val="nil"/>
              <w:bottom w:val="nil"/>
              <w:right w:val="nil"/>
            </w:tcBorders>
            <w:shd w:val="clear" w:color="auto" w:fill="auto"/>
            <w:noWrap/>
            <w:vAlign w:val="bottom"/>
            <w:hideMark/>
          </w:tcPr>
          <w:p w14:paraId="357D338B" w14:textId="77777777" w:rsidR="00965E22" w:rsidRPr="00D93780" w:rsidRDefault="00965E22">
            <w:pPr>
              <w:jc w:val="right"/>
              <w:rPr>
                <w:rFonts w:ascii="Arial" w:hAnsi="Arial" w:cs="Arial"/>
                <w:color w:val="000000"/>
                <w:sz w:val="18"/>
                <w:szCs w:val="18"/>
              </w:rPr>
            </w:pPr>
          </w:p>
        </w:tc>
        <w:tc>
          <w:tcPr>
            <w:tcW w:w="908" w:type="pct"/>
            <w:tcBorders>
              <w:top w:val="single" w:sz="4" w:space="0" w:color="auto"/>
              <w:left w:val="nil"/>
              <w:bottom w:val="nil"/>
              <w:right w:val="nil"/>
            </w:tcBorders>
            <w:shd w:val="clear" w:color="auto" w:fill="auto"/>
            <w:noWrap/>
            <w:vAlign w:val="bottom"/>
            <w:hideMark/>
          </w:tcPr>
          <w:p w14:paraId="1F2F2E4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620.844</w:t>
            </w:r>
          </w:p>
        </w:tc>
        <w:tc>
          <w:tcPr>
            <w:tcW w:w="1343" w:type="pct"/>
            <w:tcBorders>
              <w:top w:val="single" w:sz="4" w:space="0" w:color="auto"/>
              <w:left w:val="nil"/>
              <w:bottom w:val="nil"/>
              <w:right w:val="nil"/>
            </w:tcBorders>
            <w:shd w:val="clear" w:color="auto" w:fill="auto"/>
            <w:noWrap/>
            <w:vAlign w:val="bottom"/>
            <w:hideMark/>
          </w:tcPr>
          <w:p w14:paraId="700FC211" w14:textId="77777777" w:rsidR="00965E22" w:rsidRPr="00D93780" w:rsidRDefault="00965E22">
            <w:pPr>
              <w:jc w:val="right"/>
              <w:rPr>
                <w:rFonts w:ascii="Arial" w:hAnsi="Arial" w:cs="Arial"/>
                <w:color w:val="000000"/>
                <w:sz w:val="18"/>
                <w:szCs w:val="18"/>
              </w:rPr>
            </w:pPr>
          </w:p>
        </w:tc>
        <w:tc>
          <w:tcPr>
            <w:tcW w:w="682" w:type="pct"/>
            <w:tcBorders>
              <w:top w:val="single" w:sz="4" w:space="0" w:color="auto"/>
              <w:left w:val="nil"/>
              <w:bottom w:val="nil"/>
              <w:right w:val="nil"/>
            </w:tcBorders>
            <w:shd w:val="clear" w:color="auto" w:fill="auto"/>
            <w:noWrap/>
            <w:vAlign w:val="bottom"/>
            <w:hideMark/>
          </w:tcPr>
          <w:p w14:paraId="279509AD" w14:textId="77777777" w:rsidR="00965E22" w:rsidRPr="00D93780" w:rsidRDefault="00965E22">
            <w:pPr>
              <w:rPr>
                <w:rFonts w:ascii="Arial" w:hAnsi="Arial" w:cs="Arial"/>
                <w:sz w:val="18"/>
                <w:szCs w:val="18"/>
              </w:rPr>
            </w:pPr>
          </w:p>
        </w:tc>
        <w:tc>
          <w:tcPr>
            <w:tcW w:w="642" w:type="pct"/>
            <w:tcBorders>
              <w:top w:val="single" w:sz="4" w:space="0" w:color="auto"/>
              <w:left w:val="nil"/>
              <w:bottom w:val="nil"/>
              <w:right w:val="nil"/>
            </w:tcBorders>
            <w:shd w:val="clear" w:color="auto" w:fill="auto"/>
            <w:noWrap/>
            <w:vAlign w:val="bottom"/>
            <w:hideMark/>
          </w:tcPr>
          <w:p w14:paraId="1BA1034C"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620.844</w:t>
            </w:r>
          </w:p>
        </w:tc>
      </w:tr>
      <w:tr w:rsidR="00965E22" w:rsidRPr="00D93780" w14:paraId="67BB14C1" w14:textId="77777777" w:rsidTr="005D454E">
        <w:trPr>
          <w:trHeight w:val="240"/>
        </w:trPr>
        <w:tc>
          <w:tcPr>
            <w:tcW w:w="322" w:type="pct"/>
            <w:tcBorders>
              <w:top w:val="nil"/>
              <w:left w:val="nil"/>
              <w:bottom w:val="nil"/>
              <w:right w:val="nil"/>
            </w:tcBorders>
            <w:shd w:val="clear" w:color="auto" w:fill="auto"/>
            <w:noWrap/>
            <w:vAlign w:val="bottom"/>
            <w:hideMark/>
          </w:tcPr>
          <w:p w14:paraId="5669564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7</w:t>
            </w:r>
          </w:p>
        </w:tc>
        <w:tc>
          <w:tcPr>
            <w:tcW w:w="1103" w:type="pct"/>
            <w:tcBorders>
              <w:top w:val="nil"/>
              <w:left w:val="nil"/>
              <w:bottom w:val="nil"/>
              <w:right w:val="nil"/>
            </w:tcBorders>
            <w:shd w:val="clear" w:color="auto" w:fill="auto"/>
            <w:noWrap/>
            <w:vAlign w:val="bottom"/>
            <w:hideMark/>
          </w:tcPr>
          <w:p w14:paraId="2220DF54"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6224700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bottom w:val="nil"/>
              <w:right w:val="nil"/>
            </w:tcBorders>
            <w:shd w:val="clear" w:color="auto" w:fill="auto"/>
            <w:noWrap/>
            <w:vAlign w:val="bottom"/>
            <w:hideMark/>
          </w:tcPr>
          <w:p w14:paraId="2AEBC16C" w14:textId="77777777" w:rsidR="00965E22" w:rsidRPr="00D93780" w:rsidRDefault="00965E22">
            <w:pPr>
              <w:jc w:val="right"/>
              <w:rPr>
                <w:rFonts w:ascii="Arial" w:hAnsi="Arial" w:cs="Arial"/>
                <w:color w:val="000000"/>
                <w:sz w:val="18"/>
                <w:szCs w:val="18"/>
              </w:rPr>
            </w:pPr>
          </w:p>
        </w:tc>
        <w:tc>
          <w:tcPr>
            <w:tcW w:w="682" w:type="pct"/>
            <w:tcBorders>
              <w:top w:val="nil"/>
              <w:left w:val="nil"/>
              <w:bottom w:val="nil"/>
              <w:right w:val="nil"/>
            </w:tcBorders>
            <w:shd w:val="clear" w:color="auto" w:fill="auto"/>
            <w:noWrap/>
            <w:vAlign w:val="bottom"/>
            <w:hideMark/>
          </w:tcPr>
          <w:p w14:paraId="31681B23" w14:textId="77777777" w:rsidR="00965E22" w:rsidRPr="00D93780" w:rsidRDefault="00965E22">
            <w:pPr>
              <w:rPr>
                <w:rFonts w:ascii="Arial" w:hAnsi="Arial" w:cs="Arial"/>
                <w:sz w:val="18"/>
                <w:szCs w:val="18"/>
              </w:rPr>
            </w:pPr>
          </w:p>
        </w:tc>
        <w:tc>
          <w:tcPr>
            <w:tcW w:w="642" w:type="pct"/>
            <w:tcBorders>
              <w:top w:val="nil"/>
              <w:left w:val="nil"/>
              <w:bottom w:val="nil"/>
              <w:right w:val="nil"/>
            </w:tcBorders>
            <w:shd w:val="clear" w:color="auto" w:fill="auto"/>
            <w:noWrap/>
            <w:vAlign w:val="bottom"/>
            <w:hideMark/>
          </w:tcPr>
          <w:p w14:paraId="01E5CB76"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6FECD2D1" w14:textId="77777777" w:rsidTr="005D454E">
        <w:trPr>
          <w:trHeight w:val="240"/>
        </w:trPr>
        <w:tc>
          <w:tcPr>
            <w:tcW w:w="322" w:type="pct"/>
            <w:tcBorders>
              <w:top w:val="nil"/>
              <w:left w:val="nil"/>
              <w:bottom w:val="nil"/>
              <w:right w:val="nil"/>
            </w:tcBorders>
            <w:shd w:val="clear" w:color="auto" w:fill="auto"/>
            <w:noWrap/>
            <w:vAlign w:val="bottom"/>
            <w:hideMark/>
          </w:tcPr>
          <w:p w14:paraId="0F18145F"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8</w:t>
            </w:r>
          </w:p>
        </w:tc>
        <w:tc>
          <w:tcPr>
            <w:tcW w:w="1103" w:type="pct"/>
            <w:tcBorders>
              <w:top w:val="nil"/>
              <w:left w:val="nil"/>
              <w:bottom w:val="nil"/>
              <w:right w:val="nil"/>
            </w:tcBorders>
            <w:shd w:val="clear" w:color="auto" w:fill="auto"/>
            <w:noWrap/>
            <w:vAlign w:val="bottom"/>
            <w:hideMark/>
          </w:tcPr>
          <w:p w14:paraId="29D24C57"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03C7788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c>
          <w:tcPr>
            <w:tcW w:w="1343" w:type="pct"/>
            <w:tcBorders>
              <w:top w:val="nil"/>
              <w:left w:val="nil"/>
              <w:bottom w:val="nil"/>
              <w:right w:val="nil"/>
            </w:tcBorders>
            <w:shd w:val="clear" w:color="auto" w:fill="auto"/>
            <w:noWrap/>
            <w:vAlign w:val="bottom"/>
            <w:hideMark/>
          </w:tcPr>
          <w:p w14:paraId="166895FD" w14:textId="77777777" w:rsidR="00965E22" w:rsidRPr="00D93780" w:rsidRDefault="00965E22">
            <w:pPr>
              <w:jc w:val="right"/>
              <w:rPr>
                <w:rFonts w:ascii="Arial" w:hAnsi="Arial" w:cs="Arial"/>
                <w:color w:val="000000"/>
                <w:sz w:val="18"/>
                <w:szCs w:val="18"/>
              </w:rPr>
            </w:pPr>
          </w:p>
        </w:tc>
        <w:tc>
          <w:tcPr>
            <w:tcW w:w="682" w:type="pct"/>
            <w:tcBorders>
              <w:top w:val="nil"/>
              <w:left w:val="nil"/>
              <w:bottom w:val="nil"/>
              <w:right w:val="nil"/>
            </w:tcBorders>
            <w:shd w:val="clear" w:color="auto" w:fill="auto"/>
            <w:noWrap/>
            <w:vAlign w:val="bottom"/>
            <w:hideMark/>
          </w:tcPr>
          <w:p w14:paraId="454EB971" w14:textId="77777777" w:rsidR="00965E22" w:rsidRPr="00D93780" w:rsidRDefault="00965E22">
            <w:pPr>
              <w:rPr>
                <w:rFonts w:ascii="Arial" w:hAnsi="Arial" w:cs="Arial"/>
                <w:sz w:val="18"/>
                <w:szCs w:val="18"/>
              </w:rPr>
            </w:pPr>
          </w:p>
        </w:tc>
        <w:tc>
          <w:tcPr>
            <w:tcW w:w="642" w:type="pct"/>
            <w:tcBorders>
              <w:top w:val="nil"/>
              <w:left w:val="nil"/>
              <w:bottom w:val="nil"/>
              <w:right w:val="nil"/>
            </w:tcBorders>
            <w:shd w:val="clear" w:color="auto" w:fill="auto"/>
            <w:noWrap/>
            <w:vAlign w:val="bottom"/>
            <w:hideMark/>
          </w:tcPr>
          <w:p w14:paraId="782CF62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r>
      <w:tr w:rsidR="00965E22" w:rsidRPr="00D93780" w14:paraId="58E04603" w14:textId="77777777" w:rsidTr="005D454E">
        <w:trPr>
          <w:trHeight w:val="240"/>
        </w:trPr>
        <w:tc>
          <w:tcPr>
            <w:tcW w:w="322" w:type="pct"/>
            <w:tcBorders>
              <w:top w:val="nil"/>
              <w:left w:val="nil"/>
              <w:right w:val="nil"/>
            </w:tcBorders>
            <w:shd w:val="clear" w:color="auto" w:fill="auto"/>
            <w:noWrap/>
            <w:vAlign w:val="bottom"/>
            <w:hideMark/>
          </w:tcPr>
          <w:p w14:paraId="6B609E39"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9</w:t>
            </w:r>
          </w:p>
        </w:tc>
        <w:tc>
          <w:tcPr>
            <w:tcW w:w="1103" w:type="pct"/>
            <w:tcBorders>
              <w:top w:val="nil"/>
              <w:left w:val="nil"/>
              <w:right w:val="nil"/>
            </w:tcBorders>
            <w:shd w:val="clear" w:color="auto" w:fill="auto"/>
            <w:noWrap/>
            <w:vAlign w:val="bottom"/>
            <w:hideMark/>
          </w:tcPr>
          <w:p w14:paraId="74A2EC1C" w14:textId="77777777" w:rsidR="00965E22" w:rsidRPr="00D93780" w:rsidRDefault="00965E22">
            <w:pPr>
              <w:jc w:val="right"/>
              <w:rPr>
                <w:rFonts w:ascii="Arial" w:hAnsi="Arial" w:cs="Arial"/>
                <w:color w:val="000000"/>
                <w:sz w:val="18"/>
                <w:szCs w:val="18"/>
              </w:rPr>
            </w:pPr>
          </w:p>
        </w:tc>
        <w:tc>
          <w:tcPr>
            <w:tcW w:w="908" w:type="pct"/>
            <w:tcBorders>
              <w:top w:val="nil"/>
              <w:left w:val="nil"/>
              <w:right w:val="nil"/>
            </w:tcBorders>
            <w:shd w:val="clear" w:color="auto" w:fill="auto"/>
            <w:noWrap/>
            <w:vAlign w:val="bottom"/>
            <w:hideMark/>
          </w:tcPr>
          <w:p w14:paraId="2948F4A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477.701</w:t>
            </w:r>
          </w:p>
        </w:tc>
        <w:tc>
          <w:tcPr>
            <w:tcW w:w="1343" w:type="pct"/>
            <w:tcBorders>
              <w:top w:val="nil"/>
              <w:left w:val="nil"/>
              <w:right w:val="nil"/>
            </w:tcBorders>
            <w:shd w:val="clear" w:color="auto" w:fill="auto"/>
            <w:noWrap/>
            <w:vAlign w:val="bottom"/>
            <w:hideMark/>
          </w:tcPr>
          <w:p w14:paraId="6EDF1FC2" w14:textId="77777777" w:rsidR="00965E22" w:rsidRPr="00D93780" w:rsidRDefault="00965E22">
            <w:pPr>
              <w:jc w:val="right"/>
              <w:rPr>
                <w:rFonts w:ascii="Arial" w:hAnsi="Arial" w:cs="Arial"/>
                <w:color w:val="000000"/>
                <w:sz w:val="18"/>
                <w:szCs w:val="18"/>
              </w:rPr>
            </w:pPr>
          </w:p>
        </w:tc>
        <w:tc>
          <w:tcPr>
            <w:tcW w:w="682" w:type="pct"/>
            <w:tcBorders>
              <w:top w:val="nil"/>
              <w:left w:val="nil"/>
              <w:right w:val="nil"/>
            </w:tcBorders>
            <w:shd w:val="clear" w:color="auto" w:fill="auto"/>
            <w:noWrap/>
            <w:vAlign w:val="bottom"/>
            <w:hideMark/>
          </w:tcPr>
          <w:p w14:paraId="00D234F0" w14:textId="77777777" w:rsidR="00965E22" w:rsidRPr="00D93780" w:rsidRDefault="00965E22">
            <w:pPr>
              <w:rPr>
                <w:rFonts w:ascii="Arial" w:hAnsi="Arial" w:cs="Arial"/>
                <w:sz w:val="18"/>
                <w:szCs w:val="18"/>
              </w:rPr>
            </w:pPr>
          </w:p>
        </w:tc>
        <w:tc>
          <w:tcPr>
            <w:tcW w:w="642" w:type="pct"/>
            <w:tcBorders>
              <w:top w:val="nil"/>
              <w:left w:val="nil"/>
              <w:right w:val="nil"/>
            </w:tcBorders>
            <w:shd w:val="clear" w:color="auto" w:fill="auto"/>
            <w:noWrap/>
            <w:vAlign w:val="bottom"/>
            <w:hideMark/>
          </w:tcPr>
          <w:p w14:paraId="1B459E8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477.701</w:t>
            </w:r>
          </w:p>
        </w:tc>
      </w:tr>
      <w:tr w:rsidR="00965E22" w:rsidRPr="00D93780" w14:paraId="318F81CB" w14:textId="77777777" w:rsidTr="005D454E">
        <w:trPr>
          <w:trHeight w:val="240"/>
        </w:trPr>
        <w:tc>
          <w:tcPr>
            <w:tcW w:w="322" w:type="pct"/>
            <w:tcBorders>
              <w:top w:val="nil"/>
              <w:left w:val="nil"/>
              <w:bottom w:val="single" w:sz="4" w:space="0" w:color="auto"/>
              <w:right w:val="nil"/>
            </w:tcBorders>
            <w:shd w:val="clear" w:color="auto" w:fill="auto"/>
            <w:noWrap/>
            <w:vAlign w:val="bottom"/>
            <w:hideMark/>
          </w:tcPr>
          <w:p w14:paraId="2EEACEA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10</w:t>
            </w:r>
          </w:p>
        </w:tc>
        <w:tc>
          <w:tcPr>
            <w:tcW w:w="1103" w:type="pct"/>
            <w:tcBorders>
              <w:top w:val="nil"/>
              <w:left w:val="nil"/>
              <w:bottom w:val="single" w:sz="4" w:space="0" w:color="auto"/>
              <w:right w:val="nil"/>
            </w:tcBorders>
            <w:shd w:val="clear" w:color="auto" w:fill="auto"/>
            <w:noWrap/>
            <w:vAlign w:val="bottom"/>
            <w:hideMark/>
          </w:tcPr>
          <w:p w14:paraId="01077C19" w14:textId="77777777" w:rsidR="00965E22" w:rsidRPr="00D93780" w:rsidRDefault="00965E22">
            <w:pPr>
              <w:jc w:val="right"/>
              <w:rPr>
                <w:rFonts w:ascii="Arial" w:hAnsi="Arial" w:cs="Arial"/>
                <w:color w:val="000000"/>
                <w:sz w:val="18"/>
                <w:szCs w:val="18"/>
              </w:rPr>
            </w:pPr>
          </w:p>
        </w:tc>
        <w:tc>
          <w:tcPr>
            <w:tcW w:w="908" w:type="pct"/>
            <w:tcBorders>
              <w:top w:val="nil"/>
              <w:left w:val="nil"/>
              <w:bottom w:val="single" w:sz="4" w:space="0" w:color="auto"/>
              <w:right w:val="nil"/>
            </w:tcBorders>
            <w:shd w:val="clear" w:color="auto" w:fill="auto"/>
            <w:noWrap/>
            <w:vAlign w:val="bottom"/>
            <w:hideMark/>
          </w:tcPr>
          <w:p w14:paraId="173075D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bottom w:val="single" w:sz="4" w:space="0" w:color="auto"/>
              <w:right w:val="nil"/>
            </w:tcBorders>
            <w:shd w:val="clear" w:color="auto" w:fill="auto"/>
            <w:noWrap/>
            <w:vAlign w:val="bottom"/>
            <w:hideMark/>
          </w:tcPr>
          <w:p w14:paraId="392694A0" w14:textId="77777777" w:rsidR="00965E22" w:rsidRPr="00D93780" w:rsidRDefault="00965E22">
            <w:pPr>
              <w:jc w:val="right"/>
              <w:rPr>
                <w:rFonts w:ascii="Arial" w:hAnsi="Arial" w:cs="Arial"/>
                <w:color w:val="000000"/>
                <w:sz w:val="18"/>
                <w:szCs w:val="18"/>
              </w:rPr>
            </w:pPr>
          </w:p>
        </w:tc>
        <w:tc>
          <w:tcPr>
            <w:tcW w:w="682" w:type="pct"/>
            <w:tcBorders>
              <w:top w:val="nil"/>
              <w:left w:val="nil"/>
              <w:bottom w:val="single" w:sz="4" w:space="0" w:color="auto"/>
              <w:right w:val="nil"/>
            </w:tcBorders>
            <w:shd w:val="clear" w:color="auto" w:fill="auto"/>
            <w:noWrap/>
            <w:vAlign w:val="bottom"/>
            <w:hideMark/>
          </w:tcPr>
          <w:p w14:paraId="18208E57" w14:textId="77777777" w:rsidR="00965E22" w:rsidRPr="00D93780" w:rsidRDefault="00965E22">
            <w:pPr>
              <w:rPr>
                <w:rFonts w:ascii="Arial" w:hAnsi="Arial" w:cs="Arial"/>
                <w:sz w:val="18"/>
                <w:szCs w:val="18"/>
              </w:rPr>
            </w:pPr>
          </w:p>
        </w:tc>
        <w:tc>
          <w:tcPr>
            <w:tcW w:w="642" w:type="pct"/>
            <w:tcBorders>
              <w:top w:val="nil"/>
              <w:left w:val="nil"/>
              <w:bottom w:val="single" w:sz="4" w:space="0" w:color="auto"/>
              <w:right w:val="nil"/>
            </w:tcBorders>
            <w:shd w:val="clear" w:color="auto" w:fill="auto"/>
            <w:noWrap/>
            <w:vAlign w:val="bottom"/>
            <w:hideMark/>
          </w:tcPr>
          <w:p w14:paraId="3401510F"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5149EB19" w14:textId="77777777" w:rsidTr="005D454E">
        <w:trPr>
          <w:trHeight w:val="240"/>
        </w:trPr>
        <w:tc>
          <w:tcPr>
            <w:tcW w:w="322" w:type="pct"/>
            <w:tcBorders>
              <w:top w:val="single" w:sz="4" w:space="0" w:color="auto"/>
              <w:left w:val="nil"/>
              <w:bottom w:val="nil"/>
              <w:right w:val="nil"/>
            </w:tcBorders>
            <w:shd w:val="clear" w:color="auto" w:fill="auto"/>
            <w:noWrap/>
            <w:vAlign w:val="bottom"/>
            <w:hideMark/>
          </w:tcPr>
          <w:p w14:paraId="69731E50"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11</w:t>
            </w:r>
          </w:p>
        </w:tc>
        <w:tc>
          <w:tcPr>
            <w:tcW w:w="1103" w:type="pct"/>
            <w:tcBorders>
              <w:top w:val="single" w:sz="4" w:space="0" w:color="auto"/>
              <w:left w:val="nil"/>
              <w:bottom w:val="nil"/>
              <w:right w:val="nil"/>
            </w:tcBorders>
            <w:shd w:val="clear" w:color="auto" w:fill="auto"/>
            <w:noWrap/>
            <w:vAlign w:val="bottom"/>
            <w:hideMark/>
          </w:tcPr>
          <w:p w14:paraId="005ECD8A" w14:textId="77777777" w:rsidR="00965E22" w:rsidRPr="00D93780" w:rsidRDefault="00965E22">
            <w:pPr>
              <w:jc w:val="right"/>
              <w:rPr>
                <w:rFonts w:ascii="Arial" w:hAnsi="Arial" w:cs="Arial"/>
                <w:color w:val="000000"/>
                <w:sz w:val="18"/>
                <w:szCs w:val="18"/>
              </w:rPr>
            </w:pPr>
          </w:p>
        </w:tc>
        <w:tc>
          <w:tcPr>
            <w:tcW w:w="908" w:type="pct"/>
            <w:tcBorders>
              <w:top w:val="single" w:sz="4" w:space="0" w:color="auto"/>
              <w:left w:val="nil"/>
              <w:bottom w:val="nil"/>
              <w:right w:val="nil"/>
            </w:tcBorders>
            <w:shd w:val="clear" w:color="auto" w:fill="auto"/>
            <w:noWrap/>
            <w:vAlign w:val="bottom"/>
            <w:hideMark/>
          </w:tcPr>
          <w:p w14:paraId="4FFFDEE1"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c>
          <w:tcPr>
            <w:tcW w:w="1343" w:type="pct"/>
            <w:tcBorders>
              <w:top w:val="single" w:sz="4" w:space="0" w:color="auto"/>
              <w:left w:val="nil"/>
              <w:bottom w:val="nil"/>
              <w:right w:val="nil"/>
            </w:tcBorders>
            <w:shd w:val="clear" w:color="auto" w:fill="auto"/>
            <w:noWrap/>
            <w:vAlign w:val="bottom"/>
            <w:hideMark/>
          </w:tcPr>
          <w:p w14:paraId="26163CFA" w14:textId="77777777" w:rsidR="00965E22" w:rsidRPr="00D93780" w:rsidRDefault="00965E22">
            <w:pPr>
              <w:jc w:val="right"/>
              <w:rPr>
                <w:rFonts w:ascii="Arial" w:hAnsi="Arial" w:cs="Arial"/>
                <w:color w:val="000000"/>
                <w:sz w:val="18"/>
                <w:szCs w:val="18"/>
              </w:rPr>
            </w:pPr>
          </w:p>
        </w:tc>
        <w:tc>
          <w:tcPr>
            <w:tcW w:w="682" w:type="pct"/>
            <w:tcBorders>
              <w:top w:val="single" w:sz="4" w:space="0" w:color="auto"/>
              <w:left w:val="nil"/>
              <w:bottom w:val="nil"/>
              <w:right w:val="nil"/>
            </w:tcBorders>
            <w:shd w:val="clear" w:color="auto" w:fill="auto"/>
            <w:noWrap/>
            <w:vAlign w:val="bottom"/>
            <w:hideMark/>
          </w:tcPr>
          <w:p w14:paraId="3E2DFF83" w14:textId="77777777" w:rsidR="00965E22" w:rsidRPr="00D93780" w:rsidRDefault="00965E22">
            <w:pPr>
              <w:rPr>
                <w:rFonts w:ascii="Arial" w:hAnsi="Arial" w:cs="Arial"/>
                <w:sz w:val="18"/>
                <w:szCs w:val="18"/>
              </w:rPr>
            </w:pPr>
          </w:p>
        </w:tc>
        <w:tc>
          <w:tcPr>
            <w:tcW w:w="642" w:type="pct"/>
            <w:tcBorders>
              <w:top w:val="single" w:sz="4" w:space="0" w:color="auto"/>
              <w:left w:val="nil"/>
              <w:bottom w:val="nil"/>
              <w:right w:val="nil"/>
            </w:tcBorders>
            <w:shd w:val="clear" w:color="auto" w:fill="auto"/>
            <w:noWrap/>
            <w:vAlign w:val="bottom"/>
            <w:hideMark/>
          </w:tcPr>
          <w:p w14:paraId="05B02361"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r>
      <w:tr w:rsidR="00965E22" w:rsidRPr="00D93780" w14:paraId="49ABF643" w14:textId="77777777" w:rsidTr="005D454E">
        <w:trPr>
          <w:trHeight w:val="240"/>
        </w:trPr>
        <w:tc>
          <w:tcPr>
            <w:tcW w:w="322" w:type="pct"/>
            <w:tcBorders>
              <w:top w:val="nil"/>
              <w:left w:val="nil"/>
              <w:bottom w:val="nil"/>
              <w:right w:val="nil"/>
            </w:tcBorders>
            <w:shd w:val="clear" w:color="auto" w:fill="auto"/>
            <w:noWrap/>
            <w:vAlign w:val="bottom"/>
            <w:hideMark/>
          </w:tcPr>
          <w:p w14:paraId="1BCCF407"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12</w:t>
            </w:r>
          </w:p>
        </w:tc>
        <w:tc>
          <w:tcPr>
            <w:tcW w:w="1103" w:type="pct"/>
            <w:tcBorders>
              <w:top w:val="nil"/>
              <w:left w:val="nil"/>
              <w:bottom w:val="nil"/>
              <w:right w:val="nil"/>
            </w:tcBorders>
            <w:shd w:val="clear" w:color="auto" w:fill="auto"/>
            <w:noWrap/>
            <w:vAlign w:val="bottom"/>
            <w:hideMark/>
          </w:tcPr>
          <w:p w14:paraId="20BA7122"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2B92EEDC"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610.844</w:t>
            </w:r>
          </w:p>
        </w:tc>
        <w:tc>
          <w:tcPr>
            <w:tcW w:w="1343" w:type="pct"/>
            <w:tcBorders>
              <w:top w:val="nil"/>
              <w:left w:val="nil"/>
              <w:bottom w:val="nil"/>
              <w:right w:val="nil"/>
            </w:tcBorders>
            <w:shd w:val="clear" w:color="auto" w:fill="auto"/>
            <w:noWrap/>
            <w:vAlign w:val="bottom"/>
            <w:hideMark/>
          </w:tcPr>
          <w:p w14:paraId="3EE228AB" w14:textId="77777777" w:rsidR="00965E22" w:rsidRPr="00D93780" w:rsidRDefault="00965E22">
            <w:pPr>
              <w:jc w:val="right"/>
              <w:rPr>
                <w:rFonts w:ascii="Arial" w:hAnsi="Arial" w:cs="Arial"/>
                <w:color w:val="000000"/>
                <w:sz w:val="18"/>
                <w:szCs w:val="18"/>
              </w:rPr>
            </w:pPr>
          </w:p>
        </w:tc>
        <w:tc>
          <w:tcPr>
            <w:tcW w:w="682" w:type="pct"/>
            <w:tcBorders>
              <w:top w:val="nil"/>
              <w:left w:val="nil"/>
              <w:bottom w:val="nil"/>
              <w:right w:val="nil"/>
            </w:tcBorders>
            <w:shd w:val="clear" w:color="auto" w:fill="auto"/>
            <w:noWrap/>
            <w:vAlign w:val="bottom"/>
            <w:hideMark/>
          </w:tcPr>
          <w:p w14:paraId="053EEB30" w14:textId="77777777" w:rsidR="00965E22" w:rsidRPr="00D93780" w:rsidRDefault="00965E22">
            <w:pPr>
              <w:rPr>
                <w:rFonts w:ascii="Arial" w:hAnsi="Arial" w:cs="Arial"/>
                <w:sz w:val="18"/>
                <w:szCs w:val="18"/>
              </w:rPr>
            </w:pPr>
          </w:p>
        </w:tc>
        <w:tc>
          <w:tcPr>
            <w:tcW w:w="642" w:type="pct"/>
            <w:tcBorders>
              <w:top w:val="nil"/>
              <w:left w:val="nil"/>
              <w:bottom w:val="nil"/>
              <w:right w:val="nil"/>
            </w:tcBorders>
            <w:shd w:val="clear" w:color="auto" w:fill="auto"/>
            <w:noWrap/>
            <w:vAlign w:val="bottom"/>
            <w:hideMark/>
          </w:tcPr>
          <w:p w14:paraId="59D1335A"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610.844</w:t>
            </w:r>
          </w:p>
        </w:tc>
      </w:tr>
      <w:tr w:rsidR="00965E22" w:rsidRPr="00D93780" w14:paraId="661B8957" w14:textId="77777777" w:rsidTr="005D454E">
        <w:trPr>
          <w:trHeight w:val="240"/>
        </w:trPr>
        <w:tc>
          <w:tcPr>
            <w:tcW w:w="322" w:type="pct"/>
            <w:tcBorders>
              <w:top w:val="nil"/>
              <w:left w:val="nil"/>
              <w:bottom w:val="nil"/>
              <w:right w:val="nil"/>
            </w:tcBorders>
            <w:shd w:val="clear" w:color="auto" w:fill="auto"/>
            <w:noWrap/>
            <w:vAlign w:val="bottom"/>
            <w:hideMark/>
          </w:tcPr>
          <w:p w14:paraId="651337C3"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13</w:t>
            </w:r>
          </w:p>
        </w:tc>
        <w:tc>
          <w:tcPr>
            <w:tcW w:w="1103" w:type="pct"/>
            <w:tcBorders>
              <w:top w:val="nil"/>
              <w:left w:val="nil"/>
              <w:bottom w:val="nil"/>
              <w:right w:val="nil"/>
            </w:tcBorders>
            <w:shd w:val="clear" w:color="auto" w:fill="auto"/>
            <w:noWrap/>
            <w:vAlign w:val="bottom"/>
            <w:hideMark/>
          </w:tcPr>
          <w:p w14:paraId="2D4F225C"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4FE5FA30"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bottom w:val="nil"/>
              <w:right w:val="nil"/>
            </w:tcBorders>
            <w:shd w:val="clear" w:color="auto" w:fill="auto"/>
            <w:noWrap/>
            <w:vAlign w:val="bottom"/>
            <w:hideMark/>
          </w:tcPr>
          <w:p w14:paraId="44BBEA50" w14:textId="77777777" w:rsidR="00965E22" w:rsidRPr="00D93780" w:rsidRDefault="00965E22">
            <w:pPr>
              <w:jc w:val="right"/>
              <w:rPr>
                <w:rFonts w:ascii="Arial" w:hAnsi="Arial" w:cs="Arial"/>
                <w:color w:val="000000"/>
                <w:sz w:val="18"/>
                <w:szCs w:val="18"/>
              </w:rPr>
            </w:pPr>
          </w:p>
        </w:tc>
        <w:tc>
          <w:tcPr>
            <w:tcW w:w="682" w:type="pct"/>
            <w:tcBorders>
              <w:top w:val="nil"/>
              <w:left w:val="nil"/>
              <w:bottom w:val="nil"/>
              <w:right w:val="nil"/>
            </w:tcBorders>
            <w:shd w:val="clear" w:color="auto" w:fill="auto"/>
            <w:noWrap/>
            <w:vAlign w:val="bottom"/>
            <w:hideMark/>
          </w:tcPr>
          <w:p w14:paraId="7818E7F6" w14:textId="77777777" w:rsidR="00965E22" w:rsidRPr="00D93780" w:rsidRDefault="00965E22">
            <w:pPr>
              <w:rPr>
                <w:rFonts w:ascii="Arial" w:hAnsi="Arial" w:cs="Arial"/>
                <w:sz w:val="18"/>
                <w:szCs w:val="18"/>
              </w:rPr>
            </w:pPr>
          </w:p>
        </w:tc>
        <w:tc>
          <w:tcPr>
            <w:tcW w:w="642" w:type="pct"/>
            <w:tcBorders>
              <w:top w:val="nil"/>
              <w:left w:val="nil"/>
              <w:bottom w:val="nil"/>
              <w:right w:val="nil"/>
            </w:tcBorders>
            <w:shd w:val="clear" w:color="auto" w:fill="auto"/>
            <w:noWrap/>
            <w:vAlign w:val="bottom"/>
            <w:hideMark/>
          </w:tcPr>
          <w:p w14:paraId="6E87AD98"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6EEE5E1A" w14:textId="77777777" w:rsidTr="005D454E">
        <w:trPr>
          <w:trHeight w:val="240"/>
        </w:trPr>
        <w:tc>
          <w:tcPr>
            <w:tcW w:w="322" w:type="pct"/>
            <w:tcBorders>
              <w:top w:val="nil"/>
              <w:left w:val="nil"/>
              <w:right w:val="nil"/>
            </w:tcBorders>
            <w:shd w:val="clear" w:color="auto" w:fill="auto"/>
            <w:noWrap/>
            <w:vAlign w:val="bottom"/>
            <w:hideMark/>
          </w:tcPr>
          <w:p w14:paraId="4970C8D0"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14</w:t>
            </w:r>
          </w:p>
        </w:tc>
        <w:tc>
          <w:tcPr>
            <w:tcW w:w="1103" w:type="pct"/>
            <w:tcBorders>
              <w:top w:val="nil"/>
              <w:left w:val="nil"/>
              <w:right w:val="nil"/>
            </w:tcBorders>
            <w:shd w:val="clear" w:color="auto" w:fill="auto"/>
            <w:noWrap/>
            <w:vAlign w:val="bottom"/>
            <w:hideMark/>
          </w:tcPr>
          <w:p w14:paraId="06D4B739" w14:textId="77777777" w:rsidR="00965E22" w:rsidRPr="00D93780" w:rsidRDefault="00965E22">
            <w:pPr>
              <w:jc w:val="right"/>
              <w:rPr>
                <w:rFonts w:ascii="Arial" w:hAnsi="Arial" w:cs="Arial"/>
                <w:color w:val="000000"/>
                <w:sz w:val="18"/>
                <w:szCs w:val="18"/>
              </w:rPr>
            </w:pPr>
          </w:p>
        </w:tc>
        <w:tc>
          <w:tcPr>
            <w:tcW w:w="908" w:type="pct"/>
            <w:tcBorders>
              <w:top w:val="nil"/>
              <w:left w:val="nil"/>
              <w:right w:val="nil"/>
            </w:tcBorders>
            <w:shd w:val="clear" w:color="auto" w:fill="auto"/>
            <w:noWrap/>
            <w:vAlign w:val="bottom"/>
            <w:hideMark/>
          </w:tcPr>
          <w:p w14:paraId="2985A926"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right w:val="nil"/>
            </w:tcBorders>
            <w:shd w:val="clear" w:color="auto" w:fill="auto"/>
            <w:noWrap/>
            <w:vAlign w:val="bottom"/>
            <w:hideMark/>
          </w:tcPr>
          <w:p w14:paraId="07B6ED6D" w14:textId="77777777" w:rsidR="00965E22" w:rsidRPr="00D93780" w:rsidRDefault="00965E22">
            <w:pPr>
              <w:jc w:val="right"/>
              <w:rPr>
                <w:rFonts w:ascii="Arial" w:hAnsi="Arial" w:cs="Arial"/>
                <w:color w:val="000000"/>
                <w:sz w:val="18"/>
                <w:szCs w:val="18"/>
              </w:rPr>
            </w:pPr>
          </w:p>
        </w:tc>
        <w:tc>
          <w:tcPr>
            <w:tcW w:w="682" w:type="pct"/>
            <w:tcBorders>
              <w:top w:val="nil"/>
              <w:left w:val="nil"/>
              <w:right w:val="nil"/>
            </w:tcBorders>
            <w:shd w:val="clear" w:color="auto" w:fill="auto"/>
            <w:noWrap/>
            <w:vAlign w:val="bottom"/>
            <w:hideMark/>
          </w:tcPr>
          <w:p w14:paraId="0FBF212D" w14:textId="77777777" w:rsidR="00965E22" w:rsidRPr="00D93780" w:rsidRDefault="00965E22">
            <w:pPr>
              <w:rPr>
                <w:rFonts w:ascii="Arial" w:hAnsi="Arial" w:cs="Arial"/>
                <w:sz w:val="18"/>
                <w:szCs w:val="18"/>
              </w:rPr>
            </w:pPr>
          </w:p>
        </w:tc>
        <w:tc>
          <w:tcPr>
            <w:tcW w:w="642" w:type="pct"/>
            <w:tcBorders>
              <w:top w:val="nil"/>
              <w:left w:val="nil"/>
              <w:right w:val="nil"/>
            </w:tcBorders>
            <w:shd w:val="clear" w:color="auto" w:fill="auto"/>
            <w:noWrap/>
            <w:vAlign w:val="bottom"/>
            <w:hideMark/>
          </w:tcPr>
          <w:p w14:paraId="32688621"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6C70AA3F" w14:textId="77777777" w:rsidTr="005D454E">
        <w:trPr>
          <w:trHeight w:val="240"/>
        </w:trPr>
        <w:tc>
          <w:tcPr>
            <w:tcW w:w="322" w:type="pct"/>
            <w:tcBorders>
              <w:top w:val="nil"/>
              <w:left w:val="nil"/>
              <w:bottom w:val="single" w:sz="4" w:space="0" w:color="auto"/>
              <w:right w:val="nil"/>
            </w:tcBorders>
            <w:shd w:val="clear" w:color="auto" w:fill="auto"/>
            <w:noWrap/>
            <w:vAlign w:val="bottom"/>
            <w:hideMark/>
          </w:tcPr>
          <w:p w14:paraId="499CFB8A"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15</w:t>
            </w:r>
          </w:p>
        </w:tc>
        <w:tc>
          <w:tcPr>
            <w:tcW w:w="1103" w:type="pct"/>
            <w:tcBorders>
              <w:top w:val="nil"/>
              <w:left w:val="nil"/>
              <w:bottom w:val="single" w:sz="4" w:space="0" w:color="auto"/>
              <w:right w:val="nil"/>
            </w:tcBorders>
            <w:shd w:val="clear" w:color="auto" w:fill="auto"/>
            <w:noWrap/>
            <w:vAlign w:val="bottom"/>
            <w:hideMark/>
          </w:tcPr>
          <w:p w14:paraId="266AACC9" w14:textId="77777777" w:rsidR="00965E22" w:rsidRPr="00D93780" w:rsidRDefault="00965E22">
            <w:pPr>
              <w:jc w:val="right"/>
              <w:rPr>
                <w:rFonts w:ascii="Arial" w:hAnsi="Arial" w:cs="Arial"/>
                <w:color w:val="000000"/>
                <w:sz w:val="18"/>
                <w:szCs w:val="18"/>
              </w:rPr>
            </w:pPr>
          </w:p>
        </w:tc>
        <w:tc>
          <w:tcPr>
            <w:tcW w:w="908" w:type="pct"/>
            <w:tcBorders>
              <w:top w:val="nil"/>
              <w:left w:val="nil"/>
              <w:bottom w:val="single" w:sz="4" w:space="0" w:color="auto"/>
              <w:right w:val="nil"/>
            </w:tcBorders>
            <w:shd w:val="clear" w:color="auto" w:fill="auto"/>
            <w:noWrap/>
            <w:vAlign w:val="bottom"/>
            <w:hideMark/>
          </w:tcPr>
          <w:p w14:paraId="657351B7"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477.701</w:t>
            </w:r>
          </w:p>
        </w:tc>
        <w:tc>
          <w:tcPr>
            <w:tcW w:w="1343" w:type="pct"/>
            <w:tcBorders>
              <w:top w:val="nil"/>
              <w:left w:val="nil"/>
              <w:bottom w:val="single" w:sz="4" w:space="0" w:color="auto"/>
              <w:right w:val="nil"/>
            </w:tcBorders>
            <w:shd w:val="clear" w:color="auto" w:fill="auto"/>
            <w:noWrap/>
            <w:vAlign w:val="bottom"/>
            <w:hideMark/>
          </w:tcPr>
          <w:p w14:paraId="1412CA40" w14:textId="77777777" w:rsidR="00965E22" w:rsidRPr="00D93780" w:rsidRDefault="00965E22">
            <w:pPr>
              <w:jc w:val="right"/>
              <w:rPr>
                <w:rFonts w:ascii="Arial" w:hAnsi="Arial" w:cs="Arial"/>
                <w:color w:val="000000"/>
                <w:sz w:val="18"/>
                <w:szCs w:val="18"/>
              </w:rPr>
            </w:pPr>
          </w:p>
        </w:tc>
        <w:tc>
          <w:tcPr>
            <w:tcW w:w="682" w:type="pct"/>
            <w:tcBorders>
              <w:top w:val="nil"/>
              <w:left w:val="nil"/>
              <w:bottom w:val="single" w:sz="4" w:space="0" w:color="auto"/>
              <w:right w:val="nil"/>
            </w:tcBorders>
            <w:shd w:val="clear" w:color="auto" w:fill="auto"/>
            <w:noWrap/>
            <w:vAlign w:val="bottom"/>
            <w:hideMark/>
          </w:tcPr>
          <w:p w14:paraId="2FE5BAE3" w14:textId="77777777" w:rsidR="00965E22" w:rsidRPr="00D93780" w:rsidRDefault="00965E22">
            <w:pPr>
              <w:rPr>
                <w:rFonts w:ascii="Arial" w:hAnsi="Arial" w:cs="Arial"/>
                <w:sz w:val="18"/>
                <w:szCs w:val="18"/>
              </w:rPr>
            </w:pPr>
          </w:p>
        </w:tc>
        <w:tc>
          <w:tcPr>
            <w:tcW w:w="642" w:type="pct"/>
            <w:tcBorders>
              <w:top w:val="nil"/>
              <w:left w:val="nil"/>
              <w:bottom w:val="single" w:sz="4" w:space="0" w:color="auto"/>
              <w:right w:val="nil"/>
            </w:tcBorders>
            <w:shd w:val="clear" w:color="auto" w:fill="auto"/>
            <w:noWrap/>
            <w:vAlign w:val="bottom"/>
            <w:hideMark/>
          </w:tcPr>
          <w:p w14:paraId="1B3F74C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477.701</w:t>
            </w:r>
          </w:p>
        </w:tc>
      </w:tr>
      <w:tr w:rsidR="00965E22" w:rsidRPr="00D93780" w14:paraId="0142BE26" w14:textId="77777777" w:rsidTr="005D454E">
        <w:trPr>
          <w:trHeight w:val="240"/>
        </w:trPr>
        <w:tc>
          <w:tcPr>
            <w:tcW w:w="322" w:type="pct"/>
            <w:tcBorders>
              <w:top w:val="single" w:sz="4" w:space="0" w:color="auto"/>
              <w:left w:val="nil"/>
              <w:bottom w:val="nil"/>
              <w:right w:val="nil"/>
            </w:tcBorders>
            <w:shd w:val="clear" w:color="auto" w:fill="auto"/>
            <w:noWrap/>
            <w:vAlign w:val="bottom"/>
            <w:hideMark/>
          </w:tcPr>
          <w:p w14:paraId="3940218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16</w:t>
            </w:r>
          </w:p>
        </w:tc>
        <w:tc>
          <w:tcPr>
            <w:tcW w:w="1103" w:type="pct"/>
            <w:tcBorders>
              <w:top w:val="single" w:sz="4" w:space="0" w:color="auto"/>
              <w:left w:val="nil"/>
              <w:bottom w:val="nil"/>
              <w:right w:val="nil"/>
            </w:tcBorders>
            <w:shd w:val="clear" w:color="auto" w:fill="auto"/>
            <w:noWrap/>
            <w:vAlign w:val="bottom"/>
            <w:hideMark/>
          </w:tcPr>
          <w:p w14:paraId="6C54295D" w14:textId="77777777" w:rsidR="00965E22" w:rsidRPr="00D93780" w:rsidRDefault="00965E22">
            <w:pPr>
              <w:jc w:val="right"/>
              <w:rPr>
                <w:rFonts w:ascii="Arial" w:hAnsi="Arial" w:cs="Arial"/>
                <w:color w:val="000000"/>
                <w:sz w:val="18"/>
                <w:szCs w:val="18"/>
              </w:rPr>
            </w:pPr>
          </w:p>
        </w:tc>
        <w:tc>
          <w:tcPr>
            <w:tcW w:w="908" w:type="pct"/>
            <w:tcBorders>
              <w:top w:val="single" w:sz="4" w:space="0" w:color="auto"/>
              <w:left w:val="nil"/>
              <w:bottom w:val="nil"/>
              <w:right w:val="nil"/>
            </w:tcBorders>
            <w:shd w:val="clear" w:color="auto" w:fill="auto"/>
            <w:noWrap/>
            <w:vAlign w:val="bottom"/>
            <w:hideMark/>
          </w:tcPr>
          <w:p w14:paraId="73C3BA63"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c>
          <w:tcPr>
            <w:tcW w:w="1343" w:type="pct"/>
            <w:tcBorders>
              <w:top w:val="single" w:sz="4" w:space="0" w:color="auto"/>
              <w:left w:val="nil"/>
              <w:bottom w:val="nil"/>
              <w:right w:val="nil"/>
            </w:tcBorders>
            <w:shd w:val="clear" w:color="auto" w:fill="auto"/>
            <w:noWrap/>
            <w:vAlign w:val="bottom"/>
            <w:hideMark/>
          </w:tcPr>
          <w:p w14:paraId="36D24D7E" w14:textId="77777777" w:rsidR="00965E22" w:rsidRPr="00D93780" w:rsidRDefault="00965E22">
            <w:pPr>
              <w:jc w:val="right"/>
              <w:rPr>
                <w:rFonts w:ascii="Arial" w:hAnsi="Arial" w:cs="Arial"/>
                <w:color w:val="000000"/>
                <w:sz w:val="18"/>
                <w:szCs w:val="18"/>
              </w:rPr>
            </w:pPr>
          </w:p>
        </w:tc>
        <w:tc>
          <w:tcPr>
            <w:tcW w:w="682" w:type="pct"/>
            <w:tcBorders>
              <w:top w:val="single" w:sz="4" w:space="0" w:color="auto"/>
              <w:left w:val="nil"/>
              <w:bottom w:val="nil"/>
              <w:right w:val="nil"/>
            </w:tcBorders>
            <w:shd w:val="clear" w:color="auto" w:fill="auto"/>
            <w:noWrap/>
            <w:vAlign w:val="bottom"/>
            <w:hideMark/>
          </w:tcPr>
          <w:p w14:paraId="3CF3B969" w14:textId="77777777" w:rsidR="00965E22" w:rsidRPr="00D93780" w:rsidRDefault="00965E22">
            <w:pPr>
              <w:rPr>
                <w:rFonts w:ascii="Arial" w:hAnsi="Arial" w:cs="Arial"/>
                <w:sz w:val="18"/>
                <w:szCs w:val="18"/>
              </w:rPr>
            </w:pPr>
          </w:p>
        </w:tc>
        <w:tc>
          <w:tcPr>
            <w:tcW w:w="642" w:type="pct"/>
            <w:tcBorders>
              <w:top w:val="single" w:sz="4" w:space="0" w:color="auto"/>
              <w:left w:val="nil"/>
              <w:bottom w:val="nil"/>
              <w:right w:val="nil"/>
            </w:tcBorders>
            <w:shd w:val="clear" w:color="auto" w:fill="auto"/>
            <w:noWrap/>
            <w:vAlign w:val="bottom"/>
            <w:hideMark/>
          </w:tcPr>
          <w:p w14:paraId="6D1CB46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363.428</w:t>
            </w:r>
          </w:p>
        </w:tc>
      </w:tr>
      <w:tr w:rsidR="00965E22" w:rsidRPr="00D93780" w14:paraId="40A32ABE" w14:textId="77777777" w:rsidTr="005D454E">
        <w:trPr>
          <w:trHeight w:val="240"/>
        </w:trPr>
        <w:tc>
          <w:tcPr>
            <w:tcW w:w="322" w:type="pct"/>
            <w:tcBorders>
              <w:top w:val="nil"/>
              <w:left w:val="nil"/>
              <w:bottom w:val="nil"/>
              <w:right w:val="nil"/>
            </w:tcBorders>
            <w:shd w:val="clear" w:color="auto" w:fill="auto"/>
            <w:noWrap/>
            <w:vAlign w:val="bottom"/>
            <w:hideMark/>
          </w:tcPr>
          <w:p w14:paraId="788577B7"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17</w:t>
            </w:r>
          </w:p>
        </w:tc>
        <w:tc>
          <w:tcPr>
            <w:tcW w:w="1103" w:type="pct"/>
            <w:tcBorders>
              <w:top w:val="nil"/>
              <w:left w:val="nil"/>
              <w:bottom w:val="nil"/>
              <w:right w:val="nil"/>
            </w:tcBorders>
            <w:shd w:val="clear" w:color="auto" w:fill="auto"/>
            <w:noWrap/>
            <w:vAlign w:val="bottom"/>
            <w:hideMark/>
          </w:tcPr>
          <w:p w14:paraId="334EA55D"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6B2AA5C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bottom w:val="nil"/>
              <w:right w:val="nil"/>
            </w:tcBorders>
            <w:shd w:val="clear" w:color="auto" w:fill="auto"/>
            <w:noWrap/>
            <w:vAlign w:val="bottom"/>
            <w:hideMark/>
          </w:tcPr>
          <w:p w14:paraId="5E2741BF" w14:textId="77777777" w:rsidR="00965E22" w:rsidRPr="00D93780" w:rsidRDefault="00965E22">
            <w:pPr>
              <w:jc w:val="right"/>
              <w:rPr>
                <w:rFonts w:ascii="Arial" w:hAnsi="Arial" w:cs="Arial"/>
                <w:color w:val="000000"/>
                <w:sz w:val="18"/>
                <w:szCs w:val="18"/>
              </w:rPr>
            </w:pPr>
          </w:p>
        </w:tc>
        <w:tc>
          <w:tcPr>
            <w:tcW w:w="682" w:type="pct"/>
            <w:tcBorders>
              <w:top w:val="nil"/>
              <w:left w:val="nil"/>
              <w:bottom w:val="nil"/>
              <w:right w:val="nil"/>
            </w:tcBorders>
            <w:shd w:val="clear" w:color="auto" w:fill="auto"/>
            <w:noWrap/>
            <w:vAlign w:val="bottom"/>
            <w:hideMark/>
          </w:tcPr>
          <w:p w14:paraId="231236E6" w14:textId="77777777" w:rsidR="00965E22" w:rsidRPr="00D93780" w:rsidRDefault="00965E22">
            <w:pPr>
              <w:rPr>
                <w:rFonts w:ascii="Arial" w:hAnsi="Arial" w:cs="Arial"/>
                <w:sz w:val="18"/>
                <w:szCs w:val="18"/>
              </w:rPr>
            </w:pPr>
          </w:p>
        </w:tc>
        <w:tc>
          <w:tcPr>
            <w:tcW w:w="642" w:type="pct"/>
            <w:tcBorders>
              <w:top w:val="nil"/>
              <w:left w:val="nil"/>
              <w:bottom w:val="nil"/>
              <w:right w:val="nil"/>
            </w:tcBorders>
            <w:shd w:val="clear" w:color="auto" w:fill="auto"/>
            <w:noWrap/>
            <w:vAlign w:val="bottom"/>
            <w:hideMark/>
          </w:tcPr>
          <w:p w14:paraId="0CD0C85C"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277BDE47" w14:textId="77777777" w:rsidTr="005D454E">
        <w:trPr>
          <w:trHeight w:val="240"/>
        </w:trPr>
        <w:tc>
          <w:tcPr>
            <w:tcW w:w="322" w:type="pct"/>
            <w:tcBorders>
              <w:top w:val="nil"/>
              <w:left w:val="nil"/>
              <w:bottom w:val="nil"/>
              <w:right w:val="nil"/>
            </w:tcBorders>
            <w:shd w:val="clear" w:color="auto" w:fill="auto"/>
            <w:noWrap/>
            <w:vAlign w:val="bottom"/>
            <w:hideMark/>
          </w:tcPr>
          <w:p w14:paraId="4EAB9323"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18</w:t>
            </w:r>
          </w:p>
        </w:tc>
        <w:tc>
          <w:tcPr>
            <w:tcW w:w="1103" w:type="pct"/>
            <w:tcBorders>
              <w:top w:val="nil"/>
              <w:left w:val="nil"/>
              <w:bottom w:val="nil"/>
              <w:right w:val="nil"/>
            </w:tcBorders>
            <w:shd w:val="clear" w:color="auto" w:fill="auto"/>
            <w:noWrap/>
            <w:vAlign w:val="bottom"/>
            <w:hideMark/>
          </w:tcPr>
          <w:p w14:paraId="273896EF" w14:textId="77777777" w:rsidR="00965E22" w:rsidRPr="00D93780" w:rsidRDefault="00965E22">
            <w:pPr>
              <w:jc w:val="right"/>
              <w:rPr>
                <w:rFonts w:ascii="Arial" w:hAnsi="Arial" w:cs="Arial"/>
                <w:color w:val="000000"/>
                <w:sz w:val="18"/>
                <w:szCs w:val="18"/>
              </w:rPr>
            </w:pPr>
          </w:p>
        </w:tc>
        <w:tc>
          <w:tcPr>
            <w:tcW w:w="908" w:type="pct"/>
            <w:tcBorders>
              <w:top w:val="nil"/>
              <w:left w:val="nil"/>
              <w:bottom w:val="nil"/>
              <w:right w:val="nil"/>
            </w:tcBorders>
            <w:shd w:val="clear" w:color="auto" w:fill="auto"/>
            <w:noWrap/>
            <w:vAlign w:val="bottom"/>
            <w:hideMark/>
          </w:tcPr>
          <w:p w14:paraId="410313E9"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610.844</w:t>
            </w:r>
          </w:p>
        </w:tc>
        <w:tc>
          <w:tcPr>
            <w:tcW w:w="1343" w:type="pct"/>
            <w:tcBorders>
              <w:top w:val="nil"/>
              <w:left w:val="nil"/>
              <w:bottom w:val="nil"/>
              <w:right w:val="nil"/>
            </w:tcBorders>
            <w:shd w:val="clear" w:color="auto" w:fill="auto"/>
            <w:noWrap/>
            <w:vAlign w:val="bottom"/>
            <w:hideMark/>
          </w:tcPr>
          <w:p w14:paraId="2E1F9741" w14:textId="77777777" w:rsidR="00965E22" w:rsidRPr="00D93780" w:rsidRDefault="00965E22">
            <w:pPr>
              <w:jc w:val="right"/>
              <w:rPr>
                <w:rFonts w:ascii="Arial" w:hAnsi="Arial" w:cs="Arial"/>
                <w:color w:val="000000"/>
                <w:sz w:val="18"/>
                <w:szCs w:val="18"/>
              </w:rPr>
            </w:pPr>
          </w:p>
        </w:tc>
        <w:tc>
          <w:tcPr>
            <w:tcW w:w="682" w:type="pct"/>
            <w:tcBorders>
              <w:top w:val="nil"/>
              <w:left w:val="nil"/>
              <w:bottom w:val="nil"/>
              <w:right w:val="nil"/>
            </w:tcBorders>
            <w:shd w:val="clear" w:color="auto" w:fill="auto"/>
            <w:noWrap/>
            <w:vAlign w:val="bottom"/>
            <w:hideMark/>
          </w:tcPr>
          <w:p w14:paraId="0CFA68A4" w14:textId="77777777" w:rsidR="00965E22" w:rsidRPr="00D93780" w:rsidRDefault="00965E22">
            <w:pPr>
              <w:rPr>
                <w:rFonts w:ascii="Arial" w:hAnsi="Arial" w:cs="Arial"/>
                <w:sz w:val="18"/>
                <w:szCs w:val="18"/>
              </w:rPr>
            </w:pPr>
          </w:p>
        </w:tc>
        <w:tc>
          <w:tcPr>
            <w:tcW w:w="642" w:type="pct"/>
            <w:tcBorders>
              <w:top w:val="nil"/>
              <w:left w:val="nil"/>
              <w:bottom w:val="nil"/>
              <w:right w:val="nil"/>
            </w:tcBorders>
            <w:shd w:val="clear" w:color="auto" w:fill="auto"/>
            <w:noWrap/>
            <w:vAlign w:val="bottom"/>
            <w:hideMark/>
          </w:tcPr>
          <w:p w14:paraId="7D8D0EC0"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610.844</w:t>
            </w:r>
          </w:p>
        </w:tc>
      </w:tr>
      <w:tr w:rsidR="00965E22" w:rsidRPr="00D93780" w14:paraId="531E3E9E" w14:textId="77777777" w:rsidTr="005D454E">
        <w:trPr>
          <w:trHeight w:val="240"/>
        </w:trPr>
        <w:tc>
          <w:tcPr>
            <w:tcW w:w="322" w:type="pct"/>
            <w:tcBorders>
              <w:top w:val="nil"/>
              <w:left w:val="nil"/>
              <w:right w:val="nil"/>
            </w:tcBorders>
            <w:shd w:val="clear" w:color="auto" w:fill="auto"/>
            <w:noWrap/>
            <w:vAlign w:val="bottom"/>
            <w:hideMark/>
          </w:tcPr>
          <w:p w14:paraId="560B0D74"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19</w:t>
            </w:r>
          </w:p>
        </w:tc>
        <w:tc>
          <w:tcPr>
            <w:tcW w:w="1103" w:type="pct"/>
            <w:tcBorders>
              <w:top w:val="nil"/>
              <w:left w:val="nil"/>
              <w:right w:val="nil"/>
            </w:tcBorders>
            <w:shd w:val="clear" w:color="auto" w:fill="auto"/>
            <w:noWrap/>
            <w:vAlign w:val="bottom"/>
            <w:hideMark/>
          </w:tcPr>
          <w:p w14:paraId="010FF5CF" w14:textId="77777777" w:rsidR="00965E22" w:rsidRPr="00D93780" w:rsidRDefault="00965E22">
            <w:pPr>
              <w:jc w:val="right"/>
              <w:rPr>
                <w:rFonts w:ascii="Arial" w:hAnsi="Arial" w:cs="Arial"/>
                <w:color w:val="000000"/>
                <w:sz w:val="18"/>
                <w:szCs w:val="18"/>
              </w:rPr>
            </w:pPr>
          </w:p>
        </w:tc>
        <w:tc>
          <w:tcPr>
            <w:tcW w:w="908" w:type="pct"/>
            <w:tcBorders>
              <w:top w:val="nil"/>
              <w:left w:val="nil"/>
              <w:right w:val="nil"/>
            </w:tcBorders>
            <w:shd w:val="clear" w:color="auto" w:fill="auto"/>
            <w:noWrap/>
            <w:vAlign w:val="bottom"/>
            <w:hideMark/>
          </w:tcPr>
          <w:p w14:paraId="5C55B16E"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right w:val="nil"/>
            </w:tcBorders>
            <w:shd w:val="clear" w:color="auto" w:fill="auto"/>
            <w:noWrap/>
            <w:vAlign w:val="bottom"/>
            <w:hideMark/>
          </w:tcPr>
          <w:p w14:paraId="5E84C1BF" w14:textId="77777777" w:rsidR="00965E22" w:rsidRPr="00D93780" w:rsidRDefault="00965E22">
            <w:pPr>
              <w:jc w:val="right"/>
              <w:rPr>
                <w:rFonts w:ascii="Arial" w:hAnsi="Arial" w:cs="Arial"/>
                <w:color w:val="000000"/>
                <w:sz w:val="18"/>
                <w:szCs w:val="18"/>
              </w:rPr>
            </w:pPr>
          </w:p>
        </w:tc>
        <w:tc>
          <w:tcPr>
            <w:tcW w:w="682" w:type="pct"/>
            <w:tcBorders>
              <w:top w:val="nil"/>
              <w:left w:val="nil"/>
              <w:right w:val="nil"/>
            </w:tcBorders>
            <w:shd w:val="clear" w:color="auto" w:fill="auto"/>
            <w:noWrap/>
            <w:vAlign w:val="bottom"/>
            <w:hideMark/>
          </w:tcPr>
          <w:p w14:paraId="26099A33" w14:textId="77777777" w:rsidR="00965E22" w:rsidRPr="00D93780" w:rsidRDefault="00965E22">
            <w:pPr>
              <w:rPr>
                <w:rFonts w:ascii="Arial" w:hAnsi="Arial" w:cs="Arial"/>
                <w:sz w:val="18"/>
                <w:szCs w:val="18"/>
              </w:rPr>
            </w:pPr>
          </w:p>
        </w:tc>
        <w:tc>
          <w:tcPr>
            <w:tcW w:w="642" w:type="pct"/>
            <w:tcBorders>
              <w:top w:val="nil"/>
              <w:left w:val="nil"/>
              <w:right w:val="nil"/>
            </w:tcBorders>
            <w:shd w:val="clear" w:color="auto" w:fill="auto"/>
            <w:noWrap/>
            <w:vAlign w:val="bottom"/>
            <w:hideMark/>
          </w:tcPr>
          <w:p w14:paraId="596D59E3"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450E27D8" w14:textId="77777777" w:rsidTr="005D454E">
        <w:trPr>
          <w:trHeight w:val="240"/>
        </w:trPr>
        <w:tc>
          <w:tcPr>
            <w:tcW w:w="322" w:type="pct"/>
            <w:tcBorders>
              <w:top w:val="nil"/>
              <w:left w:val="nil"/>
              <w:bottom w:val="single" w:sz="4" w:space="0" w:color="auto"/>
              <w:right w:val="nil"/>
            </w:tcBorders>
            <w:shd w:val="clear" w:color="auto" w:fill="auto"/>
            <w:noWrap/>
            <w:vAlign w:val="bottom"/>
            <w:hideMark/>
          </w:tcPr>
          <w:p w14:paraId="4A55157B"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20</w:t>
            </w:r>
          </w:p>
        </w:tc>
        <w:tc>
          <w:tcPr>
            <w:tcW w:w="1103" w:type="pct"/>
            <w:tcBorders>
              <w:top w:val="nil"/>
              <w:left w:val="nil"/>
              <w:bottom w:val="single" w:sz="4" w:space="0" w:color="auto"/>
              <w:right w:val="nil"/>
            </w:tcBorders>
            <w:shd w:val="clear" w:color="auto" w:fill="auto"/>
            <w:noWrap/>
            <w:vAlign w:val="bottom"/>
            <w:hideMark/>
          </w:tcPr>
          <w:p w14:paraId="3D25E09B" w14:textId="77777777" w:rsidR="00965E22" w:rsidRPr="00D93780" w:rsidRDefault="00965E22">
            <w:pPr>
              <w:jc w:val="right"/>
              <w:rPr>
                <w:rFonts w:ascii="Arial" w:hAnsi="Arial" w:cs="Arial"/>
                <w:color w:val="000000"/>
                <w:sz w:val="18"/>
                <w:szCs w:val="18"/>
              </w:rPr>
            </w:pPr>
          </w:p>
        </w:tc>
        <w:tc>
          <w:tcPr>
            <w:tcW w:w="908" w:type="pct"/>
            <w:tcBorders>
              <w:top w:val="nil"/>
              <w:left w:val="nil"/>
              <w:bottom w:val="single" w:sz="4" w:space="0" w:color="auto"/>
              <w:right w:val="nil"/>
            </w:tcBorders>
            <w:shd w:val="clear" w:color="auto" w:fill="auto"/>
            <w:noWrap/>
            <w:vAlign w:val="bottom"/>
            <w:hideMark/>
          </w:tcPr>
          <w:p w14:paraId="71267ABD"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c>
          <w:tcPr>
            <w:tcW w:w="1343" w:type="pct"/>
            <w:tcBorders>
              <w:top w:val="nil"/>
              <w:left w:val="nil"/>
              <w:bottom w:val="single" w:sz="4" w:space="0" w:color="auto"/>
              <w:right w:val="nil"/>
            </w:tcBorders>
            <w:shd w:val="clear" w:color="auto" w:fill="auto"/>
            <w:noWrap/>
            <w:vAlign w:val="bottom"/>
            <w:hideMark/>
          </w:tcPr>
          <w:p w14:paraId="6C3F9C18" w14:textId="77777777" w:rsidR="00965E22" w:rsidRPr="00D93780" w:rsidRDefault="00965E22">
            <w:pPr>
              <w:jc w:val="right"/>
              <w:rPr>
                <w:rFonts w:ascii="Arial" w:hAnsi="Arial" w:cs="Arial"/>
                <w:color w:val="000000"/>
                <w:sz w:val="18"/>
                <w:szCs w:val="18"/>
              </w:rPr>
            </w:pPr>
          </w:p>
        </w:tc>
        <w:tc>
          <w:tcPr>
            <w:tcW w:w="682" w:type="pct"/>
            <w:tcBorders>
              <w:top w:val="nil"/>
              <w:left w:val="nil"/>
              <w:bottom w:val="single" w:sz="4" w:space="0" w:color="auto"/>
              <w:right w:val="nil"/>
            </w:tcBorders>
            <w:shd w:val="clear" w:color="auto" w:fill="auto"/>
            <w:noWrap/>
            <w:vAlign w:val="bottom"/>
            <w:hideMark/>
          </w:tcPr>
          <w:p w14:paraId="5F54333D" w14:textId="77777777" w:rsidR="00965E22" w:rsidRPr="00D93780" w:rsidRDefault="00965E22">
            <w:pPr>
              <w:rPr>
                <w:rFonts w:ascii="Arial" w:hAnsi="Arial" w:cs="Arial"/>
                <w:sz w:val="18"/>
                <w:szCs w:val="18"/>
              </w:rPr>
            </w:pPr>
          </w:p>
        </w:tc>
        <w:tc>
          <w:tcPr>
            <w:tcW w:w="642" w:type="pct"/>
            <w:tcBorders>
              <w:top w:val="nil"/>
              <w:left w:val="nil"/>
              <w:bottom w:val="single" w:sz="4" w:space="0" w:color="auto"/>
              <w:right w:val="nil"/>
            </w:tcBorders>
            <w:shd w:val="clear" w:color="auto" w:fill="auto"/>
            <w:noWrap/>
            <w:vAlign w:val="bottom"/>
            <w:hideMark/>
          </w:tcPr>
          <w:p w14:paraId="3C3E8201" w14:textId="77777777" w:rsidR="00965E22" w:rsidRPr="00D93780" w:rsidRDefault="00965E22">
            <w:pPr>
              <w:jc w:val="right"/>
              <w:rPr>
                <w:rFonts w:ascii="Arial" w:hAnsi="Arial" w:cs="Arial"/>
                <w:color w:val="000000"/>
                <w:sz w:val="18"/>
                <w:szCs w:val="18"/>
              </w:rPr>
            </w:pPr>
            <w:r w:rsidRPr="00D93780">
              <w:rPr>
                <w:rFonts w:ascii="Arial" w:hAnsi="Arial" w:cs="Arial"/>
                <w:color w:val="000000"/>
                <w:sz w:val="18"/>
                <w:szCs w:val="18"/>
              </w:rPr>
              <w:t>353.428</w:t>
            </w:r>
          </w:p>
        </w:tc>
      </w:tr>
      <w:tr w:rsidR="00965E22" w:rsidRPr="00D93780" w14:paraId="035CD1B8" w14:textId="77777777" w:rsidTr="005D454E">
        <w:trPr>
          <w:trHeight w:val="240"/>
        </w:trPr>
        <w:tc>
          <w:tcPr>
            <w:tcW w:w="322" w:type="pct"/>
            <w:tcBorders>
              <w:top w:val="single" w:sz="4" w:space="0" w:color="auto"/>
              <w:left w:val="nil"/>
              <w:bottom w:val="single" w:sz="4" w:space="0" w:color="auto"/>
              <w:right w:val="nil"/>
            </w:tcBorders>
            <w:shd w:val="clear" w:color="auto" w:fill="auto"/>
            <w:noWrap/>
            <w:vAlign w:val="bottom"/>
            <w:hideMark/>
          </w:tcPr>
          <w:p w14:paraId="4B1B6E3F" w14:textId="77777777" w:rsidR="00965E22" w:rsidRPr="00D93780" w:rsidRDefault="00965E22">
            <w:pPr>
              <w:jc w:val="right"/>
              <w:rPr>
                <w:rFonts w:ascii="Arial" w:hAnsi="Arial" w:cs="Arial"/>
                <w:b/>
                <w:color w:val="000000"/>
                <w:sz w:val="18"/>
                <w:szCs w:val="18"/>
              </w:rPr>
            </w:pPr>
          </w:p>
        </w:tc>
        <w:tc>
          <w:tcPr>
            <w:tcW w:w="1103" w:type="pct"/>
            <w:tcBorders>
              <w:top w:val="single" w:sz="4" w:space="0" w:color="auto"/>
              <w:left w:val="nil"/>
              <w:bottom w:val="single" w:sz="4" w:space="0" w:color="auto"/>
              <w:right w:val="nil"/>
            </w:tcBorders>
            <w:shd w:val="clear" w:color="auto" w:fill="auto"/>
            <w:noWrap/>
            <w:vAlign w:val="bottom"/>
            <w:hideMark/>
          </w:tcPr>
          <w:p w14:paraId="76614C7D" w14:textId="77777777" w:rsidR="00965E22" w:rsidRPr="00D93780" w:rsidRDefault="00965E22">
            <w:pPr>
              <w:jc w:val="right"/>
              <w:rPr>
                <w:rFonts w:ascii="Arial" w:hAnsi="Arial" w:cs="Arial"/>
                <w:b/>
                <w:color w:val="000000"/>
                <w:sz w:val="18"/>
                <w:szCs w:val="18"/>
              </w:rPr>
            </w:pPr>
            <w:r w:rsidRPr="00D93780">
              <w:rPr>
                <w:rFonts w:ascii="Arial" w:hAnsi="Arial" w:cs="Arial"/>
                <w:b/>
                <w:color w:val="000000"/>
                <w:sz w:val="18"/>
                <w:szCs w:val="18"/>
              </w:rPr>
              <w:t>24.341.192</w:t>
            </w:r>
          </w:p>
        </w:tc>
        <w:tc>
          <w:tcPr>
            <w:tcW w:w="908" w:type="pct"/>
            <w:tcBorders>
              <w:top w:val="single" w:sz="4" w:space="0" w:color="auto"/>
              <w:left w:val="nil"/>
              <w:bottom w:val="single" w:sz="4" w:space="0" w:color="auto"/>
              <w:right w:val="nil"/>
            </w:tcBorders>
            <w:shd w:val="clear" w:color="auto" w:fill="auto"/>
            <w:noWrap/>
            <w:vAlign w:val="bottom"/>
            <w:hideMark/>
          </w:tcPr>
          <w:p w14:paraId="0DC03CF1" w14:textId="77777777" w:rsidR="00965E22" w:rsidRPr="00D93780" w:rsidRDefault="00965E22">
            <w:pPr>
              <w:jc w:val="right"/>
              <w:rPr>
                <w:rFonts w:ascii="Arial" w:hAnsi="Arial" w:cs="Arial"/>
                <w:b/>
                <w:color w:val="000000"/>
                <w:sz w:val="18"/>
                <w:szCs w:val="18"/>
              </w:rPr>
            </w:pPr>
            <w:r w:rsidRPr="00D93780">
              <w:rPr>
                <w:rFonts w:ascii="Arial" w:hAnsi="Arial" w:cs="Arial"/>
                <w:b/>
                <w:color w:val="000000"/>
                <w:sz w:val="18"/>
                <w:szCs w:val="18"/>
              </w:rPr>
              <w:t>8.321.094</w:t>
            </w:r>
          </w:p>
        </w:tc>
        <w:tc>
          <w:tcPr>
            <w:tcW w:w="1343" w:type="pct"/>
            <w:tcBorders>
              <w:top w:val="single" w:sz="4" w:space="0" w:color="auto"/>
              <w:left w:val="nil"/>
              <w:bottom w:val="single" w:sz="4" w:space="0" w:color="auto"/>
              <w:right w:val="nil"/>
            </w:tcBorders>
            <w:shd w:val="clear" w:color="auto" w:fill="auto"/>
            <w:noWrap/>
            <w:vAlign w:val="bottom"/>
            <w:hideMark/>
          </w:tcPr>
          <w:p w14:paraId="22EEA1D3" w14:textId="77777777" w:rsidR="00965E22" w:rsidRPr="00D93780" w:rsidRDefault="00965E22">
            <w:pPr>
              <w:jc w:val="right"/>
              <w:rPr>
                <w:rFonts w:ascii="Arial" w:hAnsi="Arial" w:cs="Arial"/>
                <w:b/>
                <w:color w:val="000000"/>
                <w:sz w:val="18"/>
                <w:szCs w:val="18"/>
              </w:rPr>
            </w:pPr>
            <w:r w:rsidRPr="00D93780">
              <w:rPr>
                <w:rFonts w:ascii="Arial" w:hAnsi="Arial" w:cs="Arial"/>
                <w:b/>
                <w:color w:val="000000"/>
                <w:sz w:val="18"/>
                <w:szCs w:val="18"/>
              </w:rPr>
              <w:t>4.170.830</w:t>
            </w:r>
          </w:p>
        </w:tc>
        <w:tc>
          <w:tcPr>
            <w:tcW w:w="682" w:type="pct"/>
            <w:tcBorders>
              <w:top w:val="single" w:sz="4" w:space="0" w:color="auto"/>
              <w:left w:val="nil"/>
              <w:bottom w:val="single" w:sz="4" w:space="0" w:color="auto"/>
              <w:right w:val="nil"/>
            </w:tcBorders>
            <w:shd w:val="clear" w:color="auto" w:fill="auto"/>
            <w:noWrap/>
            <w:vAlign w:val="bottom"/>
            <w:hideMark/>
          </w:tcPr>
          <w:p w14:paraId="37C2DEF0" w14:textId="77777777" w:rsidR="00965E22" w:rsidRPr="00D93780" w:rsidRDefault="00965E22">
            <w:pPr>
              <w:jc w:val="right"/>
              <w:rPr>
                <w:rFonts w:ascii="Arial" w:hAnsi="Arial" w:cs="Arial"/>
                <w:b/>
                <w:color w:val="000000"/>
                <w:sz w:val="18"/>
                <w:szCs w:val="18"/>
              </w:rPr>
            </w:pPr>
            <w:r w:rsidRPr="00D93780">
              <w:rPr>
                <w:rFonts w:ascii="Arial" w:hAnsi="Arial" w:cs="Arial"/>
                <w:b/>
                <w:color w:val="000000"/>
                <w:sz w:val="18"/>
                <w:szCs w:val="18"/>
              </w:rPr>
              <w:t>2.473.890</w:t>
            </w:r>
          </w:p>
        </w:tc>
        <w:tc>
          <w:tcPr>
            <w:tcW w:w="642" w:type="pct"/>
            <w:tcBorders>
              <w:top w:val="single" w:sz="4" w:space="0" w:color="auto"/>
              <w:left w:val="nil"/>
              <w:bottom w:val="single" w:sz="4" w:space="0" w:color="auto"/>
              <w:right w:val="nil"/>
            </w:tcBorders>
            <w:shd w:val="clear" w:color="auto" w:fill="auto"/>
            <w:noWrap/>
            <w:vAlign w:val="bottom"/>
            <w:hideMark/>
          </w:tcPr>
          <w:p w14:paraId="49EF7B5F" w14:textId="41DF21F7" w:rsidR="00965E22" w:rsidRPr="00D93780" w:rsidRDefault="00965E22">
            <w:pPr>
              <w:jc w:val="right"/>
              <w:rPr>
                <w:rFonts w:ascii="Arial" w:hAnsi="Arial" w:cs="Arial"/>
                <w:b/>
                <w:color w:val="000000"/>
                <w:sz w:val="18"/>
                <w:szCs w:val="18"/>
              </w:rPr>
            </w:pPr>
            <w:r w:rsidRPr="00D93780">
              <w:rPr>
                <w:rFonts w:ascii="Arial" w:hAnsi="Arial" w:cs="Arial"/>
                <w:b/>
                <w:color w:val="000000"/>
                <w:sz w:val="18"/>
                <w:szCs w:val="18"/>
              </w:rPr>
              <w:t>39.307.005</w:t>
            </w:r>
          </w:p>
        </w:tc>
      </w:tr>
    </w:tbl>
    <w:p w14:paraId="2447D7A8" w14:textId="77777777" w:rsidR="00965E22" w:rsidRPr="00D93780" w:rsidRDefault="00965E22" w:rsidP="005D454E">
      <w:pPr>
        <w:ind w:left="540"/>
        <w:rPr>
          <w:rFonts w:ascii="Arial" w:hAnsi="Arial" w:cs="Arial"/>
          <w:sz w:val="18"/>
          <w:szCs w:val="18"/>
        </w:rPr>
      </w:pPr>
      <w:r w:rsidRPr="00D93780">
        <w:rPr>
          <w:rFonts w:ascii="Arial" w:hAnsi="Arial" w:cs="Arial"/>
          <w:sz w:val="18"/>
          <w:szCs w:val="18"/>
        </w:rPr>
        <w:t>Montos en USD. Sin descontar.</w:t>
      </w:r>
    </w:p>
    <w:p w14:paraId="08CCC401" w14:textId="6AB9F1FC" w:rsidR="00ED2E20" w:rsidRPr="00D93780" w:rsidRDefault="00ED2E20" w:rsidP="00ED2E20">
      <w:pPr>
        <w:pStyle w:val="ListParagraph"/>
        <w:spacing w:line="276" w:lineRule="auto"/>
        <w:ind w:left="567"/>
        <w:jc w:val="both"/>
        <w:rPr>
          <w:rFonts w:ascii="Arial" w:hAnsi="Arial" w:cs="Arial"/>
          <w:sz w:val="22"/>
          <w:szCs w:val="22"/>
        </w:rPr>
      </w:pPr>
    </w:p>
    <w:p w14:paraId="5B1375AB" w14:textId="12B048FE" w:rsidR="007110EF" w:rsidRPr="00D93780" w:rsidRDefault="007110EF"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En el caso de los costos de fortalecimiento de la gestión de obras, se ha optado por incluir los gastos previstos en el Programa para actividades de mejora de la formulación de proyectos, dirección de obras y supervisión y control de calidad de las obras. Para el análisis costo-beneficio se han considerado </w:t>
      </w:r>
      <w:r w:rsidRPr="00D93780">
        <w:rPr>
          <w:rFonts w:ascii="Arial" w:hAnsi="Arial" w:cs="Arial"/>
          <w:i/>
          <w:sz w:val="22"/>
          <w:szCs w:val="22"/>
        </w:rPr>
        <w:t>toda</w:t>
      </w:r>
      <w:r w:rsidRPr="00D93780">
        <w:rPr>
          <w:rFonts w:ascii="Arial" w:hAnsi="Arial" w:cs="Arial"/>
          <w:sz w:val="22"/>
          <w:szCs w:val="22"/>
        </w:rPr>
        <w:t xml:space="preserve"> la inversión</w:t>
      </w:r>
      <w:r w:rsidR="008F770A" w:rsidRPr="00D93780">
        <w:rPr>
          <w:rFonts w:ascii="Arial" w:hAnsi="Arial" w:cs="Arial"/>
          <w:sz w:val="22"/>
          <w:szCs w:val="22"/>
        </w:rPr>
        <w:t xml:space="preserve"> en fortalecimiento (USD 4,17 millones)</w:t>
      </w:r>
      <w:r w:rsidRPr="00D93780">
        <w:rPr>
          <w:rFonts w:ascii="Arial" w:hAnsi="Arial" w:cs="Arial"/>
          <w:sz w:val="22"/>
          <w:szCs w:val="22"/>
        </w:rPr>
        <w:t xml:space="preserve">, sin prorratearla por el peso relativo (31%) de los ocho proyectos sobre el total de los recursos previstos para obras en el Programa. </w:t>
      </w:r>
    </w:p>
    <w:p w14:paraId="58A9E276" w14:textId="06B2EB7B" w:rsidR="007110EF" w:rsidRPr="00D93780" w:rsidRDefault="007110EF"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Finalmente, para los costos de la coordinación de los proyectos, se ha prorrateado el costo de la unidad coordinadora previsto en el presupuesto del Programa, incluyendo los imprevistos, de acuerdo al peso relativo que tienen los proyectos de obra públicas en el total del Programa. En cambio, no se prorrateado este costo de la Unidad de Coordinación </w:t>
      </w:r>
      <w:r w:rsidR="008F770A" w:rsidRPr="00D93780">
        <w:rPr>
          <w:rFonts w:ascii="Arial" w:hAnsi="Arial" w:cs="Arial"/>
          <w:sz w:val="22"/>
          <w:szCs w:val="22"/>
        </w:rPr>
        <w:t xml:space="preserve">(USD 2,47 millones) </w:t>
      </w:r>
      <w:r w:rsidRPr="00D93780">
        <w:rPr>
          <w:rFonts w:ascii="Arial" w:hAnsi="Arial" w:cs="Arial"/>
          <w:sz w:val="22"/>
          <w:szCs w:val="22"/>
        </w:rPr>
        <w:t>por el peso relativo de la inversión de estos ocho proyectos (el ya mencionado 31%) elegibles actualmente.</w:t>
      </w:r>
    </w:p>
    <w:p w14:paraId="1B67E9C3" w14:textId="76661B6B" w:rsidR="008F770A" w:rsidRPr="00D93780" w:rsidRDefault="009446D4"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La utilización de este criterio de </w:t>
      </w:r>
      <w:r w:rsidRPr="00D93780">
        <w:rPr>
          <w:rFonts w:ascii="Arial" w:hAnsi="Arial" w:cs="Arial"/>
          <w:i/>
          <w:sz w:val="22"/>
          <w:szCs w:val="22"/>
        </w:rPr>
        <w:t>no prorrateo</w:t>
      </w:r>
      <w:r w:rsidR="008F770A" w:rsidRPr="00D93780">
        <w:rPr>
          <w:rFonts w:ascii="Arial" w:hAnsi="Arial" w:cs="Arial"/>
          <w:sz w:val="22"/>
          <w:szCs w:val="22"/>
        </w:rPr>
        <w:t xml:space="preserve"> </w:t>
      </w:r>
      <w:r w:rsidRPr="00D93780">
        <w:rPr>
          <w:rFonts w:ascii="Arial" w:hAnsi="Arial" w:cs="Arial"/>
          <w:sz w:val="22"/>
          <w:szCs w:val="22"/>
        </w:rPr>
        <w:t xml:space="preserve">implica que </w:t>
      </w:r>
      <w:r w:rsidR="008F770A" w:rsidRPr="00D93780">
        <w:rPr>
          <w:rFonts w:ascii="Arial" w:hAnsi="Arial" w:cs="Arial"/>
          <w:sz w:val="22"/>
          <w:szCs w:val="22"/>
        </w:rPr>
        <w:t>ambos tipos de costos</w:t>
      </w:r>
      <w:r w:rsidRPr="00D93780">
        <w:rPr>
          <w:rFonts w:ascii="Arial" w:hAnsi="Arial" w:cs="Arial"/>
          <w:sz w:val="22"/>
          <w:szCs w:val="22"/>
        </w:rPr>
        <w:t xml:space="preserve"> suponen USD 6,78 millones, cuando si se aplica el prorrateo el costo debería ser de USD 2,10 millones. Es decir, por el lado de los costos se cargan USD 4,68 millones al análisis.</w:t>
      </w:r>
    </w:p>
    <w:p w14:paraId="0C2076C7" w14:textId="77777777" w:rsidR="00ED2E20" w:rsidRPr="00D93780" w:rsidRDefault="00ED2E20" w:rsidP="00462E76">
      <w:pPr>
        <w:pStyle w:val="Heading3"/>
        <w:spacing w:before="120" w:after="120"/>
        <w:rPr>
          <w:rFonts w:ascii="Arial" w:hAnsi="Arial"/>
          <w:szCs w:val="22"/>
        </w:rPr>
      </w:pPr>
      <w:bookmarkStart w:id="25" w:name="_Ref454993753"/>
      <w:bookmarkStart w:id="26" w:name="_Toc456337516"/>
      <w:r w:rsidRPr="00D93780">
        <w:rPr>
          <w:rFonts w:ascii="Arial" w:hAnsi="Arial"/>
          <w:szCs w:val="22"/>
        </w:rPr>
        <w:lastRenderedPageBreak/>
        <w:t>Cuantificación de los beneficios</w:t>
      </w:r>
      <w:bookmarkEnd w:id="25"/>
      <w:bookmarkEnd w:id="26"/>
    </w:p>
    <w:p w14:paraId="18ADD2BE" w14:textId="03AE8B22" w:rsidR="007D05D5" w:rsidRPr="00D93780" w:rsidRDefault="007D05D5" w:rsidP="00462E76">
      <w:pPr>
        <w:pStyle w:val="ListParagraph"/>
        <w:keepNext/>
        <w:numPr>
          <w:ilvl w:val="0"/>
          <w:numId w:val="48"/>
        </w:numPr>
        <w:spacing w:before="120" w:after="120"/>
        <w:rPr>
          <w:rFonts w:ascii="Arial" w:hAnsi="Arial" w:cs="Arial"/>
          <w:b/>
          <w:sz w:val="22"/>
          <w:szCs w:val="22"/>
        </w:rPr>
      </w:pPr>
      <w:r w:rsidRPr="00D93780">
        <w:rPr>
          <w:rFonts w:ascii="Arial" w:hAnsi="Arial" w:cs="Arial"/>
          <w:b/>
          <w:sz w:val="22"/>
          <w:szCs w:val="22"/>
        </w:rPr>
        <w:t>Evidencias comparadas</w:t>
      </w:r>
    </w:p>
    <w:p w14:paraId="698B4CB4" w14:textId="5981831D" w:rsidR="00573897"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Para la evaluación de los beneficios se parte de un enfoque similar al que se utilizó en el análisis económico del anterior Programa de Desarrollo y Gestión Subnacional (UR-L1038). Es decir, se estima que, como resultado de las inversiones públicas contempladas en los diferentes proyectos, la valoración de los predios sube al mejorar sensiblemente las condiciones urbanísticas del entorno.</w:t>
      </w:r>
    </w:p>
    <w:p w14:paraId="54796830" w14:textId="67BB1EB6" w:rsidR="00ED2E20" w:rsidRPr="00D93780" w:rsidRDefault="00573897"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Este planteamiento metodológico para la estimación del valor resultante tras una obra de inversión es realidad un proxy de una valoración hedónica de los atributos que se le asignan a los predios. Es muy probable que este enfoque no capture adecuadamente los beneficios de las obras de mejora de las condiciones urbanas en otros sectores (comercial, industrial, etc.). Por ejemplo, no tiene en cuenta los efectos sobre el comercio de una mejora de la accesibilidad (pasar de un pavimento de ripio a otro asfáltico supone mejorar el acceso de vehículos a la zona, o colocar una estación de metro, por ejemplo). En este sentido, en algunos casos la revalorización comienza antes de que la obra comience a ser ejecutada (Ki and Jayantha, 2010).</w:t>
      </w:r>
      <w:r w:rsidR="00ED2E20" w:rsidRPr="00D93780">
        <w:rPr>
          <w:rFonts w:ascii="Arial" w:hAnsi="Arial" w:cs="Arial"/>
          <w:sz w:val="22"/>
          <w:szCs w:val="22"/>
        </w:rPr>
        <w:t xml:space="preserve"> </w:t>
      </w:r>
    </w:p>
    <w:p w14:paraId="7B01BB18" w14:textId="47B328D9"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Existen evidencias que apoyan este planteamiento. En efecto, tanto en los estudios realizados en otros países, como las evaluaciones que se han efectuado en Uruguay, en todos los casos son coincidentes en que los proyectos de regeneración urbana, de corto similar a los que son elegibles en el marco del Programa, tienen efectos económicos muy sensibles en sentido positivo sobre los valores de los inmuebles, incluyendo suelo. Las únicas diferencias que se observan es en relación con la magnitud de los efectos.</w:t>
      </w:r>
      <w:r w:rsidR="00573897" w:rsidRPr="00D93780">
        <w:rPr>
          <w:rFonts w:ascii="Arial" w:hAnsi="Arial" w:cs="Arial"/>
          <w:sz w:val="22"/>
          <w:szCs w:val="22"/>
        </w:rPr>
        <w:t xml:space="preserve"> Al respecto, Ki and Jayantha (2010). Wood y Cigdem (2012) analizan con un enfoque cuasi-experimental diversos casos de proyectos enmarcados dentro del programa Victoria’s Neighbourhood Renewal (Australia) y hallan que por cada dólar australiano invertido se produce un retorno de 3,04 dólares en un periodo de 10 años. En BID (2012) se señalan otras evidencias sobre el caso argentino. </w:t>
      </w:r>
    </w:p>
    <w:p w14:paraId="10944D37" w14:textId="4B0A4267" w:rsidR="00573897" w:rsidRPr="00D93780" w:rsidRDefault="00573897" w:rsidP="00462E76">
      <w:pPr>
        <w:pStyle w:val="ListParagraph"/>
        <w:numPr>
          <w:ilvl w:val="0"/>
          <w:numId w:val="48"/>
        </w:numPr>
        <w:spacing w:before="120" w:after="120"/>
        <w:rPr>
          <w:rFonts w:ascii="Arial" w:hAnsi="Arial" w:cs="Arial"/>
          <w:b/>
          <w:sz w:val="22"/>
          <w:szCs w:val="22"/>
        </w:rPr>
      </w:pPr>
      <w:r w:rsidRPr="00D93780">
        <w:rPr>
          <w:rFonts w:ascii="Arial" w:hAnsi="Arial" w:cs="Arial"/>
          <w:b/>
          <w:sz w:val="22"/>
          <w:szCs w:val="22"/>
        </w:rPr>
        <w:t>Evidencias de Uruguay</w:t>
      </w:r>
    </w:p>
    <w:p w14:paraId="48C4A860"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Tomando el caso uruguayo, en el análisis económico ya mencionado para el anterior programa PDGS I se estimaba que como resultado del Programa la valoración predial oscilaba de un mínimo del 14% a un máximo del 40%, con un promedio del 23%. La metodología empleada de comparar los valores de áreas sumamente próximas a las zonas de intervención del Programa.</w:t>
      </w:r>
    </w:p>
    <w:p w14:paraId="2A25897D" w14:textId="77777777" w:rsidR="00ED2E20"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Por otra parte, en el análisis económico del </w:t>
      </w:r>
      <w:r w:rsidRPr="00D93780">
        <w:rPr>
          <w:rFonts w:ascii="Arial" w:hAnsi="Arial" w:cs="Arial"/>
          <w:sz w:val="22"/>
          <w:szCs w:val="22"/>
          <w:lang w:val="es-ES_tradnl"/>
        </w:rPr>
        <w:t xml:space="preserve">Programa de Mejoramiento de Barrios (UR-L1009) mediante la técnica de precios hedónicos se observaron revalorizaciones del 154% en el valor de las propiedades tras la aplicación del paquete completo de obras. En el caso del PDGS I, existe una primera aproximación al impacto de las inversiones en los valores de compraventas de inmuebles en el barrio de San Cono. En esta estimación, que debe ser </w:t>
      </w:r>
      <w:r w:rsidRPr="00D93780">
        <w:rPr>
          <w:rFonts w:ascii="Arial" w:hAnsi="Arial" w:cs="Arial"/>
          <w:sz w:val="22"/>
          <w:szCs w:val="22"/>
          <w:lang w:val="es-ES_tradnl"/>
        </w:rPr>
        <w:lastRenderedPageBreak/>
        <w:t>considerada con suma cautela dado el reducido número de transacciones que se analizaron, pudo observarse que el efecto de las obras supuso un aumento del valor de las compraventas del 181%.</w:t>
      </w:r>
    </w:p>
    <w:p w14:paraId="376EFC28" w14:textId="77777777" w:rsidR="003A06C6" w:rsidRPr="00D93780" w:rsidRDefault="00ED2E20"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lang w:val="es-ES_tradnl"/>
        </w:rPr>
        <w:t>Tal vez el estudio más exhaustivo para el caso uruguayo es el de Lebedinsky (2010) aplicando el método de los precios hedónicos</w:t>
      </w:r>
      <w:r w:rsidR="003A06C6" w:rsidRPr="00D93780">
        <w:rPr>
          <w:rFonts w:ascii="Arial" w:hAnsi="Arial" w:cs="Arial"/>
          <w:sz w:val="22"/>
          <w:szCs w:val="22"/>
          <w:lang w:val="es-ES_tradnl"/>
        </w:rPr>
        <w:t>, es decir, donde el precio de un inmueble está determinado por las características intrínsecas al inmueble (superficie, materiales, cerramientos, equipamientos comunes, etc.), como por su localización y las condiciones urbanísticas del entorno donde está ubicado</w:t>
      </w:r>
      <w:r w:rsidRPr="00D93780">
        <w:rPr>
          <w:rFonts w:ascii="Arial" w:hAnsi="Arial" w:cs="Arial"/>
          <w:sz w:val="22"/>
          <w:szCs w:val="22"/>
          <w:lang w:val="es-ES_tradnl"/>
        </w:rPr>
        <w:t xml:space="preserve">. </w:t>
      </w:r>
      <w:r w:rsidR="003A06C6" w:rsidRPr="00D93780">
        <w:rPr>
          <w:rFonts w:ascii="Arial" w:hAnsi="Arial" w:cs="Arial"/>
          <w:sz w:val="22"/>
          <w:szCs w:val="22"/>
          <w:lang w:val="es-ES_tradnl"/>
        </w:rPr>
        <w:t>Todos estos elementos intervienen en la formación de los precios.</w:t>
      </w:r>
    </w:p>
    <w:p w14:paraId="441E215F" w14:textId="53126F0C" w:rsidR="003A06C6" w:rsidRPr="00D93780" w:rsidRDefault="003A06C6" w:rsidP="00462E76">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lang w:val="es-ES_tradnl"/>
        </w:rPr>
        <w:t xml:space="preserve">Teniendo en cuenta este enfoque, el estudio de Lebedensky </w:t>
      </w:r>
      <w:r w:rsidRPr="00D93780">
        <w:rPr>
          <w:rFonts w:ascii="Arial" w:hAnsi="Arial" w:cs="Arial"/>
          <w:sz w:val="22"/>
          <w:szCs w:val="22"/>
          <w:lang w:val="es-MX"/>
        </w:rPr>
        <w:t>estima los beneficios provenientes de proyectos de inversión orientados a mejorar las condiciones urbanas de las calzadas, de los sistemas de drenaje pluvial y del alumbrado público. Además, se tuvo en consideración la situación del saneamiento o alcantarillado sanitario (si existía o no una red de recolección de efluentes líquidos domiciliarios).</w:t>
      </w:r>
      <w:r w:rsidR="0010476F" w:rsidRPr="00D93780">
        <w:rPr>
          <w:rFonts w:ascii="Arial" w:hAnsi="Arial" w:cs="Arial"/>
          <w:sz w:val="22"/>
          <w:szCs w:val="22"/>
          <w:lang w:val="es-MX"/>
        </w:rPr>
        <w:t xml:space="preserve"> Para ello se construyó una tipología de obras de infraestructuras diferenciando por tipos de infraestructuras (pavimento, saneamiento, alumbrado público y desagües pluviales) y clases de obras por cada infraestructura (natural, asfáltico, con cuneta, etc.). </w:t>
      </w:r>
    </w:p>
    <w:p w14:paraId="3724E9B7" w14:textId="473C2251" w:rsidR="0036027D" w:rsidRPr="00462E76" w:rsidRDefault="0036027D" w:rsidP="00462E76">
      <w:pPr>
        <w:pStyle w:val="ListParagraph"/>
        <w:spacing w:after="120"/>
        <w:ind w:left="0"/>
        <w:jc w:val="center"/>
        <w:rPr>
          <w:rFonts w:ascii="Arial" w:hAnsi="Arial" w:cs="Arial"/>
          <w:b/>
          <w:sz w:val="18"/>
          <w:szCs w:val="22"/>
        </w:rPr>
      </w:pPr>
      <w:r w:rsidRPr="00462E76">
        <w:rPr>
          <w:rFonts w:ascii="Arial" w:hAnsi="Arial" w:cs="Arial"/>
          <w:b/>
          <w:sz w:val="18"/>
          <w:szCs w:val="22"/>
        </w:rPr>
        <w:t>Cuadro 11. Tipos y clases de infraestructuras considerados</w:t>
      </w:r>
    </w:p>
    <w:tbl>
      <w:tblPr>
        <w:tblStyle w:val="TableGrid"/>
        <w:tblW w:w="4573" w:type="pct"/>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22"/>
        <w:gridCol w:w="1395"/>
        <w:gridCol w:w="763"/>
        <w:gridCol w:w="1207"/>
        <w:gridCol w:w="763"/>
        <w:gridCol w:w="1059"/>
        <w:gridCol w:w="763"/>
        <w:gridCol w:w="889"/>
        <w:gridCol w:w="539"/>
      </w:tblGrid>
      <w:tr w:rsidR="005D454E" w:rsidRPr="00D93780" w14:paraId="15CDC03A" w14:textId="77777777" w:rsidTr="005D454E">
        <w:tc>
          <w:tcPr>
            <w:tcW w:w="445" w:type="pct"/>
            <w:tcBorders>
              <w:top w:val="single" w:sz="4" w:space="0" w:color="auto"/>
              <w:bottom w:val="single" w:sz="4" w:space="0" w:color="auto"/>
            </w:tcBorders>
            <w:shd w:val="clear" w:color="auto" w:fill="D9D9D9" w:themeFill="background1" w:themeFillShade="D9"/>
          </w:tcPr>
          <w:p w14:paraId="2399318F" w14:textId="7CC16FED" w:rsidR="0010476F" w:rsidRPr="00D93780" w:rsidRDefault="0010476F" w:rsidP="005D454E">
            <w:pPr>
              <w:pStyle w:val="ListParagraph"/>
              <w:ind w:left="0" w:right="-107"/>
              <w:rPr>
                <w:rFonts w:ascii="Arial" w:hAnsi="Arial" w:cs="Arial"/>
                <w:b/>
                <w:sz w:val="18"/>
                <w:szCs w:val="18"/>
              </w:rPr>
            </w:pPr>
            <w:r w:rsidRPr="00D93780">
              <w:rPr>
                <w:rFonts w:ascii="Arial" w:hAnsi="Arial" w:cs="Arial"/>
                <w:b/>
                <w:sz w:val="18"/>
                <w:szCs w:val="18"/>
              </w:rPr>
              <w:t>Tipos</w:t>
            </w:r>
          </w:p>
        </w:tc>
        <w:tc>
          <w:tcPr>
            <w:tcW w:w="861" w:type="pct"/>
            <w:tcBorders>
              <w:top w:val="single" w:sz="4" w:space="0" w:color="auto"/>
              <w:bottom w:val="single" w:sz="4" w:space="0" w:color="auto"/>
            </w:tcBorders>
            <w:shd w:val="clear" w:color="auto" w:fill="D9D9D9" w:themeFill="background1" w:themeFillShade="D9"/>
          </w:tcPr>
          <w:p w14:paraId="470F0F52" w14:textId="604B9ABE" w:rsidR="0010476F" w:rsidRPr="00D93780" w:rsidRDefault="0010476F" w:rsidP="00462E76">
            <w:pPr>
              <w:pStyle w:val="ListParagraph"/>
              <w:ind w:left="0" w:right="-65"/>
              <w:rPr>
                <w:rFonts w:ascii="Arial" w:hAnsi="Arial" w:cs="Arial"/>
                <w:b/>
                <w:sz w:val="18"/>
                <w:szCs w:val="18"/>
              </w:rPr>
            </w:pPr>
            <w:r w:rsidRPr="00D93780">
              <w:rPr>
                <w:rFonts w:ascii="Arial" w:hAnsi="Arial" w:cs="Arial"/>
                <w:b/>
                <w:sz w:val="18"/>
                <w:szCs w:val="18"/>
              </w:rPr>
              <w:t>Pavimento</w:t>
            </w:r>
          </w:p>
        </w:tc>
        <w:tc>
          <w:tcPr>
            <w:tcW w:w="471" w:type="pct"/>
            <w:tcBorders>
              <w:top w:val="single" w:sz="4" w:space="0" w:color="auto"/>
              <w:bottom w:val="single" w:sz="4" w:space="0" w:color="auto"/>
            </w:tcBorders>
            <w:shd w:val="clear" w:color="auto" w:fill="D9D9D9" w:themeFill="background1" w:themeFillShade="D9"/>
          </w:tcPr>
          <w:p w14:paraId="27CB847F" w14:textId="7512E716" w:rsidR="0010476F" w:rsidRPr="00D93780" w:rsidRDefault="0010476F" w:rsidP="00462E76">
            <w:pPr>
              <w:pStyle w:val="ListParagraph"/>
              <w:ind w:left="-61" w:right="-111"/>
              <w:rPr>
                <w:rFonts w:ascii="Arial" w:hAnsi="Arial" w:cs="Arial"/>
                <w:b/>
                <w:sz w:val="18"/>
                <w:szCs w:val="18"/>
              </w:rPr>
            </w:pPr>
            <w:r w:rsidRPr="00D93780">
              <w:rPr>
                <w:rFonts w:ascii="Arial" w:hAnsi="Arial" w:cs="Arial"/>
                <w:b/>
                <w:sz w:val="18"/>
                <w:szCs w:val="18"/>
              </w:rPr>
              <w:t>Código</w:t>
            </w:r>
          </w:p>
        </w:tc>
        <w:tc>
          <w:tcPr>
            <w:tcW w:w="745" w:type="pct"/>
            <w:tcBorders>
              <w:top w:val="single" w:sz="4" w:space="0" w:color="auto"/>
              <w:bottom w:val="single" w:sz="4" w:space="0" w:color="auto"/>
            </w:tcBorders>
            <w:shd w:val="clear" w:color="auto" w:fill="D9D9D9" w:themeFill="background1" w:themeFillShade="D9"/>
          </w:tcPr>
          <w:p w14:paraId="45A6CF75" w14:textId="5CA56BC5" w:rsidR="0010476F" w:rsidRPr="00D93780" w:rsidRDefault="0010476F" w:rsidP="00462E76">
            <w:pPr>
              <w:pStyle w:val="ListParagraph"/>
              <w:ind w:left="-105" w:right="-74"/>
              <w:rPr>
                <w:rFonts w:ascii="Arial" w:hAnsi="Arial" w:cs="Arial"/>
                <w:b/>
                <w:sz w:val="18"/>
                <w:szCs w:val="18"/>
              </w:rPr>
            </w:pPr>
            <w:r w:rsidRPr="00D93780">
              <w:rPr>
                <w:rFonts w:ascii="Arial" w:hAnsi="Arial" w:cs="Arial"/>
                <w:b/>
                <w:sz w:val="18"/>
                <w:szCs w:val="18"/>
              </w:rPr>
              <w:t>Saneamiento</w:t>
            </w:r>
          </w:p>
        </w:tc>
        <w:tc>
          <w:tcPr>
            <w:tcW w:w="471" w:type="pct"/>
            <w:tcBorders>
              <w:top w:val="single" w:sz="4" w:space="0" w:color="auto"/>
              <w:bottom w:val="single" w:sz="4" w:space="0" w:color="auto"/>
            </w:tcBorders>
            <w:shd w:val="clear" w:color="auto" w:fill="D9D9D9" w:themeFill="background1" w:themeFillShade="D9"/>
          </w:tcPr>
          <w:p w14:paraId="2B7194BF" w14:textId="1FBE5219" w:rsidR="0010476F" w:rsidRPr="00D93780" w:rsidRDefault="0010476F" w:rsidP="00462E76">
            <w:pPr>
              <w:pStyle w:val="ListParagraph"/>
              <w:ind w:left="-62" w:right="-210"/>
              <w:rPr>
                <w:rFonts w:ascii="Arial" w:hAnsi="Arial" w:cs="Arial"/>
                <w:b/>
                <w:sz w:val="18"/>
                <w:szCs w:val="18"/>
              </w:rPr>
            </w:pPr>
            <w:r w:rsidRPr="00D93780">
              <w:rPr>
                <w:rFonts w:ascii="Arial" w:hAnsi="Arial" w:cs="Arial"/>
                <w:b/>
                <w:sz w:val="18"/>
                <w:szCs w:val="18"/>
              </w:rPr>
              <w:t>Código</w:t>
            </w:r>
          </w:p>
        </w:tc>
        <w:tc>
          <w:tcPr>
            <w:tcW w:w="654" w:type="pct"/>
            <w:tcBorders>
              <w:top w:val="single" w:sz="4" w:space="0" w:color="auto"/>
              <w:bottom w:val="single" w:sz="4" w:space="0" w:color="auto"/>
            </w:tcBorders>
            <w:shd w:val="clear" w:color="auto" w:fill="D9D9D9" w:themeFill="background1" w:themeFillShade="D9"/>
          </w:tcPr>
          <w:p w14:paraId="3F6423AD" w14:textId="0D4C7E61" w:rsidR="0010476F" w:rsidRPr="00D93780" w:rsidRDefault="0010476F" w:rsidP="00462E76">
            <w:pPr>
              <w:pStyle w:val="ListParagraph"/>
              <w:ind w:left="-96" w:right="-142"/>
              <w:rPr>
                <w:rFonts w:ascii="Arial" w:hAnsi="Arial" w:cs="Arial"/>
                <w:b/>
                <w:sz w:val="18"/>
                <w:szCs w:val="18"/>
              </w:rPr>
            </w:pPr>
            <w:r w:rsidRPr="00D93780">
              <w:rPr>
                <w:rFonts w:ascii="Arial" w:hAnsi="Arial" w:cs="Arial"/>
                <w:b/>
                <w:sz w:val="18"/>
                <w:szCs w:val="18"/>
              </w:rPr>
              <w:t>Alumbrado público</w:t>
            </w:r>
          </w:p>
        </w:tc>
        <w:tc>
          <w:tcPr>
            <w:tcW w:w="471" w:type="pct"/>
            <w:tcBorders>
              <w:top w:val="single" w:sz="4" w:space="0" w:color="auto"/>
              <w:bottom w:val="single" w:sz="4" w:space="0" w:color="auto"/>
            </w:tcBorders>
            <w:shd w:val="clear" w:color="auto" w:fill="D9D9D9" w:themeFill="background1" w:themeFillShade="D9"/>
          </w:tcPr>
          <w:p w14:paraId="7FB977D7" w14:textId="1B22FC3A" w:rsidR="0010476F" w:rsidRPr="00D93780" w:rsidRDefault="0010476F" w:rsidP="00462E76">
            <w:pPr>
              <w:pStyle w:val="ListParagraph"/>
              <w:ind w:left="-74"/>
              <w:rPr>
                <w:rFonts w:ascii="Arial" w:hAnsi="Arial" w:cs="Arial"/>
                <w:b/>
                <w:sz w:val="18"/>
                <w:szCs w:val="18"/>
              </w:rPr>
            </w:pPr>
            <w:r w:rsidRPr="00D93780">
              <w:rPr>
                <w:rFonts w:ascii="Arial" w:hAnsi="Arial" w:cs="Arial"/>
                <w:b/>
                <w:sz w:val="18"/>
                <w:szCs w:val="18"/>
              </w:rPr>
              <w:t>Código</w:t>
            </w:r>
          </w:p>
        </w:tc>
        <w:tc>
          <w:tcPr>
            <w:tcW w:w="549" w:type="pct"/>
            <w:tcBorders>
              <w:top w:val="single" w:sz="4" w:space="0" w:color="auto"/>
              <w:bottom w:val="single" w:sz="4" w:space="0" w:color="auto"/>
            </w:tcBorders>
            <w:shd w:val="clear" w:color="auto" w:fill="D9D9D9" w:themeFill="background1" w:themeFillShade="D9"/>
          </w:tcPr>
          <w:p w14:paraId="093764B3" w14:textId="3C8E03EB" w:rsidR="0010476F" w:rsidRPr="00D93780" w:rsidRDefault="0010476F" w:rsidP="00462E76">
            <w:pPr>
              <w:pStyle w:val="ListParagraph"/>
              <w:ind w:left="-117" w:right="-120"/>
              <w:rPr>
                <w:rFonts w:ascii="Arial" w:hAnsi="Arial" w:cs="Arial"/>
                <w:b/>
                <w:sz w:val="18"/>
                <w:szCs w:val="18"/>
              </w:rPr>
            </w:pPr>
            <w:r w:rsidRPr="00D93780">
              <w:rPr>
                <w:rFonts w:ascii="Arial" w:hAnsi="Arial" w:cs="Arial"/>
                <w:b/>
                <w:sz w:val="18"/>
                <w:szCs w:val="18"/>
              </w:rPr>
              <w:t>Desagües pluviales</w:t>
            </w:r>
          </w:p>
        </w:tc>
        <w:tc>
          <w:tcPr>
            <w:tcW w:w="333" w:type="pct"/>
            <w:tcBorders>
              <w:top w:val="single" w:sz="4" w:space="0" w:color="auto"/>
              <w:bottom w:val="single" w:sz="4" w:space="0" w:color="auto"/>
            </w:tcBorders>
            <w:shd w:val="clear" w:color="auto" w:fill="D9D9D9" w:themeFill="background1" w:themeFillShade="D9"/>
          </w:tcPr>
          <w:p w14:paraId="2D1EE897" w14:textId="6653544F" w:rsidR="0010476F" w:rsidRPr="00D93780" w:rsidRDefault="0088333B" w:rsidP="005D454E">
            <w:pPr>
              <w:pStyle w:val="ListParagraph"/>
              <w:ind w:left="-109" w:right="-108"/>
              <w:jc w:val="center"/>
              <w:rPr>
                <w:rFonts w:ascii="Arial" w:hAnsi="Arial" w:cs="Arial"/>
                <w:b/>
                <w:sz w:val="18"/>
                <w:szCs w:val="18"/>
              </w:rPr>
            </w:pPr>
            <w:r w:rsidRPr="00D93780">
              <w:rPr>
                <w:rFonts w:ascii="Arial" w:hAnsi="Arial" w:cs="Arial"/>
                <w:b/>
                <w:sz w:val="18"/>
                <w:szCs w:val="18"/>
              </w:rPr>
              <w:t>Cód.</w:t>
            </w:r>
          </w:p>
        </w:tc>
      </w:tr>
      <w:tr w:rsidR="005D454E" w:rsidRPr="00D93780" w14:paraId="67E8A2A4" w14:textId="77777777" w:rsidTr="005D454E">
        <w:tc>
          <w:tcPr>
            <w:tcW w:w="445" w:type="pct"/>
            <w:vMerge w:val="restart"/>
            <w:tcBorders>
              <w:top w:val="single" w:sz="4" w:space="0" w:color="auto"/>
              <w:bottom w:val="single" w:sz="4" w:space="0" w:color="auto"/>
            </w:tcBorders>
            <w:vAlign w:val="center"/>
          </w:tcPr>
          <w:p w14:paraId="11541C9B" w14:textId="339757C8" w:rsidR="0088333B" w:rsidRPr="00D93780" w:rsidRDefault="0088333B" w:rsidP="005D454E">
            <w:pPr>
              <w:pStyle w:val="ListParagraph"/>
              <w:ind w:left="0" w:right="-107"/>
              <w:rPr>
                <w:rFonts w:ascii="Arial" w:hAnsi="Arial" w:cs="Arial"/>
                <w:b/>
                <w:sz w:val="18"/>
                <w:szCs w:val="18"/>
              </w:rPr>
            </w:pPr>
            <w:r w:rsidRPr="00D93780">
              <w:rPr>
                <w:rFonts w:ascii="Arial" w:hAnsi="Arial" w:cs="Arial"/>
                <w:b/>
                <w:sz w:val="18"/>
                <w:szCs w:val="18"/>
              </w:rPr>
              <w:t>Clases</w:t>
            </w:r>
          </w:p>
        </w:tc>
        <w:tc>
          <w:tcPr>
            <w:tcW w:w="861" w:type="pct"/>
            <w:tcBorders>
              <w:top w:val="single" w:sz="4" w:space="0" w:color="auto"/>
              <w:bottom w:val="single" w:sz="4" w:space="0" w:color="auto"/>
            </w:tcBorders>
          </w:tcPr>
          <w:p w14:paraId="62DA2E3D" w14:textId="6172259D" w:rsidR="0088333B" w:rsidRPr="00D93780" w:rsidRDefault="0088333B" w:rsidP="00462E76">
            <w:pPr>
              <w:pStyle w:val="ListParagraph"/>
              <w:ind w:left="0" w:right="-65"/>
              <w:rPr>
                <w:rFonts w:ascii="Arial" w:hAnsi="Arial" w:cs="Arial"/>
                <w:sz w:val="18"/>
                <w:szCs w:val="18"/>
              </w:rPr>
            </w:pPr>
            <w:r w:rsidRPr="00D93780">
              <w:rPr>
                <w:rFonts w:ascii="Arial" w:hAnsi="Arial" w:cs="Arial"/>
                <w:sz w:val="18"/>
                <w:szCs w:val="18"/>
              </w:rPr>
              <w:t>Natural, tosca o balasto</w:t>
            </w:r>
          </w:p>
        </w:tc>
        <w:tc>
          <w:tcPr>
            <w:tcW w:w="471" w:type="pct"/>
            <w:tcBorders>
              <w:top w:val="single" w:sz="4" w:space="0" w:color="auto"/>
              <w:bottom w:val="single" w:sz="4" w:space="0" w:color="auto"/>
            </w:tcBorders>
          </w:tcPr>
          <w:p w14:paraId="672CC262" w14:textId="6959B1D2" w:rsidR="0088333B" w:rsidRPr="00D93780" w:rsidRDefault="0088333B" w:rsidP="00462E76">
            <w:pPr>
              <w:pStyle w:val="ListParagraph"/>
              <w:ind w:left="-61" w:right="-111"/>
              <w:jc w:val="center"/>
              <w:rPr>
                <w:rFonts w:ascii="Arial" w:hAnsi="Arial" w:cs="Arial"/>
                <w:sz w:val="18"/>
                <w:szCs w:val="18"/>
              </w:rPr>
            </w:pPr>
            <w:r w:rsidRPr="00D93780">
              <w:rPr>
                <w:rFonts w:ascii="Arial" w:hAnsi="Arial" w:cs="Arial"/>
                <w:sz w:val="18"/>
                <w:szCs w:val="18"/>
              </w:rPr>
              <w:t>1000</w:t>
            </w:r>
          </w:p>
        </w:tc>
        <w:tc>
          <w:tcPr>
            <w:tcW w:w="745" w:type="pct"/>
            <w:tcBorders>
              <w:top w:val="single" w:sz="4" w:space="0" w:color="auto"/>
              <w:bottom w:val="single" w:sz="4" w:space="0" w:color="auto"/>
            </w:tcBorders>
          </w:tcPr>
          <w:p w14:paraId="3B2A1CD8" w14:textId="481FE3EA" w:rsidR="0088333B" w:rsidRPr="00D93780" w:rsidRDefault="0088333B" w:rsidP="00462E76">
            <w:pPr>
              <w:pStyle w:val="ListParagraph"/>
              <w:ind w:left="-105" w:right="-74"/>
              <w:rPr>
                <w:rFonts w:ascii="Arial" w:hAnsi="Arial" w:cs="Arial"/>
                <w:sz w:val="18"/>
                <w:szCs w:val="18"/>
              </w:rPr>
            </w:pPr>
            <w:r w:rsidRPr="00D93780">
              <w:rPr>
                <w:rFonts w:ascii="Arial" w:hAnsi="Arial" w:cs="Arial"/>
                <w:sz w:val="18"/>
                <w:szCs w:val="18"/>
              </w:rPr>
              <w:t>Sin saneamiento</w:t>
            </w:r>
          </w:p>
        </w:tc>
        <w:tc>
          <w:tcPr>
            <w:tcW w:w="471" w:type="pct"/>
            <w:tcBorders>
              <w:top w:val="single" w:sz="4" w:space="0" w:color="auto"/>
              <w:bottom w:val="single" w:sz="4" w:space="0" w:color="auto"/>
            </w:tcBorders>
          </w:tcPr>
          <w:p w14:paraId="59A14BE1" w14:textId="0FBBC592" w:rsidR="0088333B" w:rsidRPr="00D93780" w:rsidRDefault="0088333B" w:rsidP="00462E76">
            <w:pPr>
              <w:pStyle w:val="ListParagraph"/>
              <w:ind w:left="-62" w:right="-210"/>
              <w:jc w:val="center"/>
              <w:rPr>
                <w:rFonts w:ascii="Arial" w:hAnsi="Arial" w:cs="Arial"/>
                <w:sz w:val="18"/>
                <w:szCs w:val="18"/>
              </w:rPr>
            </w:pPr>
            <w:r w:rsidRPr="00D93780">
              <w:rPr>
                <w:rFonts w:ascii="Arial" w:hAnsi="Arial" w:cs="Arial"/>
                <w:sz w:val="18"/>
                <w:szCs w:val="18"/>
              </w:rPr>
              <w:t>100</w:t>
            </w:r>
          </w:p>
        </w:tc>
        <w:tc>
          <w:tcPr>
            <w:tcW w:w="654" w:type="pct"/>
            <w:tcBorders>
              <w:top w:val="single" w:sz="4" w:space="0" w:color="auto"/>
              <w:bottom w:val="single" w:sz="4" w:space="0" w:color="auto"/>
            </w:tcBorders>
          </w:tcPr>
          <w:p w14:paraId="1BE8E689" w14:textId="16A68F26" w:rsidR="0088333B" w:rsidRPr="00D93780" w:rsidRDefault="0088333B" w:rsidP="00462E76">
            <w:pPr>
              <w:pStyle w:val="ListParagraph"/>
              <w:ind w:left="-96" w:right="-142"/>
              <w:rPr>
                <w:rFonts w:ascii="Arial" w:hAnsi="Arial" w:cs="Arial"/>
                <w:sz w:val="18"/>
                <w:szCs w:val="18"/>
              </w:rPr>
            </w:pPr>
            <w:r w:rsidRPr="00D93780">
              <w:rPr>
                <w:rFonts w:ascii="Arial" w:hAnsi="Arial" w:cs="Arial"/>
                <w:sz w:val="18"/>
                <w:szCs w:val="18"/>
              </w:rPr>
              <w:t>Sin alumbrado</w:t>
            </w:r>
          </w:p>
        </w:tc>
        <w:tc>
          <w:tcPr>
            <w:tcW w:w="471" w:type="pct"/>
            <w:tcBorders>
              <w:top w:val="single" w:sz="4" w:space="0" w:color="auto"/>
              <w:bottom w:val="single" w:sz="4" w:space="0" w:color="auto"/>
            </w:tcBorders>
          </w:tcPr>
          <w:p w14:paraId="50E0C98B" w14:textId="5FA33FFE" w:rsidR="0088333B" w:rsidRPr="00D93780" w:rsidRDefault="0088333B" w:rsidP="00462E76">
            <w:pPr>
              <w:pStyle w:val="ListParagraph"/>
              <w:ind w:left="-74"/>
              <w:jc w:val="center"/>
              <w:rPr>
                <w:rFonts w:ascii="Arial" w:hAnsi="Arial" w:cs="Arial"/>
                <w:sz w:val="18"/>
                <w:szCs w:val="18"/>
              </w:rPr>
            </w:pPr>
            <w:r w:rsidRPr="00D93780">
              <w:rPr>
                <w:rFonts w:ascii="Arial" w:hAnsi="Arial" w:cs="Arial"/>
                <w:sz w:val="18"/>
                <w:szCs w:val="18"/>
              </w:rPr>
              <w:t>10</w:t>
            </w:r>
          </w:p>
        </w:tc>
        <w:tc>
          <w:tcPr>
            <w:tcW w:w="549" w:type="pct"/>
            <w:tcBorders>
              <w:top w:val="single" w:sz="4" w:space="0" w:color="auto"/>
              <w:bottom w:val="single" w:sz="4" w:space="0" w:color="auto"/>
            </w:tcBorders>
          </w:tcPr>
          <w:p w14:paraId="5AA0C70A" w14:textId="21DEFCEA" w:rsidR="0088333B" w:rsidRPr="00D93780" w:rsidRDefault="0088333B" w:rsidP="00462E76">
            <w:pPr>
              <w:pStyle w:val="ListParagraph"/>
              <w:ind w:left="-117" w:right="-120"/>
              <w:rPr>
                <w:rFonts w:ascii="Arial" w:hAnsi="Arial" w:cs="Arial"/>
                <w:sz w:val="18"/>
                <w:szCs w:val="18"/>
              </w:rPr>
            </w:pPr>
            <w:r w:rsidRPr="00D93780">
              <w:rPr>
                <w:rFonts w:ascii="Arial" w:hAnsi="Arial" w:cs="Arial"/>
                <w:sz w:val="18"/>
                <w:szCs w:val="18"/>
              </w:rPr>
              <w:t>Natural cuneta abierta</w:t>
            </w:r>
          </w:p>
        </w:tc>
        <w:tc>
          <w:tcPr>
            <w:tcW w:w="333" w:type="pct"/>
            <w:tcBorders>
              <w:top w:val="single" w:sz="4" w:space="0" w:color="auto"/>
              <w:bottom w:val="single" w:sz="4" w:space="0" w:color="auto"/>
            </w:tcBorders>
          </w:tcPr>
          <w:p w14:paraId="6500B9E6" w14:textId="7BF3456B" w:rsidR="0088333B" w:rsidRPr="00D93780" w:rsidRDefault="0088333B" w:rsidP="005D454E">
            <w:pPr>
              <w:pStyle w:val="ListParagraph"/>
              <w:ind w:left="-109" w:right="-108"/>
              <w:jc w:val="center"/>
              <w:rPr>
                <w:rFonts w:ascii="Arial" w:hAnsi="Arial" w:cs="Arial"/>
                <w:sz w:val="18"/>
                <w:szCs w:val="18"/>
              </w:rPr>
            </w:pPr>
            <w:r w:rsidRPr="00D93780">
              <w:rPr>
                <w:rFonts w:ascii="Arial" w:hAnsi="Arial" w:cs="Arial"/>
                <w:sz w:val="18"/>
                <w:szCs w:val="18"/>
              </w:rPr>
              <w:t>1</w:t>
            </w:r>
          </w:p>
        </w:tc>
      </w:tr>
      <w:tr w:rsidR="005D454E" w:rsidRPr="00D93780" w14:paraId="72C2FCFB" w14:textId="77777777" w:rsidTr="005D454E">
        <w:tc>
          <w:tcPr>
            <w:tcW w:w="445" w:type="pct"/>
            <w:vMerge/>
            <w:tcBorders>
              <w:top w:val="single" w:sz="4" w:space="0" w:color="auto"/>
              <w:bottom w:val="single" w:sz="4" w:space="0" w:color="auto"/>
            </w:tcBorders>
          </w:tcPr>
          <w:p w14:paraId="62B4519B" w14:textId="77777777" w:rsidR="0088333B" w:rsidRPr="00D93780" w:rsidRDefault="0088333B" w:rsidP="003A06C6">
            <w:pPr>
              <w:pStyle w:val="ListParagraph"/>
              <w:ind w:left="0"/>
              <w:rPr>
                <w:rFonts w:ascii="Arial" w:hAnsi="Arial" w:cs="Arial"/>
                <w:sz w:val="18"/>
                <w:szCs w:val="18"/>
              </w:rPr>
            </w:pPr>
          </w:p>
        </w:tc>
        <w:tc>
          <w:tcPr>
            <w:tcW w:w="861" w:type="pct"/>
            <w:tcBorders>
              <w:top w:val="single" w:sz="4" w:space="0" w:color="auto"/>
              <w:bottom w:val="single" w:sz="4" w:space="0" w:color="auto"/>
            </w:tcBorders>
          </w:tcPr>
          <w:p w14:paraId="3AAB93F5" w14:textId="3140D3AB" w:rsidR="0088333B" w:rsidRPr="00D93780" w:rsidRDefault="0088333B" w:rsidP="00462E76">
            <w:pPr>
              <w:pStyle w:val="ListParagraph"/>
              <w:ind w:left="0" w:right="-65"/>
              <w:rPr>
                <w:rFonts w:ascii="Arial" w:hAnsi="Arial" w:cs="Arial"/>
                <w:sz w:val="18"/>
                <w:szCs w:val="18"/>
              </w:rPr>
            </w:pPr>
            <w:r w:rsidRPr="00D93780">
              <w:rPr>
                <w:rFonts w:ascii="Arial" w:hAnsi="Arial" w:cs="Arial"/>
                <w:sz w:val="18"/>
                <w:szCs w:val="18"/>
              </w:rPr>
              <w:t>Tratamiento asfáltico/adoquín/bitumen</w:t>
            </w:r>
          </w:p>
        </w:tc>
        <w:tc>
          <w:tcPr>
            <w:tcW w:w="471" w:type="pct"/>
            <w:tcBorders>
              <w:top w:val="single" w:sz="4" w:space="0" w:color="auto"/>
              <w:bottom w:val="single" w:sz="4" w:space="0" w:color="auto"/>
            </w:tcBorders>
          </w:tcPr>
          <w:p w14:paraId="6357E004" w14:textId="4F1E8E2C" w:rsidR="0088333B" w:rsidRPr="00D93780" w:rsidRDefault="0088333B" w:rsidP="00462E76">
            <w:pPr>
              <w:pStyle w:val="ListParagraph"/>
              <w:ind w:left="-61" w:right="-111"/>
              <w:jc w:val="center"/>
              <w:rPr>
                <w:rFonts w:ascii="Arial" w:hAnsi="Arial" w:cs="Arial"/>
                <w:sz w:val="18"/>
                <w:szCs w:val="18"/>
              </w:rPr>
            </w:pPr>
            <w:r w:rsidRPr="00D93780">
              <w:rPr>
                <w:rFonts w:ascii="Arial" w:hAnsi="Arial" w:cs="Arial"/>
                <w:sz w:val="18"/>
                <w:szCs w:val="18"/>
              </w:rPr>
              <w:t>2000</w:t>
            </w:r>
          </w:p>
        </w:tc>
        <w:tc>
          <w:tcPr>
            <w:tcW w:w="745" w:type="pct"/>
            <w:tcBorders>
              <w:top w:val="single" w:sz="4" w:space="0" w:color="auto"/>
              <w:bottom w:val="single" w:sz="4" w:space="0" w:color="auto"/>
            </w:tcBorders>
          </w:tcPr>
          <w:p w14:paraId="3D39D444" w14:textId="66410C13" w:rsidR="0088333B" w:rsidRPr="00D93780" w:rsidRDefault="0088333B" w:rsidP="00462E76">
            <w:pPr>
              <w:pStyle w:val="ListParagraph"/>
              <w:ind w:left="-105" w:right="-74"/>
              <w:rPr>
                <w:rFonts w:ascii="Arial" w:hAnsi="Arial" w:cs="Arial"/>
                <w:sz w:val="18"/>
                <w:szCs w:val="18"/>
              </w:rPr>
            </w:pPr>
            <w:r w:rsidRPr="00D93780">
              <w:rPr>
                <w:rFonts w:ascii="Arial" w:hAnsi="Arial" w:cs="Arial"/>
                <w:sz w:val="18"/>
                <w:szCs w:val="18"/>
              </w:rPr>
              <w:t>Con saneamiento</w:t>
            </w:r>
          </w:p>
        </w:tc>
        <w:tc>
          <w:tcPr>
            <w:tcW w:w="471" w:type="pct"/>
            <w:tcBorders>
              <w:top w:val="single" w:sz="4" w:space="0" w:color="auto"/>
              <w:bottom w:val="single" w:sz="4" w:space="0" w:color="auto"/>
            </w:tcBorders>
          </w:tcPr>
          <w:p w14:paraId="6E91143C" w14:textId="1C256482" w:rsidR="0088333B" w:rsidRPr="00D93780" w:rsidRDefault="0088333B" w:rsidP="00462E76">
            <w:pPr>
              <w:pStyle w:val="ListParagraph"/>
              <w:ind w:left="-62" w:right="-210"/>
              <w:jc w:val="center"/>
              <w:rPr>
                <w:rFonts w:ascii="Arial" w:hAnsi="Arial" w:cs="Arial"/>
                <w:sz w:val="18"/>
                <w:szCs w:val="18"/>
              </w:rPr>
            </w:pPr>
            <w:r w:rsidRPr="00D93780">
              <w:rPr>
                <w:rFonts w:ascii="Arial" w:hAnsi="Arial" w:cs="Arial"/>
                <w:sz w:val="18"/>
                <w:szCs w:val="18"/>
              </w:rPr>
              <w:t>200</w:t>
            </w:r>
          </w:p>
        </w:tc>
        <w:tc>
          <w:tcPr>
            <w:tcW w:w="654" w:type="pct"/>
            <w:tcBorders>
              <w:top w:val="single" w:sz="4" w:space="0" w:color="auto"/>
              <w:bottom w:val="single" w:sz="4" w:space="0" w:color="auto"/>
            </w:tcBorders>
          </w:tcPr>
          <w:p w14:paraId="4EC23257" w14:textId="0D854800" w:rsidR="0088333B" w:rsidRPr="00D93780" w:rsidRDefault="0088333B" w:rsidP="00462E76">
            <w:pPr>
              <w:pStyle w:val="ListParagraph"/>
              <w:ind w:left="-96" w:right="-142"/>
              <w:rPr>
                <w:rFonts w:ascii="Arial" w:hAnsi="Arial" w:cs="Arial"/>
                <w:sz w:val="18"/>
                <w:szCs w:val="18"/>
              </w:rPr>
            </w:pPr>
            <w:r w:rsidRPr="00D93780">
              <w:rPr>
                <w:rFonts w:ascii="Arial" w:hAnsi="Arial" w:cs="Arial"/>
                <w:sz w:val="18"/>
                <w:szCs w:val="18"/>
              </w:rPr>
              <w:t>Con alumbrado</w:t>
            </w:r>
          </w:p>
        </w:tc>
        <w:tc>
          <w:tcPr>
            <w:tcW w:w="471" w:type="pct"/>
            <w:tcBorders>
              <w:top w:val="single" w:sz="4" w:space="0" w:color="auto"/>
              <w:bottom w:val="single" w:sz="4" w:space="0" w:color="auto"/>
            </w:tcBorders>
          </w:tcPr>
          <w:p w14:paraId="0B1206DB" w14:textId="7C79F973" w:rsidR="0088333B" w:rsidRPr="00D93780" w:rsidRDefault="0088333B" w:rsidP="00462E76">
            <w:pPr>
              <w:pStyle w:val="ListParagraph"/>
              <w:ind w:left="-74"/>
              <w:jc w:val="center"/>
              <w:rPr>
                <w:rFonts w:ascii="Arial" w:hAnsi="Arial" w:cs="Arial"/>
                <w:sz w:val="18"/>
                <w:szCs w:val="18"/>
              </w:rPr>
            </w:pPr>
            <w:r w:rsidRPr="00D93780">
              <w:rPr>
                <w:rFonts w:ascii="Arial" w:hAnsi="Arial" w:cs="Arial"/>
                <w:sz w:val="18"/>
                <w:szCs w:val="18"/>
              </w:rPr>
              <w:t>20</w:t>
            </w:r>
          </w:p>
        </w:tc>
        <w:tc>
          <w:tcPr>
            <w:tcW w:w="549" w:type="pct"/>
            <w:tcBorders>
              <w:top w:val="single" w:sz="4" w:space="0" w:color="auto"/>
              <w:bottom w:val="single" w:sz="4" w:space="0" w:color="auto"/>
            </w:tcBorders>
          </w:tcPr>
          <w:p w14:paraId="4D9DAB77" w14:textId="55FABB37" w:rsidR="0088333B" w:rsidRPr="00D93780" w:rsidRDefault="0088333B" w:rsidP="00462E76">
            <w:pPr>
              <w:pStyle w:val="ListParagraph"/>
              <w:ind w:left="-117" w:right="-120"/>
              <w:rPr>
                <w:rFonts w:ascii="Arial" w:hAnsi="Arial" w:cs="Arial"/>
                <w:sz w:val="18"/>
                <w:szCs w:val="18"/>
              </w:rPr>
            </w:pPr>
            <w:r w:rsidRPr="00D93780">
              <w:rPr>
                <w:rFonts w:ascii="Arial" w:hAnsi="Arial" w:cs="Arial"/>
                <w:sz w:val="18"/>
                <w:szCs w:val="18"/>
              </w:rPr>
              <w:t>Cordón cuneta</w:t>
            </w:r>
          </w:p>
        </w:tc>
        <w:tc>
          <w:tcPr>
            <w:tcW w:w="333" w:type="pct"/>
            <w:tcBorders>
              <w:top w:val="single" w:sz="4" w:space="0" w:color="auto"/>
              <w:bottom w:val="single" w:sz="4" w:space="0" w:color="auto"/>
            </w:tcBorders>
          </w:tcPr>
          <w:p w14:paraId="34C7DF01" w14:textId="73032986" w:rsidR="0088333B" w:rsidRPr="00D93780" w:rsidRDefault="0088333B" w:rsidP="005D454E">
            <w:pPr>
              <w:pStyle w:val="ListParagraph"/>
              <w:ind w:left="-109" w:right="-108"/>
              <w:jc w:val="center"/>
              <w:rPr>
                <w:rFonts w:ascii="Arial" w:hAnsi="Arial" w:cs="Arial"/>
                <w:sz w:val="18"/>
                <w:szCs w:val="18"/>
              </w:rPr>
            </w:pPr>
            <w:r w:rsidRPr="00D93780">
              <w:rPr>
                <w:rFonts w:ascii="Arial" w:hAnsi="Arial" w:cs="Arial"/>
                <w:sz w:val="18"/>
                <w:szCs w:val="18"/>
              </w:rPr>
              <w:t>2</w:t>
            </w:r>
          </w:p>
        </w:tc>
      </w:tr>
      <w:tr w:rsidR="005D454E" w:rsidRPr="00D93780" w14:paraId="4F481BBA" w14:textId="77777777" w:rsidTr="005D454E">
        <w:tc>
          <w:tcPr>
            <w:tcW w:w="445" w:type="pct"/>
            <w:vMerge/>
            <w:tcBorders>
              <w:bottom w:val="single" w:sz="4" w:space="0" w:color="auto"/>
            </w:tcBorders>
          </w:tcPr>
          <w:p w14:paraId="3D701E4C" w14:textId="77777777" w:rsidR="0088333B" w:rsidRPr="00D93780" w:rsidRDefault="0088333B" w:rsidP="003A06C6">
            <w:pPr>
              <w:pStyle w:val="ListParagraph"/>
              <w:ind w:left="0"/>
              <w:rPr>
                <w:rFonts w:ascii="Arial" w:hAnsi="Arial" w:cs="Arial"/>
                <w:sz w:val="18"/>
                <w:szCs w:val="18"/>
              </w:rPr>
            </w:pPr>
          </w:p>
        </w:tc>
        <w:tc>
          <w:tcPr>
            <w:tcW w:w="861" w:type="pct"/>
            <w:tcBorders>
              <w:top w:val="single" w:sz="4" w:space="0" w:color="auto"/>
              <w:bottom w:val="single" w:sz="4" w:space="0" w:color="auto"/>
            </w:tcBorders>
          </w:tcPr>
          <w:p w14:paraId="11471FDB" w14:textId="2FE4BFEF" w:rsidR="0088333B" w:rsidRPr="00D93780" w:rsidRDefault="0088333B" w:rsidP="00462E76">
            <w:pPr>
              <w:pStyle w:val="ListParagraph"/>
              <w:ind w:left="0" w:right="-65"/>
              <w:rPr>
                <w:rFonts w:ascii="Arial" w:hAnsi="Arial" w:cs="Arial"/>
                <w:sz w:val="18"/>
                <w:szCs w:val="18"/>
              </w:rPr>
            </w:pPr>
            <w:r w:rsidRPr="00D93780">
              <w:rPr>
                <w:rFonts w:ascii="Arial" w:hAnsi="Arial" w:cs="Arial"/>
                <w:sz w:val="18"/>
                <w:szCs w:val="18"/>
              </w:rPr>
              <w:t>Hormigón o carpeta asfáltica</w:t>
            </w:r>
          </w:p>
        </w:tc>
        <w:tc>
          <w:tcPr>
            <w:tcW w:w="471" w:type="pct"/>
            <w:tcBorders>
              <w:top w:val="single" w:sz="4" w:space="0" w:color="auto"/>
              <w:bottom w:val="single" w:sz="4" w:space="0" w:color="auto"/>
            </w:tcBorders>
          </w:tcPr>
          <w:p w14:paraId="709DCAA7" w14:textId="4DD83D4F" w:rsidR="0088333B" w:rsidRPr="00D93780" w:rsidRDefault="0088333B" w:rsidP="00462E76">
            <w:pPr>
              <w:pStyle w:val="ListParagraph"/>
              <w:ind w:left="-61" w:right="-111"/>
              <w:jc w:val="center"/>
              <w:rPr>
                <w:rFonts w:ascii="Arial" w:hAnsi="Arial" w:cs="Arial"/>
                <w:sz w:val="18"/>
                <w:szCs w:val="18"/>
              </w:rPr>
            </w:pPr>
            <w:r w:rsidRPr="00D93780">
              <w:rPr>
                <w:rFonts w:ascii="Arial" w:hAnsi="Arial" w:cs="Arial"/>
                <w:sz w:val="18"/>
                <w:szCs w:val="18"/>
              </w:rPr>
              <w:t>3000</w:t>
            </w:r>
          </w:p>
        </w:tc>
        <w:tc>
          <w:tcPr>
            <w:tcW w:w="745" w:type="pct"/>
            <w:tcBorders>
              <w:top w:val="single" w:sz="4" w:space="0" w:color="auto"/>
              <w:bottom w:val="single" w:sz="4" w:space="0" w:color="auto"/>
            </w:tcBorders>
          </w:tcPr>
          <w:p w14:paraId="70746E6A" w14:textId="77777777" w:rsidR="0088333B" w:rsidRPr="00D93780" w:rsidRDefault="0088333B" w:rsidP="00462E76">
            <w:pPr>
              <w:pStyle w:val="ListParagraph"/>
              <w:ind w:left="-105" w:right="-74"/>
              <w:rPr>
                <w:rFonts w:ascii="Arial" w:hAnsi="Arial" w:cs="Arial"/>
                <w:sz w:val="18"/>
                <w:szCs w:val="18"/>
              </w:rPr>
            </w:pPr>
          </w:p>
        </w:tc>
        <w:tc>
          <w:tcPr>
            <w:tcW w:w="471" w:type="pct"/>
            <w:tcBorders>
              <w:top w:val="single" w:sz="4" w:space="0" w:color="auto"/>
              <w:bottom w:val="single" w:sz="4" w:space="0" w:color="auto"/>
            </w:tcBorders>
          </w:tcPr>
          <w:p w14:paraId="3DBCBB30" w14:textId="77777777" w:rsidR="0088333B" w:rsidRPr="00D93780" w:rsidRDefault="0088333B" w:rsidP="00462E76">
            <w:pPr>
              <w:pStyle w:val="ListParagraph"/>
              <w:ind w:left="-62" w:right="-210"/>
              <w:jc w:val="center"/>
              <w:rPr>
                <w:rFonts w:ascii="Arial" w:hAnsi="Arial" w:cs="Arial"/>
                <w:sz w:val="18"/>
                <w:szCs w:val="18"/>
              </w:rPr>
            </w:pPr>
          </w:p>
        </w:tc>
        <w:tc>
          <w:tcPr>
            <w:tcW w:w="654" w:type="pct"/>
            <w:tcBorders>
              <w:top w:val="single" w:sz="4" w:space="0" w:color="auto"/>
              <w:bottom w:val="single" w:sz="4" w:space="0" w:color="auto"/>
            </w:tcBorders>
          </w:tcPr>
          <w:p w14:paraId="0C6602D2" w14:textId="77777777" w:rsidR="0088333B" w:rsidRPr="00D93780" w:rsidRDefault="0088333B" w:rsidP="00462E76">
            <w:pPr>
              <w:pStyle w:val="ListParagraph"/>
              <w:ind w:left="-96" w:right="-142"/>
              <w:rPr>
                <w:rFonts w:ascii="Arial" w:hAnsi="Arial" w:cs="Arial"/>
                <w:sz w:val="18"/>
                <w:szCs w:val="18"/>
              </w:rPr>
            </w:pPr>
          </w:p>
        </w:tc>
        <w:tc>
          <w:tcPr>
            <w:tcW w:w="471" w:type="pct"/>
            <w:tcBorders>
              <w:top w:val="single" w:sz="4" w:space="0" w:color="auto"/>
              <w:bottom w:val="single" w:sz="4" w:space="0" w:color="auto"/>
            </w:tcBorders>
          </w:tcPr>
          <w:p w14:paraId="4086F8B9" w14:textId="77777777" w:rsidR="0088333B" w:rsidRPr="00D93780" w:rsidRDefault="0088333B" w:rsidP="00462E76">
            <w:pPr>
              <w:pStyle w:val="ListParagraph"/>
              <w:ind w:left="-74"/>
              <w:jc w:val="center"/>
              <w:rPr>
                <w:rFonts w:ascii="Arial" w:hAnsi="Arial" w:cs="Arial"/>
                <w:sz w:val="18"/>
                <w:szCs w:val="18"/>
              </w:rPr>
            </w:pPr>
          </w:p>
        </w:tc>
        <w:tc>
          <w:tcPr>
            <w:tcW w:w="549" w:type="pct"/>
            <w:tcBorders>
              <w:top w:val="single" w:sz="4" w:space="0" w:color="auto"/>
              <w:bottom w:val="single" w:sz="4" w:space="0" w:color="auto"/>
            </w:tcBorders>
          </w:tcPr>
          <w:p w14:paraId="1500A129" w14:textId="1D199774" w:rsidR="0088333B" w:rsidRPr="00D93780" w:rsidRDefault="0088333B" w:rsidP="00462E76">
            <w:pPr>
              <w:pStyle w:val="ListParagraph"/>
              <w:ind w:left="-117" w:right="-120"/>
              <w:rPr>
                <w:rFonts w:ascii="Arial" w:hAnsi="Arial" w:cs="Arial"/>
                <w:sz w:val="18"/>
                <w:szCs w:val="18"/>
              </w:rPr>
            </w:pPr>
            <w:r w:rsidRPr="00D93780">
              <w:rPr>
                <w:rFonts w:ascii="Arial" w:hAnsi="Arial" w:cs="Arial"/>
                <w:sz w:val="18"/>
                <w:szCs w:val="18"/>
              </w:rPr>
              <w:t>Cordón cuneta con entubado</w:t>
            </w:r>
          </w:p>
        </w:tc>
        <w:tc>
          <w:tcPr>
            <w:tcW w:w="333" w:type="pct"/>
            <w:tcBorders>
              <w:top w:val="single" w:sz="4" w:space="0" w:color="auto"/>
              <w:bottom w:val="single" w:sz="4" w:space="0" w:color="auto"/>
            </w:tcBorders>
          </w:tcPr>
          <w:p w14:paraId="54334E1A" w14:textId="254FB2D4" w:rsidR="0088333B" w:rsidRPr="00D93780" w:rsidRDefault="0036027D" w:rsidP="005D454E">
            <w:pPr>
              <w:pStyle w:val="ListParagraph"/>
              <w:ind w:left="-109" w:right="-108"/>
              <w:jc w:val="center"/>
              <w:rPr>
                <w:rFonts w:ascii="Arial" w:hAnsi="Arial" w:cs="Arial"/>
                <w:sz w:val="18"/>
                <w:szCs w:val="18"/>
              </w:rPr>
            </w:pPr>
            <w:r w:rsidRPr="00D93780">
              <w:rPr>
                <w:rFonts w:ascii="Arial" w:hAnsi="Arial" w:cs="Arial"/>
                <w:sz w:val="18"/>
                <w:szCs w:val="18"/>
              </w:rPr>
              <w:t>3</w:t>
            </w:r>
          </w:p>
        </w:tc>
      </w:tr>
    </w:tbl>
    <w:p w14:paraId="4039455C" w14:textId="3AEA89DC" w:rsidR="0010476F" w:rsidRPr="00462E76" w:rsidRDefault="0088333B" w:rsidP="005D454E">
      <w:pPr>
        <w:pStyle w:val="ListParagraph"/>
        <w:ind w:left="540"/>
        <w:rPr>
          <w:rFonts w:ascii="Arial" w:hAnsi="Arial" w:cs="Arial"/>
          <w:sz w:val="18"/>
          <w:szCs w:val="22"/>
        </w:rPr>
      </w:pPr>
      <w:r w:rsidRPr="00462E76">
        <w:rPr>
          <w:rFonts w:ascii="Arial" w:hAnsi="Arial" w:cs="Arial"/>
          <w:sz w:val="18"/>
          <w:szCs w:val="22"/>
        </w:rPr>
        <w:t>Fuente: Informe Lebedinsky</w:t>
      </w:r>
    </w:p>
    <w:p w14:paraId="53BCCF96" w14:textId="60F9B672" w:rsidR="0010476F" w:rsidRPr="00D93780" w:rsidRDefault="0010476F" w:rsidP="003A06C6">
      <w:pPr>
        <w:pStyle w:val="ListParagraph"/>
        <w:rPr>
          <w:rFonts w:ascii="Arial" w:hAnsi="Arial" w:cs="Arial"/>
          <w:sz w:val="22"/>
          <w:szCs w:val="22"/>
        </w:rPr>
      </w:pPr>
    </w:p>
    <w:p w14:paraId="66D92CCC" w14:textId="1F7277AC" w:rsidR="0088333B" w:rsidRPr="00D93780" w:rsidRDefault="0088333B" w:rsidP="00694FB3">
      <w:pPr>
        <w:pStyle w:val="ListParagraph"/>
        <w:numPr>
          <w:ilvl w:val="0"/>
          <w:numId w:val="12"/>
        </w:numPr>
        <w:spacing w:before="120" w:after="120" w:line="276" w:lineRule="auto"/>
        <w:ind w:left="567" w:hanging="567"/>
        <w:jc w:val="both"/>
        <w:rPr>
          <w:rFonts w:ascii="Arial" w:hAnsi="Arial" w:cs="Arial"/>
          <w:sz w:val="22"/>
          <w:szCs w:val="22"/>
          <w:lang w:val="es-ES_tradnl"/>
        </w:rPr>
      </w:pPr>
      <w:r w:rsidRPr="00D93780">
        <w:rPr>
          <w:rFonts w:ascii="Arial" w:hAnsi="Arial" w:cs="Arial"/>
          <w:sz w:val="22"/>
          <w:szCs w:val="22"/>
          <w:lang w:val="es-ES_tradnl"/>
        </w:rPr>
        <w:t xml:space="preserve">Además, se consideró el </w:t>
      </w:r>
      <w:r w:rsidRPr="00D93780">
        <w:rPr>
          <w:rFonts w:ascii="Arial" w:hAnsi="Arial" w:cs="Arial"/>
          <w:i/>
          <w:sz w:val="22"/>
          <w:szCs w:val="22"/>
          <w:lang w:val="es-ES_tradnl"/>
        </w:rPr>
        <w:t>estado</w:t>
      </w:r>
      <w:r w:rsidRPr="00D93780">
        <w:rPr>
          <w:rFonts w:ascii="Arial" w:hAnsi="Arial" w:cs="Arial"/>
          <w:sz w:val="22"/>
          <w:szCs w:val="22"/>
          <w:lang w:val="es-ES_tradnl"/>
        </w:rPr>
        <w:t xml:space="preserve"> inicial </w:t>
      </w:r>
      <w:r w:rsidR="0036027D" w:rsidRPr="00D93780">
        <w:rPr>
          <w:rFonts w:ascii="Arial" w:hAnsi="Arial" w:cs="Arial"/>
          <w:sz w:val="22"/>
          <w:szCs w:val="22"/>
          <w:lang w:val="es-ES_tradnl"/>
        </w:rPr>
        <w:t>de la infraestructura:</w:t>
      </w:r>
    </w:p>
    <w:p w14:paraId="1324F279" w14:textId="57AC891E" w:rsidR="0036027D" w:rsidRPr="00462E76" w:rsidRDefault="0036027D" w:rsidP="00462E76">
      <w:pPr>
        <w:pStyle w:val="ListParagraph"/>
        <w:spacing w:after="120"/>
        <w:ind w:left="0"/>
        <w:jc w:val="center"/>
        <w:rPr>
          <w:rFonts w:ascii="Arial" w:hAnsi="Arial" w:cs="Arial"/>
          <w:b/>
          <w:sz w:val="18"/>
          <w:szCs w:val="22"/>
        </w:rPr>
      </w:pPr>
      <w:r w:rsidRPr="00462E76">
        <w:rPr>
          <w:rFonts w:ascii="Arial" w:hAnsi="Arial" w:cs="Arial"/>
          <w:b/>
          <w:sz w:val="18"/>
          <w:szCs w:val="22"/>
        </w:rPr>
        <w:t>Cuadro 12. Costos incorporados al análisis</w:t>
      </w:r>
    </w:p>
    <w:tbl>
      <w:tblPr>
        <w:tblStyle w:val="TableGrid"/>
        <w:tblW w:w="4522" w:type="pct"/>
        <w:tblInd w:w="6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6"/>
        <w:gridCol w:w="4123"/>
      </w:tblGrid>
      <w:tr w:rsidR="0036027D" w:rsidRPr="00D93780" w14:paraId="436655EA" w14:textId="77777777" w:rsidTr="005D454E">
        <w:tc>
          <w:tcPr>
            <w:tcW w:w="2426" w:type="pct"/>
            <w:tcBorders>
              <w:top w:val="single" w:sz="4" w:space="0" w:color="auto"/>
              <w:bottom w:val="single" w:sz="4" w:space="0" w:color="auto"/>
            </w:tcBorders>
            <w:shd w:val="clear" w:color="auto" w:fill="D9D9D9" w:themeFill="background1" w:themeFillShade="D9"/>
          </w:tcPr>
          <w:p w14:paraId="2C6AC6B2" w14:textId="1DA54071"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Estado</w:t>
            </w:r>
          </w:p>
        </w:tc>
        <w:tc>
          <w:tcPr>
            <w:tcW w:w="2574" w:type="pct"/>
            <w:tcBorders>
              <w:top w:val="single" w:sz="4" w:space="0" w:color="auto"/>
              <w:bottom w:val="single" w:sz="4" w:space="0" w:color="auto"/>
            </w:tcBorders>
            <w:shd w:val="clear" w:color="auto" w:fill="D9D9D9" w:themeFill="background1" w:themeFillShade="D9"/>
          </w:tcPr>
          <w:p w14:paraId="17556DEA" w14:textId="5BE07B53"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Estado agrupado para el análisis</w:t>
            </w:r>
          </w:p>
        </w:tc>
      </w:tr>
      <w:tr w:rsidR="0036027D" w:rsidRPr="00D93780" w14:paraId="304E4A8B" w14:textId="77777777" w:rsidTr="005D454E">
        <w:tc>
          <w:tcPr>
            <w:tcW w:w="2426" w:type="pct"/>
            <w:tcBorders>
              <w:top w:val="single" w:sz="4" w:space="0" w:color="auto"/>
            </w:tcBorders>
          </w:tcPr>
          <w:p w14:paraId="47FADCC8" w14:textId="3F396A6E"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Arruinado</w:t>
            </w:r>
          </w:p>
        </w:tc>
        <w:tc>
          <w:tcPr>
            <w:tcW w:w="2574" w:type="pct"/>
            <w:vMerge w:val="restart"/>
            <w:tcBorders>
              <w:top w:val="single" w:sz="4" w:space="0" w:color="auto"/>
            </w:tcBorders>
            <w:vAlign w:val="center"/>
          </w:tcPr>
          <w:p w14:paraId="7DF4B846" w14:textId="12102EBC"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Malo</w:t>
            </w:r>
          </w:p>
        </w:tc>
      </w:tr>
      <w:tr w:rsidR="0036027D" w:rsidRPr="00D93780" w14:paraId="2D4983A6" w14:textId="77777777" w:rsidTr="005D454E">
        <w:tc>
          <w:tcPr>
            <w:tcW w:w="2426" w:type="pct"/>
            <w:tcBorders>
              <w:bottom w:val="single" w:sz="4" w:space="0" w:color="auto"/>
            </w:tcBorders>
          </w:tcPr>
          <w:p w14:paraId="468E8CBD" w14:textId="16874ABF"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Malo</w:t>
            </w:r>
          </w:p>
        </w:tc>
        <w:tc>
          <w:tcPr>
            <w:tcW w:w="2574" w:type="pct"/>
            <w:vMerge/>
            <w:tcBorders>
              <w:bottom w:val="single" w:sz="4" w:space="0" w:color="auto"/>
            </w:tcBorders>
            <w:vAlign w:val="center"/>
          </w:tcPr>
          <w:p w14:paraId="65BA0B1F" w14:textId="77777777" w:rsidR="0036027D" w:rsidRPr="00D93780" w:rsidRDefault="0036027D" w:rsidP="00694FB3">
            <w:pPr>
              <w:pStyle w:val="ListParagraph"/>
              <w:ind w:left="0"/>
              <w:jc w:val="center"/>
              <w:rPr>
                <w:rFonts w:ascii="Arial" w:hAnsi="Arial" w:cs="Arial"/>
                <w:sz w:val="18"/>
                <w:szCs w:val="18"/>
              </w:rPr>
            </w:pPr>
          </w:p>
        </w:tc>
      </w:tr>
      <w:tr w:rsidR="0036027D" w:rsidRPr="00D93780" w14:paraId="3E9E3130" w14:textId="77777777" w:rsidTr="005D454E">
        <w:tc>
          <w:tcPr>
            <w:tcW w:w="2426" w:type="pct"/>
            <w:tcBorders>
              <w:top w:val="single" w:sz="4" w:space="0" w:color="auto"/>
              <w:bottom w:val="single" w:sz="4" w:space="0" w:color="auto"/>
            </w:tcBorders>
          </w:tcPr>
          <w:p w14:paraId="784C338B" w14:textId="65881E81"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Regular</w:t>
            </w:r>
          </w:p>
        </w:tc>
        <w:tc>
          <w:tcPr>
            <w:tcW w:w="2574" w:type="pct"/>
            <w:tcBorders>
              <w:top w:val="single" w:sz="4" w:space="0" w:color="auto"/>
              <w:bottom w:val="single" w:sz="4" w:space="0" w:color="auto"/>
            </w:tcBorders>
            <w:vAlign w:val="center"/>
          </w:tcPr>
          <w:p w14:paraId="1E625D33" w14:textId="3702E220"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Regular</w:t>
            </w:r>
          </w:p>
        </w:tc>
      </w:tr>
      <w:tr w:rsidR="0036027D" w:rsidRPr="00D93780" w14:paraId="2143546B" w14:textId="77777777" w:rsidTr="005D454E">
        <w:tc>
          <w:tcPr>
            <w:tcW w:w="2426" w:type="pct"/>
            <w:tcBorders>
              <w:top w:val="single" w:sz="4" w:space="0" w:color="auto"/>
            </w:tcBorders>
          </w:tcPr>
          <w:p w14:paraId="55D1D91A" w14:textId="098FA38A"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Bueno</w:t>
            </w:r>
          </w:p>
        </w:tc>
        <w:tc>
          <w:tcPr>
            <w:tcW w:w="2574" w:type="pct"/>
            <w:vMerge w:val="restart"/>
            <w:tcBorders>
              <w:top w:val="single" w:sz="4" w:space="0" w:color="auto"/>
            </w:tcBorders>
            <w:vAlign w:val="center"/>
          </w:tcPr>
          <w:p w14:paraId="6E828C0A" w14:textId="67701529"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Bueno</w:t>
            </w:r>
          </w:p>
        </w:tc>
      </w:tr>
      <w:tr w:rsidR="0036027D" w:rsidRPr="00D93780" w14:paraId="0F1C32B6" w14:textId="77777777" w:rsidTr="005D454E">
        <w:tc>
          <w:tcPr>
            <w:tcW w:w="2426" w:type="pct"/>
            <w:tcBorders>
              <w:bottom w:val="single" w:sz="4" w:space="0" w:color="auto"/>
            </w:tcBorders>
          </w:tcPr>
          <w:p w14:paraId="2F0A5F38" w14:textId="5A5CE890" w:rsidR="0036027D" w:rsidRPr="00D93780" w:rsidRDefault="0036027D" w:rsidP="00694FB3">
            <w:pPr>
              <w:pStyle w:val="ListParagraph"/>
              <w:ind w:left="0"/>
              <w:jc w:val="center"/>
              <w:rPr>
                <w:rFonts w:ascii="Arial" w:hAnsi="Arial" w:cs="Arial"/>
                <w:sz w:val="18"/>
                <w:szCs w:val="18"/>
              </w:rPr>
            </w:pPr>
            <w:r w:rsidRPr="00D93780">
              <w:rPr>
                <w:rFonts w:ascii="Arial" w:hAnsi="Arial" w:cs="Arial"/>
                <w:sz w:val="18"/>
                <w:szCs w:val="18"/>
              </w:rPr>
              <w:t>Muy bueno</w:t>
            </w:r>
          </w:p>
        </w:tc>
        <w:tc>
          <w:tcPr>
            <w:tcW w:w="2574" w:type="pct"/>
            <w:vMerge/>
            <w:tcBorders>
              <w:bottom w:val="single" w:sz="4" w:space="0" w:color="auto"/>
            </w:tcBorders>
          </w:tcPr>
          <w:p w14:paraId="3BF3B2B9" w14:textId="77777777" w:rsidR="0036027D" w:rsidRPr="00D93780" w:rsidRDefault="0036027D" w:rsidP="00694FB3">
            <w:pPr>
              <w:pStyle w:val="ListParagraph"/>
              <w:ind w:left="0"/>
              <w:jc w:val="center"/>
              <w:rPr>
                <w:rFonts w:ascii="Arial" w:hAnsi="Arial" w:cs="Arial"/>
                <w:sz w:val="18"/>
                <w:szCs w:val="18"/>
              </w:rPr>
            </w:pPr>
          </w:p>
        </w:tc>
      </w:tr>
    </w:tbl>
    <w:p w14:paraId="3DF8CEC5" w14:textId="77777777" w:rsidR="0036027D" w:rsidRPr="00694FB3" w:rsidRDefault="0036027D" w:rsidP="00694FB3">
      <w:pPr>
        <w:pStyle w:val="ListParagraph"/>
        <w:ind w:left="0"/>
        <w:rPr>
          <w:rFonts w:ascii="Arial" w:hAnsi="Arial" w:cs="Arial"/>
          <w:sz w:val="18"/>
          <w:szCs w:val="22"/>
        </w:rPr>
      </w:pPr>
      <w:r w:rsidRPr="00694FB3">
        <w:rPr>
          <w:rFonts w:ascii="Arial" w:hAnsi="Arial" w:cs="Arial"/>
          <w:sz w:val="18"/>
          <w:szCs w:val="22"/>
        </w:rPr>
        <w:t>Fuente: Informe Lebedinsky</w:t>
      </w:r>
    </w:p>
    <w:p w14:paraId="59ADF66B" w14:textId="6B115CBF" w:rsidR="003A06C6" w:rsidRPr="00D93780" w:rsidRDefault="003A06C6"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Para la estimación de los precios hedónicos se seleccionaron inicialmente </w:t>
      </w:r>
      <w:r w:rsidR="0010476F" w:rsidRPr="00D93780">
        <w:rPr>
          <w:rFonts w:ascii="Arial" w:hAnsi="Arial" w:cs="Arial"/>
          <w:sz w:val="22"/>
          <w:szCs w:val="22"/>
        </w:rPr>
        <w:t xml:space="preserve">1.706 viviendas de propiedad común situadas en los diferentes departamentos del país, excepto Montevideo y Punta del Este (sí incluye el resto de Maldonado), pero tras una depuración de los casos atípicos se retuvieron finalmente 1.533 viviendas. Dado que la </w:t>
      </w:r>
      <w:r w:rsidR="0036027D" w:rsidRPr="00D93780">
        <w:rPr>
          <w:rFonts w:ascii="Arial" w:hAnsi="Arial" w:cs="Arial"/>
          <w:sz w:val="22"/>
          <w:szCs w:val="22"/>
        </w:rPr>
        <w:t>correspondencia</w:t>
      </w:r>
      <w:r w:rsidR="0010476F" w:rsidRPr="00D93780">
        <w:rPr>
          <w:rFonts w:ascii="Arial" w:hAnsi="Arial" w:cs="Arial"/>
          <w:sz w:val="22"/>
          <w:szCs w:val="22"/>
        </w:rPr>
        <w:t xml:space="preserve"> entre tipo de obra </w:t>
      </w:r>
      <w:r w:rsidR="0036027D" w:rsidRPr="00D93780">
        <w:rPr>
          <w:rFonts w:ascii="Arial" w:hAnsi="Arial" w:cs="Arial"/>
          <w:sz w:val="22"/>
          <w:szCs w:val="22"/>
        </w:rPr>
        <w:t xml:space="preserve">y viviendas </w:t>
      </w:r>
      <w:r w:rsidR="008A0C5C" w:rsidRPr="00D93780">
        <w:rPr>
          <w:rFonts w:ascii="Arial" w:hAnsi="Arial" w:cs="Arial"/>
          <w:sz w:val="22"/>
          <w:szCs w:val="22"/>
        </w:rPr>
        <w:t xml:space="preserve">utilizadas mostraban en algunos casos frecuencias muy reducidas, se desecharon los casos menos </w:t>
      </w:r>
      <w:r w:rsidR="008A0C5C" w:rsidRPr="00D93780">
        <w:rPr>
          <w:rFonts w:ascii="Arial" w:hAnsi="Arial" w:cs="Arial"/>
          <w:sz w:val="22"/>
          <w:szCs w:val="22"/>
        </w:rPr>
        <w:lastRenderedPageBreak/>
        <w:t>frecuentes y para la muestra final quedaron finalmente 1.511 viviendas. El modelo finalmente consideró 50 variables explicativas, tanto de infraestructura, de localización (centros de salud próximos, centro comercial, etc.) y las características de las viviendas. La variable a estimar era el precio de las viviendas por metro cuadrado.</w:t>
      </w:r>
    </w:p>
    <w:p w14:paraId="1357B471" w14:textId="29249DE6" w:rsidR="008A0C5C"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lang w:val="es-ES_tradnl"/>
        </w:rPr>
        <w:t xml:space="preserve">Los </w:t>
      </w:r>
      <w:r w:rsidR="008A0C5C" w:rsidRPr="00D93780">
        <w:rPr>
          <w:rFonts w:ascii="Arial" w:hAnsi="Arial" w:cs="Arial"/>
          <w:sz w:val="22"/>
          <w:szCs w:val="22"/>
          <w:lang w:val="es-ES_tradnl"/>
        </w:rPr>
        <w:t>resultados</w:t>
      </w:r>
      <w:r w:rsidRPr="00D93780">
        <w:rPr>
          <w:rFonts w:ascii="Arial" w:hAnsi="Arial" w:cs="Arial"/>
          <w:sz w:val="22"/>
          <w:szCs w:val="22"/>
          <w:lang w:val="es-ES_tradnl"/>
        </w:rPr>
        <w:t xml:space="preserve"> de este estudio muestran que, dependiendo de las características de los cambios de las infraestructuras en los barrios, </w:t>
      </w:r>
      <w:r w:rsidR="008A0C5C" w:rsidRPr="00D93780">
        <w:rPr>
          <w:rFonts w:ascii="Arial" w:hAnsi="Arial" w:cs="Arial"/>
          <w:sz w:val="22"/>
          <w:szCs w:val="22"/>
          <w:lang w:val="es-ES_tradnl"/>
        </w:rPr>
        <w:t xml:space="preserve">las </w:t>
      </w:r>
      <w:r w:rsidRPr="00D93780">
        <w:rPr>
          <w:rFonts w:ascii="Arial" w:hAnsi="Arial" w:cs="Arial"/>
          <w:sz w:val="22"/>
          <w:szCs w:val="22"/>
          <w:lang w:val="es-ES_tradnl"/>
        </w:rPr>
        <w:t xml:space="preserve">inversiones en infraestructuras (pavimentación, saneamiento, alumbrado y desagües pluviales) tienen efectos desde neutrales hasta efectos positivos, que oscilan entre un 5,97% para mejoras marginales hasta un máximo de 22,67% para inversiones que suponen una mejora sustancial de las condiciones urbanas. Los </w:t>
      </w:r>
      <w:r w:rsidRPr="00D93780">
        <w:rPr>
          <w:rFonts w:ascii="Arial" w:hAnsi="Arial" w:cs="Arial"/>
          <w:i/>
          <w:sz w:val="22"/>
          <w:szCs w:val="22"/>
          <w:lang w:val="es-ES_tradnl"/>
        </w:rPr>
        <w:t>cambios de</w:t>
      </w:r>
      <w:r w:rsidR="00F1715C" w:rsidRPr="00D93780">
        <w:rPr>
          <w:rFonts w:ascii="Arial" w:hAnsi="Arial" w:cs="Arial"/>
          <w:i/>
          <w:sz w:val="22"/>
          <w:szCs w:val="22"/>
          <w:lang w:val="es-ES_tradnl"/>
        </w:rPr>
        <w:t xml:space="preserve"> </w:t>
      </w:r>
      <w:r w:rsidRPr="00D93780">
        <w:rPr>
          <w:rFonts w:ascii="Arial" w:hAnsi="Arial" w:cs="Arial"/>
          <w:i/>
          <w:sz w:val="22"/>
          <w:szCs w:val="22"/>
          <w:lang w:val="es-ES_tradnl"/>
        </w:rPr>
        <w:t>clase</w:t>
      </w:r>
      <w:r w:rsidRPr="00D93780">
        <w:rPr>
          <w:rFonts w:ascii="Arial" w:hAnsi="Arial" w:cs="Arial"/>
          <w:sz w:val="22"/>
          <w:szCs w:val="22"/>
          <w:lang w:val="es-ES_tradnl"/>
        </w:rPr>
        <w:t xml:space="preserve"> de infraestructura que más mueven los resultados son aquellos que suponen pasar de un pavimento natural (tosca o balasto) con cuneta natural abierta a pavimento de hormigón o asfáltico y cordón cuneta. Cambios en el saneamiento o en el alumbrado no tienen efectos significativos</w:t>
      </w:r>
      <w:r w:rsidR="00F1715C" w:rsidRPr="00D93780">
        <w:rPr>
          <w:rFonts w:ascii="Arial" w:hAnsi="Arial" w:cs="Arial"/>
          <w:sz w:val="22"/>
          <w:szCs w:val="22"/>
          <w:lang w:val="es-ES_tradnl"/>
        </w:rPr>
        <w:t xml:space="preserve"> (ver cuadro 13)</w:t>
      </w:r>
      <w:r w:rsidRPr="00D93780">
        <w:rPr>
          <w:rFonts w:ascii="Arial" w:hAnsi="Arial" w:cs="Arial"/>
          <w:sz w:val="22"/>
          <w:szCs w:val="22"/>
          <w:lang w:val="es-ES_tradnl"/>
        </w:rPr>
        <w:t xml:space="preserve">. </w:t>
      </w:r>
    </w:p>
    <w:p w14:paraId="1ADBFFE2" w14:textId="36ACAF6E" w:rsidR="008A0C5C" w:rsidRPr="00462E76" w:rsidRDefault="00694FB3" w:rsidP="00462E76">
      <w:pPr>
        <w:pStyle w:val="ListParagraph"/>
        <w:spacing w:after="120"/>
        <w:ind w:left="0"/>
        <w:jc w:val="center"/>
        <w:rPr>
          <w:rFonts w:ascii="Arial" w:hAnsi="Arial" w:cs="Arial"/>
          <w:b/>
          <w:sz w:val="18"/>
          <w:szCs w:val="22"/>
        </w:rPr>
      </w:pPr>
      <w:r w:rsidRPr="00D93780">
        <w:rPr>
          <w:rFonts w:ascii="Arial" w:hAnsi="Arial" w:cs="Arial"/>
          <w:noProof/>
          <w:sz w:val="22"/>
          <w:szCs w:val="22"/>
          <w:lang w:val="en-US" w:eastAsia="en-US"/>
        </w:rPr>
        <w:drawing>
          <wp:anchor distT="0" distB="0" distL="114300" distR="114300" simplePos="0" relativeHeight="251658240" behindDoc="0" locked="0" layoutInCell="1" allowOverlap="1" wp14:anchorId="68BFFD84" wp14:editId="1DE7EC11">
            <wp:simplePos x="0" y="0"/>
            <wp:positionH relativeFrom="column">
              <wp:posOffset>313690</wp:posOffset>
            </wp:positionH>
            <wp:positionV relativeFrom="paragraph">
              <wp:posOffset>210185</wp:posOffset>
            </wp:positionV>
            <wp:extent cx="5133975" cy="1352550"/>
            <wp:effectExtent l="0" t="0" r="9525"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33975"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00D93780" w:rsidRPr="00462E76">
        <w:rPr>
          <w:rFonts w:ascii="Arial" w:hAnsi="Arial" w:cs="Arial"/>
          <w:b/>
          <w:sz w:val="18"/>
          <w:szCs w:val="22"/>
        </w:rPr>
        <w:t>Cuadro 13. Beneficios por cambio de clase de infraestructura</w:t>
      </w:r>
    </w:p>
    <w:p w14:paraId="350B09C5" w14:textId="03327EA0" w:rsidR="00F1715C" w:rsidRPr="00694FB3" w:rsidRDefault="00F1715C" w:rsidP="005D454E">
      <w:pPr>
        <w:pStyle w:val="ListParagraph"/>
        <w:ind w:left="540"/>
        <w:rPr>
          <w:rFonts w:ascii="Arial" w:hAnsi="Arial" w:cs="Arial"/>
          <w:sz w:val="18"/>
          <w:szCs w:val="22"/>
        </w:rPr>
      </w:pPr>
      <w:r w:rsidRPr="00694FB3">
        <w:rPr>
          <w:rFonts w:ascii="Arial" w:hAnsi="Arial" w:cs="Arial"/>
          <w:sz w:val="18"/>
          <w:szCs w:val="22"/>
        </w:rPr>
        <w:t>Fuente: Informe Lebedinsky</w:t>
      </w:r>
    </w:p>
    <w:p w14:paraId="5FF652C0" w14:textId="1FC81276" w:rsidR="00F1715C" w:rsidRPr="00D93780" w:rsidRDefault="00F1715C" w:rsidP="008A0C5C">
      <w:pPr>
        <w:pStyle w:val="ListParagraph"/>
        <w:rPr>
          <w:rFonts w:ascii="Arial" w:hAnsi="Arial" w:cs="Arial"/>
          <w:sz w:val="22"/>
          <w:szCs w:val="22"/>
          <w:lang w:val="es-ES_tradnl"/>
        </w:rPr>
      </w:pPr>
    </w:p>
    <w:p w14:paraId="291788C3" w14:textId="3BDE6D29"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lang w:val="es-ES_tradnl"/>
        </w:rPr>
        <w:t xml:space="preserve">Por otra parte, </w:t>
      </w:r>
      <w:r w:rsidRPr="00D93780">
        <w:rPr>
          <w:rFonts w:ascii="Arial" w:hAnsi="Arial" w:cs="Arial"/>
          <w:i/>
          <w:sz w:val="22"/>
          <w:szCs w:val="22"/>
          <w:lang w:val="es-ES_tradnl"/>
        </w:rPr>
        <w:t>cambios de estado</w:t>
      </w:r>
      <w:r w:rsidRPr="00D93780">
        <w:rPr>
          <w:rFonts w:ascii="Arial" w:hAnsi="Arial" w:cs="Arial"/>
          <w:sz w:val="22"/>
          <w:szCs w:val="22"/>
          <w:lang w:val="es-ES_tradnl"/>
        </w:rPr>
        <w:t xml:space="preserve"> de la infraestructura, de arruinado, regular o malo a bueno o muy bueno, supone una mejora del precio del 7,65%, de forma acumulativa al cambio de clase.</w:t>
      </w:r>
    </w:p>
    <w:p w14:paraId="30FE16CC" w14:textId="1495E4BA" w:rsidR="008A0C5C" w:rsidRPr="00D93780" w:rsidRDefault="008A0C5C" w:rsidP="00694FB3">
      <w:pPr>
        <w:pStyle w:val="ListParagraph"/>
        <w:numPr>
          <w:ilvl w:val="0"/>
          <w:numId w:val="48"/>
        </w:numPr>
        <w:spacing w:before="120" w:after="120"/>
        <w:rPr>
          <w:rFonts w:ascii="Arial" w:hAnsi="Arial" w:cs="Arial"/>
          <w:b/>
          <w:sz w:val="22"/>
          <w:szCs w:val="22"/>
        </w:rPr>
      </w:pPr>
      <w:r w:rsidRPr="00D93780">
        <w:rPr>
          <w:rFonts w:ascii="Arial" w:hAnsi="Arial" w:cs="Arial"/>
          <w:b/>
          <w:sz w:val="22"/>
          <w:szCs w:val="22"/>
        </w:rPr>
        <w:t>Aplicación del modelo Lebedinsky al ACB 2</w:t>
      </w:r>
    </w:p>
    <w:p w14:paraId="50065906" w14:textId="4245F8A6"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A los efectos del presente análisis económico, se ha considerado prudente aplicar una revalorización tomando como base el estudio de Lebedinsky (2010), con algunas ligeras variaciones dependiendo de las características intrínsecas de la inversión. En el cuadro </w:t>
      </w:r>
      <w:r w:rsidR="00F1715C" w:rsidRPr="00D93780">
        <w:rPr>
          <w:rFonts w:ascii="Arial" w:hAnsi="Arial" w:cs="Arial"/>
          <w:sz w:val="22"/>
          <w:szCs w:val="22"/>
        </w:rPr>
        <w:t>14</w:t>
      </w:r>
      <w:r w:rsidRPr="00D93780">
        <w:rPr>
          <w:rFonts w:ascii="Arial" w:hAnsi="Arial" w:cs="Arial"/>
          <w:sz w:val="22"/>
          <w:szCs w:val="22"/>
        </w:rPr>
        <w:t xml:space="preserve"> puede observarse la revalorización aplicada. </w:t>
      </w:r>
    </w:p>
    <w:p w14:paraId="1E92225C" w14:textId="253ADAF1"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F1715C" w:rsidRPr="00462E76">
        <w:rPr>
          <w:rFonts w:ascii="Arial" w:hAnsi="Arial" w:cs="Arial"/>
          <w:b/>
          <w:sz w:val="18"/>
          <w:szCs w:val="22"/>
        </w:rPr>
        <w:t>14</w:t>
      </w:r>
      <w:r w:rsidRPr="00462E76">
        <w:rPr>
          <w:rFonts w:ascii="Arial" w:hAnsi="Arial" w:cs="Arial"/>
          <w:b/>
          <w:sz w:val="18"/>
          <w:szCs w:val="22"/>
        </w:rPr>
        <w:t>. Revalorizaciones aplicadas</w:t>
      </w:r>
    </w:p>
    <w:tbl>
      <w:tblPr>
        <w:tblW w:w="4634" w:type="pct"/>
        <w:tblInd w:w="648" w:type="dxa"/>
        <w:tblLook w:val="04A0" w:firstRow="1" w:lastRow="0" w:firstColumn="1" w:lastColumn="0" w:noHBand="0" w:noVBand="1"/>
      </w:tblPr>
      <w:tblGrid>
        <w:gridCol w:w="2431"/>
        <w:gridCol w:w="1422"/>
        <w:gridCol w:w="1998"/>
        <w:gridCol w:w="2357"/>
      </w:tblGrid>
      <w:tr w:rsidR="00ED2E20" w:rsidRPr="00D93780" w14:paraId="57899BFB" w14:textId="77777777" w:rsidTr="005D454E">
        <w:trPr>
          <w:cantSplit/>
          <w:tblHeader/>
        </w:trPr>
        <w:tc>
          <w:tcPr>
            <w:tcW w:w="1480" w:type="pct"/>
            <w:tcBorders>
              <w:top w:val="single" w:sz="4" w:space="0" w:color="auto"/>
              <w:bottom w:val="single" w:sz="4" w:space="0" w:color="auto"/>
            </w:tcBorders>
            <w:shd w:val="clear" w:color="auto" w:fill="D9D9D9" w:themeFill="background1" w:themeFillShade="D9"/>
          </w:tcPr>
          <w:p w14:paraId="673CDB77" w14:textId="77777777" w:rsidR="00ED2E20" w:rsidRPr="00D93780" w:rsidRDefault="00ED2E20" w:rsidP="00227A32">
            <w:pPr>
              <w:tabs>
                <w:tab w:val="left" w:pos="435"/>
              </w:tabs>
              <w:ind w:left="426" w:hanging="426"/>
              <w:rPr>
                <w:rFonts w:ascii="Arial" w:hAnsi="Arial" w:cs="Arial"/>
                <w:b/>
                <w:sz w:val="18"/>
                <w:szCs w:val="18"/>
                <w:lang w:val="es-ES_tradnl"/>
              </w:rPr>
            </w:pPr>
            <w:r w:rsidRPr="00D93780">
              <w:rPr>
                <w:rFonts w:ascii="Arial" w:hAnsi="Arial" w:cs="Arial"/>
                <w:b/>
                <w:sz w:val="18"/>
                <w:szCs w:val="18"/>
                <w:lang w:val="es-ES_tradnl"/>
              </w:rPr>
              <w:t>Proyecto</w:t>
            </w:r>
          </w:p>
        </w:tc>
        <w:tc>
          <w:tcPr>
            <w:tcW w:w="866" w:type="pct"/>
            <w:tcBorders>
              <w:top w:val="single" w:sz="4" w:space="0" w:color="auto"/>
              <w:bottom w:val="single" w:sz="4" w:space="0" w:color="auto"/>
            </w:tcBorders>
            <w:shd w:val="clear" w:color="auto" w:fill="D9D9D9" w:themeFill="background1" w:themeFillShade="D9"/>
          </w:tcPr>
          <w:p w14:paraId="24BC5F57"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Clase de obra</w:t>
            </w:r>
          </w:p>
        </w:tc>
        <w:tc>
          <w:tcPr>
            <w:tcW w:w="1217" w:type="pct"/>
            <w:tcBorders>
              <w:top w:val="single" w:sz="4" w:space="0" w:color="auto"/>
              <w:bottom w:val="single" w:sz="4" w:space="0" w:color="auto"/>
            </w:tcBorders>
            <w:shd w:val="clear" w:color="auto" w:fill="D9D9D9" w:themeFill="background1" w:themeFillShade="D9"/>
          </w:tcPr>
          <w:p w14:paraId="69A250CA"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Revalorización (%)</w:t>
            </w:r>
          </w:p>
        </w:tc>
        <w:tc>
          <w:tcPr>
            <w:tcW w:w="1436" w:type="pct"/>
            <w:tcBorders>
              <w:top w:val="single" w:sz="4" w:space="0" w:color="auto"/>
              <w:bottom w:val="single" w:sz="4" w:space="0" w:color="auto"/>
            </w:tcBorders>
            <w:shd w:val="clear" w:color="auto" w:fill="D9D9D9" w:themeFill="background1" w:themeFillShade="D9"/>
          </w:tcPr>
          <w:p w14:paraId="13023A77" w14:textId="77777777" w:rsidR="00ED2E20" w:rsidRPr="00D93780" w:rsidRDefault="00ED2E20" w:rsidP="00227A32">
            <w:pPr>
              <w:jc w:val="center"/>
              <w:rPr>
                <w:rFonts w:ascii="Arial" w:hAnsi="Arial" w:cs="Arial"/>
                <w:b/>
                <w:sz w:val="18"/>
                <w:szCs w:val="18"/>
                <w:lang w:val="es-CL"/>
              </w:rPr>
            </w:pPr>
            <w:r w:rsidRPr="00D93780">
              <w:rPr>
                <w:rFonts w:ascii="Arial" w:hAnsi="Arial" w:cs="Arial"/>
                <w:b/>
                <w:sz w:val="18"/>
                <w:szCs w:val="18"/>
                <w:lang w:val="es-CL"/>
              </w:rPr>
              <w:t>Justificación</w:t>
            </w:r>
          </w:p>
        </w:tc>
      </w:tr>
      <w:tr w:rsidR="00ED2E20" w:rsidRPr="00D93780" w14:paraId="60306BD9" w14:textId="77777777" w:rsidTr="005D454E">
        <w:trPr>
          <w:cantSplit/>
        </w:trPr>
        <w:tc>
          <w:tcPr>
            <w:tcW w:w="1480" w:type="pct"/>
            <w:tcBorders>
              <w:top w:val="single" w:sz="4" w:space="0" w:color="auto"/>
              <w:bottom w:val="single" w:sz="4" w:space="0" w:color="auto"/>
            </w:tcBorders>
          </w:tcPr>
          <w:p w14:paraId="5531C13A" w14:textId="77777777" w:rsidR="00ED2E20" w:rsidRPr="00D93780" w:rsidRDefault="00ED2E20" w:rsidP="00F1715C">
            <w:pPr>
              <w:pStyle w:val="ListParagraph"/>
              <w:numPr>
                <w:ilvl w:val="0"/>
                <w:numId w:val="50"/>
              </w:numPr>
              <w:rPr>
                <w:rFonts w:ascii="Arial" w:hAnsi="Arial" w:cs="Arial"/>
                <w:sz w:val="18"/>
                <w:szCs w:val="18"/>
              </w:rPr>
            </w:pPr>
            <w:r w:rsidRPr="00D93780">
              <w:rPr>
                <w:rFonts w:ascii="Arial" w:hAnsi="Arial" w:cs="Arial"/>
                <w:sz w:val="18"/>
                <w:szCs w:val="18"/>
                <w:lang w:val="es-ES_tradnl"/>
              </w:rPr>
              <w:t>Mejora de accesos a Bella Unión la Avenida General Artigas (Artigas)</w:t>
            </w:r>
          </w:p>
        </w:tc>
        <w:tc>
          <w:tcPr>
            <w:tcW w:w="866" w:type="pct"/>
            <w:tcBorders>
              <w:top w:val="single" w:sz="4" w:space="0" w:color="auto"/>
              <w:bottom w:val="single" w:sz="4" w:space="0" w:color="auto"/>
            </w:tcBorders>
            <w:vAlign w:val="center"/>
          </w:tcPr>
          <w:p w14:paraId="70CEAE20" w14:textId="77777777" w:rsidR="00ED2E20" w:rsidRPr="00D93780" w:rsidRDefault="00ED2E20" w:rsidP="00227A32">
            <w:pPr>
              <w:rPr>
                <w:rFonts w:ascii="Arial" w:hAnsi="Arial" w:cs="Arial"/>
                <w:sz w:val="18"/>
                <w:szCs w:val="18"/>
              </w:rPr>
            </w:pPr>
            <w:r w:rsidRPr="00D93780">
              <w:rPr>
                <w:rFonts w:ascii="Arial" w:hAnsi="Arial" w:cs="Arial"/>
                <w:sz w:val="18"/>
                <w:szCs w:val="18"/>
              </w:rPr>
              <w:t>Pavimentación y desagües pluviales</w:t>
            </w:r>
          </w:p>
        </w:tc>
        <w:tc>
          <w:tcPr>
            <w:tcW w:w="1217" w:type="pct"/>
            <w:tcBorders>
              <w:top w:val="single" w:sz="4" w:space="0" w:color="auto"/>
              <w:bottom w:val="single" w:sz="4" w:space="0" w:color="auto"/>
            </w:tcBorders>
            <w:vAlign w:val="center"/>
          </w:tcPr>
          <w:p w14:paraId="43FAFC95" w14:textId="77777777" w:rsidR="00ED2E20" w:rsidRPr="00D93780" w:rsidRDefault="00ED2E20" w:rsidP="00227A32">
            <w:pPr>
              <w:ind w:right="479"/>
              <w:jc w:val="right"/>
              <w:rPr>
                <w:rFonts w:ascii="Arial" w:hAnsi="Arial" w:cs="Arial"/>
                <w:sz w:val="18"/>
                <w:szCs w:val="18"/>
              </w:rPr>
            </w:pPr>
            <w:r w:rsidRPr="00D93780">
              <w:rPr>
                <w:rFonts w:ascii="Arial" w:hAnsi="Arial" w:cs="Arial"/>
                <w:sz w:val="18"/>
                <w:szCs w:val="18"/>
              </w:rPr>
              <w:t>32,05</w:t>
            </w:r>
          </w:p>
        </w:tc>
        <w:tc>
          <w:tcPr>
            <w:tcW w:w="1436" w:type="pct"/>
            <w:tcBorders>
              <w:top w:val="single" w:sz="4" w:space="0" w:color="auto"/>
              <w:bottom w:val="single" w:sz="4" w:space="0" w:color="auto"/>
            </w:tcBorders>
          </w:tcPr>
          <w:p w14:paraId="0EB8BCD2" w14:textId="17AE4AA5" w:rsidR="00ED2E20" w:rsidRPr="00D93780" w:rsidRDefault="00ED2E20" w:rsidP="00227A32">
            <w:pPr>
              <w:rPr>
                <w:rFonts w:ascii="Arial" w:hAnsi="Arial" w:cs="Arial"/>
                <w:sz w:val="18"/>
                <w:szCs w:val="18"/>
              </w:rPr>
            </w:pPr>
            <w:r w:rsidRPr="00D93780">
              <w:rPr>
                <w:rFonts w:ascii="Arial" w:hAnsi="Arial" w:cs="Arial"/>
                <w:sz w:val="18"/>
                <w:szCs w:val="18"/>
              </w:rPr>
              <w:t>Supone cambio de clase y de estado</w:t>
            </w:r>
            <w:r w:rsidR="00F1715C" w:rsidRPr="00D93780">
              <w:rPr>
                <w:rFonts w:ascii="Arial" w:hAnsi="Arial" w:cs="Arial"/>
                <w:sz w:val="18"/>
                <w:szCs w:val="18"/>
              </w:rPr>
              <w:t xml:space="preserve"> (22,67% y 7,65%)</w:t>
            </w:r>
          </w:p>
        </w:tc>
      </w:tr>
      <w:tr w:rsidR="00F1715C" w:rsidRPr="00D93780" w14:paraId="35E33756" w14:textId="77777777" w:rsidTr="005D454E">
        <w:trPr>
          <w:cantSplit/>
        </w:trPr>
        <w:tc>
          <w:tcPr>
            <w:tcW w:w="1480" w:type="pct"/>
            <w:tcBorders>
              <w:top w:val="single" w:sz="4" w:space="0" w:color="auto"/>
              <w:bottom w:val="single" w:sz="4" w:space="0" w:color="auto"/>
            </w:tcBorders>
            <w:shd w:val="clear" w:color="auto" w:fill="auto"/>
          </w:tcPr>
          <w:p w14:paraId="3CA66070" w14:textId="77777777" w:rsidR="00F1715C" w:rsidRPr="00D93780" w:rsidRDefault="00F1715C" w:rsidP="00F1715C">
            <w:pPr>
              <w:pStyle w:val="ListParagraph"/>
              <w:numPr>
                <w:ilvl w:val="0"/>
                <w:numId w:val="50"/>
              </w:numPr>
              <w:rPr>
                <w:rFonts w:ascii="Arial" w:hAnsi="Arial" w:cs="Arial"/>
                <w:sz w:val="18"/>
                <w:szCs w:val="18"/>
                <w:lang w:val="es-ES_tradnl"/>
              </w:rPr>
            </w:pPr>
            <w:r w:rsidRPr="00D93780">
              <w:rPr>
                <w:rFonts w:ascii="Arial" w:hAnsi="Arial" w:cs="Arial"/>
                <w:sz w:val="18"/>
                <w:szCs w:val="18"/>
              </w:rPr>
              <w:t>Consolidación del barrio Borbonet de la Ciudad de Canelones (Canelones)</w:t>
            </w:r>
          </w:p>
        </w:tc>
        <w:tc>
          <w:tcPr>
            <w:tcW w:w="866" w:type="pct"/>
            <w:tcBorders>
              <w:top w:val="single" w:sz="4" w:space="0" w:color="auto"/>
              <w:bottom w:val="single" w:sz="4" w:space="0" w:color="auto"/>
            </w:tcBorders>
            <w:vAlign w:val="center"/>
          </w:tcPr>
          <w:p w14:paraId="55CE8526" w14:textId="77777777" w:rsidR="00F1715C" w:rsidRPr="00D93780" w:rsidRDefault="00F1715C" w:rsidP="00F1715C">
            <w:pPr>
              <w:rPr>
                <w:rFonts w:ascii="Arial" w:hAnsi="Arial" w:cs="Arial"/>
                <w:sz w:val="18"/>
                <w:szCs w:val="18"/>
              </w:rPr>
            </w:pPr>
            <w:r w:rsidRPr="00D93780">
              <w:rPr>
                <w:rFonts w:ascii="Arial" w:hAnsi="Arial" w:cs="Arial"/>
                <w:sz w:val="18"/>
                <w:szCs w:val="18"/>
              </w:rPr>
              <w:t>Pavimentación y desagües pluviales</w:t>
            </w:r>
          </w:p>
        </w:tc>
        <w:tc>
          <w:tcPr>
            <w:tcW w:w="1217" w:type="pct"/>
            <w:tcBorders>
              <w:top w:val="single" w:sz="4" w:space="0" w:color="auto"/>
              <w:bottom w:val="single" w:sz="4" w:space="0" w:color="auto"/>
            </w:tcBorders>
            <w:vAlign w:val="center"/>
          </w:tcPr>
          <w:p w14:paraId="6ED6E230" w14:textId="77777777" w:rsidR="00F1715C" w:rsidRPr="00D93780" w:rsidRDefault="00F1715C" w:rsidP="00F1715C">
            <w:pPr>
              <w:ind w:right="479"/>
              <w:jc w:val="right"/>
              <w:rPr>
                <w:rFonts w:ascii="Arial" w:hAnsi="Arial" w:cs="Arial"/>
                <w:sz w:val="18"/>
                <w:szCs w:val="18"/>
              </w:rPr>
            </w:pPr>
            <w:r w:rsidRPr="00D93780">
              <w:rPr>
                <w:rFonts w:ascii="Arial" w:hAnsi="Arial" w:cs="Arial"/>
                <w:sz w:val="18"/>
                <w:szCs w:val="18"/>
              </w:rPr>
              <w:t>32,05</w:t>
            </w:r>
          </w:p>
        </w:tc>
        <w:tc>
          <w:tcPr>
            <w:tcW w:w="1436" w:type="pct"/>
            <w:tcBorders>
              <w:top w:val="single" w:sz="4" w:space="0" w:color="auto"/>
              <w:bottom w:val="single" w:sz="4" w:space="0" w:color="auto"/>
            </w:tcBorders>
          </w:tcPr>
          <w:p w14:paraId="44B02E0B" w14:textId="4CF11831" w:rsidR="00F1715C" w:rsidRPr="00D93780" w:rsidRDefault="00F1715C" w:rsidP="00F1715C">
            <w:pPr>
              <w:rPr>
                <w:rFonts w:ascii="Arial" w:hAnsi="Arial" w:cs="Arial"/>
                <w:sz w:val="18"/>
                <w:szCs w:val="18"/>
              </w:rPr>
            </w:pPr>
            <w:r w:rsidRPr="00D93780">
              <w:rPr>
                <w:rFonts w:ascii="Arial" w:hAnsi="Arial" w:cs="Arial"/>
                <w:sz w:val="18"/>
                <w:szCs w:val="18"/>
              </w:rPr>
              <w:t>Supone cambio de clase y de estado (22,67% y 7,65%)</w:t>
            </w:r>
          </w:p>
        </w:tc>
      </w:tr>
      <w:tr w:rsidR="00F1715C" w:rsidRPr="00D93780" w14:paraId="31AF2E40" w14:textId="77777777" w:rsidTr="005D454E">
        <w:trPr>
          <w:cantSplit/>
        </w:trPr>
        <w:tc>
          <w:tcPr>
            <w:tcW w:w="1480" w:type="pct"/>
            <w:tcBorders>
              <w:top w:val="single" w:sz="4" w:space="0" w:color="auto"/>
              <w:bottom w:val="single" w:sz="4" w:space="0" w:color="auto"/>
            </w:tcBorders>
          </w:tcPr>
          <w:p w14:paraId="68CEA1D3" w14:textId="77777777" w:rsidR="00F1715C" w:rsidRPr="00D93780" w:rsidRDefault="00F1715C" w:rsidP="00F1715C">
            <w:pPr>
              <w:pStyle w:val="ListParagraph"/>
              <w:numPr>
                <w:ilvl w:val="0"/>
                <w:numId w:val="50"/>
              </w:numPr>
              <w:rPr>
                <w:rFonts w:ascii="Arial" w:hAnsi="Arial" w:cs="Arial"/>
                <w:sz w:val="18"/>
                <w:szCs w:val="18"/>
                <w:lang w:val="es-ES_tradnl"/>
              </w:rPr>
            </w:pPr>
            <w:r w:rsidRPr="00D93780">
              <w:rPr>
                <w:rFonts w:ascii="Arial" w:hAnsi="Arial" w:cs="Arial"/>
                <w:sz w:val="18"/>
                <w:szCs w:val="18"/>
                <w:lang w:val="es-ES_tradnl"/>
              </w:rPr>
              <w:lastRenderedPageBreak/>
              <w:t>Pluviales Barrio Libertad de Juan Lacaze (Colonia)</w:t>
            </w:r>
          </w:p>
        </w:tc>
        <w:tc>
          <w:tcPr>
            <w:tcW w:w="866" w:type="pct"/>
            <w:tcBorders>
              <w:top w:val="single" w:sz="4" w:space="0" w:color="auto"/>
              <w:bottom w:val="single" w:sz="4" w:space="0" w:color="auto"/>
            </w:tcBorders>
            <w:vAlign w:val="center"/>
          </w:tcPr>
          <w:p w14:paraId="5A2315B6" w14:textId="77777777" w:rsidR="00F1715C" w:rsidRPr="00D93780" w:rsidRDefault="00F1715C" w:rsidP="00F1715C">
            <w:pPr>
              <w:rPr>
                <w:rFonts w:ascii="Arial" w:hAnsi="Arial" w:cs="Arial"/>
                <w:sz w:val="18"/>
                <w:szCs w:val="18"/>
              </w:rPr>
            </w:pPr>
            <w:r w:rsidRPr="00D93780">
              <w:rPr>
                <w:rFonts w:ascii="Arial" w:hAnsi="Arial" w:cs="Arial"/>
                <w:sz w:val="18"/>
                <w:szCs w:val="18"/>
              </w:rPr>
              <w:t>Pavimentación y desagües pluviales</w:t>
            </w:r>
          </w:p>
        </w:tc>
        <w:tc>
          <w:tcPr>
            <w:tcW w:w="1217" w:type="pct"/>
            <w:tcBorders>
              <w:top w:val="single" w:sz="4" w:space="0" w:color="auto"/>
              <w:bottom w:val="single" w:sz="4" w:space="0" w:color="auto"/>
            </w:tcBorders>
            <w:vAlign w:val="center"/>
          </w:tcPr>
          <w:p w14:paraId="0F04BCD7" w14:textId="77777777" w:rsidR="00F1715C" w:rsidRPr="00D93780" w:rsidRDefault="00F1715C" w:rsidP="00F1715C">
            <w:pPr>
              <w:ind w:right="479"/>
              <w:jc w:val="right"/>
              <w:rPr>
                <w:rFonts w:ascii="Arial" w:hAnsi="Arial" w:cs="Arial"/>
                <w:sz w:val="18"/>
                <w:szCs w:val="18"/>
              </w:rPr>
            </w:pPr>
            <w:r w:rsidRPr="00D93780">
              <w:rPr>
                <w:rFonts w:ascii="Arial" w:hAnsi="Arial" w:cs="Arial"/>
                <w:sz w:val="18"/>
                <w:szCs w:val="18"/>
              </w:rPr>
              <w:t>32,05</w:t>
            </w:r>
          </w:p>
        </w:tc>
        <w:tc>
          <w:tcPr>
            <w:tcW w:w="1436" w:type="pct"/>
            <w:tcBorders>
              <w:top w:val="single" w:sz="4" w:space="0" w:color="auto"/>
              <w:bottom w:val="single" w:sz="4" w:space="0" w:color="auto"/>
            </w:tcBorders>
          </w:tcPr>
          <w:p w14:paraId="43CD2FCA" w14:textId="0031D65C" w:rsidR="00F1715C" w:rsidRPr="00D93780" w:rsidRDefault="00F1715C" w:rsidP="00F1715C">
            <w:pPr>
              <w:rPr>
                <w:rFonts w:ascii="Arial" w:hAnsi="Arial" w:cs="Arial"/>
                <w:sz w:val="18"/>
                <w:szCs w:val="18"/>
              </w:rPr>
            </w:pPr>
            <w:r w:rsidRPr="00D93780">
              <w:rPr>
                <w:rFonts w:ascii="Arial" w:hAnsi="Arial" w:cs="Arial"/>
                <w:sz w:val="18"/>
                <w:szCs w:val="18"/>
              </w:rPr>
              <w:t>Supone cambio de clase y de estado (22,67% y 7,65%)</w:t>
            </w:r>
          </w:p>
        </w:tc>
      </w:tr>
      <w:tr w:rsidR="00ED2E20" w:rsidRPr="00D93780" w14:paraId="2404559B" w14:textId="77777777" w:rsidTr="005D454E">
        <w:trPr>
          <w:cantSplit/>
        </w:trPr>
        <w:tc>
          <w:tcPr>
            <w:tcW w:w="1480" w:type="pct"/>
            <w:tcBorders>
              <w:top w:val="single" w:sz="4" w:space="0" w:color="auto"/>
              <w:bottom w:val="single" w:sz="4" w:space="0" w:color="auto"/>
            </w:tcBorders>
          </w:tcPr>
          <w:p w14:paraId="288E2D3C" w14:textId="77777777" w:rsidR="00ED2E20" w:rsidRPr="00D93780" w:rsidRDefault="00ED2E20" w:rsidP="00F1715C">
            <w:pPr>
              <w:pStyle w:val="ListParagraph"/>
              <w:numPr>
                <w:ilvl w:val="0"/>
                <w:numId w:val="50"/>
              </w:numPr>
              <w:rPr>
                <w:rFonts w:ascii="Arial" w:hAnsi="Arial" w:cs="Arial"/>
                <w:sz w:val="18"/>
                <w:szCs w:val="18"/>
                <w:lang w:val="es-ES_tradnl"/>
              </w:rPr>
            </w:pPr>
            <w:r w:rsidRPr="00D93780">
              <w:rPr>
                <w:rFonts w:ascii="Arial" w:hAnsi="Arial" w:cs="Arial"/>
                <w:sz w:val="18"/>
                <w:szCs w:val="18"/>
                <w:lang w:val="es-ES_tradnl"/>
              </w:rPr>
              <w:t>Recuperación y refuncionalización de la Plaza de Toros de Colonia del Sacramento (Colonia)</w:t>
            </w:r>
          </w:p>
        </w:tc>
        <w:tc>
          <w:tcPr>
            <w:tcW w:w="866" w:type="pct"/>
            <w:tcBorders>
              <w:top w:val="single" w:sz="4" w:space="0" w:color="auto"/>
              <w:bottom w:val="single" w:sz="4" w:space="0" w:color="auto"/>
            </w:tcBorders>
            <w:vAlign w:val="center"/>
          </w:tcPr>
          <w:p w14:paraId="716A246B" w14:textId="77777777" w:rsidR="00ED2E20" w:rsidRPr="00D93780" w:rsidRDefault="00ED2E20" w:rsidP="00227A32">
            <w:pPr>
              <w:rPr>
                <w:rFonts w:ascii="Arial" w:hAnsi="Arial" w:cs="Arial"/>
                <w:sz w:val="18"/>
                <w:szCs w:val="18"/>
              </w:rPr>
            </w:pPr>
            <w:r w:rsidRPr="00D93780">
              <w:rPr>
                <w:rFonts w:ascii="Arial" w:hAnsi="Arial" w:cs="Arial"/>
                <w:sz w:val="18"/>
                <w:szCs w:val="18"/>
              </w:rPr>
              <w:t>Recuperación patrimonio histórico</w:t>
            </w:r>
          </w:p>
        </w:tc>
        <w:tc>
          <w:tcPr>
            <w:tcW w:w="1217" w:type="pct"/>
            <w:tcBorders>
              <w:top w:val="single" w:sz="4" w:space="0" w:color="auto"/>
              <w:bottom w:val="single" w:sz="4" w:space="0" w:color="auto"/>
            </w:tcBorders>
            <w:vAlign w:val="center"/>
          </w:tcPr>
          <w:p w14:paraId="100423F8" w14:textId="11FC6F67" w:rsidR="00ED2E20" w:rsidRPr="00D93780" w:rsidRDefault="00F1715C" w:rsidP="00F1715C">
            <w:pPr>
              <w:ind w:right="479"/>
              <w:jc w:val="right"/>
              <w:rPr>
                <w:rFonts w:ascii="Arial" w:hAnsi="Arial" w:cs="Arial"/>
                <w:sz w:val="18"/>
                <w:szCs w:val="18"/>
              </w:rPr>
            </w:pPr>
            <w:r w:rsidRPr="00D93780">
              <w:rPr>
                <w:rFonts w:ascii="Arial" w:hAnsi="Arial" w:cs="Arial"/>
                <w:sz w:val="18"/>
                <w:szCs w:val="18"/>
              </w:rPr>
              <w:t>5</w:t>
            </w:r>
            <w:r w:rsidR="00ED2E20" w:rsidRPr="00D93780">
              <w:rPr>
                <w:rFonts w:ascii="Arial" w:hAnsi="Arial" w:cs="Arial"/>
                <w:sz w:val="18"/>
                <w:szCs w:val="18"/>
              </w:rPr>
              <w:t>,</w:t>
            </w:r>
            <w:r w:rsidRPr="00D93780">
              <w:rPr>
                <w:rFonts w:ascii="Arial" w:hAnsi="Arial" w:cs="Arial"/>
                <w:sz w:val="18"/>
                <w:szCs w:val="18"/>
              </w:rPr>
              <w:t>97</w:t>
            </w:r>
          </w:p>
        </w:tc>
        <w:tc>
          <w:tcPr>
            <w:tcW w:w="1436" w:type="pct"/>
            <w:tcBorders>
              <w:top w:val="single" w:sz="4" w:space="0" w:color="auto"/>
              <w:bottom w:val="single" w:sz="4" w:space="0" w:color="auto"/>
            </w:tcBorders>
          </w:tcPr>
          <w:p w14:paraId="09E4A7C1" w14:textId="06D00C2B" w:rsidR="00ED2E20" w:rsidRPr="00D93780" w:rsidRDefault="00ED2E20" w:rsidP="00F1715C">
            <w:pPr>
              <w:rPr>
                <w:rFonts w:ascii="Arial" w:hAnsi="Arial" w:cs="Arial"/>
                <w:sz w:val="18"/>
                <w:szCs w:val="18"/>
              </w:rPr>
            </w:pPr>
            <w:r w:rsidRPr="00D93780">
              <w:rPr>
                <w:rFonts w:ascii="Arial" w:hAnsi="Arial" w:cs="Arial"/>
                <w:sz w:val="18"/>
                <w:szCs w:val="18"/>
              </w:rPr>
              <w:t xml:space="preserve">Al no ser obra de pavimentación y desagües pluviales se aplica la tasa de revalorización </w:t>
            </w:r>
            <w:r w:rsidR="00F1715C" w:rsidRPr="00D93780">
              <w:rPr>
                <w:rFonts w:ascii="Arial" w:hAnsi="Arial" w:cs="Arial"/>
                <w:sz w:val="18"/>
                <w:szCs w:val="18"/>
              </w:rPr>
              <w:t>mínima</w:t>
            </w:r>
          </w:p>
        </w:tc>
      </w:tr>
      <w:tr w:rsidR="00F1715C" w:rsidRPr="00D93780" w14:paraId="7876520B" w14:textId="77777777" w:rsidTr="005D454E">
        <w:trPr>
          <w:cantSplit/>
        </w:trPr>
        <w:tc>
          <w:tcPr>
            <w:tcW w:w="1480" w:type="pct"/>
            <w:tcBorders>
              <w:top w:val="single" w:sz="4" w:space="0" w:color="auto"/>
              <w:bottom w:val="single" w:sz="4" w:space="0" w:color="auto"/>
            </w:tcBorders>
          </w:tcPr>
          <w:p w14:paraId="5554E184" w14:textId="77777777" w:rsidR="00F1715C" w:rsidRPr="00D93780" w:rsidRDefault="00F1715C" w:rsidP="00F1715C">
            <w:pPr>
              <w:pStyle w:val="ListParagraph"/>
              <w:numPr>
                <w:ilvl w:val="0"/>
                <w:numId w:val="50"/>
              </w:numPr>
              <w:rPr>
                <w:rFonts w:ascii="Arial" w:hAnsi="Arial" w:cs="Arial"/>
                <w:sz w:val="18"/>
                <w:szCs w:val="18"/>
                <w:lang w:val="es-ES_tradnl"/>
              </w:rPr>
            </w:pPr>
            <w:r w:rsidRPr="00D93780">
              <w:rPr>
                <w:rFonts w:ascii="Arial" w:hAnsi="Arial" w:cs="Arial"/>
                <w:sz w:val="18"/>
                <w:szCs w:val="18"/>
                <w:lang w:val="es-ES_tradnl"/>
              </w:rPr>
              <w:t>Reconversión edilicia y funcional del Estadio “10 de Julio” (Florida)</w:t>
            </w:r>
          </w:p>
        </w:tc>
        <w:tc>
          <w:tcPr>
            <w:tcW w:w="866" w:type="pct"/>
            <w:tcBorders>
              <w:top w:val="single" w:sz="4" w:space="0" w:color="auto"/>
              <w:bottom w:val="single" w:sz="4" w:space="0" w:color="auto"/>
            </w:tcBorders>
            <w:vAlign w:val="center"/>
          </w:tcPr>
          <w:p w14:paraId="345C665C" w14:textId="77777777" w:rsidR="00F1715C" w:rsidRPr="00D93780" w:rsidRDefault="00F1715C" w:rsidP="00F1715C">
            <w:pPr>
              <w:rPr>
                <w:rFonts w:ascii="Arial" w:hAnsi="Arial" w:cs="Arial"/>
                <w:sz w:val="18"/>
                <w:szCs w:val="18"/>
              </w:rPr>
            </w:pPr>
            <w:r w:rsidRPr="00D93780">
              <w:rPr>
                <w:rFonts w:ascii="Arial" w:hAnsi="Arial" w:cs="Arial"/>
                <w:sz w:val="18"/>
                <w:szCs w:val="18"/>
              </w:rPr>
              <w:t>Equipamiento urbano</w:t>
            </w:r>
          </w:p>
        </w:tc>
        <w:tc>
          <w:tcPr>
            <w:tcW w:w="1217" w:type="pct"/>
            <w:tcBorders>
              <w:top w:val="single" w:sz="4" w:space="0" w:color="auto"/>
              <w:bottom w:val="single" w:sz="4" w:space="0" w:color="auto"/>
            </w:tcBorders>
            <w:vAlign w:val="center"/>
          </w:tcPr>
          <w:p w14:paraId="57CFB65B" w14:textId="6ED008F3" w:rsidR="00F1715C" w:rsidRPr="00D93780" w:rsidRDefault="00F1715C" w:rsidP="00F1715C">
            <w:pPr>
              <w:ind w:right="479"/>
              <w:jc w:val="right"/>
              <w:rPr>
                <w:rFonts w:ascii="Arial" w:hAnsi="Arial" w:cs="Arial"/>
                <w:sz w:val="18"/>
                <w:szCs w:val="18"/>
              </w:rPr>
            </w:pPr>
            <w:r w:rsidRPr="00D93780">
              <w:rPr>
                <w:rFonts w:ascii="Arial" w:hAnsi="Arial" w:cs="Arial"/>
                <w:sz w:val="18"/>
                <w:szCs w:val="18"/>
              </w:rPr>
              <w:t>5,97</w:t>
            </w:r>
          </w:p>
        </w:tc>
        <w:tc>
          <w:tcPr>
            <w:tcW w:w="1436" w:type="pct"/>
            <w:tcBorders>
              <w:top w:val="single" w:sz="4" w:space="0" w:color="auto"/>
              <w:bottom w:val="single" w:sz="4" w:space="0" w:color="auto"/>
            </w:tcBorders>
          </w:tcPr>
          <w:p w14:paraId="5693A037" w14:textId="07C1C7DB" w:rsidR="00F1715C" w:rsidRPr="00D93780" w:rsidRDefault="00F1715C" w:rsidP="00F1715C">
            <w:pPr>
              <w:rPr>
                <w:rFonts w:ascii="Arial" w:hAnsi="Arial" w:cs="Arial"/>
                <w:sz w:val="18"/>
                <w:szCs w:val="18"/>
              </w:rPr>
            </w:pPr>
            <w:r w:rsidRPr="00D93780">
              <w:rPr>
                <w:rFonts w:ascii="Arial" w:hAnsi="Arial" w:cs="Arial"/>
                <w:sz w:val="18"/>
                <w:szCs w:val="18"/>
              </w:rPr>
              <w:t>Al no ser obra de pavimentación y desagües pluviales se aplica la tasa de revalorización mínima</w:t>
            </w:r>
          </w:p>
        </w:tc>
      </w:tr>
      <w:tr w:rsidR="00F1715C" w:rsidRPr="00D93780" w14:paraId="609DBD90" w14:textId="77777777" w:rsidTr="005D454E">
        <w:trPr>
          <w:cantSplit/>
        </w:trPr>
        <w:tc>
          <w:tcPr>
            <w:tcW w:w="1480" w:type="pct"/>
            <w:tcBorders>
              <w:top w:val="single" w:sz="4" w:space="0" w:color="auto"/>
              <w:bottom w:val="single" w:sz="4" w:space="0" w:color="auto"/>
            </w:tcBorders>
          </w:tcPr>
          <w:p w14:paraId="6E3657B2" w14:textId="77777777" w:rsidR="00F1715C" w:rsidRPr="00D93780" w:rsidRDefault="00F1715C" w:rsidP="00F1715C">
            <w:pPr>
              <w:pStyle w:val="ListParagraph"/>
              <w:numPr>
                <w:ilvl w:val="0"/>
                <w:numId w:val="50"/>
              </w:numPr>
              <w:rPr>
                <w:rFonts w:ascii="Arial" w:hAnsi="Arial" w:cs="Arial"/>
                <w:sz w:val="18"/>
                <w:szCs w:val="18"/>
                <w:lang w:val="es-ES_tradnl"/>
              </w:rPr>
            </w:pPr>
            <w:r w:rsidRPr="00D93780">
              <w:rPr>
                <w:rFonts w:ascii="Arial" w:hAnsi="Arial" w:cs="Arial"/>
                <w:sz w:val="18"/>
                <w:szCs w:val="18"/>
                <w:lang w:val="es-ES_tradnl"/>
              </w:rPr>
              <w:t>Anillo perimetral Maldonado Tramo Ruta 39 (Maldonado)</w:t>
            </w:r>
          </w:p>
        </w:tc>
        <w:tc>
          <w:tcPr>
            <w:tcW w:w="866" w:type="pct"/>
            <w:tcBorders>
              <w:top w:val="single" w:sz="4" w:space="0" w:color="auto"/>
              <w:bottom w:val="single" w:sz="4" w:space="0" w:color="auto"/>
            </w:tcBorders>
            <w:vAlign w:val="center"/>
          </w:tcPr>
          <w:p w14:paraId="35CF307D" w14:textId="384B9776" w:rsidR="00F1715C" w:rsidRPr="00D93780" w:rsidRDefault="00F1715C" w:rsidP="00F1715C">
            <w:pPr>
              <w:rPr>
                <w:rFonts w:ascii="Arial" w:hAnsi="Arial" w:cs="Arial"/>
                <w:sz w:val="18"/>
                <w:szCs w:val="18"/>
                <w:lang w:val="es-ES_tradnl"/>
              </w:rPr>
            </w:pPr>
            <w:r w:rsidRPr="00D93780">
              <w:rPr>
                <w:rFonts w:ascii="Arial" w:hAnsi="Arial" w:cs="Arial"/>
                <w:sz w:val="18"/>
                <w:szCs w:val="18"/>
              </w:rPr>
              <w:t>Pavimentación</w:t>
            </w:r>
          </w:p>
        </w:tc>
        <w:tc>
          <w:tcPr>
            <w:tcW w:w="1217" w:type="pct"/>
            <w:tcBorders>
              <w:top w:val="single" w:sz="4" w:space="0" w:color="auto"/>
              <w:bottom w:val="single" w:sz="4" w:space="0" w:color="auto"/>
            </w:tcBorders>
            <w:vAlign w:val="center"/>
          </w:tcPr>
          <w:p w14:paraId="688409BE" w14:textId="783173E6" w:rsidR="00F1715C" w:rsidRPr="00D93780" w:rsidRDefault="00F07670" w:rsidP="00F1715C">
            <w:pPr>
              <w:ind w:right="479"/>
              <w:jc w:val="right"/>
              <w:rPr>
                <w:rFonts w:ascii="Arial" w:hAnsi="Arial" w:cs="Arial"/>
                <w:sz w:val="18"/>
                <w:szCs w:val="18"/>
                <w:lang w:val="es-ES_tradnl"/>
              </w:rPr>
            </w:pPr>
            <w:r w:rsidRPr="00D93780">
              <w:rPr>
                <w:rFonts w:ascii="Arial" w:hAnsi="Arial" w:cs="Arial"/>
                <w:sz w:val="18"/>
                <w:szCs w:val="18"/>
              </w:rPr>
              <w:t>23,19</w:t>
            </w:r>
          </w:p>
        </w:tc>
        <w:tc>
          <w:tcPr>
            <w:tcW w:w="1436" w:type="pct"/>
            <w:tcBorders>
              <w:top w:val="single" w:sz="4" w:space="0" w:color="auto"/>
              <w:bottom w:val="single" w:sz="4" w:space="0" w:color="auto"/>
            </w:tcBorders>
          </w:tcPr>
          <w:p w14:paraId="2C76B22A" w14:textId="33FA9D94" w:rsidR="00F1715C" w:rsidRPr="00D93780" w:rsidRDefault="00F1715C" w:rsidP="00F1715C">
            <w:pPr>
              <w:rPr>
                <w:rFonts w:ascii="Arial" w:hAnsi="Arial" w:cs="Arial"/>
                <w:sz w:val="18"/>
                <w:szCs w:val="18"/>
                <w:lang w:val="es-ES_tradnl"/>
              </w:rPr>
            </w:pPr>
            <w:r w:rsidRPr="00D93780">
              <w:rPr>
                <w:rFonts w:ascii="Arial" w:hAnsi="Arial" w:cs="Arial"/>
                <w:sz w:val="18"/>
                <w:szCs w:val="18"/>
              </w:rPr>
              <w:t>Supone cambio de clase y de estado</w:t>
            </w:r>
            <w:r w:rsidR="00F07670" w:rsidRPr="00D93780">
              <w:rPr>
                <w:rFonts w:ascii="Arial" w:hAnsi="Arial" w:cs="Arial"/>
                <w:sz w:val="18"/>
                <w:szCs w:val="18"/>
              </w:rPr>
              <w:t xml:space="preserve"> (14,44% y 7,65%)</w:t>
            </w:r>
          </w:p>
        </w:tc>
      </w:tr>
      <w:tr w:rsidR="00F07670" w:rsidRPr="00D93780" w14:paraId="220FE30B" w14:textId="77777777" w:rsidTr="005D454E">
        <w:trPr>
          <w:cantSplit/>
        </w:trPr>
        <w:tc>
          <w:tcPr>
            <w:tcW w:w="1480" w:type="pct"/>
            <w:tcBorders>
              <w:top w:val="single" w:sz="4" w:space="0" w:color="auto"/>
              <w:bottom w:val="single" w:sz="4" w:space="0" w:color="auto"/>
            </w:tcBorders>
          </w:tcPr>
          <w:p w14:paraId="1E7E2205" w14:textId="62C32077" w:rsidR="00F07670" w:rsidRPr="00D93780" w:rsidRDefault="00F07670" w:rsidP="00F07670">
            <w:pPr>
              <w:pStyle w:val="ListParagraph"/>
              <w:numPr>
                <w:ilvl w:val="0"/>
                <w:numId w:val="50"/>
              </w:numPr>
              <w:rPr>
                <w:rFonts w:ascii="Arial" w:hAnsi="Arial" w:cs="Arial"/>
                <w:sz w:val="18"/>
                <w:szCs w:val="18"/>
                <w:lang w:val="es-ES_tradnl"/>
              </w:rPr>
            </w:pPr>
            <w:r w:rsidRPr="00D93780">
              <w:rPr>
                <w:rFonts w:ascii="Arial" w:hAnsi="Arial" w:cs="Arial"/>
                <w:sz w:val="18"/>
                <w:szCs w:val="18"/>
                <w:lang w:val="es-ES_tradnl"/>
              </w:rPr>
              <w:t>Pavimentación y desagües pluviales en el Barrio Lavalleja de la Ciudad de Rocha (Rocha)</w:t>
            </w:r>
          </w:p>
        </w:tc>
        <w:tc>
          <w:tcPr>
            <w:tcW w:w="866" w:type="pct"/>
            <w:tcBorders>
              <w:top w:val="single" w:sz="4" w:space="0" w:color="auto"/>
              <w:bottom w:val="single" w:sz="4" w:space="0" w:color="auto"/>
            </w:tcBorders>
            <w:vAlign w:val="center"/>
          </w:tcPr>
          <w:p w14:paraId="67EBD216" w14:textId="77777777" w:rsidR="00F07670" w:rsidRPr="00D93780" w:rsidRDefault="00F07670" w:rsidP="00F07670">
            <w:pPr>
              <w:rPr>
                <w:rFonts w:ascii="Arial" w:hAnsi="Arial" w:cs="Arial"/>
                <w:sz w:val="18"/>
                <w:szCs w:val="18"/>
                <w:lang w:val="es-ES_tradnl"/>
              </w:rPr>
            </w:pPr>
            <w:r w:rsidRPr="00D93780">
              <w:rPr>
                <w:rFonts w:ascii="Arial" w:hAnsi="Arial" w:cs="Arial"/>
                <w:sz w:val="18"/>
                <w:szCs w:val="18"/>
              </w:rPr>
              <w:t>Pavimentación y desagües pluviales</w:t>
            </w:r>
          </w:p>
        </w:tc>
        <w:tc>
          <w:tcPr>
            <w:tcW w:w="1217" w:type="pct"/>
            <w:tcBorders>
              <w:top w:val="single" w:sz="4" w:space="0" w:color="auto"/>
              <w:bottom w:val="single" w:sz="4" w:space="0" w:color="auto"/>
            </w:tcBorders>
            <w:vAlign w:val="center"/>
          </w:tcPr>
          <w:p w14:paraId="5CE77FA4" w14:textId="77777777" w:rsidR="00F07670" w:rsidRPr="00D93780" w:rsidRDefault="00F07670" w:rsidP="00F07670">
            <w:pPr>
              <w:ind w:right="479"/>
              <w:jc w:val="right"/>
              <w:rPr>
                <w:rFonts w:ascii="Arial" w:hAnsi="Arial" w:cs="Arial"/>
                <w:sz w:val="18"/>
                <w:szCs w:val="18"/>
              </w:rPr>
            </w:pPr>
            <w:r w:rsidRPr="00D93780">
              <w:rPr>
                <w:rFonts w:ascii="Arial" w:hAnsi="Arial" w:cs="Arial"/>
                <w:sz w:val="18"/>
                <w:szCs w:val="18"/>
              </w:rPr>
              <w:t>32,05</w:t>
            </w:r>
          </w:p>
        </w:tc>
        <w:tc>
          <w:tcPr>
            <w:tcW w:w="1436" w:type="pct"/>
            <w:tcBorders>
              <w:top w:val="single" w:sz="4" w:space="0" w:color="auto"/>
              <w:bottom w:val="single" w:sz="4" w:space="0" w:color="auto"/>
            </w:tcBorders>
          </w:tcPr>
          <w:p w14:paraId="381894C4" w14:textId="24476A3B" w:rsidR="00F07670" w:rsidRPr="00D93780" w:rsidRDefault="00F07670" w:rsidP="00F07670">
            <w:pPr>
              <w:rPr>
                <w:rFonts w:ascii="Arial" w:hAnsi="Arial" w:cs="Arial"/>
                <w:sz w:val="18"/>
                <w:szCs w:val="18"/>
              </w:rPr>
            </w:pPr>
            <w:r w:rsidRPr="00D93780">
              <w:rPr>
                <w:rFonts w:ascii="Arial" w:hAnsi="Arial" w:cs="Arial"/>
                <w:sz w:val="18"/>
                <w:szCs w:val="18"/>
              </w:rPr>
              <w:t>Supone cambio de clase y de estado (22,67% y 7,65%)</w:t>
            </w:r>
          </w:p>
        </w:tc>
      </w:tr>
      <w:tr w:rsidR="006F2B1E" w:rsidRPr="00D93780" w14:paraId="49DD7B86" w14:textId="77777777" w:rsidTr="005D454E">
        <w:trPr>
          <w:cantSplit/>
        </w:trPr>
        <w:tc>
          <w:tcPr>
            <w:tcW w:w="1480" w:type="pct"/>
            <w:tcBorders>
              <w:top w:val="single" w:sz="4" w:space="0" w:color="auto"/>
              <w:bottom w:val="single" w:sz="4" w:space="0" w:color="auto"/>
            </w:tcBorders>
          </w:tcPr>
          <w:p w14:paraId="5685ED8B" w14:textId="6C712D8D" w:rsidR="006F2B1E" w:rsidRPr="00D93780" w:rsidRDefault="006F2B1E" w:rsidP="006F2B1E">
            <w:pPr>
              <w:pStyle w:val="ListParagraph"/>
              <w:numPr>
                <w:ilvl w:val="0"/>
                <w:numId w:val="50"/>
              </w:numPr>
              <w:rPr>
                <w:rFonts w:ascii="Arial" w:hAnsi="Arial" w:cs="Arial"/>
                <w:sz w:val="18"/>
                <w:szCs w:val="18"/>
                <w:lang w:val="es-ES_tradnl"/>
              </w:rPr>
            </w:pPr>
            <w:r w:rsidRPr="00D93780">
              <w:rPr>
                <w:rFonts w:ascii="Arial" w:hAnsi="Arial" w:cs="Arial"/>
                <w:sz w:val="18"/>
                <w:szCs w:val="18"/>
              </w:rPr>
              <w:t>Intervención urbanística en ingreso a la ciudad de San José de Mayo (San José)</w:t>
            </w:r>
          </w:p>
        </w:tc>
        <w:tc>
          <w:tcPr>
            <w:tcW w:w="866" w:type="pct"/>
            <w:tcBorders>
              <w:top w:val="single" w:sz="4" w:space="0" w:color="auto"/>
              <w:bottom w:val="single" w:sz="4" w:space="0" w:color="auto"/>
            </w:tcBorders>
            <w:vAlign w:val="center"/>
          </w:tcPr>
          <w:p w14:paraId="6AF6D173" w14:textId="4E0CB8B3" w:rsidR="006F2B1E" w:rsidRPr="00D93780" w:rsidRDefault="006F2B1E" w:rsidP="006F2B1E">
            <w:pPr>
              <w:rPr>
                <w:rFonts w:ascii="Arial" w:hAnsi="Arial" w:cs="Arial"/>
                <w:sz w:val="18"/>
                <w:szCs w:val="18"/>
              </w:rPr>
            </w:pPr>
            <w:r w:rsidRPr="00D93780">
              <w:rPr>
                <w:rFonts w:ascii="Arial" w:hAnsi="Arial" w:cs="Arial"/>
                <w:sz w:val="18"/>
                <w:szCs w:val="18"/>
              </w:rPr>
              <w:t>Pavimentación y desagües pluviales</w:t>
            </w:r>
          </w:p>
        </w:tc>
        <w:tc>
          <w:tcPr>
            <w:tcW w:w="1217" w:type="pct"/>
            <w:tcBorders>
              <w:top w:val="single" w:sz="4" w:space="0" w:color="auto"/>
              <w:bottom w:val="single" w:sz="4" w:space="0" w:color="auto"/>
            </w:tcBorders>
            <w:vAlign w:val="center"/>
          </w:tcPr>
          <w:p w14:paraId="19CE0E75" w14:textId="3C8A50AA" w:rsidR="006F2B1E" w:rsidRPr="00D93780" w:rsidRDefault="006F2B1E" w:rsidP="006F2B1E">
            <w:pPr>
              <w:ind w:right="479"/>
              <w:jc w:val="right"/>
              <w:rPr>
                <w:rFonts w:ascii="Arial" w:hAnsi="Arial" w:cs="Arial"/>
                <w:sz w:val="18"/>
                <w:szCs w:val="18"/>
              </w:rPr>
            </w:pPr>
            <w:r w:rsidRPr="00D93780">
              <w:rPr>
                <w:rFonts w:ascii="Arial" w:hAnsi="Arial" w:cs="Arial"/>
                <w:sz w:val="18"/>
                <w:szCs w:val="18"/>
              </w:rPr>
              <w:t>32,05</w:t>
            </w:r>
          </w:p>
        </w:tc>
        <w:tc>
          <w:tcPr>
            <w:tcW w:w="1436" w:type="pct"/>
            <w:tcBorders>
              <w:top w:val="single" w:sz="4" w:space="0" w:color="auto"/>
              <w:bottom w:val="single" w:sz="4" w:space="0" w:color="auto"/>
            </w:tcBorders>
          </w:tcPr>
          <w:p w14:paraId="110D64B7" w14:textId="5C05FABE" w:rsidR="006F2B1E" w:rsidRPr="00D93780" w:rsidRDefault="006F2B1E" w:rsidP="006F2B1E">
            <w:pPr>
              <w:rPr>
                <w:rFonts w:ascii="Arial" w:hAnsi="Arial" w:cs="Arial"/>
                <w:sz w:val="18"/>
                <w:szCs w:val="18"/>
              </w:rPr>
            </w:pPr>
            <w:r w:rsidRPr="00D93780">
              <w:rPr>
                <w:rFonts w:ascii="Arial" w:hAnsi="Arial" w:cs="Arial"/>
                <w:sz w:val="18"/>
                <w:szCs w:val="18"/>
              </w:rPr>
              <w:t>Supone cambio de clase y de estado (22,67% y 7,65%)</w:t>
            </w:r>
          </w:p>
        </w:tc>
      </w:tr>
    </w:tbl>
    <w:p w14:paraId="50D8A29D" w14:textId="77777777" w:rsidR="00ED2E20" w:rsidRPr="00D93780" w:rsidRDefault="00ED2E20" w:rsidP="00ED2E20">
      <w:pPr>
        <w:spacing w:line="276" w:lineRule="auto"/>
        <w:jc w:val="both"/>
        <w:rPr>
          <w:rFonts w:ascii="Arial" w:hAnsi="Arial" w:cs="Arial"/>
          <w:sz w:val="22"/>
          <w:szCs w:val="22"/>
        </w:rPr>
      </w:pPr>
    </w:p>
    <w:p w14:paraId="21E34032" w14:textId="5E397D18"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Es importante señalar que las revalorizaciones aplicadas son </w:t>
      </w:r>
      <w:r w:rsidR="009C0922" w:rsidRPr="00D93780">
        <w:rPr>
          <w:rFonts w:ascii="Arial" w:hAnsi="Arial" w:cs="Arial"/>
          <w:sz w:val="22"/>
          <w:szCs w:val="22"/>
        </w:rPr>
        <w:t xml:space="preserve">probablemente </w:t>
      </w:r>
      <w:r w:rsidRPr="00D93780">
        <w:rPr>
          <w:rFonts w:ascii="Arial" w:hAnsi="Arial" w:cs="Arial"/>
          <w:sz w:val="22"/>
          <w:szCs w:val="22"/>
        </w:rPr>
        <w:t>conservadoras, en especial en los casos de mejora de la pavimentación y de desagües pluviales, cuyos efectos son muy superiores en los otros estudios mencionados.</w:t>
      </w:r>
    </w:p>
    <w:p w14:paraId="165C84FD" w14:textId="77777777"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Estas revalorizaciones se aplican sobre el valor total de los padrones catastrales afectados. De acuerdo con la información que proveen los proyectos y memorias técnicas, de los ocho proyectos de inversión analizados en la muestra, cuatro de ellos tenían una cuantificación del monto de los padrones afectados por las mejoras en sus condiciones urbanas. </w:t>
      </w:r>
    </w:p>
    <w:p w14:paraId="5A233AC5" w14:textId="77777777"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En los otros cuatro proyectos que no tenían cuantificación, se realizó una estimación de los valores catastrales afectados a partir de los datos disponibles del PDGS I (seis proyectos) y de los propios estudios técnicos elaborados para el PDGS II (cuatro casos). En promedio, el valor catastral afectado es 7,01 veces el valor de la inversión de la obra civil. </w:t>
      </w:r>
      <w:r w:rsidRPr="00D93780">
        <w:rPr>
          <w:rStyle w:val="FootnoteReference"/>
          <w:rFonts w:ascii="Arial" w:hAnsi="Arial" w:cs="Arial"/>
          <w:sz w:val="22"/>
          <w:szCs w:val="22"/>
        </w:rPr>
        <w:footnoteReference w:id="16"/>
      </w:r>
    </w:p>
    <w:p w14:paraId="3EA4EB1A" w14:textId="6FB80B13"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Con estos criterios, en el cuadro </w:t>
      </w:r>
      <w:r w:rsidR="00F40024" w:rsidRPr="00D93780">
        <w:rPr>
          <w:rFonts w:ascii="Arial" w:hAnsi="Arial" w:cs="Arial"/>
          <w:sz w:val="22"/>
          <w:szCs w:val="22"/>
        </w:rPr>
        <w:t>15</w:t>
      </w:r>
      <w:r w:rsidRPr="00D93780">
        <w:rPr>
          <w:rFonts w:ascii="Arial" w:hAnsi="Arial" w:cs="Arial"/>
          <w:sz w:val="22"/>
          <w:szCs w:val="22"/>
        </w:rPr>
        <w:t xml:space="preserve"> se muestra los beneficios estimados sobre la revalorización de los valores catastrales en presencia de los proyectos de obras. Hay que señalar que el efecto revalorización afecta a los </w:t>
      </w:r>
      <w:r w:rsidR="00F40024" w:rsidRPr="00D93780">
        <w:rPr>
          <w:rFonts w:ascii="Arial" w:hAnsi="Arial" w:cs="Arial"/>
          <w:sz w:val="22"/>
          <w:szCs w:val="22"/>
        </w:rPr>
        <w:t>dos</w:t>
      </w:r>
      <w:r w:rsidRPr="00D93780">
        <w:rPr>
          <w:rFonts w:ascii="Arial" w:hAnsi="Arial" w:cs="Arial"/>
          <w:sz w:val="22"/>
          <w:szCs w:val="22"/>
        </w:rPr>
        <w:t xml:space="preserve"> primeros años de forma decreciente</w:t>
      </w:r>
      <w:r w:rsidR="004C46AD" w:rsidRPr="00D93780">
        <w:rPr>
          <w:rFonts w:ascii="Arial" w:hAnsi="Arial" w:cs="Arial"/>
          <w:sz w:val="22"/>
          <w:szCs w:val="22"/>
        </w:rPr>
        <w:t xml:space="preserve"> (</w:t>
      </w:r>
      <w:r w:rsidR="006F2B1E" w:rsidRPr="00D93780">
        <w:rPr>
          <w:rFonts w:ascii="Arial" w:hAnsi="Arial" w:cs="Arial"/>
          <w:sz w:val="22"/>
          <w:szCs w:val="22"/>
        </w:rPr>
        <w:t>60</w:t>
      </w:r>
      <w:r w:rsidR="004C46AD" w:rsidRPr="00D93780">
        <w:rPr>
          <w:rFonts w:ascii="Arial" w:hAnsi="Arial" w:cs="Arial"/>
          <w:sz w:val="22"/>
          <w:szCs w:val="22"/>
        </w:rPr>
        <w:t xml:space="preserve">% primer año y </w:t>
      </w:r>
      <w:r w:rsidR="006F2B1E" w:rsidRPr="00D93780">
        <w:rPr>
          <w:rFonts w:ascii="Arial" w:hAnsi="Arial" w:cs="Arial"/>
          <w:sz w:val="22"/>
          <w:szCs w:val="22"/>
        </w:rPr>
        <w:t>40</w:t>
      </w:r>
      <w:r w:rsidR="00F40024" w:rsidRPr="00D93780">
        <w:rPr>
          <w:rFonts w:ascii="Arial" w:hAnsi="Arial" w:cs="Arial"/>
          <w:sz w:val="22"/>
          <w:szCs w:val="22"/>
        </w:rPr>
        <w:t>% segundo año)</w:t>
      </w:r>
      <w:r w:rsidRPr="00D93780">
        <w:rPr>
          <w:rFonts w:ascii="Arial" w:hAnsi="Arial" w:cs="Arial"/>
          <w:sz w:val="22"/>
          <w:szCs w:val="22"/>
        </w:rPr>
        <w:t xml:space="preserve">, y a partir del tercer año no hay efectos </w:t>
      </w:r>
      <w:r w:rsidR="006A2EA5" w:rsidRPr="00D93780">
        <w:rPr>
          <w:rFonts w:ascii="Arial" w:hAnsi="Arial" w:cs="Arial"/>
          <w:sz w:val="22"/>
          <w:szCs w:val="22"/>
        </w:rPr>
        <w:t>significativos</w:t>
      </w:r>
      <w:r w:rsidRPr="00D93780">
        <w:rPr>
          <w:rFonts w:ascii="Arial" w:hAnsi="Arial" w:cs="Arial"/>
          <w:sz w:val="22"/>
          <w:szCs w:val="22"/>
        </w:rPr>
        <w:t>.</w:t>
      </w:r>
      <w:r w:rsidR="006A2EA5" w:rsidRPr="00D93780">
        <w:rPr>
          <w:rFonts w:ascii="Arial" w:hAnsi="Arial" w:cs="Arial"/>
          <w:sz w:val="22"/>
          <w:szCs w:val="22"/>
        </w:rPr>
        <w:t xml:space="preserve"> </w:t>
      </w:r>
    </w:p>
    <w:p w14:paraId="6558029E" w14:textId="77777777" w:rsidR="005D454E" w:rsidRDefault="005D454E" w:rsidP="00462E76">
      <w:pPr>
        <w:pStyle w:val="ListParagraph"/>
        <w:spacing w:after="120"/>
        <w:ind w:left="0"/>
        <w:jc w:val="center"/>
        <w:rPr>
          <w:rFonts w:ascii="Arial" w:hAnsi="Arial" w:cs="Arial"/>
          <w:b/>
          <w:sz w:val="18"/>
          <w:szCs w:val="22"/>
        </w:rPr>
      </w:pPr>
    </w:p>
    <w:p w14:paraId="57DC2759" w14:textId="5E53092C"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lastRenderedPageBreak/>
        <w:t xml:space="preserve">Cuadro </w:t>
      </w:r>
      <w:r w:rsidR="00F40024" w:rsidRPr="00462E76">
        <w:rPr>
          <w:rFonts w:ascii="Arial" w:hAnsi="Arial" w:cs="Arial"/>
          <w:b/>
          <w:sz w:val="18"/>
          <w:szCs w:val="22"/>
        </w:rPr>
        <w:t>15</w:t>
      </w:r>
      <w:r w:rsidRPr="00462E76">
        <w:rPr>
          <w:rFonts w:ascii="Arial" w:hAnsi="Arial" w:cs="Arial"/>
          <w:b/>
          <w:sz w:val="18"/>
          <w:szCs w:val="22"/>
        </w:rPr>
        <w:t>. Beneficios: revalorizaciones catastrales</w:t>
      </w:r>
    </w:p>
    <w:tbl>
      <w:tblPr>
        <w:tblW w:w="4960" w:type="pct"/>
        <w:tblInd w:w="70" w:type="dxa"/>
        <w:tblCellMar>
          <w:left w:w="70" w:type="dxa"/>
          <w:right w:w="70" w:type="dxa"/>
        </w:tblCellMar>
        <w:tblLook w:val="04A0" w:firstRow="1" w:lastRow="0" w:firstColumn="1" w:lastColumn="0" w:noHBand="0" w:noVBand="1"/>
      </w:tblPr>
      <w:tblGrid>
        <w:gridCol w:w="241"/>
        <w:gridCol w:w="1040"/>
        <w:gridCol w:w="1087"/>
        <w:gridCol w:w="1080"/>
        <w:gridCol w:w="1101"/>
        <w:gridCol w:w="961"/>
        <w:gridCol w:w="1117"/>
        <w:gridCol w:w="1041"/>
        <w:gridCol w:w="1042"/>
      </w:tblGrid>
      <w:tr w:rsidR="00ED2E20" w:rsidRPr="00D93780" w14:paraId="4BC31695" w14:textId="77777777" w:rsidTr="005D454E">
        <w:trPr>
          <w:trHeight w:val="240"/>
        </w:trPr>
        <w:tc>
          <w:tcPr>
            <w:tcW w:w="98" w:type="pct"/>
            <w:tcBorders>
              <w:top w:val="single" w:sz="4" w:space="0" w:color="auto"/>
              <w:left w:val="nil"/>
              <w:right w:val="nil"/>
            </w:tcBorders>
            <w:shd w:val="clear" w:color="auto" w:fill="D9D9D9" w:themeFill="background1" w:themeFillShade="D9"/>
            <w:noWrap/>
            <w:vAlign w:val="bottom"/>
            <w:hideMark/>
          </w:tcPr>
          <w:p w14:paraId="33DE788B" w14:textId="77777777" w:rsidR="00ED2E20" w:rsidRPr="00D93780" w:rsidRDefault="00ED2E20" w:rsidP="00227A32">
            <w:pPr>
              <w:rPr>
                <w:rFonts w:ascii="Arial" w:hAnsi="Arial" w:cs="Arial"/>
                <w:sz w:val="18"/>
                <w:szCs w:val="18"/>
              </w:rPr>
            </w:pPr>
          </w:p>
        </w:tc>
        <w:tc>
          <w:tcPr>
            <w:tcW w:w="602" w:type="pct"/>
            <w:tcBorders>
              <w:top w:val="single" w:sz="4" w:space="0" w:color="auto"/>
              <w:left w:val="nil"/>
              <w:right w:val="nil"/>
            </w:tcBorders>
            <w:shd w:val="clear" w:color="auto" w:fill="D9D9D9" w:themeFill="background1" w:themeFillShade="D9"/>
            <w:noWrap/>
            <w:vAlign w:val="bottom"/>
            <w:hideMark/>
          </w:tcPr>
          <w:p w14:paraId="78C345F5"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Artigas</w:t>
            </w:r>
          </w:p>
        </w:tc>
        <w:tc>
          <w:tcPr>
            <w:tcW w:w="629" w:type="pct"/>
            <w:tcBorders>
              <w:top w:val="single" w:sz="4" w:space="0" w:color="auto"/>
              <w:left w:val="nil"/>
              <w:right w:val="nil"/>
            </w:tcBorders>
            <w:shd w:val="clear" w:color="auto" w:fill="D9D9D9" w:themeFill="background1" w:themeFillShade="D9"/>
            <w:noWrap/>
            <w:vAlign w:val="bottom"/>
            <w:hideMark/>
          </w:tcPr>
          <w:p w14:paraId="765FC38F"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Canelones</w:t>
            </w:r>
          </w:p>
        </w:tc>
        <w:tc>
          <w:tcPr>
            <w:tcW w:w="625" w:type="pct"/>
            <w:tcBorders>
              <w:top w:val="single" w:sz="4" w:space="0" w:color="auto"/>
              <w:left w:val="nil"/>
              <w:right w:val="nil"/>
            </w:tcBorders>
            <w:shd w:val="clear" w:color="auto" w:fill="D9D9D9" w:themeFill="background1" w:themeFillShade="D9"/>
            <w:noWrap/>
            <w:vAlign w:val="bottom"/>
            <w:hideMark/>
          </w:tcPr>
          <w:p w14:paraId="52DE3305"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Colonia 1</w:t>
            </w:r>
          </w:p>
        </w:tc>
        <w:tc>
          <w:tcPr>
            <w:tcW w:w="637" w:type="pct"/>
            <w:tcBorders>
              <w:top w:val="single" w:sz="4" w:space="0" w:color="auto"/>
              <w:left w:val="nil"/>
              <w:right w:val="nil"/>
            </w:tcBorders>
            <w:shd w:val="clear" w:color="auto" w:fill="D9D9D9" w:themeFill="background1" w:themeFillShade="D9"/>
            <w:noWrap/>
            <w:vAlign w:val="bottom"/>
            <w:hideMark/>
          </w:tcPr>
          <w:p w14:paraId="31581A36"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Colonia 2</w:t>
            </w:r>
          </w:p>
        </w:tc>
        <w:tc>
          <w:tcPr>
            <w:tcW w:w="556" w:type="pct"/>
            <w:tcBorders>
              <w:top w:val="single" w:sz="4" w:space="0" w:color="auto"/>
              <w:left w:val="nil"/>
              <w:right w:val="nil"/>
            </w:tcBorders>
            <w:shd w:val="clear" w:color="auto" w:fill="D9D9D9" w:themeFill="background1" w:themeFillShade="D9"/>
            <w:noWrap/>
            <w:vAlign w:val="bottom"/>
            <w:hideMark/>
          </w:tcPr>
          <w:p w14:paraId="1BF269D4"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Florida</w:t>
            </w:r>
          </w:p>
        </w:tc>
        <w:tc>
          <w:tcPr>
            <w:tcW w:w="647" w:type="pct"/>
            <w:tcBorders>
              <w:top w:val="single" w:sz="4" w:space="0" w:color="auto"/>
              <w:left w:val="nil"/>
              <w:right w:val="nil"/>
            </w:tcBorders>
            <w:shd w:val="clear" w:color="auto" w:fill="D9D9D9" w:themeFill="background1" w:themeFillShade="D9"/>
            <w:noWrap/>
            <w:vAlign w:val="bottom"/>
            <w:hideMark/>
          </w:tcPr>
          <w:p w14:paraId="3DD2A62F"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Maldonado</w:t>
            </w:r>
          </w:p>
        </w:tc>
        <w:tc>
          <w:tcPr>
            <w:tcW w:w="603" w:type="pct"/>
            <w:tcBorders>
              <w:top w:val="single" w:sz="4" w:space="0" w:color="auto"/>
              <w:left w:val="nil"/>
              <w:right w:val="nil"/>
            </w:tcBorders>
            <w:shd w:val="clear" w:color="auto" w:fill="D9D9D9" w:themeFill="background1" w:themeFillShade="D9"/>
            <w:noWrap/>
            <w:vAlign w:val="bottom"/>
            <w:hideMark/>
          </w:tcPr>
          <w:p w14:paraId="553E2D71"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Rocha</w:t>
            </w:r>
          </w:p>
        </w:tc>
        <w:tc>
          <w:tcPr>
            <w:tcW w:w="603" w:type="pct"/>
            <w:tcBorders>
              <w:top w:val="single" w:sz="4" w:space="0" w:color="auto"/>
              <w:left w:val="nil"/>
              <w:right w:val="nil"/>
            </w:tcBorders>
            <w:shd w:val="clear" w:color="auto" w:fill="D9D9D9" w:themeFill="background1" w:themeFillShade="D9"/>
            <w:noWrap/>
            <w:vAlign w:val="bottom"/>
            <w:hideMark/>
          </w:tcPr>
          <w:p w14:paraId="4D62361F"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San José</w:t>
            </w:r>
          </w:p>
        </w:tc>
      </w:tr>
      <w:tr w:rsidR="00ED2E20" w:rsidRPr="00D93780" w14:paraId="2F46A8F8" w14:textId="77777777" w:rsidTr="005D454E">
        <w:trPr>
          <w:trHeight w:val="480"/>
        </w:trPr>
        <w:tc>
          <w:tcPr>
            <w:tcW w:w="98" w:type="pct"/>
            <w:tcBorders>
              <w:top w:val="nil"/>
              <w:left w:val="nil"/>
              <w:bottom w:val="single" w:sz="4" w:space="0" w:color="auto"/>
              <w:right w:val="nil"/>
            </w:tcBorders>
            <w:shd w:val="clear" w:color="auto" w:fill="D9D9D9" w:themeFill="background1" w:themeFillShade="D9"/>
            <w:noWrap/>
            <w:vAlign w:val="bottom"/>
            <w:hideMark/>
          </w:tcPr>
          <w:p w14:paraId="16462B5F" w14:textId="77777777" w:rsidR="00ED2E20" w:rsidRPr="00D93780" w:rsidRDefault="00ED2E20" w:rsidP="00227A32">
            <w:pPr>
              <w:jc w:val="center"/>
              <w:rPr>
                <w:rFonts w:ascii="Arial" w:hAnsi="Arial" w:cs="Arial"/>
                <w:sz w:val="18"/>
                <w:szCs w:val="18"/>
              </w:rPr>
            </w:pPr>
          </w:p>
        </w:tc>
        <w:tc>
          <w:tcPr>
            <w:tcW w:w="602" w:type="pct"/>
            <w:tcBorders>
              <w:top w:val="nil"/>
              <w:left w:val="nil"/>
              <w:bottom w:val="single" w:sz="4" w:space="0" w:color="auto"/>
              <w:right w:val="nil"/>
            </w:tcBorders>
            <w:shd w:val="clear" w:color="auto" w:fill="D9D9D9" w:themeFill="background1" w:themeFillShade="D9"/>
            <w:vAlign w:val="bottom"/>
            <w:hideMark/>
          </w:tcPr>
          <w:p w14:paraId="1CFA9BCD"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Paviment. y pluviales</w:t>
            </w:r>
          </w:p>
        </w:tc>
        <w:tc>
          <w:tcPr>
            <w:tcW w:w="629" w:type="pct"/>
            <w:tcBorders>
              <w:top w:val="nil"/>
              <w:left w:val="nil"/>
              <w:bottom w:val="single" w:sz="4" w:space="0" w:color="auto"/>
              <w:right w:val="nil"/>
            </w:tcBorders>
            <w:shd w:val="clear" w:color="auto" w:fill="D9D9D9" w:themeFill="background1" w:themeFillShade="D9"/>
            <w:vAlign w:val="bottom"/>
            <w:hideMark/>
          </w:tcPr>
          <w:p w14:paraId="5537DB77"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Paviment. y pluviales</w:t>
            </w:r>
          </w:p>
        </w:tc>
        <w:tc>
          <w:tcPr>
            <w:tcW w:w="625" w:type="pct"/>
            <w:tcBorders>
              <w:top w:val="nil"/>
              <w:left w:val="nil"/>
              <w:bottom w:val="single" w:sz="4" w:space="0" w:color="auto"/>
              <w:right w:val="nil"/>
            </w:tcBorders>
            <w:shd w:val="clear" w:color="auto" w:fill="D9D9D9" w:themeFill="background1" w:themeFillShade="D9"/>
            <w:vAlign w:val="bottom"/>
            <w:hideMark/>
          </w:tcPr>
          <w:p w14:paraId="5AEB55D2"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Paviment. y pluviales</w:t>
            </w:r>
          </w:p>
        </w:tc>
        <w:tc>
          <w:tcPr>
            <w:tcW w:w="637" w:type="pct"/>
            <w:tcBorders>
              <w:top w:val="nil"/>
              <w:left w:val="nil"/>
              <w:bottom w:val="single" w:sz="4" w:space="0" w:color="auto"/>
              <w:right w:val="nil"/>
            </w:tcBorders>
            <w:shd w:val="clear" w:color="auto" w:fill="D9D9D9" w:themeFill="background1" w:themeFillShade="D9"/>
            <w:vAlign w:val="bottom"/>
            <w:hideMark/>
          </w:tcPr>
          <w:p w14:paraId="11484138"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Patrimonio histórico</w:t>
            </w:r>
          </w:p>
        </w:tc>
        <w:tc>
          <w:tcPr>
            <w:tcW w:w="556" w:type="pct"/>
            <w:tcBorders>
              <w:top w:val="nil"/>
              <w:left w:val="nil"/>
              <w:bottom w:val="single" w:sz="4" w:space="0" w:color="auto"/>
              <w:right w:val="nil"/>
            </w:tcBorders>
            <w:shd w:val="clear" w:color="auto" w:fill="D9D9D9" w:themeFill="background1" w:themeFillShade="D9"/>
            <w:vAlign w:val="bottom"/>
            <w:hideMark/>
          </w:tcPr>
          <w:p w14:paraId="1BFAB259"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Equip. deportivo</w:t>
            </w:r>
          </w:p>
        </w:tc>
        <w:tc>
          <w:tcPr>
            <w:tcW w:w="647" w:type="pct"/>
            <w:tcBorders>
              <w:top w:val="nil"/>
              <w:left w:val="nil"/>
              <w:bottom w:val="single" w:sz="4" w:space="0" w:color="auto"/>
              <w:right w:val="nil"/>
            </w:tcBorders>
            <w:shd w:val="clear" w:color="auto" w:fill="D9D9D9" w:themeFill="background1" w:themeFillShade="D9"/>
            <w:vAlign w:val="bottom"/>
            <w:hideMark/>
          </w:tcPr>
          <w:p w14:paraId="7B98D23A"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Paviment. y pluviales</w:t>
            </w:r>
          </w:p>
        </w:tc>
        <w:tc>
          <w:tcPr>
            <w:tcW w:w="603" w:type="pct"/>
            <w:tcBorders>
              <w:top w:val="nil"/>
              <w:left w:val="nil"/>
              <w:bottom w:val="single" w:sz="4" w:space="0" w:color="auto"/>
              <w:right w:val="nil"/>
            </w:tcBorders>
            <w:shd w:val="clear" w:color="auto" w:fill="D9D9D9" w:themeFill="background1" w:themeFillShade="D9"/>
            <w:vAlign w:val="bottom"/>
            <w:hideMark/>
          </w:tcPr>
          <w:p w14:paraId="30C5E95E"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Paviment. y pluviales</w:t>
            </w:r>
          </w:p>
        </w:tc>
        <w:tc>
          <w:tcPr>
            <w:tcW w:w="603" w:type="pct"/>
            <w:tcBorders>
              <w:top w:val="nil"/>
              <w:left w:val="nil"/>
              <w:bottom w:val="single" w:sz="4" w:space="0" w:color="auto"/>
              <w:right w:val="nil"/>
            </w:tcBorders>
            <w:shd w:val="clear" w:color="auto" w:fill="D9D9D9" w:themeFill="background1" w:themeFillShade="D9"/>
            <w:vAlign w:val="bottom"/>
            <w:hideMark/>
          </w:tcPr>
          <w:p w14:paraId="33967D03" w14:textId="77777777" w:rsidR="00ED2E20" w:rsidRPr="00D93780" w:rsidRDefault="00ED2E20" w:rsidP="00573897">
            <w:pPr>
              <w:jc w:val="right"/>
              <w:rPr>
                <w:rFonts w:ascii="Arial" w:hAnsi="Arial" w:cs="Arial"/>
                <w:b/>
                <w:bCs/>
                <w:color w:val="000000"/>
                <w:sz w:val="18"/>
                <w:szCs w:val="18"/>
              </w:rPr>
            </w:pPr>
            <w:r w:rsidRPr="00D93780">
              <w:rPr>
                <w:rFonts w:ascii="Arial" w:hAnsi="Arial" w:cs="Arial"/>
                <w:b/>
                <w:bCs/>
                <w:color w:val="000000"/>
                <w:sz w:val="18"/>
                <w:szCs w:val="18"/>
              </w:rPr>
              <w:t>Paviment. y pluviales</w:t>
            </w:r>
          </w:p>
        </w:tc>
      </w:tr>
      <w:tr w:rsidR="006F2B1E" w:rsidRPr="00D93780" w14:paraId="08F1AD78" w14:textId="77777777" w:rsidTr="005D454E">
        <w:trPr>
          <w:trHeight w:val="240"/>
        </w:trPr>
        <w:tc>
          <w:tcPr>
            <w:tcW w:w="98" w:type="pct"/>
            <w:tcBorders>
              <w:top w:val="single" w:sz="4" w:space="0" w:color="auto"/>
              <w:left w:val="nil"/>
              <w:bottom w:val="nil"/>
              <w:right w:val="nil"/>
            </w:tcBorders>
            <w:shd w:val="clear" w:color="auto" w:fill="auto"/>
            <w:noWrap/>
            <w:vAlign w:val="bottom"/>
            <w:hideMark/>
          </w:tcPr>
          <w:p w14:paraId="44CCF382" w14:textId="0AF5CBAF"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2</w:t>
            </w:r>
          </w:p>
        </w:tc>
        <w:tc>
          <w:tcPr>
            <w:tcW w:w="602" w:type="pct"/>
            <w:tcBorders>
              <w:top w:val="single" w:sz="4" w:space="0" w:color="auto"/>
              <w:left w:val="nil"/>
              <w:bottom w:val="nil"/>
              <w:right w:val="nil"/>
            </w:tcBorders>
            <w:shd w:val="clear" w:color="auto" w:fill="auto"/>
            <w:noWrap/>
            <w:vAlign w:val="bottom"/>
            <w:hideMark/>
          </w:tcPr>
          <w:p w14:paraId="05A68BA9" w14:textId="6E1B88A5"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1.802.092</w:t>
            </w:r>
          </w:p>
        </w:tc>
        <w:tc>
          <w:tcPr>
            <w:tcW w:w="629" w:type="pct"/>
            <w:tcBorders>
              <w:top w:val="single" w:sz="4" w:space="0" w:color="auto"/>
              <w:left w:val="nil"/>
              <w:bottom w:val="nil"/>
              <w:right w:val="nil"/>
            </w:tcBorders>
            <w:shd w:val="clear" w:color="auto" w:fill="auto"/>
            <w:noWrap/>
            <w:vAlign w:val="bottom"/>
            <w:hideMark/>
          </w:tcPr>
          <w:p w14:paraId="6148862B" w14:textId="4E0D1259"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3.372.157</w:t>
            </w:r>
          </w:p>
        </w:tc>
        <w:tc>
          <w:tcPr>
            <w:tcW w:w="625" w:type="pct"/>
            <w:tcBorders>
              <w:top w:val="single" w:sz="4" w:space="0" w:color="auto"/>
              <w:left w:val="nil"/>
              <w:bottom w:val="nil"/>
              <w:right w:val="nil"/>
            </w:tcBorders>
            <w:shd w:val="clear" w:color="auto" w:fill="auto"/>
            <w:noWrap/>
            <w:vAlign w:val="bottom"/>
            <w:hideMark/>
          </w:tcPr>
          <w:p w14:paraId="36500D2B" w14:textId="31B46DA2"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6.751.107</w:t>
            </w:r>
          </w:p>
        </w:tc>
        <w:tc>
          <w:tcPr>
            <w:tcW w:w="637" w:type="pct"/>
            <w:tcBorders>
              <w:top w:val="single" w:sz="4" w:space="0" w:color="auto"/>
              <w:left w:val="nil"/>
              <w:bottom w:val="nil"/>
              <w:right w:val="nil"/>
            </w:tcBorders>
            <w:shd w:val="clear" w:color="auto" w:fill="auto"/>
            <w:noWrap/>
            <w:vAlign w:val="bottom"/>
            <w:hideMark/>
          </w:tcPr>
          <w:p w14:paraId="3815F387" w14:textId="0810B247"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1.248.570</w:t>
            </w:r>
          </w:p>
        </w:tc>
        <w:tc>
          <w:tcPr>
            <w:tcW w:w="556" w:type="pct"/>
            <w:tcBorders>
              <w:top w:val="single" w:sz="4" w:space="0" w:color="auto"/>
              <w:left w:val="nil"/>
              <w:bottom w:val="nil"/>
              <w:right w:val="nil"/>
            </w:tcBorders>
            <w:shd w:val="clear" w:color="auto" w:fill="auto"/>
            <w:noWrap/>
            <w:vAlign w:val="bottom"/>
            <w:hideMark/>
          </w:tcPr>
          <w:p w14:paraId="3D2C51C4" w14:textId="62462B9D"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339.149</w:t>
            </w:r>
          </w:p>
        </w:tc>
        <w:tc>
          <w:tcPr>
            <w:tcW w:w="647" w:type="pct"/>
            <w:tcBorders>
              <w:top w:val="single" w:sz="4" w:space="0" w:color="auto"/>
              <w:left w:val="nil"/>
              <w:bottom w:val="nil"/>
              <w:right w:val="nil"/>
            </w:tcBorders>
            <w:shd w:val="clear" w:color="auto" w:fill="auto"/>
            <w:noWrap/>
            <w:vAlign w:val="bottom"/>
            <w:hideMark/>
          </w:tcPr>
          <w:p w14:paraId="6849B03B" w14:textId="6B2572E8"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5.451.972</w:t>
            </w:r>
          </w:p>
        </w:tc>
        <w:tc>
          <w:tcPr>
            <w:tcW w:w="603" w:type="pct"/>
            <w:tcBorders>
              <w:top w:val="single" w:sz="4" w:space="0" w:color="auto"/>
              <w:left w:val="nil"/>
              <w:bottom w:val="nil"/>
              <w:right w:val="nil"/>
            </w:tcBorders>
            <w:shd w:val="clear" w:color="auto" w:fill="auto"/>
            <w:noWrap/>
            <w:vAlign w:val="bottom"/>
            <w:hideMark/>
          </w:tcPr>
          <w:p w14:paraId="6DFAB414" w14:textId="60E6990F"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2.686.788</w:t>
            </w:r>
          </w:p>
        </w:tc>
        <w:tc>
          <w:tcPr>
            <w:tcW w:w="603" w:type="pct"/>
            <w:tcBorders>
              <w:top w:val="single" w:sz="4" w:space="0" w:color="auto"/>
              <w:left w:val="nil"/>
              <w:bottom w:val="nil"/>
              <w:right w:val="nil"/>
            </w:tcBorders>
            <w:shd w:val="clear" w:color="auto" w:fill="auto"/>
            <w:noWrap/>
            <w:vAlign w:val="bottom"/>
            <w:hideMark/>
          </w:tcPr>
          <w:p w14:paraId="45DB4BA4" w14:textId="15AC383A"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3.159.870</w:t>
            </w:r>
          </w:p>
        </w:tc>
      </w:tr>
      <w:tr w:rsidR="006F2B1E" w:rsidRPr="00D93780" w14:paraId="61562BE7" w14:textId="77777777" w:rsidTr="005D454E">
        <w:trPr>
          <w:trHeight w:val="240"/>
        </w:trPr>
        <w:tc>
          <w:tcPr>
            <w:tcW w:w="98" w:type="pct"/>
            <w:tcBorders>
              <w:top w:val="nil"/>
              <w:left w:val="nil"/>
              <w:bottom w:val="nil"/>
              <w:right w:val="nil"/>
            </w:tcBorders>
            <w:shd w:val="clear" w:color="auto" w:fill="auto"/>
            <w:noWrap/>
            <w:vAlign w:val="bottom"/>
            <w:hideMark/>
          </w:tcPr>
          <w:p w14:paraId="3A9894BC" w14:textId="6115A01C"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3</w:t>
            </w:r>
          </w:p>
        </w:tc>
        <w:tc>
          <w:tcPr>
            <w:tcW w:w="602" w:type="pct"/>
            <w:tcBorders>
              <w:top w:val="nil"/>
              <w:left w:val="nil"/>
              <w:bottom w:val="nil"/>
              <w:right w:val="nil"/>
            </w:tcBorders>
            <w:shd w:val="clear" w:color="auto" w:fill="auto"/>
            <w:noWrap/>
            <w:vAlign w:val="bottom"/>
            <w:hideMark/>
          </w:tcPr>
          <w:p w14:paraId="0A8EB65C" w14:textId="7EEB1AC4"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1.201.395</w:t>
            </w:r>
          </w:p>
        </w:tc>
        <w:tc>
          <w:tcPr>
            <w:tcW w:w="629" w:type="pct"/>
            <w:tcBorders>
              <w:top w:val="nil"/>
              <w:left w:val="nil"/>
              <w:bottom w:val="nil"/>
              <w:right w:val="nil"/>
            </w:tcBorders>
            <w:shd w:val="clear" w:color="auto" w:fill="auto"/>
            <w:noWrap/>
            <w:vAlign w:val="bottom"/>
            <w:hideMark/>
          </w:tcPr>
          <w:p w14:paraId="1FF69488" w14:textId="61C63B90"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2.248.105</w:t>
            </w:r>
          </w:p>
        </w:tc>
        <w:tc>
          <w:tcPr>
            <w:tcW w:w="625" w:type="pct"/>
            <w:tcBorders>
              <w:top w:val="nil"/>
              <w:left w:val="nil"/>
              <w:bottom w:val="nil"/>
              <w:right w:val="nil"/>
            </w:tcBorders>
            <w:shd w:val="clear" w:color="auto" w:fill="auto"/>
            <w:noWrap/>
            <w:vAlign w:val="bottom"/>
            <w:hideMark/>
          </w:tcPr>
          <w:p w14:paraId="51ACE638" w14:textId="3B43577B"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4.500.738</w:t>
            </w:r>
          </w:p>
        </w:tc>
        <w:tc>
          <w:tcPr>
            <w:tcW w:w="637" w:type="pct"/>
            <w:tcBorders>
              <w:top w:val="nil"/>
              <w:left w:val="nil"/>
              <w:bottom w:val="nil"/>
              <w:right w:val="nil"/>
            </w:tcBorders>
            <w:shd w:val="clear" w:color="auto" w:fill="auto"/>
            <w:noWrap/>
            <w:vAlign w:val="bottom"/>
            <w:hideMark/>
          </w:tcPr>
          <w:p w14:paraId="7108D0C0" w14:textId="4073D26F"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832.380</w:t>
            </w:r>
          </w:p>
        </w:tc>
        <w:tc>
          <w:tcPr>
            <w:tcW w:w="556" w:type="pct"/>
            <w:tcBorders>
              <w:top w:val="nil"/>
              <w:left w:val="nil"/>
              <w:bottom w:val="nil"/>
              <w:right w:val="nil"/>
            </w:tcBorders>
            <w:shd w:val="clear" w:color="auto" w:fill="auto"/>
            <w:noWrap/>
            <w:vAlign w:val="bottom"/>
            <w:hideMark/>
          </w:tcPr>
          <w:p w14:paraId="7A3D50DB" w14:textId="1D484C2B"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226.099</w:t>
            </w:r>
          </w:p>
        </w:tc>
        <w:tc>
          <w:tcPr>
            <w:tcW w:w="647" w:type="pct"/>
            <w:tcBorders>
              <w:top w:val="nil"/>
              <w:left w:val="nil"/>
              <w:bottom w:val="nil"/>
              <w:right w:val="nil"/>
            </w:tcBorders>
            <w:shd w:val="clear" w:color="auto" w:fill="auto"/>
            <w:noWrap/>
            <w:vAlign w:val="bottom"/>
            <w:hideMark/>
          </w:tcPr>
          <w:p w14:paraId="1D53CC2F" w14:textId="5DCF664F"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3.634.648</w:t>
            </w:r>
          </w:p>
        </w:tc>
        <w:tc>
          <w:tcPr>
            <w:tcW w:w="603" w:type="pct"/>
            <w:tcBorders>
              <w:top w:val="nil"/>
              <w:left w:val="nil"/>
              <w:bottom w:val="nil"/>
              <w:right w:val="nil"/>
            </w:tcBorders>
            <w:shd w:val="clear" w:color="auto" w:fill="auto"/>
            <w:noWrap/>
            <w:vAlign w:val="bottom"/>
            <w:hideMark/>
          </w:tcPr>
          <w:p w14:paraId="32CCECD5" w14:textId="7EABF6CD"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1.791.192</w:t>
            </w:r>
          </w:p>
        </w:tc>
        <w:tc>
          <w:tcPr>
            <w:tcW w:w="603" w:type="pct"/>
            <w:tcBorders>
              <w:top w:val="nil"/>
              <w:left w:val="nil"/>
              <w:bottom w:val="nil"/>
              <w:right w:val="nil"/>
            </w:tcBorders>
            <w:shd w:val="clear" w:color="auto" w:fill="auto"/>
            <w:noWrap/>
            <w:vAlign w:val="bottom"/>
            <w:hideMark/>
          </w:tcPr>
          <w:p w14:paraId="7AA68556" w14:textId="17C44EF4" w:rsidR="006F2B1E" w:rsidRPr="00D93780" w:rsidRDefault="006F2B1E" w:rsidP="006F2B1E">
            <w:pPr>
              <w:jc w:val="right"/>
              <w:rPr>
                <w:rFonts w:ascii="Arial" w:hAnsi="Arial" w:cs="Arial"/>
                <w:color w:val="000000"/>
                <w:sz w:val="18"/>
                <w:szCs w:val="18"/>
              </w:rPr>
            </w:pPr>
            <w:r w:rsidRPr="00D93780">
              <w:rPr>
                <w:rFonts w:ascii="Arial" w:hAnsi="Arial" w:cs="Arial"/>
                <w:color w:val="000000"/>
                <w:sz w:val="18"/>
                <w:szCs w:val="18"/>
              </w:rPr>
              <w:t>2.106.580</w:t>
            </w:r>
          </w:p>
        </w:tc>
      </w:tr>
      <w:tr w:rsidR="00F40024" w:rsidRPr="00D93780" w14:paraId="429B47C5" w14:textId="77777777" w:rsidTr="005D454E">
        <w:trPr>
          <w:trHeight w:val="240"/>
        </w:trPr>
        <w:tc>
          <w:tcPr>
            <w:tcW w:w="98" w:type="pct"/>
            <w:tcBorders>
              <w:top w:val="nil"/>
              <w:left w:val="nil"/>
              <w:bottom w:val="single" w:sz="4" w:space="0" w:color="auto"/>
              <w:right w:val="nil"/>
            </w:tcBorders>
            <w:shd w:val="clear" w:color="auto" w:fill="auto"/>
            <w:noWrap/>
            <w:vAlign w:val="bottom"/>
            <w:hideMark/>
          </w:tcPr>
          <w:p w14:paraId="1FE73499" w14:textId="77777777" w:rsidR="00F40024" w:rsidRPr="00D93780" w:rsidRDefault="00F40024" w:rsidP="00F40024">
            <w:pPr>
              <w:rPr>
                <w:rFonts w:ascii="Arial" w:hAnsi="Arial" w:cs="Arial"/>
                <w:sz w:val="18"/>
                <w:szCs w:val="18"/>
              </w:rPr>
            </w:pPr>
          </w:p>
        </w:tc>
        <w:tc>
          <w:tcPr>
            <w:tcW w:w="602" w:type="pct"/>
            <w:tcBorders>
              <w:top w:val="nil"/>
              <w:left w:val="nil"/>
              <w:bottom w:val="single" w:sz="4" w:space="0" w:color="auto"/>
              <w:right w:val="nil"/>
            </w:tcBorders>
            <w:shd w:val="clear" w:color="auto" w:fill="auto"/>
            <w:noWrap/>
            <w:vAlign w:val="bottom"/>
            <w:hideMark/>
          </w:tcPr>
          <w:p w14:paraId="03D99AF1" w14:textId="4879B2AA"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3.003.487</w:t>
            </w:r>
          </w:p>
        </w:tc>
        <w:tc>
          <w:tcPr>
            <w:tcW w:w="629" w:type="pct"/>
            <w:tcBorders>
              <w:top w:val="nil"/>
              <w:left w:val="nil"/>
              <w:bottom w:val="single" w:sz="4" w:space="0" w:color="auto"/>
              <w:right w:val="nil"/>
            </w:tcBorders>
            <w:shd w:val="clear" w:color="auto" w:fill="auto"/>
            <w:noWrap/>
            <w:vAlign w:val="bottom"/>
            <w:hideMark/>
          </w:tcPr>
          <w:p w14:paraId="4E19BC5B" w14:textId="33C945BE"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5.620.262</w:t>
            </w:r>
          </w:p>
        </w:tc>
        <w:tc>
          <w:tcPr>
            <w:tcW w:w="625" w:type="pct"/>
            <w:tcBorders>
              <w:top w:val="nil"/>
              <w:left w:val="nil"/>
              <w:bottom w:val="single" w:sz="4" w:space="0" w:color="auto"/>
              <w:right w:val="nil"/>
            </w:tcBorders>
            <w:shd w:val="clear" w:color="auto" w:fill="auto"/>
            <w:noWrap/>
            <w:vAlign w:val="bottom"/>
            <w:hideMark/>
          </w:tcPr>
          <w:p w14:paraId="4C5BE0B9" w14:textId="545E0919"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11.251.845</w:t>
            </w:r>
          </w:p>
        </w:tc>
        <w:tc>
          <w:tcPr>
            <w:tcW w:w="637" w:type="pct"/>
            <w:tcBorders>
              <w:top w:val="nil"/>
              <w:left w:val="nil"/>
              <w:bottom w:val="single" w:sz="4" w:space="0" w:color="auto"/>
              <w:right w:val="nil"/>
            </w:tcBorders>
            <w:shd w:val="clear" w:color="auto" w:fill="auto"/>
            <w:noWrap/>
            <w:vAlign w:val="bottom"/>
            <w:hideMark/>
          </w:tcPr>
          <w:p w14:paraId="7BC90819" w14:textId="4A412163"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2.080.950</w:t>
            </w:r>
          </w:p>
        </w:tc>
        <w:tc>
          <w:tcPr>
            <w:tcW w:w="556" w:type="pct"/>
            <w:tcBorders>
              <w:top w:val="nil"/>
              <w:left w:val="nil"/>
              <w:bottom w:val="single" w:sz="4" w:space="0" w:color="auto"/>
              <w:right w:val="nil"/>
            </w:tcBorders>
            <w:shd w:val="clear" w:color="auto" w:fill="auto"/>
            <w:noWrap/>
            <w:vAlign w:val="bottom"/>
            <w:hideMark/>
          </w:tcPr>
          <w:p w14:paraId="6A48A0B0" w14:textId="10F0B54E"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565.248</w:t>
            </w:r>
          </w:p>
        </w:tc>
        <w:tc>
          <w:tcPr>
            <w:tcW w:w="647" w:type="pct"/>
            <w:tcBorders>
              <w:top w:val="nil"/>
              <w:left w:val="nil"/>
              <w:bottom w:val="single" w:sz="4" w:space="0" w:color="auto"/>
              <w:right w:val="nil"/>
            </w:tcBorders>
            <w:shd w:val="clear" w:color="auto" w:fill="auto"/>
            <w:noWrap/>
            <w:vAlign w:val="bottom"/>
            <w:hideMark/>
          </w:tcPr>
          <w:p w14:paraId="7F4978A5" w14:textId="21083DD6"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9.086.620</w:t>
            </w:r>
          </w:p>
        </w:tc>
        <w:tc>
          <w:tcPr>
            <w:tcW w:w="603" w:type="pct"/>
            <w:tcBorders>
              <w:top w:val="nil"/>
              <w:left w:val="nil"/>
              <w:bottom w:val="single" w:sz="4" w:space="0" w:color="auto"/>
              <w:right w:val="nil"/>
            </w:tcBorders>
            <w:shd w:val="clear" w:color="auto" w:fill="auto"/>
            <w:noWrap/>
            <w:vAlign w:val="bottom"/>
            <w:hideMark/>
          </w:tcPr>
          <w:p w14:paraId="40A643AF" w14:textId="2C1F7214" w:rsidR="00F40024" w:rsidRPr="00D93780" w:rsidRDefault="00F40024" w:rsidP="00F40024">
            <w:pPr>
              <w:jc w:val="right"/>
              <w:rPr>
                <w:rFonts w:ascii="Arial" w:hAnsi="Arial" w:cs="Arial"/>
                <w:b/>
                <w:bCs/>
                <w:color w:val="000000"/>
                <w:sz w:val="18"/>
                <w:szCs w:val="18"/>
              </w:rPr>
            </w:pPr>
            <w:r w:rsidRPr="00D93780">
              <w:rPr>
                <w:rFonts w:ascii="Arial" w:hAnsi="Arial" w:cs="Arial"/>
                <w:b/>
                <w:color w:val="000000"/>
                <w:sz w:val="18"/>
                <w:szCs w:val="18"/>
              </w:rPr>
              <w:t>4.477.979</w:t>
            </w:r>
          </w:p>
        </w:tc>
        <w:tc>
          <w:tcPr>
            <w:tcW w:w="603" w:type="pct"/>
            <w:tcBorders>
              <w:top w:val="nil"/>
              <w:left w:val="nil"/>
              <w:bottom w:val="single" w:sz="4" w:space="0" w:color="auto"/>
              <w:right w:val="nil"/>
            </w:tcBorders>
            <w:shd w:val="clear" w:color="auto" w:fill="auto"/>
            <w:noWrap/>
            <w:vAlign w:val="bottom"/>
            <w:hideMark/>
          </w:tcPr>
          <w:p w14:paraId="457F6039" w14:textId="0EDFD4E2" w:rsidR="00F40024" w:rsidRPr="00D93780" w:rsidRDefault="009C0922" w:rsidP="009C0922">
            <w:pPr>
              <w:jc w:val="right"/>
              <w:rPr>
                <w:rFonts w:ascii="Arial" w:hAnsi="Arial" w:cs="Arial"/>
                <w:b/>
                <w:color w:val="000000"/>
                <w:sz w:val="18"/>
                <w:szCs w:val="18"/>
              </w:rPr>
            </w:pPr>
            <w:r w:rsidRPr="00D93780">
              <w:rPr>
                <w:rFonts w:ascii="Arial" w:hAnsi="Arial" w:cs="Arial"/>
                <w:b/>
                <w:color w:val="000000"/>
                <w:sz w:val="18"/>
                <w:szCs w:val="18"/>
              </w:rPr>
              <w:t>5.266.45</w:t>
            </w:r>
            <w:r w:rsidR="006F2B1E" w:rsidRPr="00D93780">
              <w:rPr>
                <w:rFonts w:ascii="Arial" w:hAnsi="Arial" w:cs="Arial"/>
                <w:b/>
                <w:color w:val="000000"/>
                <w:sz w:val="18"/>
                <w:szCs w:val="18"/>
              </w:rPr>
              <w:t>0</w:t>
            </w:r>
          </w:p>
        </w:tc>
      </w:tr>
    </w:tbl>
    <w:p w14:paraId="5A1D1AF8" w14:textId="77777777" w:rsidR="00ED2E20" w:rsidRPr="00D93780" w:rsidRDefault="00ED2E20" w:rsidP="00ED2E20">
      <w:pPr>
        <w:ind w:left="142"/>
        <w:rPr>
          <w:rFonts w:ascii="Arial" w:hAnsi="Arial" w:cs="Arial"/>
          <w:sz w:val="18"/>
          <w:szCs w:val="18"/>
        </w:rPr>
      </w:pPr>
      <w:r w:rsidRPr="00D93780">
        <w:rPr>
          <w:rFonts w:ascii="Arial" w:hAnsi="Arial" w:cs="Arial"/>
          <w:sz w:val="18"/>
          <w:szCs w:val="18"/>
        </w:rPr>
        <w:t>Montos en USD. Sin descontar.</w:t>
      </w:r>
    </w:p>
    <w:p w14:paraId="601BF9D0" w14:textId="405585DE" w:rsidR="006A2EA5" w:rsidRPr="00D93780" w:rsidRDefault="006A2EA5"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Este supuesto de no extender en más de dos años el efecto de revalorización debe considerarse conservador, dado que las reacciones de los mercados de suelo y de la vivienda, ante cambios en las infraestructuras, suelen tener ciertos retardos por asimetrías de información. </w:t>
      </w:r>
      <w:r w:rsidR="009844A4" w:rsidRPr="00D93780">
        <w:rPr>
          <w:rFonts w:ascii="Arial" w:hAnsi="Arial" w:cs="Arial"/>
          <w:sz w:val="22"/>
          <w:szCs w:val="22"/>
        </w:rPr>
        <w:t xml:space="preserve">Este </w:t>
      </w:r>
      <w:r w:rsidR="009844A4" w:rsidRPr="00D93780">
        <w:rPr>
          <w:rFonts w:ascii="Arial" w:hAnsi="Arial" w:cs="Arial"/>
          <w:i/>
          <w:sz w:val="22"/>
          <w:szCs w:val="22"/>
        </w:rPr>
        <w:t>lag</w:t>
      </w:r>
      <w:r w:rsidRPr="00D93780">
        <w:rPr>
          <w:rFonts w:ascii="Arial" w:hAnsi="Arial" w:cs="Arial"/>
          <w:sz w:val="22"/>
          <w:szCs w:val="22"/>
        </w:rPr>
        <w:t xml:space="preserve"> debe ser más intenso en aquellos barrios</w:t>
      </w:r>
      <w:r w:rsidR="009844A4" w:rsidRPr="00D93780">
        <w:rPr>
          <w:rFonts w:ascii="Arial" w:hAnsi="Arial" w:cs="Arial"/>
          <w:sz w:val="22"/>
          <w:szCs w:val="22"/>
        </w:rPr>
        <w:t>, como es el caso de cinco de los ocho proyectos incluidos en la muestra,</w:t>
      </w:r>
      <w:r w:rsidRPr="00D93780">
        <w:rPr>
          <w:rFonts w:ascii="Arial" w:hAnsi="Arial" w:cs="Arial"/>
          <w:sz w:val="22"/>
          <w:szCs w:val="22"/>
        </w:rPr>
        <w:t xml:space="preserve"> que han </w:t>
      </w:r>
      <w:r w:rsidR="009844A4" w:rsidRPr="00D93780">
        <w:rPr>
          <w:rFonts w:ascii="Arial" w:hAnsi="Arial" w:cs="Arial"/>
          <w:sz w:val="22"/>
          <w:szCs w:val="22"/>
        </w:rPr>
        <w:t>estado en una posición marginal respecto a mercados inmobiliarios más activos</w:t>
      </w:r>
      <w:r w:rsidRPr="00D93780">
        <w:rPr>
          <w:rFonts w:ascii="Arial" w:hAnsi="Arial" w:cs="Arial"/>
          <w:sz w:val="22"/>
          <w:szCs w:val="22"/>
        </w:rPr>
        <w:t xml:space="preserve">. </w:t>
      </w:r>
    </w:p>
    <w:p w14:paraId="0DF86B0F" w14:textId="77777777" w:rsidR="00ED2E20" w:rsidRPr="00D93780" w:rsidRDefault="00ED2E20" w:rsidP="00694FB3">
      <w:pPr>
        <w:pStyle w:val="Heading3"/>
        <w:spacing w:before="120" w:after="120"/>
        <w:rPr>
          <w:rFonts w:ascii="Arial" w:hAnsi="Arial"/>
          <w:szCs w:val="22"/>
        </w:rPr>
      </w:pPr>
      <w:bookmarkStart w:id="27" w:name="_Toc456337517"/>
      <w:r w:rsidRPr="00D93780">
        <w:rPr>
          <w:rFonts w:ascii="Arial" w:hAnsi="Arial"/>
          <w:szCs w:val="22"/>
        </w:rPr>
        <w:t>Resultados de la evaluación económica: escenario base</w:t>
      </w:r>
      <w:bookmarkEnd w:id="27"/>
    </w:p>
    <w:p w14:paraId="0E2FC5DD" w14:textId="36961A93"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En el cuadro </w:t>
      </w:r>
      <w:r w:rsidR="00F40024" w:rsidRPr="00D93780">
        <w:rPr>
          <w:rFonts w:ascii="Arial" w:hAnsi="Arial" w:cs="Arial"/>
          <w:sz w:val="22"/>
          <w:szCs w:val="22"/>
        </w:rPr>
        <w:t>16</w:t>
      </w:r>
      <w:r w:rsidRPr="00D93780">
        <w:rPr>
          <w:rFonts w:ascii="Arial" w:hAnsi="Arial" w:cs="Arial"/>
          <w:sz w:val="22"/>
          <w:szCs w:val="22"/>
        </w:rPr>
        <w:t xml:space="preserve"> puede observarse los flujos agregados y no descontados de beneficios y costos, así como el saldo entre ambos. </w:t>
      </w:r>
    </w:p>
    <w:p w14:paraId="59C67797" w14:textId="285E6005"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F40024" w:rsidRPr="00462E76">
        <w:rPr>
          <w:rFonts w:ascii="Arial" w:hAnsi="Arial" w:cs="Arial"/>
          <w:b/>
          <w:sz w:val="18"/>
          <w:szCs w:val="22"/>
        </w:rPr>
        <w:t>16</w:t>
      </w:r>
      <w:r w:rsidRPr="00462E76">
        <w:rPr>
          <w:rFonts w:ascii="Arial" w:hAnsi="Arial" w:cs="Arial"/>
          <w:b/>
          <w:sz w:val="18"/>
          <w:szCs w:val="22"/>
        </w:rPr>
        <w:t xml:space="preserve">. Flujos previstos </w:t>
      </w:r>
    </w:p>
    <w:tbl>
      <w:tblPr>
        <w:tblW w:w="4677" w:type="dxa"/>
        <w:jc w:val="center"/>
        <w:tblCellMar>
          <w:left w:w="70" w:type="dxa"/>
          <w:right w:w="70" w:type="dxa"/>
        </w:tblCellMar>
        <w:tblLook w:val="04A0" w:firstRow="1" w:lastRow="0" w:firstColumn="1" w:lastColumn="0" w:noHBand="0" w:noVBand="1"/>
      </w:tblPr>
      <w:tblGrid>
        <w:gridCol w:w="681"/>
        <w:gridCol w:w="1396"/>
        <w:gridCol w:w="1316"/>
        <w:gridCol w:w="1284"/>
      </w:tblGrid>
      <w:tr w:rsidR="00ED2E20" w:rsidRPr="00D93780" w14:paraId="6D233F85" w14:textId="77777777" w:rsidTr="00227A32">
        <w:trPr>
          <w:trHeight w:val="240"/>
          <w:jc w:val="center"/>
        </w:trPr>
        <w:tc>
          <w:tcPr>
            <w:tcW w:w="681" w:type="dxa"/>
            <w:tcBorders>
              <w:top w:val="single" w:sz="4" w:space="0" w:color="auto"/>
              <w:left w:val="nil"/>
              <w:bottom w:val="single" w:sz="4" w:space="0" w:color="auto"/>
              <w:right w:val="nil"/>
            </w:tcBorders>
            <w:shd w:val="clear" w:color="auto" w:fill="D9D9D9" w:themeFill="background1" w:themeFillShade="D9"/>
            <w:noWrap/>
            <w:vAlign w:val="bottom"/>
            <w:hideMark/>
          </w:tcPr>
          <w:p w14:paraId="2DE6C08F" w14:textId="77777777" w:rsidR="00ED2E20" w:rsidRPr="00D93780" w:rsidRDefault="00ED2E20" w:rsidP="00227A32">
            <w:pPr>
              <w:rPr>
                <w:rFonts w:ascii="Arial" w:hAnsi="Arial" w:cs="Arial"/>
                <w:sz w:val="18"/>
                <w:szCs w:val="18"/>
              </w:rPr>
            </w:pPr>
          </w:p>
        </w:tc>
        <w:tc>
          <w:tcPr>
            <w:tcW w:w="1396" w:type="dxa"/>
            <w:tcBorders>
              <w:top w:val="single" w:sz="4" w:space="0" w:color="auto"/>
              <w:left w:val="nil"/>
              <w:bottom w:val="single" w:sz="4" w:space="0" w:color="auto"/>
              <w:right w:val="nil"/>
            </w:tcBorders>
            <w:shd w:val="clear" w:color="auto" w:fill="D9D9D9" w:themeFill="background1" w:themeFillShade="D9"/>
            <w:noWrap/>
            <w:vAlign w:val="bottom"/>
            <w:hideMark/>
          </w:tcPr>
          <w:p w14:paraId="08760C96"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Costos</w:t>
            </w:r>
          </w:p>
        </w:tc>
        <w:tc>
          <w:tcPr>
            <w:tcW w:w="1316" w:type="dxa"/>
            <w:tcBorders>
              <w:top w:val="single" w:sz="4" w:space="0" w:color="auto"/>
              <w:left w:val="nil"/>
              <w:bottom w:val="single" w:sz="4" w:space="0" w:color="auto"/>
              <w:right w:val="nil"/>
            </w:tcBorders>
            <w:shd w:val="clear" w:color="auto" w:fill="D9D9D9" w:themeFill="background1" w:themeFillShade="D9"/>
            <w:noWrap/>
            <w:vAlign w:val="bottom"/>
            <w:hideMark/>
          </w:tcPr>
          <w:p w14:paraId="33CD99C7"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Beneficios</w:t>
            </w:r>
          </w:p>
        </w:tc>
        <w:tc>
          <w:tcPr>
            <w:tcW w:w="1284" w:type="dxa"/>
            <w:tcBorders>
              <w:top w:val="single" w:sz="4" w:space="0" w:color="auto"/>
              <w:left w:val="nil"/>
              <w:bottom w:val="single" w:sz="4" w:space="0" w:color="auto"/>
              <w:right w:val="nil"/>
            </w:tcBorders>
            <w:shd w:val="clear" w:color="auto" w:fill="D9D9D9" w:themeFill="background1" w:themeFillShade="D9"/>
            <w:noWrap/>
            <w:vAlign w:val="bottom"/>
            <w:hideMark/>
          </w:tcPr>
          <w:p w14:paraId="7191457A" w14:textId="77777777" w:rsidR="00ED2E20" w:rsidRPr="00D93780" w:rsidRDefault="00ED2E20" w:rsidP="00227A32">
            <w:pPr>
              <w:jc w:val="center"/>
              <w:rPr>
                <w:rFonts w:ascii="Arial" w:hAnsi="Arial" w:cs="Arial"/>
                <w:b/>
                <w:bCs/>
                <w:color w:val="000000"/>
                <w:sz w:val="18"/>
                <w:szCs w:val="18"/>
              </w:rPr>
            </w:pPr>
            <w:r w:rsidRPr="00D93780">
              <w:rPr>
                <w:rFonts w:ascii="Arial" w:hAnsi="Arial" w:cs="Arial"/>
                <w:b/>
                <w:bCs/>
                <w:color w:val="000000"/>
                <w:sz w:val="18"/>
                <w:szCs w:val="18"/>
              </w:rPr>
              <w:t>Saldo</w:t>
            </w:r>
          </w:p>
        </w:tc>
      </w:tr>
      <w:tr w:rsidR="009C0922" w:rsidRPr="00D93780" w14:paraId="0ADE479F" w14:textId="77777777" w:rsidTr="00227A32">
        <w:trPr>
          <w:trHeight w:val="240"/>
          <w:jc w:val="center"/>
        </w:trPr>
        <w:tc>
          <w:tcPr>
            <w:tcW w:w="681" w:type="dxa"/>
            <w:tcBorders>
              <w:top w:val="single" w:sz="4" w:space="0" w:color="auto"/>
              <w:left w:val="nil"/>
              <w:bottom w:val="nil"/>
              <w:right w:val="nil"/>
            </w:tcBorders>
            <w:shd w:val="clear" w:color="auto" w:fill="auto"/>
            <w:noWrap/>
            <w:vAlign w:val="bottom"/>
            <w:hideMark/>
          </w:tcPr>
          <w:p w14:paraId="7C48C839"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w:t>
            </w:r>
          </w:p>
        </w:tc>
        <w:tc>
          <w:tcPr>
            <w:tcW w:w="1396" w:type="dxa"/>
            <w:tcBorders>
              <w:top w:val="single" w:sz="4" w:space="0" w:color="auto"/>
              <w:left w:val="nil"/>
              <w:bottom w:val="nil"/>
              <w:right w:val="nil"/>
            </w:tcBorders>
            <w:shd w:val="clear" w:color="auto" w:fill="auto"/>
            <w:noWrap/>
            <w:vAlign w:val="bottom"/>
            <w:hideMark/>
          </w:tcPr>
          <w:p w14:paraId="0F363D1A" w14:textId="5449B48B"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26.530.416</w:t>
            </w:r>
          </w:p>
        </w:tc>
        <w:tc>
          <w:tcPr>
            <w:tcW w:w="1316" w:type="dxa"/>
            <w:tcBorders>
              <w:top w:val="single" w:sz="4" w:space="0" w:color="auto"/>
              <w:left w:val="nil"/>
              <w:bottom w:val="nil"/>
              <w:right w:val="nil"/>
            </w:tcBorders>
            <w:shd w:val="clear" w:color="auto" w:fill="auto"/>
            <w:noWrap/>
            <w:vAlign w:val="bottom"/>
            <w:hideMark/>
          </w:tcPr>
          <w:p w14:paraId="2ED2D4CE" w14:textId="2AA00DB1"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single" w:sz="4" w:space="0" w:color="auto"/>
              <w:left w:val="nil"/>
              <w:bottom w:val="nil"/>
              <w:right w:val="nil"/>
            </w:tcBorders>
            <w:shd w:val="clear" w:color="auto" w:fill="auto"/>
            <w:noWrap/>
            <w:vAlign w:val="bottom"/>
            <w:hideMark/>
          </w:tcPr>
          <w:p w14:paraId="693AABD0" w14:textId="2228CB2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-26.530.416</w:t>
            </w:r>
          </w:p>
        </w:tc>
      </w:tr>
      <w:tr w:rsidR="009C0922" w:rsidRPr="00D93780" w14:paraId="608030D9" w14:textId="77777777" w:rsidTr="00227A32">
        <w:trPr>
          <w:trHeight w:val="240"/>
          <w:jc w:val="center"/>
        </w:trPr>
        <w:tc>
          <w:tcPr>
            <w:tcW w:w="681" w:type="dxa"/>
            <w:tcBorders>
              <w:top w:val="nil"/>
              <w:left w:val="nil"/>
              <w:bottom w:val="nil"/>
              <w:right w:val="nil"/>
            </w:tcBorders>
            <w:shd w:val="clear" w:color="auto" w:fill="auto"/>
            <w:noWrap/>
            <w:vAlign w:val="bottom"/>
            <w:hideMark/>
          </w:tcPr>
          <w:p w14:paraId="0C6E584F" w14:textId="108214E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w:t>
            </w:r>
          </w:p>
        </w:tc>
        <w:tc>
          <w:tcPr>
            <w:tcW w:w="1396" w:type="dxa"/>
            <w:tcBorders>
              <w:top w:val="nil"/>
              <w:left w:val="nil"/>
              <w:bottom w:val="nil"/>
              <w:right w:val="nil"/>
            </w:tcBorders>
            <w:shd w:val="clear" w:color="auto" w:fill="auto"/>
            <w:noWrap/>
            <w:vAlign w:val="bottom"/>
            <w:hideMark/>
          </w:tcPr>
          <w:p w14:paraId="003E955C" w14:textId="3F2FB808"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2.946.487</w:t>
            </w:r>
          </w:p>
        </w:tc>
        <w:tc>
          <w:tcPr>
            <w:tcW w:w="1316" w:type="dxa"/>
            <w:tcBorders>
              <w:top w:val="nil"/>
              <w:left w:val="nil"/>
              <w:bottom w:val="nil"/>
              <w:right w:val="nil"/>
            </w:tcBorders>
            <w:shd w:val="clear" w:color="auto" w:fill="auto"/>
            <w:noWrap/>
            <w:vAlign w:val="bottom"/>
            <w:hideMark/>
          </w:tcPr>
          <w:p w14:paraId="7BF4A8E9" w14:textId="24022912"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24.811.705</w:t>
            </w:r>
          </w:p>
        </w:tc>
        <w:tc>
          <w:tcPr>
            <w:tcW w:w="1284" w:type="dxa"/>
            <w:tcBorders>
              <w:top w:val="nil"/>
              <w:left w:val="nil"/>
              <w:bottom w:val="nil"/>
              <w:right w:val="nil"/>
            </w:tcBorders>
            <w:shd w:val="clear" w:color="auto" w:fill="auto"/>
            <w:noWrap/>
            <w:vAlign w:val="bottom"/>
            <w:hideMark/>
          </w:tcPr>
          <w:p w14:paraId="7400DF37" w14:textId="2F95350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21.865.218</w:t>
            </w:r>
          </w:p>
        </w:tc>
      </w:tr>
      <w:tr w:rsidR="009C0922" w:rsidRPr="00D93780" w14:paraId="00778F3B" w14:textId="77777777" w:rsidTr="00227A32">
        <w:trPr>
          <w:trHeight w:val="240"/>
          <w:jc w:val="center"/>
        </w:trPr>
        <w:tc>
          <w:tcPr>
            <w:tcW w:w="681" w:type="dxa"/>
            <w:tcBorders>
              <w:top w:val="nil"/>
              <w:left w:val="nil"/>
              <w:bottom w:val="nil"/>
              <w:right w:val="nil"/>
            </w:tcBorders>
            <w:shd w:val="clear" w:color="auto" w:fill="auto"/>
            <w:noWrap/>
            <w:vAlign w:val="bottom"/>
            <w:hideMark/>
          </w:tcPr>
          <w:p w14:paraId="30DED604" w14:textId="58D7C413"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w:t>
            </w:r>
          </w:p>
        </w:tc>
        <w:tc>
          <w:tcPr>
            <w:tcW w:w="1396" w:type="dxa"/>
            <w:tcBorders>
              <w:top w:val="nil"/>
              <w:left w:val="nil"/>
              <w:bottom w:val="nil"/>
              <w:right w:val="nil"/>
            </w:tcBorders>
            <w:shd w:val="clear" w:color="auto" w:fill="auto"/>
            <w:noWrap/>
            <w:vAlign w:val="bottom"/>
            <w:hideMark/>
          </w:tcPr>
          <w:p w14:paraId="6FC5217B" w14:textId="2852FAB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1.531.667</w:t>
            </w:r>
          </w:p>
        </w:tc>
        <w:tc>
          <w:tcPr>
            <w:tcW w:w="1316" w:type="dxa"/>
            <w:tcBorders>
              <w:top w:val="nil"/>
              <w:left w:val="nil"/>
              <w:bottom w:val="nil"/>
              <w:right w:val="nil"/>
            </w:tcBorders>
            <w:shd w:val="clear" w:color="auto" w:fill="auto"/>
            <w:noWrap/>
            <w:vAlign w:val="bottom"/>
            <w:hideMark/>
          </w:tcPr>
          <w:p w14:paraId="78A25734" w14:textId="7E53EDE3"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16.541.136</w:t>
            </w:r>
          </w:p>
        </w:tc>
        <w:tc>
          <w:tcPr>
            <w:tcW w:w="1284" w:type="dxa"/>
            <w:tcBorders>
              <w:top w:val="nil"/>
              <w:left w:val="nil"/>
              <w:bottom w:val="nil"/>
              <w:right w:val="nil"/>
            </w:tcBorders>
            <w:shd w:val="clear" w:color="auto" w:fill="auto"/>
            <w:noWrap/>
            <w:vAlign w:val="bottom"/>
            <w:hideMark/>
          </w:tcPr>
          <w:p w14:paraId="06F858E9" w14:textId="6F7FF18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15.009.470</w:t>
            </w:r>
          </w:p>
        </w:tc>
      </w:tr>
      <w:tr w:rsidR="009C0922" w:rsidRPr="00D93780" w14:paraId="19F7A5DF" w14:textId="77777777" w:rsidTr="00FD1D8C">
        <w:trPr>
          <w:trHeight w:val="240"/>
          <w:jc w:val="center"/>
        </w:trPr>
        <w:tc>
          <w:tcPr>
            <w:tcW w:w="681" w:type="dxa"/>
            <w:tcBorders>
              <w:top w:val="nil"/>
              <w:left w:val="nil"/>
              <w:right w:val="nil"/>
            </w:tcBorders>
            <w:shd w:val="clear" w:color="auto" w:fill="auto"/>
            <w:noWrap/>
            <w:vAlign w:val="bottom"/>
            <w:hideMark/>
          </w:tcPr>
          <w:p w14:paraId="05BE80D6"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4</w:t>
            </w:r>
          </w:p>
        </w:tc>
        <w:tc>
          <w:tcPr>
            <w:tcW w:w="1396" w:type="dxa"/>
            <w:tcBorders>
              <w:top w:val="nil"/>
              <w:left w:val="nil"/>
              <w:right w:val="nil"/>
            </w:tcBorders>
            <w:shd w:val="clear" w:color="auto" w:fill="auto"/>
            <w:noWrap/>
            <w:vAlign w:val="bottom"/>
            <w:hideMark/>
          </w:tcPr>
          <w:p w14:paraId="78614045" w14:textId="594E406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1.176.842</w:t>
            </w:r>
          </w:p>
        </w:tc>
        <w:tc>
          <w:tcPr>
            <w:tcW w:w="1316" w:type="dxa"/>
            <w:tcBorders>
              <w:top w:val="nil"/>
              <w:left w:val="nil"/>
              <w:right w:val="nil"/>
            </w:tcBorders>
            <w:shd w:val="clear" w:color="auto" w:fill="auto"/>
            <w:noWrap/>
            <w:vAlign w:val="bottom"/>
          </w:tcPr>
          <w:p w14:paraId="45EB9B0C" w14:textId="2A0880D6"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right w:val="nil"/>
            </w:tcBorders>
            <w:shd w:val="clear" w:color="auto" w:fill="auto"/>
            <w:noWrap/>
            <w:vAlign w:val="bottom"/>
            <w:hideMark/>
          </w:tcPr>
          <w:p w14:paraId="7AA7FF3C" w14:textId="6B3B538B"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-1.176.842</w:t>
            </w:r>
          </w:p>
        </w:tc>
      </w:tr>
      <w:tr w:rsidR="009C0922" w:rsidRPr="00D93780" w14:paraId="11CEFEED" w14:textId="77777777" w:rsidTr="00FD1D8C">
        <w:trPr>
          <w:trHeight w:val="240"/>
          <w:jc w:val="center"/>
        </w:trPr>
        <w:tc>
          <w:tcPr>
            <w:tcW w:w="681" w:type="dxa"/>
            <w:tcBorders>
              <w:top w:val="nil"/>
              <w:left w:val="nil"/>
              <w:bottom w:val="single" w:sz="4" w:space="0" w:color="auto"/>
              <w:right w:val="nil"/>
            </w:tcBorders>
            <w:shd w:val="clear" w:color="auto" w:fill="auto"/>
            <w:noWrap/>
            <w:vAlign w:val="bottom"/>
            <w:hideMark/>
          </w:tcPr>
          <w:p w14:paraId="4CA32644"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5</w:t>
            </w:r>
          </w:p>
        </w:tc>
        <w:tc>
          <w:tcPr>
            <w:tcW w:w="1396" w:type="dxa"/>
            <w:tcBorders>
              <w:top w:val="nil"/>
              <w:left w:val="nil"/>
              <w:bottom w:val="single" w:sz="4" w:space="0" w:color="auto"/>
              <w:right w:val="nil"/>
            </w:tcBorders>
            <w:shd w:val="clear" w:color="auto" w:fill="auto"/>
            <w:noWrap/>
            <w:vAlign w:val="bottom"/>
            <w:hideMark/>
          </w:tcPr>
          <w:p w14:paraId="29FFD8C5" w14:textId="625E0678"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759.380</w:t>
            </w:r>
          </w:p>
        </w:tc>
        <w:tc>
          <w:tcPr>
            <w:tcW w:w="1316" w:type="dxa"/>
            <w:tcBorders>
              <w:top w:val="nil"/>
              <w:left w:val="nil"/>
              <w:bottom w:val="single" w:sz="4" w:space="0" w:color="auto"/>
              <w:right w:val="nil"/>
            </w:tcBorders>
            <w:shd w:val="clear" w:color="auto" w:fill="auto"/>
            <w:noWrap/>
            <w:vAlign w:val="bottom"/>
          </w:tcPr>
          <w:p w14:paraId="572BBDC7" w14:textId="73E2DB87" w:rsidR="009C0922" w:rsidRPr="00D93780" w:rsidRDefault="009C0922" w:rsidP="009C0922">
            <w:pPr>
              <w:jc w:val="right"/>
              <w:rPr>
                <w:rFonts w:ascii="Arial" w:hAnsi="Arial" w:cs="Arial"/>
                <w:color w:val="000000"/>
                <w:sz w:val="18"/>
                <w:szCs w:val="18"/>
              </w:rPr>
            </w:pPr>
          </w:p>
        </w:tc>
        <w:tc>
          <w:tcPr>
            <w:tcW w:w="1284" w:type="dxa"/>
            <w:tcBorders>
              <w:top w:val="nil"/>
              <w:left w:val="nil"/>
              <w:bottom w:val="single" w:sz="4" w:space="0" w:color="auto"/>
              <w:right w:val="nil"/>
            </w:tcBorders>
            <w:shd w:val="clear" w:color="auto" w:fill="auto"/>
            <w:noWrap/>
            <w:vAlign w:val="bottom"/>
            <w:hideMark/>
          </w:tcPr>
          <w:p w14:paraId="441C6EAF" w14:textId="2ACA9881"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-759.380</w:t>
            </w:r>
          </w:p>
        </w:tc>
      </w:tr>
      <w:tr w:rsidR="009C0922" w:rsidRPr="00D93780" w14:paraId="1D10ED3D" w14:textId="77777777" w:rsidTr="00FD1D8C">
        <w:trPr>
          <w:trHeight w:val="240"/>
          <w:jc w:val="center"/>
        </w:trPr>
        <w:tc>
          <w:tcPr>
            <w:tcW w:w="681" w:type="dxa"/>
            <w:tcBorders>
              <w:top w:val="single" w:sz="4" w:space="0" w:color="auto"/>
              <w:left w:val="nil"/>
              <w:bottom w:val="nil"/>
              <w:right w:val="nil"/>
            </w:tcBorders>
            <w:shd w:val="clear" w:color="auto" w:fill="auto"/>
            <w:noWrap/>
            <w:vAlign w:val="bottom"/>
            <w:hideMark/>
          </w:tcPr>
          <w:p w14:paraId="4D168B49"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w:t>
            </w:r>
          </w:p>
        </w:tc>
        <w:tc>
          <w:tcPr>
            <w:tcW w:w="1396" w:type="dxa"/>
            <w:tcBorders>
              <w:top w:val="single" w:sz="4" w:space="0" w:color="auto"/>
              <w:left w:val="nil"/>
              <w:bottom w:val="nil"/>
              <w:right w:val="nil"/>
            </w:tcBorders>
            <w:shd w:val="clear" w:color="auto" w:fill="auto"/>
            <w:noWrap/>
            <w:vAlign w:val="bottom"/>
            <w:hideMark/>
          </w:tcPr>
          <w:p w14:paraId="74EA4A68" w14:textId="4DD0D1C3"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620.844</w:t>
            </w:r>
          </w:p>
        </w:tc>
        <w:tc>
          <w:tcPr>
            <w:tcW w:w="1316" w:type="dxa"/>
            <w:tcBorders>
              <w:top w:val="single" w:sz="4" w:space="0" w:color="auto"/>
              <w:left w:val="nil"/>
              <w:bottom w:val="nil"/>
              <w:right w:val="nil"/>
            </w:tcBorders>
            <w:shd w:val="clear" w:color="auto" w:fill="auto"/>
            <w:noWrap/>
            <w:vAlign w:val="bottom"/>
          </w:tcPr>
          <w:p w14:paraId="5B355E48" w14:textId="5F0C1315"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single" w:sz="4" w:space="0" w:color="auto"/>
              <w:left w:val="nil"/>
              <w:bottom w:val="nil"/>
              <w:right w:val="nil"/>
            </w:tcBorders>
            <w:shd w:val="clear" w:color="auto" w:fill="auto"/>
            <w:noWrap/>
            <w:vAlign w:val="bottom"/>
            <w:hideMark/>
          </w:tcPr>
          <w:p w14:paraId="296EDC94" w14:textId="0C12E42D"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-620.844</w:t>
            </w:r>
          </w:p>
        </w:tc>
      </w:tr>
      <w:tr w:rsidR="009C0922" w:rsidRPr="00D93780" w14:paraId="1D591875" w14:textId="77777777" w:rsidTr="00FD1D8C">
        <w:trPr>
          <w:trHeight w:val="240"/>
          <w:jc w:val="center"/>
        </w:trPr>
        <w:tc>
          <w:tcPr>
            <w:tcW w:w="681" w:type="dxa"/>
            <w:tcBorders>
              <w:top w:val="nil"/>
              <w:left w:val="nil"/>
              <w:bottom w:val="nil"/>
              <w:right w:val="nil"/>
            </w:tcBorders>
            <w:shd w:val="clear" w:color="auto" w:fill="auto"/>
            <w:noWrap/>
            <w:vAlign w:val="bottom"/>
            <w:hideMark/>
          </w:tcPr>
          <w:p w14:paraId="2D69FDF9"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7</w:t>
            </w:r>
          </w:p>
        </w:tc>
        <w:tc>
          <w:tcPr>
            <w:tcW w:w="1396" w:type="dxa"/>
            <w:tcBorders>
              <w:top w:val="nil"/>
              <w:left w:val="nil"/>
              <w:bottom w:val="nil"/>
              <w:right w:val="nil"/>
            </w:tcBorders>
            <w:shd w:val="clear" w:color="auto" w:fill="auto"/>
            <w:noWrap/>
            <w:vAlign w:val="bottom"/>
            <w:hideMark/>
          </w:tcPr>
          <w:p w14:paraId="564117DE" w14:textId="5E78F252"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bottom w:val="nil"/>
              <w:right w:val="nil"/>
            </w:tcBorders>
            <w:shd w:val="clear" w:color="auto" w:fill="auto"/>
            <w:noWrap/>
            <w:vAlign w:val="bottom"/>
          </w:tcPr>
          <w:p w14:paraId="1A3D7465" w14:textId="60F521DB"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nil"/>
              <w:right w:val="nil"/>
            </w:tcBorders>
            <w:shd w:val="clear" w:color="auto" w:fill="auto"/>
            <w:noWrap/>
            <w:vAlign w:val="bottom"/>
            <w:hideMark/>
          </w:tcPr>
          <w:p w14:paraId="42A70AE0" w14:textId="7FAECBC2"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3B1532C8" w14:textId="77777777" w:rsidTr="00FD1D8C">
        <w:trPr>
          <w:trHeight w:val="240"/>
          <w:jc w:val="center"/>
        </w:trPr>
        <w:tc>
          <w:tcPr>
            <w:tcW w:w="681" w:type="dxa"/>
            <w:tcBorders>
              <w:top w:val="nil"/>
              <w:left w:val="nil"/>
              <w:bottom w:val="nil"/>
              <w:right w:val="nil"/>
            </w:tcBorders>
            <w:shd w:val="clear" w:color="auto" w:fill="auto"/>
            <w:noWrap/>
            <w:vAlign w:val="bottom"/>
            <w:hideMark/>
          </w:tcPr>
          <w:p w14:paraId="7E0BF540"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8</w:t>
            </w:r>
          </w:p>
        </w:tc>
        <w:tc>
          <w:tcPr>
            <w:tcW w:w="1396" w:type="dxa"/>
            <w:tcBorders>
              <w:top w:val="nil"/>
              <w:left w:val="nil"/>
              <w:bottom w:val="nil"/>
              <w:right w:val="nil"/>
            </w:tcBorders>
            <w:shd w:val="clear" w:color="auto" w:fill="auto"/>
            <w:noWrap/>
            <w:vAlign w:val="bottom"/>
            <w:hideMark/>
          </w:tcPr>
          <w:p w14:paraId="2BCC93A9" w14:textId="7B235BEA"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363.428</w:t>
            </w:r>
          </w:p>
        </w:tc>
        <w:tc>
          <w:tcPr>
            <w:tcW w:w="1316" w:type="dxa"/>
            <w:tcBorders>
              <w:top w:val="nil"/>
              <w:left w:val="nil"/>
              <w:bottom w:val="nil"/>
              <w:right w:val="nil"/>
            </w:tcBorders>
            <w:shd w:val="clear" w:color="auto" w:fill="auto"/>
            <w:noWrap/>
            <w:vAlign w:val="bottom"/>
          </w:tcPr>
          <w:p w14:paraId="6249742A" w14:textId="168A1F9D"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nil"/>
              <w:right w:val="nil"/>
            </w:tcBorders>
            <w:shd w:val="clear" w:color="auto" w:fill="auto"/>
            <w:noWrap/>
            <w:vAlign w:val="bottom"/>
            <w:hideMark/>
          </w:tcPr>
          <w:p w14:paraId="36FA4AD2" w14:textId="26294605"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-363.428</w:t>
            </w:r>
          </w:p>
        </w:tc>
      </w:tr>
      <w:tr w:rsidR="009C0922" w:rsidRPr="00D93780" w14:paraId="5A82BF3D" w14:textId="77777777" w:rsidTr="00FD1D8C">
        <w:trPr>
          <w:trHeight w:val="240"/>
          <w:jc w:val="center"/>
        </w:trPr>
        <w:tc>
          <w:tcPr>
            <w:tcW w:w="681" w:type="dxa"/>
            <w:tcBorders>
              <w:top w:val="nil"/>
              <w:left w:val="nil"/>
              <w:right w:val="nil"/>
            </w:tcBorders>
            <w:shd w:val="clear" w:color="auto" w:fill="auto"/>
            <w:noWrap/>
            <w:vAlign w:val="bottom"/>
            <w:hideMark/>
          </w:tcPr>
          <w:p w14:paraId="3749E9FD"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9</w:t>
            </w:r>
          </w:p>
        </w:tc>
        <w:tc>
          <w:tcPr>
            <w:tcW w:w="1396" w:type="dxa"/>
            <w:tcBorders>
              <w:top w:val="nil"/>
              <w:left w:val="nil"/>
              <w:right w:val="nil"/>
            </w:tcBorders>
            <w:shd w:val="clear" w:color="auto" w:fill="auto"/>
            <w:noWrap/>
            <w:vAlign w:val="bottom"/>
            <w:hideMark/>
          </w:tcPr>
          <w:p w14:paraId="29A265C1" w14:textId="1A13EA0A"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477.701</w:t>
            </w:r>
          </w:p>
        </w:tc>
        <w:tc>
          <w:tcPr>
            <w:tcW w:w="1316" w:type="dxa"/>
            <w:tcBorders>
              <w:top w:val="nil"/>
              <w:left w:val="nil"/>
              <w:right w:val="nil"/>
            </w:tcBorders>
            <w:shd w:val="clear" w:color="auto" w:fill="auto"/>
            <w:noWrap/>
            <w:vAlign w:val="bottom"/>
          </w:tcPr>
          <w:p w14:paraId="56266498" w14:textId="09062F1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right w:val="nil"/>
            </w:tcBorders>
            <w:shd w:val="clear" w:color="auto" w:fill="auto"/>
            <w:noWrap/>
            <w:vAlign w:val="bottom"/>
            <w:hideMark/>
          </w:tcPr>
          <w:p w14:paraId="19EE0000" w14:textId="36CCD49B"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-477.701</w:t>
            </w:r>
          </w:p>
        </w:tc>
      </w:tr>
      <w:tr w:rsidR="009C0922" w:rsidRPr="00D93780" w14:paraId="01CCBD44" w14:textId="77777777" w:rsidTr="00FD1D8C">
        <w:trPr>
          <w:trHeight w:val="240"/>
          <w:jc w:val="center"/>
        </w:trPr>
        <w:tc>
          <w:tcPr>
            <w:tcW w:w="681" w:type="dxa"/>
            <w:tcBorders>
              <w:top w:val="nil"/>
              <w:left w:val="nil"/>
              <w:bottom w:val="single" w:sz="4" w:space="0" w:color="auto"/>
              <w:right w:val="nil"/>
            </w:tcBorders>
            <w:shd w:val="clear" w:color="auto" w:fill="auto"/>
            <w:noWrap/>
            <w:vAlign w:val="bottom"/>
            <w:hideMark/>
          </w:tcPr>
          <w:p w14:paraId="64EF6CB0"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10</w:t>
            </w:r>
          </w:p>
        </w:tc>
        <w:tc>
          <w:tcPr>
            <w:tcW w:w="1396" w:type="dxa"/>
            <w:tcBorders>
              <w:top w:val="nil"/>
              <w:left w:val="nil"/>
              <w:bottom w:val="single" w:sz="4" w:space="0" w:color="auto"/>
              <w:right w:val="nil"/>
            </w:tcBorders>
            <w:shd w:val="clear" w:color="auto" w:fill="auto"/>
            <w:noWrap/>
            <w:vAlign w:val="bottom"/>
            <w:hideMark/>
          </w:tcPr>
          <w:p w14:paraId="50297A7F" w14:textId="3D00A10A"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bottom w:val="single" w:sz="4" w:space="0" w:color="auto"/>
              <w:right w:val="nil"/>
            </w:tcBorders>
            <w:shd w:val="clear" w:color="auto" w:fill="auto"/>
            <w:noWrap/>
            <w:vAlign w:val="bottom"/>
          </w:tcPr>
          <w:p w14:paraId="624D3CD1" w14:textId="5C2EC77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single" w:sz="4" w:space="0" w:color="auto"/>
              <w:right w:val="nil"/>
            </w:tcBorders>
            <w:shd w:val="clear" w:color="auto" w:fill="auto"/>
            <w:noWrap/>
            <w:vAlign w:val="bottom"/>
            <w:hideMark/>
          </w:tcPr>
          <w:p w14:paraId="4823003B" w14:textId="05368CC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1BFD2826" w14:textId="77777777" w:rsidTr="00FD1D8C">
        <w:trPr>
          <w:trHeight w:val="240"/>
          <w:jc w:val="center"/>
        </w:trPr>
        <w:tc>
          <w:tcPr>
            <w:tcW w:w="681" w:type="dxa"/>
            <w:tcBorders>
              <w:top w:val="single" w:sz="4" w:space="0" w:color="auto"/>
              <w:left w:val="nil"/>
              <w:bottom w:val="nil"/>
              <w:right w:val="nil"/>
            </w:tcBorders>
            <w:shd w:val="clear" w:color="auto" w:fill="auto"/>
            <w:noWrap/>
            <w:vAlign w:val="bottom"/>
            <w:hideMark/>
          </w:tcPr>
          <w:p w14:paraId="26858769"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11</w:t>
            </w:r>
          </w:p>
        </w:tc>
        <w:tc>
          <w:tcPr>
            <w:tcW w:w="1396" w:type="dxa"/>
            <w:tcBorders>
              <w:top w:val="single" w:sz="4" w:space="0" w:color="auto"/>
              <w:left w:val="nil"/>
              <w:bottom w:val="nil"/>
              <w:right w:val="nil"/>
            </w:tcBorders>
            <w:shd w:val="clear" w:color="auto" w:fill="auto"/>
            <w:noWrap/>
            <w:vAlign w:val="bottom"/>
            <w:hideMark/>
          </w:tcPr>
          <w:p w14:paraId="6BA89957" w14:textId="70D3D4A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363.428</w:t>
            </w:r>
          </w:p>
        </w:tc>
        <w:tc>
          <w:tcPr>
            <w:tcW w:w="1316" w:type="dxa"/>
            <w:tcBorders>
              <w:top w:val="single" w:sz="4" w:space="0" w:color="auto"/>
              <w:left w:val="nil"/>
              <w:bottom w:val="nil"/>
              <w:right w:val="nil"/>
            </w:tcBorders>
            <w:shd w:val="clear" w:color="auto" w:fill="auto"/>
            <w:noWrap/>
            <w:vAlign w:val="bottom"/>
          </w:tcPr>
          <w:p w14:paraId="3E0F996A" w14:textId="099319BD"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single" w:sz="4" w:space="0" w:color="auto"/>
              <w:left w:val="nil"/>
              <w:bottom w:val="nil"/>
              <w:right w:val="nil"/>
            </w:tcBorders>
            <w:shd w:val="clear" w:color="auto" w:fill="auto"/>
            <w:noWrap/>
            <w:vAlign w:val="bottom"/>
            <w:hideMark/>
          </w:tcPr>
          <w:p w14:paraId="777D4641" w14:textId="573DC374"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-363.428</w:t>
            </w:r>
          </w:p>
        </w:tc>
      </w:tr>
      <w:tr w:rsidR="009C0922" w:rsidRPr="00D93780" w14:paraId="3DA7E1D1" w14:textId="77777777" w:rsidTr="00FD1D8C">
        <w:trPr>
          <w:trHeight w:val="240"/>
          <w:jc w:val="center"/>
        </w:trPr>
        <w:tc>
          <w:tcPr>
            <w:tcW w:w="681" w:type="dxa"/>
            <w:tcBorders>
              <w:top w:val="nil"/>
              <w:left w:val="nil"/>
              <w:bottom w:val="nil"/>
              <w:right w:val="nil"/>
            </w:tcBorders>
            <w:shd w:val="clear" w:color="auto" w:fill="auto"/>
            <w:noWrap/>
            <w:vAlign w:val="bottom"/>
            <w:hideMark/>
          </w:tcPr>
          <w:p w14:paraId="59F9E915"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12</w:t>
            </w:r>
          </w:p>
        </w:tc>
        <w:tc>
          <w:tcPr>
            <w:tcW w:w="1396" w:type="dxa"/>
            <w:tcBorders>
              <w:top w:val="nil"/>
              <w:left w:val="nil"/>
              <w:bottom w:val="nil"/>
              <w:right w:val="nil"/>
            </w:tcBorders>
            <w:shd w:val="clear" w:color="auto" w:fill="auto"/>
            <w:noWrap/>
            <w:vAlign w:val="bottom"/>
            <w:hideMark/>
          </w:tcPr>
          <w:p w14:paraId="636FBC12" w14:textId="062E86D4"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610.844</w:t>
            </w:r>
          </w:p>
        </w:tc>
        <w:tc>
          <w:tcPr>
            <w:tcW w:w="1316" w:type="dxa"/>
            <w:tcBorders>
              <w:top w:val="nil"/>
              <w:left w:val="nil"/>
              <w:bottom w:val="nil"/>
              <w:right w:val="nil"/>
            </w:tcBorders>
            <w:shd w:val="clear" w:color="auto" w:fill="auto"/>
            <w:noWrap/>
            <w:vAlign w:val="bottom"/>
          </w:tcPr>
          <w:p w14:paraId="508ED887" w14:textId="41F716E8"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nil"/>
              <w:right w:val="nil"/>
            </w:tcBorders>
            <w:shd w:val="clear" w:color="auto" w:fill="auto"/>
            <w:noWrap/>
            <w:vAlign w:val="bottom"/>
            <w:hideMark/>
          </w:tcPr>
          <w:p w14:paraId="131592A8" w14:textId="2D18C28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-610.844</w:t>
            </w:r>
          </w:p>
        </w:tc>
      </w:tr>
      <w:tr w:rsidR="009C0922" w:rsidRPr="00D93780" w14:paraId="4853A019" w14:textId="77777777" w:rsidTr="00FD1D8C">
        <w:trPr>
          <w:trHeight w:val="240"/>
          <w:jc w:val="center"/>
        </w:trPr>
        <w:tc>
          <w:tcPr>
            <w:tcW w:w="681" w:type="dxa"/>
            <w:tcBorders>
              <w:top w:val="nil"/>
              <w:left w:val="nil"/>
              <w:bottom w:val="nil"/>
              <w:right w:val="nil"/>
            </w:tcBorders>
            <w:shd w:val="clear" w:color="auto" w:fill="auto"/>
            <w:noWrap/>
            <w:vAlign w:val="bottom"/>
            <w:hideMark/>
          </w:tcPr>
          <w:p w14:paraId="6C8EDDE6"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13</w:t>
            </w:r>
          </w:p>
        </w:tc>
        <w:tc>
          <w:tcPr>
            <w:tcW w:w="1396" w:type="dxa"/>
            <w:tcBorders>
              <w:top w:val="nil"/>
              <w:left w:val="nil"/>
              <w:bottom w:val="nil"/>
              <w:right w:val="nil"/>
            </w:tcBorders>
            <w:shd w:val="clear" w:color="auto" w:fill="auto"/>
            <w:noWrap/>
            <w:vAlign w:val="bottom"/>
            <w:hideMark/>
          </w:tcPr>
          <w:p w14:paraId="3FE3ABA1" w14:textId="67A870D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bottom w:val="nil"/>
              <w:right w:val="nil"/>
            </w:tcBorders>
            <w:shd w:val="clear" w:color="auto" w:fill="auto"/>
            <w:noWrap/>
            <w:vAlign w:val="bottom"/>
          </w:tcPr>
          <w:p w14:paraId="1C3C08B2" w14:textId="43FCC31D"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nil"/>
              <w:right w:val="nil"/>
            </w:tcBorders>
            <w:shd w:val="clear" w:color="auto" w:fill="auto"/>
            <w:noWrap/>
            <w:vAlign w:val="bottom"/>
            <w:hideMark/>
          </w:tcPr>
          <w:p w14:paraId="462659E6" w14:textId="785AB7B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3D17385E" w14:textId="77777777" w:rsidTr="00FD1D8C">
        <w:trPr>
          <w:trHeight w:val="240"/>
          <w:jc w:val="center"/>
        </w:trPr>
        <w:tc>
          <w:tcPr>
            <w:tcW w:w="681" w:type="dxa"/>
            <w:tcBorders>
              <w:top w:val="nil"/>
              <w:left w:val="nil"/>
              <w:right w:val="nil"/>
            </w:tcBorders>
            <w:shd w:val="clear" w:color="auto" w:fill="auto"/>
            <w:noWrap/>
            <w:vAlign w:val="bottom"/>
            <w:hideMark/>
          </w:tcPr>
          <w:p w14:paraId="4B31CD3A"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14</w:t>
            </w:r>
          </w:p>
        </w:tc>
        <w:tc>
          <w:tcPr>
            <w:tcW w:w="1396" w:type="dxa"/>
            <w:tcBorders>
              <w:top w:val="nil"/>
              <w:left w:val="nil"/>
              <w:right w:val="nil"/>
            </w:tcBorders>
            <w:shd w:val="clear" w:color="auto" w:fill="auto"/>
            <w:noWrap/>
            <w:vAlign w:val="bottom"/>
            <w:hideMark/>
          </w:tcPr>
          <w:p w14:paraId="509B045C" w14:textId="13FACD64"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right w:val="nil"/>
            </w:tcBorders>
            <w:shd w:val="clear" w:color="auto" w:fill="auto"/>
            <w:noWrap/>
            <w:vAlign w:val="bottom"/>
          </w:tcPr>
          <w:p w14:paraId="6603128A" w14:textId="17A63D1D"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right w:val="nil"/>
            </w:tcBorders>
            <w:shd w:val="clear" w:color="auto" w:fill="auto"/>
            <w:noWrap/>
            <w:vAlign w:val="bottom"/>
            <w:hideMark/>
          </w:tcPr>
          <w:p w14:paraId="1EEB1F29" w14:textId="47A6C4F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100334C0" w14:textId="77777777" w:rsidTr="00FD1D8C">
        <w:trPr>
          <w:trHeight w:val="240"/>
          <w:jc w:val="center"/>
        </w:trPr>
        <w:tc>
          <w:tcPr>
            <w:tcW w:w="681" w:type="dxa"/>
            <w:tcBorders>
              <w:top w:val="nil"/>
              <w:left w:val="nil"/>
              <w:bottom w:val="single" w:sz="4" w:space="0" w:color="auto"/>
              <w:right w:val="nil"/>
            </w:tcBorders>
            <w:shd w:val="clear" w:color="auto" w:fill="auto"/>
            <w:noWrap/>
            <w:vAlign w:val="bottom"/>
            <w:hideMark/>
          </w:tcPr>
          <w:p w14:paraId="3EDA4B23"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15</w:t>
            </w:r>
          </w:p>
        </w:tc>
        <w:tc>
          <w:tcPr>
            <w:tcW w:w="1396" w:type="dxa"/>
            <w:tcBorders>
              <w:top w:val="nil"/>
              <w:left w:val="nil"/>
              <w:bottom w:val="single" w:sz="4" w:space="0" w:color="auto"/>
              <w:right w:val="nil"/>
            </w:tcBorders>
            <w:shd w:val="clear" w:color="auto" w:fill="auto"/>
            <w:noWrap/>
            <w:vAlign w:val="bottom"/>
            <w:hideMark/>
          </w:tcPr>
          <w:p w14:paraId="57814126" w14:textId="1E6A7DE1"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477.701</w:t>
            </w:r>
          </w:p>
        </w:tc>
        <w:tc>
          <w:tcPr>
            <w:tcW w:w="1316" w:type="dxa"/>
            <w:tcBorders>
              <w:top w:val="nil"/>
              <w:left w:val="nil"/>
              <w:bottom w:val="single" w:sz="4" w:space="0" w:color="auto"/>
              <w:right w:val="nil"/>
            </w:tcBorders>
            <w:shd w:val="clear" w:color="auto" w:fill="auto"/>
            <w:noWrap/>
            <w:vAlign w:val="bottom"/>
          </w:tcPr>
          <w:p w14:paraId="14AD3AEE" w14:textId="766BD75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single" w:sz="4" w:space="0" w:color="auto"/>
              <w:right w:val="nil"/>
            </w:tcBorders>
            <w:shd w:val="clear" w:color="auto" w:fill="auto"/>
            <w:noWrap/>
            <w:vAlign w:val="bottom"/>
            <w:hideMark/>
          </w:tcPr>
          <w:p w14:paraId="54BA740F" w14:textId="6BC126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-477.701</w:t>
            </w:r>
          </w:p>
        </w:tc>
      </w:tr>
      <w:tr w:rsidR="009C0922" w:rsidRPr="00D93780" w14:paraId="46203F2E" w14:textId="77777777" w:rsidTr="00FD1D8C">
        <w:trPr>
          <w:trHeight w:val="240"/>
          <w:jc w:val="center"/>
        </w:trPr>
        <w:tc>
          <w:tcPr>
            <w:tcW w:w="681" w:type="dxa"/>
            <w:tcBorders>
              <w:top w:val="single" w:sz="4" w:space="0" w:color="auto"/>
              <w:left w:val="nil"/>
              <w:bottom w:val="nil"/>
              <w:right w:val="nil"/>
            </w:tcBorders>
            <w:shd w:val="clear" w:color="auto" w:fill="auto"/>
            <w:noWrap/>
            <w:vAlign w:val="bottom"/>
            <w:hideMark/>
          </w:tcPr>
          <w:p w14:paraId="660B604C"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16</w:t>
            </w:r>
          </w:p>
        </w:tc>
        <w:tc>
          <w:tcPr>
            <w:tcW w:w="1396" w:type="dxa"/>
            <w:tcBorders>
              <w:top w:val="single" w:sz="4" w:space="0" w:color="auto"/>
              <w:left w:val="nil"/>
              <w:bottom w:val="nil"/>
              <w:right w:val="nil"/>
            </w:tcBorders>
            <w:shd w:val="clear" w:color="auto" w:fill="auto"/>
            <w:noWrap/>
            <w:vAlign w:val="bottom"/>
            <w:hideMark/>
          </w:tcPr>
          <w:p w14:paraId="5D7A2670" w14:textId="1182064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363.428</w:t>
            </w:r>
          </w:p>
        </w:tc>
        <w:tc>
          <w:tcPr>
            <w:tcW w:w="1316" w:type="dxa"/>
            <w:tcBorders>
              <w:top w:val="single" w:sz="4" w:space="0" w:color="auto"/>
              <w:left w:val="nil"/>
              <w:bottom w:val="nil"/>
              <w:right w:val="nil"/>
            </w:tcBorders>
            <w:shd w:val="clear" w:color="auto" w:fill="auto"/>
            <w:noWrap/>
            <w:vAlign w:val="bottom"/>
          </w:tcPr>
          <w:p w14:paraId="322186EE" w14:textId="443689CF"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single" w:sz="4" w:space="0" w:color="auto"/>
              <w:left w:val="nil"/>
              <w:bottom w:val="nil"/>
              <w:right w:val="nil"/>
            </w:tcBorders>
            <w:shd w:val="clear" w:color="auto" w:fill="auto"/>
            <w:noWrap/>
            <w:vAlign w:val="bottom"/>
            <w:hideMark/>
          </w:tcPr>
          <w:p w14:paraId="4B42360C" w14:textId="0736F7FD"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-363.428</w:t>
            </w:r>
          </w:p>
        </w:tc>
      </w:tr>
      <w:tr w:rsidR="009C0922" w:rsidRPr="00D93780" w14:paraId="5637097D" w14:textId="77777777" w:rsidTr="00FD1D8C">
        <w:trPr>
          <w:trHeight w:val="240"/>
          <w:jc w:val="center"/>
        </w:trPr>
        <w:tc>
          <w:tcPr>
            <w:tcW w:w="681" w:type="dxa"/>
            <w:tcBorders>
              <w:top w:val="nil"/>
              <w:left w:val="nil"/>
              <w:bottom w:val="nil"/>
              <w:right w:val="nil"/>
            </w:tcBorders>
            <w:shd w:val="clear" w:color="auto" w:fill="auto"/>
            <w:noWrap/>
            <w:vAlign w:val="bottom"/>
            <w:hideMark/>
          </w:tcPr>
          <w:p w14:paraId="5E2492DD"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17</w:t>
            </w:r>
          </w:p>
        </w:tc>
        <w:tc>
          <w:tcPr>
            <w:tcW w:w="1396" w:type="dxa"/>
            <w:tcBorders>
              <w:top w:val="nil"/>
              <w:left w:val="nil"/>
              <w:bottom w:val="nil"/>
              <w:right w:val="nil"/>
            </w:tcBorders>
            <w:shd w:val="clear" w:color="auto" w:fill="auto"/>
            <w:noWrap/>
            <w:vAlign w:val="bottom"/>
            <w:hideMark/>
          </w:tcPr>
          <w:p w14:paraId="3C23093E" w14:textId="06E2648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bottom w:val="nil"/>
              <w:right w:val="nil"/>
            </w:tcBorders>
            <w:shd w:val="clear" w:color="auto" w:fill="auto"/>
            <w:noWrap/>
            <w:vAlign w:val="bottom"/>
          </w:tcPr>
          <w:p w14:paraId="27266B03" w14:textId="363851C3"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nil"/>
              <w:right w:val="nil"/>
            </w:tcBorders>
            <w:shd w:val="clear" w:color="auto" w:fill="auto"/>
            <w:noWrap/>
            <w:vAlign w:val="bottom"/>
            <w:hideMark/>
          </w:tcPr>
          <w:p w14:paraId="07E4239E" w14:textId="4940548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71736157" w14:textId="77777777" w:rsidTr="00FD1D8C">
        <w:trPr>
          <w:trHeight w:val="240"/>
          <w:jc w:val="center"/>
        </w:trPr>
        <w:tc>
          <w:tcPr>
            <w:tcW w:w="681" w:type="dxa"/>
            <w:tcBorders>
              <w:top w:val="nil"/>
              <w:left w:val="nil"/>
              <w:bottom w:val="nil"/>
              <w:right w:val="nil"/>
            </w:tcBorders>
            <w:shd w:val="clear" w:color="auto" w:fill="auto"/>
            <w:noWrap/>
            <w:vAlign w:val="bottom"/>
            <w:hideMark/>
          </w:tcPr>
          <w:p w14:paraId="1873D6E1"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18</w:t>
            </w:r>
          </w:p>
        </w:tc>
        <w:tc>
          <w:tcPr>
            <w:tcW w:w="1396" w:type="dxa"/>
            <w:tcBorders>
              <w:top w:val="nil"/>
              <w:left w:val="nil"/>
              <w:bottom w:val="nil"/>
              <w:right w:val="nil"/>
            </w:tcBorders>
            <w:shd w:val="clear" w:color="auto" w:fill="auto"/>
            <w:noWrap/>
            <w:vAlign w:val="bottom"/>
            <w:hideMark/>
          </w:tcPr>
          <w:p w14:paraId="2F0740BE" w14:textId="64BA940B"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610.844</w:t>
            </w:r>
          </w:p>
        </w:tc>
        <w:tc>
          <w:tcPr>
            <w:tcW w:w="1316" w:type="dxa"/>
            <w:tcBorders>
              <w:top w:val="nil"/>
              <w:left w:val="nil"/>
              <w:bottom w:val="nil"/>
              <w:right w:val="nil"/>
            </w:tcBorders>
            <w:shd w:val="clear" w:color="auto" w:fill="auto"/>
            <w:noWrap/>
            <w:vAlign w:val="bottom"/>
          </w:tcPr>
          <w:p w14:paraId="444B8C0B" w14:textId="64CE4F72"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nil"/>
              <w:right w:val="nil"/>
            </w:tcBorders>
            <w:shd w:val="clear" w:color="auto" w:fill="auto"/>
            <w:noWrap/>
            <w:vAlign w:val="bottom"/>
            <w:hideMark/>
          </w:tcPr>
          <w:p w14:paraId="214865BA" w14:textId="5328EAF3"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-610.844</w:t>
            </w:r>
          </w:p>
        </w:tc>
      </w:tr>
      <w:tr w:rsidR="009C0922" w:rsidRPr="00D93780" w14:paraId="5CF88E7F" w14:textId="77777777" w:rsidTr="00FD1D8C">
        <w:trPr>
          <w:trHeight w:val="240"/>
          <w:jc w:val="center"/>
        </w:trPr>
        <w:tc>
          <w:tcPr>
            <w:tcW w:w="681" w:type="dxa"/>
            <w:tcBorders>
              <w:top w:val="nil"/>
              <w:left w:val="nil"/>
              <w:right w:val="nil"/>
            </w:tcBorders>
            <w:shd w:val="clear" w:color="auto" w:fill="auto"/>
            <w:noWrap/>
            <w:vAlign w:val="bottom"/>
            <w:hideMark/>
          </w:tcPr>
          <w:p w14:paraId="726A3F76"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19</w:t>
            </w:r>
          </w:p>
        </w:tc>
        <w:tc>
          <w:tcPr>
            <w:tcW w:w="1396" w:type="dxa"/>
            <w:tcBorders>
              <w:top w:val="nil"/>
              <w:left w:val="nil"/>
              <w:right w:val="nil"/>
            </w:tcBorders>
            <w:shd w:val="clear" w:color="auto" w:fill="auto"/>
            <w:noWrap/>
            <w:vAlign w:val="bottom"/>
            <w:hideMark/>
          </w:tcPr>
          <w:p w14:paraId="7111919E" w14:textId="6327309A"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right w:val="nil"/>
            </w:tcBorders>
            <w:shd w:val="clear" w:color="auto" w:fill="auto"/>
            <w:noWrap/>
            <w:vAlign w:val="bottom"/>
          </w:tcPr>
          <w:p w14:paraId="4A0C4F10" w14:textId="71806C9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right w:val="nil"/>
            </w:tcBorders>
            <w:shd w:val="clear" w:color="auto" w:fill="auto"/>
            <w:noWrap/>
            <w:vAlign w:val="bottom"/>
            <w:hideMark/>
          </w:tcPr>
          <w:p w14:paraId="5541EB9B" w14:textId="69487B0A"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078FDC0A" w14:textId="77777777" w:rsidTr="00FD1D8C">
        <w:trPr>
          <w:trHeight w:val="240"/>
          <w:jc w:val="center"/>
        </w:trPr>
        <w:tc>
          <w:tcPr>
            <w:tcW w:w="681" w:type="dxa"/>
            <w:tcBorders>
              <w:top w:val="nil"/>
              <w:left w:val="nil"/>
              <w:bottom w:val="single" w:sz="4" w:space="0" w:color="auto"/>
              <w:right w:val="nil"/>
            </w:tcBorders>
            <w:shd w:val="clear" w:color="auto" w:fill="auto"/>
            <w:noWrap/>
            <w:vAlign w:val="bottom"/>
            <w:hideMark/>
          </w:tcPr>
          <w:p w14:paraId="467F7B46" w14:textId="77777777"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20</w:t>
            </w:r>
          </w:p>
        </w:tc>
        <w:tc>
          <w:tcPr>
            <w:tcW w:w="1396" w:type="dxa"/>
            <w:tcBorders>
              <w:top w:val="nil"/>
              <w:left w:val="nil"/>
              <w:bottom w:val="single" w:sz="4" w:space="0" w:color="auto"/>
              <w:right w:val="nil"/>
            </w:tcBorders>
            <w:shd w:val="clear" w:color="auto" w:fill="auto"/>
            <w:noWrap/>
            <w:vAlign w:val="bottom"/>
            <w:hideMark/>
          </w:tcPr>
          <w:p w14:paraId="23A8FDCE" w14:textId="05E351DC"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c>
          <w:tcPr>
            <w:tcW w:w="1316" w:type="dxa"/>
            <w:tcBorders>
              <w:top w:val="nil"/>
              <w:left w:val="nil"/>
              <w:bottom w:val="single" w:sz="4" w:space="0" w:color="auto"/>
              <w:right w:val="nil"/>
            </w:tcBorders>
            <w:shd w:val="clear" w:color="auto" w:fill="auto"/>
            <w:noWrap/>
            <w:vAlign w:val="bottom"/>
          </w:tcPr>
          <w:p w14:paraId="251D855B" w14:textId="7CC8238F"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0</w:t>
            </w:r>
          </w:p>
        </w:tc>
        <w:tc>
          <w:tcPr>
            <w:tcW w:w="1284" w:type="dxa"/>
            <w:tcBorders>
              <w:top w:val="nil"/>
              <w:left w:val="nil"/>
              <w:bottom w:val="single" w:sz="4" w:space="0" w:color="auto"/>
              <w:right w:val="nil"/>
            </w:tcBorders>
            <w:shd w:val="clear" w:color="auto" w:fill="auto"/>
            <w:noWrap/>
            <w:vAlign w:val="bottom"/>
            <w:hideMark/>
          </w:tcPr>
          <w:p w14:paraId="7891AC67" w14:textId="6A08A4BE"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-353.428</w:t>
            </w:r>
          </w:p>
        </w:tc>
      </w:tr>
      <w:tr w:rsidR="009C0922" w:rsidRPr="00D93780" w14:paraId="00EE9128" w14:textId="77777777" w:rsidTr="00FD1D8C">
        <w:trPr>
          <w:trHeight w:val="240"/>
          <w:jc w:val="center"/>
        </w:trPr>
        <w:tc>
          <w:tcPr>
            <w:tcW w:w="681" w:type="dxa"/>
            <w:tcBorders>
              <w:top w:val="single" w:sz="4" w:space="0" w:color="auto"/>
              <w:left w:val="nil"/>
              <w:bottom w:val="single" w:sz="4" w:space="0" w:color="auto"/>
              <w:right w:val="nil"/>
            </w:tcBorders>
            <w:shd w:val="clear" w:color="auto" w:fill="auto"/>
            <w:noWrap/>
            <w:vAlign w:val="bottom"/>
          </w:tcPr>
          <w:p w14:paraId="334065DC" w14:textId="7BD1FDE9" w:rsidR="009C0922" w:rsidRPr="00D93780" w:rsidRDefault="009C0922" w:rsidP="009C0922">
            <w:pPr>
              <w:jc w:val="right"/>
              <w:rPr>
                <w:rFonts w:ascii="Arial" w:hAnsi="Arial" w:cs="Arial"/>
                <w:color w:val="000000"/>
                <w:sz w:val="18"/>
                <w:szCs w:val="18"/>
              </w:rPr>
            </w:pPr>
          </w:p>
        </w:tc>
        <w:tc>
          <w:tcPr>
            <w:tcW w:w="1396" w:type="dxa"/>
            <w:tcBorders>
              <w:top w:val="single" w:sz="4" w:space="0" w:color="auto"/>
              <w:left w:val="nil"/>
              <w:bottom w:val="single" w:sz="4" w:space="0" w:color="auto"/>
              <w:right w:val="nil"/>
            </w:tcBorders>
            <w:shd w:val="clear" w:color="auto" w:fill="auto"/>
            <w:noWrap/>
            <w:vAlign w:val="bottom"/>
          </w:tcPr>
          <w:p w14:paraId="489070EE" w14:textId="1B2507D8" w:rsidR="009C0922" w:rsidRPr="00D93780" w:rsidRDefault="009C0922" w:rsidP="009C0922">
            <w:pPr>
              <w:jc w:val="right"/>
              <w:rPr>
                <w:rFonts w:ascii="Arial" w:hAnsi="Arial" w:cs="Arial"/>
                <w:color w:val="000000"/>
                <w:sz w:val="18"/>
                <w:szCs w:val="18"/>
              </w:rPr>
            </w:pPr>
            <w:r w:rsidRPr="00D93780">
              <w:rPr>
                <w:rFonts w:ascii="Arial" w:hAnsi="Arial" w:cs="Arial"/>
                <w:b/>
                <w:bCs/>
                <w:color w:val="000000"/>
                <w:sz w:val="18"/>
                <w:szCs w:val="18"/>
              </w:rPr>
              <w:t>39.307.005</w:t>
            </w:r>
          </w:p>
        </w:tc>
        <w:tc>
          <w:tcPr>
            <w:tcW w:w="1316" w:type="dxa"/>
            <w:tcBorders>
              <w:top w:val="single" w:sz="4" w:space="0" w:color="auto"/>
              <w:left w:val="nil"/>
              <w:bottom w:val="single" w:sz="4" w:space="0" w:color="auto"/>
              <w:right w:val="nil"/>
            </w:tcBorders>
            <w:shd w:val="clear" w:color="auto" w:fill="auto"/>
            <w:noWrap/>
            <w:vAlign w:val="bottom"/>
          </w:tcPr>
          <w:p w14:paraId="6849234A" w14:textId="0DE2F898" w:rsidR="009C0922" w:rsidRPr="00D93780" w:rsidRDefault="009C0922" w:rsidP="009C0922">
            <w:pPr>
              <w:jc w:val="right"/>
              <w:rPr>
                <w:rFonts w:ascii="Arial" w:hAnsi="Arial" w:cs="Arial"/>
                <w:color w:val="000000"/>
                <w:sz w:val="18"/>
                <w:szCs w:val="18"/>
              </w:rPr>
            </w:pPr>
            <w:r w:rsidRPr="00D93780">
              <w:rPr>
                <w:rFonts w:ascii="Arial" w:hAnsi="Arial" w:cs="Arial"/>
                <w:b/>
                <w:bCs/>
                <w:color w:val="000000"/>
                <w:sz w:val="18"/>
                <w:szCs w:val="18"/>
              </w:rPr>
              <w:t>41.352.841</w:t>
            </w:r>
          </w:p>
        </w:tc>
        <w:tc>
          <w:tcPr>
            <w:tcW w:w="1284" w:type="dxa"/>
            <w:tcBorders>
              <w:top w:val="single" w:sz="4" w:space="0" w:color="auto"/>
              <w:left w:val="nil"/>
              <w:bottom w:val="single" w:sz="4" w:space="0" w:color="auto"/>
              <w:right w:val="nil"/>
            </w:tcBorders>
            <w:shd w:val="clear" w:color="auto" w:fill="auto"/>
            <w:noWrap/>
            <w:vAlign w:val="bottom"/>
          </w:tcPr>
          <w:p w14:paraId="58DBBD00" w14:textId="3B178C7A" w:rsidR="009C0922" w:rsidRPr="00D93780" w:rsidRDefault="009C0922" w:rsidP="009C0922">
            <w:pPr>
              <w:jc w:val="right"/>
              <w:rPr>
                <w:rFonts w:ascii="Arial" w:hAnsi="Arial" w:cs="Arial"/>
                <w:color w:val="000000"/>
                <w:sz w:val="18"/>
                <w:szCs w:val="18"/>
              </w:rPr>
            </w:pPr>
            <w:r w:rsidRPr="00D93780">
              <w:rPr>
                <w:rFonts w:ascii="Arial" w:hAnsi="Arial" w:cs="Arial"/>
                <w:b/>
                <w:bCs/>
                <w:color w:val="000000"/>
                <w:sz w:val="18"/>
                <w:szCs w:val="18"/>
              </w:rPr>
              <w:t>2.045.836</w:t>
            </w:r>
          </w:p>
        </w:tc>
      </w:tr>
    </w:tbl>
    <w:p w14:paraId="34F91F69" w14:textId="77777777" w:rsidR="00ED2E20" w:rsidRPr="00D93780" w:rsidRDefault="00ED2E20" w:rsidP="00ED2E20">
      <w:pPr>
        <w:ind w:left="2410"/>
        <w:rPr>
          <w:rFonts w:ascii="Arial" w:hAnsi="Arial" w:cs="Arial"/>
          <w:sz w:val="18"/>
          <w:szCs w:val="18"/>
        </w:rPr>
      </w:pPr>
      <w:r w:rsidRPr="00D93780">
        <w:rPr>
          <w:rFonts w:ascii="Arial" w:hAnsi="Arial" w:cs="Arial"/>
          <w:sz w:val="18"/>
          <w:szCs w:val="18"/>
        </w:rPr>
        <w:t>Montos en USD. Sin descontar.</w:t>
      </w:r>
    </w:p>
    <w:p w14:paraId="54634D6C" w14:textId="749E5B10"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Descontando los flujos, en el cuadro </w:t>
      </w:r>
      <w:r w:rsidR="00FD1D8C" w:rsidRPr="00D93780">
        <w:rPr>
          <w:rFonts w:ascii="Arial" w:hAnsi="Arial" w:cs="Arial"/>
          <w:sz w:val="22"/>
          <w:szCs w:val="22"/>
        </w:rPr>
        <w:t>17</w:t>
      </w:r>
      <w:r w:rsidRPr="00D93780">
        <w:rPr>
          <w:rFonts w:ascii="Arial" w:hAnsi="Arial" w:cs="Arial"/>
          <w:sz w:val="22"/>
          <w:szCs w:val="22"/>
        </w:rPr>
        <w:t xml:space="preserve"> se muestra que los beneficios igualan a los costos con una tasa interna de retorno del </w:t>
      </w:r>
      <w:r w:rsidR="009C0922" w:rsidRPr="00D93780">
        <w:rPr>
          <w:rFonts w:ascii="Arial" w:hAnsi="Arial" w:cs="Arial"/>
          <w:sz w:val="22"/>
          <w:szCs w:val="22"/>
        </w:rPr>
        <w:t>20</w:t>
      </w:r>
      <w:r w:rsidRPr="00D93780">
        <w:rPr>
          <w:rFonts w:ascii="Arial" w:hAnsi="Arial" w:cs="Arial"/>
          <w:sz w:val="22"/>
          <w:szCs w:val="22"/>
        </w:rPr>
        <w:t>,</w:t>
      </w:r>
      <w:r w:rsidR="009C0922" w:rsidRPr="00D93780">
        <w:rPr>
          <w:rFonts w:ascii="Arial" w:hAnsi="Arial" w:cs="Arial"/>
          <w:sz w:val="22"/>
          <w:szCs w:val="22"/>
        </w:rPr>
        <w:t>3</w:t>
      </w:r>
      <w:r w:rsidRPr="00D93780">
        <w:rPr>
          <w:rFonts w:ascii="Arial" w:hAnsi="Arial" w:cs="Arial"/>
          <w:sz w:val="22"/>
          <w:szCs w:val="22"/>
        </w:rPr>
        <w:t xml:space="preserve">%, netamente superior a cualquiera de las tasas de descuento alternativas (6% y 12%). Los flujos descontados de beneficios son superiores en un </w:t>
      </w:r>
      <w:r w:rsidR="009C0922" w:rsidRPr="00D93780">
        <w:rPr>
          <w:rFonts w:ascii="Arial" w:hAnsi="Arial" w:cs="Arial"/>
          <w:sz w:val="22"/>
          <w:szCs w:val="22"/>
        </w:rPr>
        <w:t>7</w:t>
      </w:r>
      <w:r w:rsidR="004C46AD" w:rsidRPr="00D93780">
        <w:rPr>
          <w:rFonts w:ascii="Arial" w:hAnsi="Arial" w:cs="Arial"/>
          <w:sz w:val="22"/>
          <w:szCs w:val="22"/>
        </w:rPr>
        <w:t>,</w:t>
      </w:r>
      <w:r w:rsidR="009C0922" w:rsidRPr="00D93780">
        <w:rPr>
          <w:rFonts w:ascii="Arial" w:hAnsi="Arial" w:cs="Arial"/>
          <w:sz w:val="22"/>
          <w:szCs w:val="22"/>
        </w:rPr>
        <w:t>2</w:t>
      </w:r>
      <w:r w:rsidRPr="00D93780">
        <w:rPr>
          <w:rFonts w:ascii="Arial" w:hAnsi="Arial" w:cs="Arial"/>
          <w:sz w:val="22"/>
          <w:szCs w:val="22"/>
        </w:rPr>
        <w:t xml:space="preserve">% a los flujos descontados de costos, para una tasa de descuento del 6%. En el caso de aplicar la tasa del 12%, </w:t>
      </w:r>
      <w:r w:rsidRPr="00D93780">
        <w:rPr>
          <w:rFonts w:ascii="Arial" w:hAnsi="Arial" w:cs="Arial"/>
          <w:sz w:val="22"/>
          <w:szCs w:val="22"/>
        </w:rPr>
        <w:lastRenderedPageBreak/>
        <w:t xml:space="preserve">similar a la tasa social de descuento, los flujos descontados de beneficios superan en un </w:t>
      </w:r>
      <w:r w:rsidR="009C0922" w:rsidRPr="00D93780">
        <w:rPr>
          <w:rFonts w:ascii="Arial" w:hAnsi="Arial" w:cs="Arial"/>
          <w:sz w:val="22"/>
          <w:szCs w:val="22"/>
        </w:rPr>
        <w:t>5,2</w:t>
      </w:r>
      <w:r w:rsidRPr="00D93780">
        <w:rPr>
          <w:rFonts w:ascii="Arial" w:hAnsi="Arial" w:cs="Arial"/>
          <w:sz w:val="22"/>
          <w:szCs w:val="22"/>
        </w:rPr>
        <w:t>% al de costos.</w:t>
      </w:r>
    </w:p>
    <w:p w14:paraId="473E5608" w14:textId="7C3CD913"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FD1D8C" w:rsidRPr="00462E76">
        <w:rPr>
          <w:rFonts w:ascii="Arial" w:hAnsi="Arial" w:cs="Arial"/>
          <w:b/>
          <w:sz w:val="18"/>
          <w:szCs w:val="22"/>
        </w:rPr>
        <w:t>17</w:t>
      </w:r>
      <w:r w:rsidRPr="00462E76">
        <w:rPr>
          <w:rFonts w:ascii="Arial" w:hAnsi="Arial" w:cs="Arial"/>
          <w:b/>
          <w:sz w:val="18"/>
          <w:szCs w:val="22"/>
        </w:rPr>
        <w:t>. Resultados del escenario base</w:t>
      </w:r>
    </w:p>
    <w:tbl>
      <w:tblPr>
        <w:tblW w:w="4613" w:type="pct"/>
        <w:tblInd w:w="610" w:type="dxa"/>
        <w:tblCellMar>
          <w:left w:w="70" w:type="dxa"/>
          <w:right w:w="70" w:type="dxa"/>
        </w:tblCellMar>
        <w:tblLook w:val="04A0" w:firstRow="1" w:lastRow="0" w:firstColumn="1" w:lastColumn="0" w:noHBand="0" w:noVBand="1"/>
      </w:tblPr>
      <w:tblGrid>
        <w:gridCol w:w="3276"/>
        <w:gridCol w:w="2485"/>
        <w:gridCol w:w="2339"/>
      </w:tblGrid>
      <w:tr w:rsidR="00ED2E20" w:rsidRPr="00D93780" w14:paraId="4AEFDE9C" w14:textId="77777777" w:rsidTr="005D454E">
        <w:trPr>
          <w:trHeight w:val="225"/>
        </w:trPr>
        <w:tc>
          <w:tcPr>
            <w:tcW w:w="2022" w:type="pct"/>
            <w:tcBorders>
              <w:top w:val="single" w:sz="4" w:space="0" w:color="auto"/>
              <w:left w:val="nil"/>
              <w:bottom w:val="single" w:sz="4" w:space="0" w:color="auto"/>
              <w:right w:val="nil"/>
            </w:tcBorders>
            <w:shd w:val="clear" w:color="auto" w:fill="D9D9D9" w:themeFill="background1" w:themeFillShade="D9"/>
            <w:noWrap/>
            <w:vAlign w:val="bottom"/>
            <w:hideMark/>
          </w:tcPr>
          <w:p w14:paraId="3D775D8E" w14:textId="77777777" w:rsidR="00ED2E20" w:rsidRPr="00D93780" w:rsidRDefault="00ED2E20" w:rsidP="00227A32">
            <w:pPr>
              <w:rPr>
                <w:rFonts w:ascii="Arial" w:hAnsi="Arial" w:cs="Arial"/>
                <w:b/>
                <w:bCs/>
                <w:color w:val="000000"/>
                <w:sz w:val="18"/>
                <w:szCs w:val="18"/>
                <w:lang w:val="es-ES_tradnl" w:eastAsia="es-ES_tradnl"/>
              </w:rPr>
            </w:pPr>
            <w:r w:rsidRPr="00D93780">
              <w:rPr>
                <w:rFonts w:ascii="Arial" w:hAnsi="Arial" w:cs="Arial"/>
                <w:b/>
                <w:bCs/>
                <w:color w:val="000000"/>
                <w:sz w:val="18"/>
                <w:szCs w:val="18"/>
                <w:lang w:val="es-ES_tradnl" w:eastAsia="es-ES_tradnl"/>
              </w:rPr>
              <w:t>TIR</w:t>
            </w:r>
          </w:p>
        </w:tc>
        <w:tc>
          <w:tcPr>
            <w:tcW w:w="2978" w:type="pct"/>
            <w:gridSpan w:val="2"/>
            <w:tcBorders>
              <w:top w:val="single" w:sz="4" w:space="0" w:color="auto"/>
              <w:left w:val="nil"/>
              <w:bottom w:val="single" w:sz="4" w:space="0" w:color="auto"/>
              <w:right w:val="nil"/>
            </w:tcBorders>
            <w:shd w:val="clear" w:color="auto" w:fill="D9D9D9" w:themeFill="background1" w:themeFillShade="D9"/>
            <w:noWrap/>
            <w:vAlign w:val="bottom"/>
            <w:hideMark/>
          </w:tcPr>
          <w:p w14:paraId="274CDE10" w14:textId="3658C90E" w:rsidR="00ED2E20" w:rsidRPr="00D93780" w:rsidRDefault="009C0922" w:rsidP="004C46AD">
            <w:pPr>
              <w:jc w:val="center"/>
              <w:rPr>
                <w:rFonts w:ascii="Arial" w:hAnsi="Arial" w:cs="Arial"/>
                <w:b/>
                <w:bCs/>
                <w:color w:val="000000"/>
                <w:sz w:val="18"/>
                <w:szCs w:val="18"/>
                <w:lang w:val="es-ES_tradnl" w:eastAsia="es-ES_tradnl"/>
              </w:rPr>
            </w:pPr>
            <w:r w:rsidRPr="00D93780">
              <w:rPr>
                <w:rFonts w:ascii="Arial" w:hAnsi="Arial" w:cs="Arial"/>
                <w:b/>
                <w:bCs/>
                <w:color w:val="000000"/>
                <w:sz w:val="18"/>
                <w:szCs w:val="18"/>
                <w:lang w:val="es-ES_tradnl" w:eastAsia="es-ES_tradnl"/>
              </w:rPr>
              <w:t>20,3</w:t>
            </w:r>
          </w:p>
        </w:tc>
      </w:tr>
      <w:tr w:rsidR="00ED2E20" w:rsidRPr="00D93780" w14:paraId="14E8C83A" w14:textId="77777777" w:rsidTr="005D454E">
        <w:trPr>
          <w:trHeight w:val="225"/>
        </w:trPr>
        <w:tc>
          <w:tcPr>
            <w:tcW w:w="2022" w:type="pct"/>
            <w:tcBorders>
              <w:top w:val="single" w:sz="4" w:space="0" w:color="auto"/>
              <w:left w:val="nil"/>
              <w:right w:val="nil"/>
            </w:tcBorders>
            <w:shd w:val="clear" w:color="auto" w:fill="auto"/>
            <w:noWrap/>
            <w:vAlign w:val="bottom"/>
            <w:hideMark/>
          </w:tcPr>
          <w:p w14:paraId="6F3BD57E" w14:textId="77777777" w:rsidR="00ED2E20" w:rsidRPr="00D93780" w:rsidRDefault="00ED2E20" w:rsidP="00227A32">
            <w:pPr>
              <w:rPr>
                <w:rFonts w:ascii="Arial" w:hAnsi="Arial" w:cs="Arial"/>
                <w:b/>
                <w:bCs/>
                <w:color w:val="000000"/>
                <w:sz w:val="18"/>
                <w:szCs w:val="18"/>
                <w:lang w:val="es-ES_tradnl" w:eastAsia="es-ES_tradnl"/>
              </w:rPr>
            </w:pPr>
          </w:p>
        </w:tc>
        <w:tc>
          <w:tcPr>
            <w:tcW w:w="1534" w:type="pct"/>
            <w:tcBorders>
              <w:top w:val="single" w:sz="4" w:space="0" w:color="auto"/>
              <w:left w:val="nil"/>
              <w:right w:val="nil"/>
            </w:tcBorders>
            <w:shd w:val="clear" w:color="auto" w:fill="auto"/>
            <w:noWrap/>
            <w:vAlign w:val="bottom"/>
            <w:hideMark/>
          </w:tcPr>
          <w:p w14:paraId="657A4645" w14:textId="77777777" w:rsidR="00ED2E20" w:rsidRPr="00D93780" w:rsidRDefault="00ED2E20" w:rsidP="00227A32">
            <w:pPr>
              <w:jc w:val="center"/>
              <w:rPr>
                <w:rFonts w:ascii="Arial" w:hAnsi="Arial" w:cs="Arial"/>
                <w:b/>
                <w:bCs/>
                <w:color w:val="000000"/>
                <w:sz w:val="18"/>
                <w:szCs w:val="18"/>
                <w:lang w:val="es-ES_tradnl" w:eastAsia="es-ES_tradnl"/>
              </w:rPr>
            </w:pPr>
          </w:p>
        </w:tc>
        <w:tc>
          <w:tcPr>
            <w:tcW w:w="1444" w:type="pct"/>
            <w:tcBorders>
              <w:top w:val="single" w:sz="4" w:space="0" w:color="auto"/>
              <w:left w:val="nil"/>
              <w:right w:val="nil"/>
            </w:tcBorders>
            <w:shd w:val="clear" w:color="auto" w:fill="auto"/>
            <w:noWrap/>
            <w:vAlign w:val="bottom"/>
            <w:hideMark/>
          </w:tcPr>
          <w:p w14:paraId="1EE6BCE1" w14:textId="77777777" w:rsidR="00ED2E20" w:rsidRPr="00D93780" w:rsidRDefault="00ED2E20" w:rsidP="00227A32">
            <w:pPr>
              <w:jc w:val="center"/>
              <w:rPr>
                <w:rFonts w:ascii="Arial" w:hAnsi="Arial" w:cs="Arial"/>
                <w:b/>
                <w:bCs/>
                <w:color w:val="000000"/>
                <w:sz w:val="18"/>
                <w:szCs w:val="18"/>
                <w:lang w:val="es-ES_tradnl" w:eastAsia="es-ES_tradnl"/>
              </w:rPr>
            </w:pPr>
          </w:p>
        </w:tc>
      </w:tr>
      <w:tr w:rsidR="00ED2E20" w:rsidRPr="00D93780" w14:paraId="5F07FC5C" w14:textId="77777777" w:rsidTr="005D454E">
        <w:trPr>
          <w:trHeight w:val="225"/>
        </w:trPr>
        <w:tc>
          <w:tcPr>
            <w:tcW w:w="2022" w:type="pct"/>
            <w:tcBorders>
              <w:top w:val="nil"/>
              <w:left w:val="nil"/>
              <w:bottom w:val="single" w:sz="4" w:space="0" w:color="auto"/>
              <w:right w:val="nil"/>
            </w:tcBorders>
            <w:shd w:val="clear" w:color="auto" w:fill="auto"/>
            <w:noWrap/>
            <w:vAlign w:val="bottom"/>
            <w:hideMark/>
          </w:tcPr>
          <w:p w14:paraId="41560D4C" w14:textId="77777777" w:rsidR="00ED2E20" w:rsidRPr="00D93780" w:rsidRDefault="00ED2E20" w:rsidP="00227A32">
            <w:pPr>
              <w:rPr>
                <w:rFonts w:ascii="Arial" w:hAnsi="Arial" w:cs="Arial"/>
                <w:color w:val="000000"/>
                <w:sz w:val="18"/>
                <w:szCs w:val="18"/>
              </w:rPr>
            </w:pPr>
            <w:r w:rsidRPr="00D93780">
              <w:rPr>
                <w:rFonts w:ascii="Arial" w:hAnsi="Arial" w:cs="Arial"/>
                <w:color w:val="000000"/>
                <w:sz w:val="18"/>
                <w:szCs w:val="18"/>
              </w:rPr>
              <w:t>Tasa de descuento</w:t>
            </w:r>
          </w:p>
        </w:tc>
        <w:tc>
          <w:tcPr>
            <w:tcW w:w="1534" w:type="pct"/>
            <w:tcBorders>
              <w:top w:val="nil"/>
              <w:left w:val="nil"/>
              <w:bottom w:val="single" w:sz="4" w:space="0" w:color="auto"/>
              <w:right w:val="nil"/>
            </w:tcBorders>
            <w:shd w:val="clear" w:color="auto" w:fill="auto"/>
            <w:noWrap/>
            <w:vAlign w:val="bottom"/>
            <w:hideMark/>
          </w:tcPr>
          <w:p w14:paraId="1D48E73E" w14:textId="77777777" w:rsidR="00ED2E20" w:rsidRPr="00D93780" w:rsidRDefault="00ED2E20" w:rsidP="00227A32">
            <w:pPr>
              <w:jc w:val="right"/>
              <w:rPr>
                <w:rFonts w:ascii="Arial" w:hAnsi="Arial" w:cs="Arial"/>
                <w:color w:val="000000"/>
                <w:sz w:val="18"/>
                <w:szCs w:val="18"/>
                <w:lang w:val="es-ES_tradnl" w:eastAsia="es-ES_tradnl"/>
              </w:rPr>
            </w:pPr>
            <w:r w:rsidRPr="00D93780">
              <w:rPr>
                <w:rFonts w:ascii="Arial" w:hAnsi="Arial" w:cs="Arial"/>
                <w:color w:val="000000"/>
                <w:sz w:val="18"/>
                <w:szCs w:val="18"/>
                <w:lang w:val="es-ES_tradnl" w:eastAsia="es-ES_tradnl"/>
              </w:rPr>
              <w:t>6,0%</w:t>
            </w:r>
          </w:p>
        </w:tc>
        <w:tc>
          <w:tcPr>
            <w:tcW w:w="1444" w:type="pct"/>
            <w:tcBorders>
              <w:top w:val="nil"/>
              <w:left w:val="nil"/>
              <w:bottom w:val="single" w:sz="4" w:space="0" w:color="auto"/>
              <w:right w:val="nil"/>
            </w:tcBorders>
            <w:shd w:val="clear" w:color="auto" w:fill="auto"/>
            <w:noWrap/>
            <w:vAlign w:val="bottom"/>
            <w:hideMark/>
          </w:tcPr>
          <w:p w14:paraId="10DBE5B5" w14:textId="77777777" w:rsidR="00ED2E20" w:rsidRPr="00D93780" w:rsidRDefault="00ED2E20" w:rsidP="00227A32">
            <w:pPr>
              <w:jc w:val="right"/>
              <w:rPr>
                <w:rFonts w:ascii="Arial" w:hAnsi="Arial" w:cs="Arial"/>
                <w:color w:val="000000"/>
                <w:sz w:val="18"/>
                <w:szCs w:val="18"/>
                <w:lang w:val="es-ES_tradnl" w:eastAsia="es-ES_tradnl"/>
              </w:rPr>
            </w:pPr>
            <w:r w:rsidRPr="00D93780">
              <w:rPr>
                <w:rFonts w:ascii="Arial" w:hAnsi="Arial" w:cs="Arial"/>
                <w:color w:val="000000"/>
                <w:sz w:val="18"/>
                <w:szCs w:val="18"/>
                <w:lang w:val="es-ES_tradnl" w:eastAsia="es-ES_tradnl"/>
              </w:rPr>
              <w:t>12%</w:t>
            </w:r>
          </w:p>
        </w:tc>
      </w:tr>
      <w:tr w:rsidR="009C0922" w:rsidRPr="00D93780" w14:paraId="647B2A32" w14:textId="77777777" w:rsidTr="005D454E">
        <w:trPr>
          <w:trHeight w:val="225"/>
        </w:trPr>
        <w:tc>
          <w:tcPr>
            <w:tcW w:w="2022" w:type="pct"/>
            <w:tcBorders>
              <w:top w:val="single" w:sz="4" w:space="0" w:color="auto"/>
              <w:left w:val="nil"/>
              <w:bottom w:val="nil"/>
              <w:right w:val="nil"/>
            </w:tcBorders>
            <w:shd w:val="clear" w:color="auto" w:fill="auto"/>
            <w:noWrap/>
            <w:vAlign w:val="bottom"/>
            <w:hideMark/>
          </w:tcPr>
          <w:p w14:paraId="50694AAF" w14:textId="5FCB5B08" w:rsidR="009C0922" w:rsidRPr="00D93780" w:rsidRDefault="009C0922" w:rsidP="009C0922">
            <w:pPr>
              <w:rPr>
                <w:rFonts w:ascii="Arial" w:hAnsi="Arial" w:cs="Arial"/>
                <w:color w:val="000000"/>
                <w:sz w:val="18"/>
                <w:szCs w:val="18"/>
              </w:rPr>
            </w:pPr>
            <w:r w:rsidRPr="00D93780">
              <w:rPr>
                <w:rFonts w:ascii="Arial" w:hAnsi="Arial" w:cs="Arial"/>
                <w:color w:val="000000"/>
                <w:sz w:val="18"/>
                <w:szCs w:val="18"/>
              </w:rPr>
              <w:t>Beneficios (VPB)</w:t>
            </w:r>
          </w:p>
        </w:tc>
        <w:tc>
          <w:tcPr>
            <w:tcW w:w="1534" w:type="pct"/>
            <w:tcBorders>
              <w:top w:val="single" w:sz="4" w:space="0" w:color="auto"/>
              <w:left w:val="nil"/>
              <w:bottom w:val="nil"/>
              <w:right w:val="nil"/>
            </w:tcBorders>
            <w:shd w:val="clear" w:color="auto" w:fill="auto"/>
            <w:noWrap/>
            <w:vAlign w:val="bottom"/>
            <w:hideMark/>
          </w:tcPr>
          <w:p w14:paraId="7262FFAD" w14:textId="20C6677B"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35.970.586</w:t>
            </w:r>
          </w:p>
        </w:tc>
        <w:tc>
          <w:tcPr>
            <w:tcW w:w="1444" w:type="pct"/>
            <w:tcBorders>
              <w:top w:val="single" w:sz="4" w:space="0" w:color="auto"/>
              <w:left w:val="nil"/>
              <w:bottom w:val="nil"/>
              <w:right w:val="nil"/>
            </w:tcBorders>
            <w:shd w:val="clear" w:color="auto" w:fill="auto"/>
            <w:noWrap/>
            <w:vAlign w:val="bottom"/>
            <w:hideMark/>
          </w:tcPr>
          <w:p w14:paraId="5AF78376" w14:textId="27EBF9C5"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31.553.393</w:t>
            </w:r>
          </w:p>
        </w:tc>
      </w:tr>
      <w:tr w:rsidR="009C0922" w:rsidRPr="00D93780" w14:paraId="1BB0CC21" w14:textId="77777777" w:rsidTr="005D454E">
        <w:trPr>
          <w:trHeight w:val="225"/>
        </w:trPr>
        <w:tc>
          <w:tcPr>
            <w:tcW w:w="2022" w:type="pct"/>
            <w:tcBorders>
              <w:top w:val="nil"/>
              <w:left w:val="nil"/>
              <w:bottom w:val="nil"/>
              <w:right w:val="nil"/>
            </w:tcBorders>
            <w:shd w:val="clear" w:color="auto" w:fill="auto"/>
            <w:noWrap/>
            <w:vAlign w:val="bottom"/>
            <w:hideMark/>
          </w:tcPr>
          <w:p w14:paraId="640EA251" w14:textId="26D1F70C" w:rsidR="009C0922" w:rsidRPr="00D93780" w:rsidRDefault="009C0922" w:rsidP="009C0922">
            <w:pPr>
              <w:rPr>
                <w:rFonts w:ascii="Arial" w:hAnsi="Arial" w:cs="Arial"/>
                <w:color w:val="000000"/>
                <w:sz w:val="18"/>
                <w:szCs w:val="18"/>
              </w:rPr>
            </w:pPr>
            <w:r w:rsidRPr="00D93780">
              <w:rPr>
                <w:rFonts w:ascii="Arial" w:hAnsi="Arial" w:cs="Arial"/>
                <w:color w:val="000000"/>
                <w:sz w:val="18"/>
                <w:szCs w:val="18"/>
              </w:rPr>
              <w:t>Costos (VPC)</w:t>
            </w:r>
          </w:p>
        </w:tc>
        <w:tc>
          <w:tcPr>
            <w:tcW w:w="1534" w:type="pct"/>
            <w:tcBorders>
              <w:top w:val="nil"/>
              <w:left w:val="nil"/>
              <w:bottom w:val="nil"/>
              <w:right w:val="nil"/>
            </w:tcBorders>
            <w:shd w:val="clear" w:color="auto" w:fill="auto"/>
            <w:noWrap/>
            <w:vAlign w:val="bottom"/>
            <w:hideMark/>
          </w:tcPr>
          <w:p w14:paraId="2075FBAF" w14:textId="15B7197F"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33.549.240</w:t>
            </w:r>
          </w:p>
        </w:tc>
        <w:tc>
          <w:tcPr>
            <w:tcW w:w="1444" w:type="pct"/>
            <w:tcBorders>
              <w:top w:val="nil"/>
              <w:left w:val="nil"/>
              <w:bottom w:val="nil"/>
              <w:right w:val="nil"/>
            </w:tcBorders>
            <w:shd w:val="clear" w:color="auto" w:fill="auto"/>
            <w:noWrap/>
            <w:vAlign w:val="bottom"/>
            <w:hideMark/>
          </w:tcPr>
          <w:p w14:paraId="69451E85" w14:textId="0DF81973"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29.982.772</w:t>
            </w:r>
          </w:p>
        </w:tc>
      </w:tr>
      <w:tr w:rsidR="009C0922" w:rsidRPr="00D93780" w14:paraId="45F518F4" w14:textId="77777777" w:rsidTr="005D454E">
        <w:trPr>
          <w:trHeight w:val="225"/>
        </w:trPr>
        <w:tc>
          <w:tcPr>
            <w:tcW w:w="2022" w:type="pct"/>
            <w:tcBorders>
              <w:top w:val="nil"/>
              <w:left w:val="nil"/>
              <w:right w:val="nil"/>
            </w:tcBorders>
            <w:shd w:val="clear" w:color="auto" w:fill="auto"/>
            <w:noWrap/>
            <w:vAlign w:val="bottom"/>
            <w:hideMark/>
          </w:tcPr>
          <w:p w14:paraId="6893D278" w14:textId="4EA03321" w:rsidR="009C0922" w:rsidRPr="00D93780" w:rsidRDefault="009C0922" w:rsidP="009C0922">
            <w:pPr>
              <w:rPr>
                <w:rFonts w:ascii="Arial" w:hAnsi="Arial" w:cs="Arial"/>
                <w:color w:val="000000"/>
                <w:sz w:val="18"/>
                <w:szCs w:val="18"/>
              </w:rPr>
            </w:pPr>
            <w:r w:rsidRPr="00D93780">
              <w:rPr>
                <w:rFonts w:ascii="Arial" w:hAnsi="Arial" w:cs="Arial"/>
                <w:color w:val="000000"/>
                <w:sz w:val="18"/>
                <w:szCs w:val="18"/>
              </w:rPr>
              <w:t>Saldo neto (VPN)</w:t>
            </w:r>
          </w:p>
        </w:tc>
        <w:tc>
          <w:tcPr>
            <w:tcW w:w="1534" w:type="pct"/>
            <w:tcBorders>
              <w:top w:val="nil"/>
              <w:left w:val="nil"/>
              <w:right w:val="nil"/>
            </w:tcBorders>
            <w:shd w:val="clear" w:color="auto" w:fill="auto"/>
            <w:noWrap/>
            <w:vAlign w:val="bottom"/>
            <w:hideMark/>
          </w:tcPr>
          <w:p w14:paraId="09FE468D" w14:textId="317CEE98"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2.421.346</w:t>
            </w:r>
          </w:p>
        </w:tc>
        <w:tc>
          <w:tcPr>
            <w:tcW w:w="1444" w:type="pct"/>
            <w:tcBorders>
              <w:top w:val="nil"/>
              <w:left w:val="nil"/>
              <w:right w:val="nil"/>
            </w:tcBorders>
            <w:shd w:val="clear" w:color="auto" w:fill="auto"/>
            <w:noWrap/>
            <w:vAlign w:val="bottom"/>
            <w:hideMark/>
          </w:tcPr>
          <w:p w14:paraId="7AE5337C" w14:textId="688E5050"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1.570.621</w:t>
            </w:r>
          </w:p>
        </w:tc>
      </w:tr>
      <w:tr w:rsidR="009C0922" w:rsidRPr="00D93780" w14:paraId="63756AEA" w14:textId="77777777" w:rsidTr="005D454E">
        <w:trPr>
          <w:trHeight w:val="225"/>
        </w:trPr>
        <w:tc>
          <w:tcPr>
            <w:tcW w:w="2022" w:type="pct"/>
            <w:tcBorders>
              <w:top w:val="nil"/>
              <w:left w:val="nil"/>
              <w:bottom w:val="single" w:sz="4" w:space="0" w:color="auto"/>
              <w:right w:val="nil"/>
            </w:tcBorders>
            <w:shd w:val="clear" w:color="auto" w:fill="auto"/>
            <w:noWrap/>
            <w:vAlign w:val="bottom"/>
            <w:hideMark/>
          </w:tcPr>
          <w:p w14:paraId="66CB1AAF" w14:textId="309E1608" w:rsidR="009C0922" w:rsidRPr="00D93780" w:rsidRDefault="009C0922" w:rsidP="009C0922">
            <w:pPr>
              <w:rPr>
                <w:rFonts w:ascii="Arial" w:hAnsi="Arial" w:cs="Arial"/>
                <w:color w:val="000000"/>
                <w:sz w:val="18"/>
                <w:szCs w:val="18"/>
              </w:rPr>
            </w:pPr>
            <w:r w:rsidRPr="00D93780">
              <w:rPr>
                <w:rFonts w:ascii="Arial" w:hAnsi="Arial" w:cs="Arial"/>
                <w:color w:val="000000"/>
                <w:sz w:val="18"/>
                <w:szCs w:val="18"/>
              </w:rPr>
              <w:t>Beneficios sobre costos (VPB/VPC)</w:t>
            </w:r>
          </w:p>
        </w:tc>
        <w:tc>
          <w:tcPr>
            <w:tcW w:w="1534" w:type="pct"/>
            <w:tcBorders>
              <w:top w:val="nil"/>
              <w:left w:val="nil"/>
              <w:bottom w:val="single" w:sz="4" w:space="0" w:color="auto"/>
              <w:right w:val="nil"/>
            </w:tcBorders>
            <w:shd w:val="clear" w:color="auto" w:fill="auto"/>
            <w:noWrap/>
            <w:vAlign w:val="bottom"/>
            <w:hideMark/>
          </w:tcPr>
          <w:p w14:paraId="18CBA7CF" w14:textId="7FD96EA4"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7,2%</w:t>
            </w:r>
          </w:p>
        </w:tc>
        <w:tc>
          <w:tcPr>
            <w:tcW w:w="1444" w:type="pct"/>
            <w:tcBorders>
              <w:top w:val="nil"/>
              <w:left w:val="nil"/>
              <w:bottom w:val="single" w:sz="4" w:space="0" w:color="auto"/>
              <w:right w:val="nil"/>
            </w:tcBorders>
            <w:shd w:val="clear" w:color="auto" w:fill="auto"/>
            <w:noWrap/>
            <w:vAlign w:val="bottom"/>
            <w:hideMark/>
          </w:tcPr>
          <w:p w14:paraId="57F169D1" w14:textId="0587EFB8" w:rsidR="009C0922" w:rsidRPr="00D93780" w:rsidRDefault="009C0922" w:rsidP="009C0922">
            <w:pPr>
              <w:jc w:val="right"/>
              <w:rPr>
                <w:rFonts w:ascii="Arial" w:hAnsi="Arial" w:cs="Arial"/>
                <w:color w:val="000000"/>
                <w:sz w:val="18"/>
                <w:szCs w:val="18"/>
              </w:rPr>
            </w:pPr>
            <w:r w:rsidRPr="00D93780">
              <w:rPr>
                <w:rFonts w:ascii="Arial" w:hAnsi="Arial" w:cs="Arial"/>
                <w:color w:val="000000"/>
                <w:sz w:val="18"/>
                <w:szCs w:val="18"/>
              </w:rPr>
              <w:t>5,2%</w:t>
            </w:r>
          </w:p>
        </w:tc>
      </w:tr>
    </w:tbl>
    <w:p w14:paraId="2A9373BE" w14:textId="77777777" w:rsidR="00ED2E20" w:rsidRPr="00694FB3" w:rsidRDefault="00ED2E20" w:rsidP="005D454E">
      <w:pPr>
        <w:ind w:left="540"/>
        <w:rPr>
          <w:rFonts w:ascii="Arial" w:hAnsi="Arial" w:cs="Arial"/>
          <w:bCs/>
          <w:sz w:val="18"/>
          <w:szCs w:val="22"/>
          <w:lang w:val="es-ES_tradnl"/>
        </w:rPr>
      </w:pPr>
      <w:r w:rsidRPr="00694FB3">
        <w:rPr>
          <w:rFonts w:ascii="Arial" w:hAnsi="Arial" w:cs="Arial"/>
          <w:sz w:val="18"/>
          <w:szCs w:val="22"/>
        </w:rPr>
        <w:t>Montos en USD.</w:t>
      </w:r>
    </w:p>
    <w:p w14:paraId="75CC069A" w14:textId="77777777" w:rsidR="00ED2E20" w:rsidRPr="00D93780" w:rsidRDefault="00ED2E20" w:rsidP="00ED2E20">
      <w:pPr>
        <w:rPr>
          <w:rFonts w:ascii="Arial" w:hAnsi="Arial" w:cs="Arial"/>
          <w:bCs/>
          <w:sz w:val="22"/>
          <w:szCs w:val="22"/>
          <w:lang w:val="es-ES_tradnl"/>
        </w:rPr>
      </w:pPr>
    </w:p>
    <w:p w14:paraId="2F264632" w14:textId="77777777"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bCs/>
          <w:sz w:val="22"/>
          <w:szCs w:val="22"/>
          <w:lang w:val="es-ES_tradnl"/>
        </w:rPr>
      </w:pPr>
      <w:r w:rsidRPr="00D93780">
        <w:rPr>
          <w:rFonts w:ascii="Arial" w:hAnsi="Arial" w:cs="Arial"/>
          <w:sz w:val="22"/>
          <w:szCs w:val="22"/>
        </w:rPr>
        <w:t>Por tanto, en relación con estas tasas de descuento y aplicando el criterio de Kaldor-Hicks, el proyecto es eficiente y superior a las tasas de descuento de referencia que puedan aplicarse (6% y 12%). Por tanto, la inversión en obras públicas se justificaría independientemente de su comparación con otras alternativas.</w:t>
      </w:r>
      <w:r w:rsidRPr="00D93780">
        <w:rPr>
          <w:rStyle w:val="FootnoteReference"/>
          <w:rFonts w:ascii="Arial" w:hAnsi="Arial" w:cs="Arial"/>
          <w:sz w:val="22"/>
          <w:szCs w:val="22"/>
        </w:rPr>
        <w:footnoteReference w:id="17"/>
      </w:r>
    </w:p>
    <w:p w14:paraId="74EBC0AC" w14:textId="77777777" w:rsidR="00ED2E20" w:rsidRPr="00D93780" w:rsidRDefault="00ED2E20" w:rsidP="00694FB3">
      <w:pPr>
        <w:pStyle w:val="Heading3"/>
        <w:spacing w:before="120" w:after="120"/>
        <w:rPr>
          <w:rFonts w:ascii="Arial" w:hAnsi="Arial"/>
          <w:szCs w:val="22"/>
        </w:rPr>
      </w:pPr>
      <w:bookmarkStart w:id="28" w:name="_Toc456337518"/>
      <w:r w:rsidRPr="00D93780">
        <w:rPr>
          <w:rFonts w:ascii="Arial" w:hAnsi="Arial"/>
          <w:szCs w:val="22"/>
        </w:rPr>
        <w:t>Análisis de sensibilidad</w:t>
      </w:r>
      <w:bookmarkEnd w:id="28"/>
    </w:p>
    <w:p w14:paraId="134B8B2F" w14:textId="5CC198B4"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Se han hecho </w:t>
      </w:r>
      <w:r w:rsidR="007110EF" w:rsidRPr="00D93780">
        <w:rPr>
          <w:rFonts w:ascii="Arial" w:hAnsi="Arial" w:cs="Arial"/>
          <w:sz w:val="22"/>
          <w:szCs w:val="22"/>
        </w:rPr>
        <w:t>dos</w:t>
      </w:r>
      <w:r w:rsidRPr="00D93780">
        <w:rPr>
          <w:rFonts w:ascii="Arial" w:hAnsi="Arial" w:cs="Arial"/>
          <w:sz w:val="22"/>
          <w:szCs w:val="22"/>
        </w:rPr>
        <w:t xml:space="preserve"> análisis de sensibilidad con el fin de observar los límites a partir de los cuales la tasa interna de retorno desciende por debajo del valor de referencia 12% (umbral inferior). </w:t>
      </w:r>
    </w:p>
    <w:p w14:paraId="0464EE60" w14:textId="17922DF4" w:rsidR="00ED2E20" w:rsidRPr="00462E76" w:rsidRDefault="00ED2E20" w:rsidP="00462E76">
      <w:pPr>
        <w:pStyle w:val="ListParagraph"/>
        <w:spacing w:after="120"/>
        <w:ind w:left="0"/>
        <w:jc w:val="center"/>
        <w:rPr>
          <w:rFonts w:ascii="Arial" w:hAnsi="Arial" w:cs="Arial"/>
          <w:b/>
          <w:sz w:val="18"/>
          <w:szCs w:val="22"/>
        </w:rPr>
      </w:pPr>
      <w:r w:rsidRPr="00462E76">
        <w:rPr>
          <w:rFonts w:ascii="Arial" w:hAnsi="Arial" w:cs="Arial"/>
          <w:b/>
          <w:sz w:val="18"/>
          <w:szCs w:val="22"/>
        </w:rPr>
        <w:t xml:space="preserve">Cuadro </w:t>
      </w:r>
      <w:r w:rsidR="00FD1D8C" w:rsidRPr="00462E76">
        <w:rPr>
          <w:rFonts w:ascii="Arial" w:hAnsi="Arial" w:cs="Arial"/>
          <w:b/>
          <w:sz w:val="18"/>
          <w:szCs w:val="22"/>
        </w:rPr>
        <w:t>18</w:t>
      </w:r>
      <w:r w:rsidRPr="00462E76">
        <w:rPr>
          <w:rFonts w:ascii="Arial" w:hAnsi="Arial" w:cs="Arial"/>
          <w:b/>
          <w:sz w:val="18"/>
          <w:szCs w:val="22"/>
        </w:rPr>
        <w:t>. Sensibilidad: escenarios base versus escenario extremo</w:t>
      </w:r>
    </w:p>
    <w:tbl>
      <w:tblPr>
        <w:tblStyle w:val="TableGrid"/>
        <w:tblW w:w="4522" w:type="pct"/>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52"/>
        <w:gridCol w:w="1531"/>
        <w:gridCol w:w="1406"/>
        <w:gridCol w:w="1382"/>
        <w:gridCol w:w="1438"/>
      </w:tblGrid>
      <w:tr w:rsidR="00ED2E20" w:rsidRPr="00D93780" w14:paraId="71A9DA12" w14:textId="77777777" w:rsidTr="005D454E">
        <w:tc>
          <w:tcPr>
            <w:tcW w:w="1405" w:type="pct"/>
            <w:tcBorders>
              <w:top w:val="single" w:sz="4" w:space="0" w:color="auto"/>
              <w:bottom w:val="single" w:sz="4" w:space="0" w:color="auto"/>
            </w:tcBorders>
            <w:shd w:val="clear" w:color="auto" w:fill="D9D9D9" w:themeFill="background1" w:themeFillShade="D9"/>
          </w:tcPr>
          <w:p w14:paraId="2F199318" w14:textId="77777777" w:rsidR="00ED2E20" w:rsidRPr="00D93780" w:rsidRDefault="00ED2E20" w:rsidP="00227A32">
            <w:pPr>
              <w:pStyle w:val="ListParagraph"/>
              <w:spacing w:line="276" w:lineRule="auto"/>
              <w:ind w:left="0"/>
              <w:jc w:val="both"/>
              <w:rPr>
                <w:rFonts w:ascii="Arial" w:hAnsi="Arial" w:cs="Arial"/>
                <w:b/>
                <w:sz w:val="18"/>
                <w:szCs w:val="18"/>
              </w:rPr>
            </w:pPr>
            <w:r w:rsidRPr="00D93780">
              <w:rPr>
                <w:rFonts w:ascii="Arial" w:hAnsi="Arial" w:cs="Arial"/>
                <w:b/>
                <w:sz w:val="18"/>
                <w:szCs w:val="18"/>
              </w:rPr>
              <w:t>Parámetros críticos</w:t>
            </w:r>
          </w:p>
        </w:tc>
        <w:tc>
          <w:tcPr>
            <w:tcW w:w="955" w:type="pct"/>
            <w:tcBorders>
              <w:top w:val="single" w:sz="4" w:space="0" w:color="auto"/>
              <w:bottom w:val="single" w:sz="4" w:space="0" w:color="auto"/>
            </w:tcBorders>
            <w:shd w:val="clear" w:color="auto" w:fill="D9D9D9" w:themeFill="background1" w:themeFillShade="D9"/>
          </w:tcPr>
          <w:p w14:paraId="032CDEBB" w14:textId="77777777" w:rsidR="00ED2E20" w:rsidRPr="00D93780" w:rsidRDefault="00ED2E20" w:rsidP="00227A32">
            <w:pPr>
              <w:pStyle w:val="ListParagraph"/>
              <w:spacing w:line="276" w:lineRule="auto"/>
              <w:ind w:left="0"/>
              <w:jc w:val="center"/>
              <w:rPr>
                <w:rFonts w:ascii="Arial" w:hAnsi="Arial" w:cs="Arial"/>
                <w:b/>
                <w:sz w:val="18"/>
                <w:szCs w:val="18"/>
              </w:rPr>
            </w:pPr>
            <w:r w:rsidRPr="00D93780">
              <w:rPr>
                <w:rFonts w:ascii="Arial" w:hAnsi="Arial" w:cs="Arial"/>
                <w:b/>
                <w:sz w:val="18"/>
                <w:szCs w:val="18"/>
              </w:rPr>
              <w:t>Escenario base</w:t>
            </w:r>
          </w:p>
        </w:tc>
        <w:tc>
          <w:tcPr>
            <w:tcW w:w="878" w:type="pct"/>
            <w:tcBorders>
              <w:top w:val="single" w:sz="4" w:space="0" w:color="auto"/>
              <w:bottom w:val="single" w:sz="4" w:space="0" w:color="auto"/>
            </w:tcBorders>
            <w:shd w:val="clear" w:color="auto" w:fill="D9D9D9" w:themeFill="background1" w:themeFillShade="D9"/>
          </w:tcPr>
          <w:p w14:paraId="6B696BB2" w14:textId="77777777" w:rsidR="00ED2E20" w:rsidRPr="00D93780" w:rsidRDefault="00ED2E20" w:rsidP="00227A32">
            <w:pPr>
              <w:pStyle w:val="ListParagraph"/>
              <w:spacing w:line="276" w:lineRule="auto"/>
              <w:ind w:left="0"/>
              <w:jc w:val="center"/>
              <w:rPr>
                <w:rFonts w:ascii="Arial" w:hAnsi="Arial" w:cs="Arial"/>
                <w:b/>
                <w:sz w:val="18"/>
                <w:szCs w:val="18"/>
              </w:rPr>
            </w:pPr>
            <w:r w:rsidRPr="00D93780">
              <w:rPr>
                <w:rFonts w:ascii="Arial" w:hAnsi="Arial" w:cs="Arial"/>
                <w:b/>
                <w:sz w:val="18"/>
                <w:szCs w:val="18"/>
              </w:rPr>
              <w:t>Escenario extremo</w:t>
            </w:r>
          </w:p>
        </w:tc>
        <w:tc>
          <w:tcPr>
            <w:tcW w:w="863" w:type="pct"/>
            <w:tcBorders>
              <w:top w:val="single" w:sz="4" w:space="0" w:color="auto"/>
              <w:bottom w:val="single" w:sz="4" w:space="0" w:color="auto"/>
            </w:tcBorders>
            <w:shd w:val="clear" w:color="auto" w:fill="D9D9D9" w:themeFill="background1" w:themeFillShade="D9"/>
          </w:tcPr>
          <w:p w14:paraId="46557B9C" w14:textId="77777777" w:rsidR="00ED2E20" w:rsidRPr="00D93780" w:rsidRDefault="00ED2E20" w:rsidP="00227A32">
            <w:pPr>
              <w:pStyle w:val="ListParagraph"/>
              <w:spacing w:line="276" w:lineRule="auto"/>
              <w:ind w:left="0"/>
              <w:jc w:val="center"/>
              <w:rPr>
                <w:rFonts w:ascii="Arial" w:hAnsi="Arial" w:cs="Arial"/>
                <w:b/>
                <w:sz w:val="18"/>
                <w:szCs w:val="18"/>
              </w:rPr>
            </w:pPr>
            <w:r w:rsidRPr="00D93780">
              <w:rPr>
                <w:rFonts w:ascii="Arial" w:hAnsi="Arial" w:cs="Arial"/>
                <w:b/>
                <w:sz w:val="18"/>
                <w:szCs w:val="18"/>
              </w:rPr>
              <w:t>Stress (%)</w:t>
            </w:r>
          </w:p>
        </w:tc>
        <w:tc>
          <w:tcPr>
            <w:tcW w:w="898" w:type="pct"/>
            <w:tcBorders>
              <w:top w:val="single" w:sz="4" w:space="0" w:color="auto"/>
              <w:bottom w:val="single" w:sz="4" w:space="0" w:color="auto"/>
            </w:tcBorders>
            <w:shd w:val="clear" w:color="auto" w:fill="D9D9D9" w:themeFill="background1" w:themeFillShade="D9"/>
          </w:tcPr>
          <w:p w14:paraId="5873E876" w14:textId="77777777" w:rsidR="00ED2E20" w:rsidRPr="00D93780" w:rsidRDefault="00ED2E20" w:rsidP="00227A32">
            <w:pPr>
              <w:pStyle w:val="ListParagraph"/>
              <w:spacing w:line="276" w:lineRule="auto"/>
              <w:ind w:left="0"/>
              <w:jc w:val="center"/>
              <w:rPr>
                <w:rFonts w:ascii="Arial" w:hAnsi="Arial" w:cs="Arial"/>
                <w:b/>
                <w:sz w:val="18"/>
                <w:szCs w:val="18"/>
              </w:rPr>
            </w:pPr>
            <w:r w:rsidRPr="00D93780">
              <w:rPr>
                <w:rFonts w:ascii="Arial" w:hAnsi="Arial" w:cs="Arial"/>
                <w:b/>
                <w:sz w:val="18"/>
                <w:szCs w:val="18"/>
              </w:rPr>
              <w:t>Límite TIR</w:t>
            </w:r>
          </w:p>
        </w:tc>
      </w:tr>
      <w:tr w:rsidR="00ED2E20" w:rsidRPr="00D93780" w14:paraId="08C7249A" w14:textId="77777777" w:rsidTr="005D454E">
        <w:tc>
          <w:tcPr>
            <w:tcW w:w="1405" w:type="pct"/>
            <w:tcBorders>
              <w:top w:val="single" w:sz="4" w:space="0" w:color="auto"/>
            </w:tcBorders>
          </w:tcPr>
          <w:p w14:paraId="1C1FD143" w14:textId="77777777" w:rsidR="00ED2E20" w:rsidRPr="00D93780" w:rsidRDefault="00ED2E20" w:rsidP="00227A32">
            <w:pPr>
              <w:pStyle w:val="ListParagraph"/>
              <w:ind w:left="0"/>
              <w:jc w:val="both"/>
              <w:rPr>
                <w:rFonts w:ascii="Arial" w:hAnsi="Arial" w:cs="Arial"/>
                <w:sz w:val="18"/>
                <w:szCs w:val="18"/>
              </w:rPr>
            </w:pPr>
            <w:r w:rsidRPr="00D93780">
              <w:rPr>
                <w:rFonts w:ascii="Arial" w:hAnsi="Arial" w:cs="Arial"/>
                <w:sz w:val="18"/>
                <w:szCs w:val="18"/>
              </w:rPr>
              <w:t>Factor de valoración padrones</w:t>
            </w:r>
          </w:p>
        </w:tc>
        <w:tc>
          <w:tcPr>
            <w:tcW w:w="955" w:type="pct"/>
            <w:tcBorders>
              <w:top w:val="single" w:sz="4" w:space="0" w:color="auto"/>
            </w:tcBorders>
            <w:vAlign w:val="center"/>
          </w:tcPr>
          <w:p w14:paraId="0BABC066" w14:textId="77777777" w:rsidR="00ED2E20" w:rsidRPr="00D93780" w:rsidRDefault="00ED2E20" w:rsidP="00227A32">
            <w:pPr>
              <w:pStyle w:val="ListParagraph"/>
              <w:ind w:left="0"/>
              <w:jc w:val="center"/>
              <w:rPr>
                <w:rFonts w:ascii="Arial" w:hAnsi="Arial" w:cs="Arial"/>
                <w:sz w:val="18"/>
                <w:szCs w:val="18"/>
              </w:rPr>
            </w:pPr>
            <w:r w:rsidRPr="00D93780">
              <w:rPr>
                <w:rFonts w:ascii="Arial" w:hAnsi="Arial" w:cs="Arial"/>
                <w:sz w:val="18"/>
                <w:szCs w:val="18"/>
              </w:rPr>
              <w:t>7,01</w:t>
            </w:r>
          </w:p>
        </w:tc>
        <w:tc>
          <w:tcPr>
            <w:tcW w:w="878" w:type="pct"/>
            <w:tcBorders>
              <w:top w:val="single" w:sz="4" w:space="0" w:color="auto"/>
            </w:tcBorders>
            <w:vAlign w:val="center"/>
          </w:tcPr>
          <w:p w14:paraId="5700C05A" w14:textId="4CADC162" w:rsidR="00ED2E20" w:rsidRPr="00D93780" w:rsidRDefault="009B5AEA" w:rsidP="00227A32">
            <w:pPr>
              <w:pStyle w:val="ListParagraph"/>
              <w:ind w:left="0"/>
              <w:jc w:val="center"/>
              <w:rPr>
                <w:rFonts w:ascii="Arial" w:hAnsi="Arial" w:cs="Arial"/>
                <w:sz w:val="18"/>
                <w:szCs w:val="18"/>
              </w:rPr>
            </w:pPr>
            <w:r w:rsidRPr="00D93780">
              <w:rPr>
                <w:rFonts w:ascii="Arial" w:hAnsi="Arial" w:cs="Arial"/>
                <w:sz w:val="18"/>
                <w:szCs w:val="18"/>
              </w:rPr>
              <w:t>6,2</w:t>
            </w:r>
            <w:r w:rsidR="00EF0AC3" w:rsidRPr="00D93780">
              <w:rPr>
                <w:rFonts w:ascii="Arial" w:hAnsi="Arial" w:cs="Arial"/>
                <w:sz w:val="18"/>
                <w:szCs w:val="18"/>
              </w:rPr>
              <w:t>8</w:t>
            </w:r>
          </w:p>
        </w:tc>
        <w:tc>
          <w:tcPr>
            <w:tcW w:w="863" w:type="pct"/>
            <w:tcBorders>
              <w:top w:val="single" w:sz="4" w:space="0" w:color="auto"/>
            </w:tcBorders>
            <w:vAlign w:val="center"/>
          </w:tcPr>
          <w:p w14:paraId="52E0187B" w14:textId="446F69B1" w:rsidR="00ED2E20" w:rsidRPr="00D93780" w:rsidRDefault="00ED2E20" w:rsidP="00EF0AC3">
            <w:pPr>
              <w:pStyle w:val="ListParagraph"/>
              <w:ind w:left="0"/>
              <w:jc w:val="center"/>
              <w:rPr>
                <w:rFonts w:ascii="Arial" w:hAnsi="Arial" w:cs="Arial"/>
                <w:sz w:val="18"/>
                <w:szCs w:val="18"/>
              </w:rPr>
            </w:pPr>
            <w:r w:rsidRPr="00D93780">
              <w:rPr>
                <w:rFonts w:ascii="Arial" w:hAnsi="Arial" w:cs="Arial"/>
                <w:sz w:val="18"/>
                <w:szCs w:val="18"/>
              </w:rPr>
              <w:t>-</w:t>
            </w:r>
            <w:r w:rsidR="009B5AEA" w:rsidRPr="00D93780">
              <w:rPr>
                <w:rFonts w:ascii="Arial" w:hAnsi="Arial" w:cs="Arial"/>
                <w:sz w:val="18"/>
                <w:szCs w:val="18"/>
              </w:rPr>
              <w:t>1</w:t>
            </w:r>
            <w:r w:rsidR="00EF0AC3" w:rsidRPr="00D93780">
              <w:rPr>
                <w:rFonts w:ascii="Arial" w:hAnsi="Arial" w:cs="Arial"/>
                <w:sz w:val="18"/>
                <w:szCs w:val="18"/>
              </w:rPr>
              <w:t>0</w:t>
            </w:r>
            <w:r w:rsidR="009B5AEA" w:rsidRPr="00D93780">
              <w:rPr>
                <w:rFonts w:ascii="Arial" w:hAnsi="Arial" w:cs="Arial"/>
                <w:sz w:val="18"/>
                <w:szCs w:val="18"/>
              </w:rPr>
              <w:t>,5</w:t>
            </w:r>
          </w:p>
        </w:tc>
        <w:tc>
          <w:tcPr>
            <w:tcW w:w="898" w:type="pct"/>
            <w:tcBorders>
              <w:top w:val="single" w:sz="4" w:space="0" w:color="auto"/>
            </w:tcBorders>
            <w:vAlign w:val="center"/>
          </w:tcPr>
          <w:p w14:paraId="7A181413" w14:textId="77777777" w:rsidR="00ED2E20" w:rsidRPr="00D93780" w:rsidRDefault="00ED2E20" w:rsidP="00227A32">
            <w:pPr>
              <w:pStyle w:val="ListParagraph"/>
              <w:ind w:left="0"/>
              <w:jc w:val="center"/>
              <w:rPr>
                <w:rFonts w:ascii="Arial" w:hAnsi="Arial" w:cs="Arial"/>
                <w:sz w:val="18"/>
                <w:szCs w:val="18"/>
              </w:rPr>
            </w:pPr>
            <w:r w:rsidRPr="00D93780">
              <w:rPr>
                <w:rFonts w:ascii="Arial" w:hAnsi="Arial" w:cs="Arial"/>
                <w:sz w:val="18"/>
                <w:szCs w:val="18"/>
              </w:rPr>
              <w:t>TIR= 12,0%</w:t>
            </w:r>
          </w:p>
        </w:tc>
      </w:tr>
      <w:tr w:rsidR="00ED2E20" w:rsidRPr="00D93780" w14:paraId="7FFE2E6B" w14:textId="77777777" w:rsidTr="005D454E">
        <w:tc>
          <w:tcPr>
            <w:tcW w:w="1405" w:type="pct"/>
            <w:tcBorders>
              <w:bottom w:val="single" w:sz="4" w:space="0" w:color="auto"/>
            </w:tcBorders>
          </w:tcPr>
          <w:p w14:paraId="31F53216" w14:textId="77777777" w:rsidR="00ED2E20" w:rsidRPr="00D93780" w:rsidRDefault="00ED2E20" w:rsidP="00227A32">
            <w:pPr>
              <w:pStyle w:val="ListParagraph"/>
              <w:ind w:left="0"/>
              <w:jc w:val="both"/>
              <w:rPr>
                <w:rFonts w:ascii="Arial" w:hAnsi="Arial" w:cs="Arial"/>
                <w:sz w:val="18"/>
                <w:szCs w:val="18"/>
              </w:rPr>
            </w:pPr>
            <w:r w:rsidRPr="00D93780">
              <w:rPr>
                <w:rFonts w:ascii="Arial" w:hAnsi="Arial" w:cs="Arial"/>
                <w:sz w:val="18"/>
                <w:szCs w:val="18"/>
              </w:rPr>
              <w:t>Cambio de clase y estado (promedio)</w:t>
            </w:r>
          </w:p>
        </w:tc>
        <w:tc>
          <w:tcPr>
            <w:tcW w:w="955" w:type="pct"/>
            <w:tcBorders>
              <w:bottom w:val="single" w:sz="4" w:space="0" w:color="auto"/>
            </w:tcBorders>
            <w:vAlign w:val="center"/>
          </w:tcPr>
          <w:p w14:paraId="268F4B1D" w14:textId="47525B3B" w:rsidR="00ED2E20" w:rsidRPr="00D93780" w:rsidRDefault="00EF0AC3" w:rsidP="00EF0AC3">
            <w:pPr>
              <w:pStyle w:val="ListParagraph"/>
              <w:ind w:left="0"/>
              <w:jc w:val="center"/>
              <w:rPr>
                <w:rFonts w:ascii="Arial" w:hAnsi="Arial" w:cs="Arial"/>
                <w:sz w:val="18"/>
                <w:szCs w:val="18"/>
              </w:rPr>
            </w:pPr>
            <w:r w:rsidRPr="00D93780">
              <w:rPr>
                <w:rFonts w:ascii="Arial" w:hAnsi="Arial" w:cs="Arial"/>
                <w:sz w:val="18"/>
                <w:szCs w:val="18"/>
              </w:rPr>
              <w:t>23</w:t>
            </w:r>
            <w:r w:rsidR="00C02E8C" w:rsidRPr="00D93780">
              <w:rPr>
                <w:rFonts w:ascii="Arial" w:hAnsi="Arial" w:cs="Arial"/>
                <w:sz w:val="18"/>
                <w:szCs w:val="18"/>
              </w:rPr>
              <w:t>,</w:t>
            </w:r>
            <w:r w:rsidRPr="00D93780">
              <w:rPr>
                <w:rFonts w:ascii="Arial" w:hAnsi="Arial" w:cs="Arial"/>
                <w:sz w:val="18"/>
                <w:szCs w:val="18"/>
              </w:rPr>
              <w:t>51</w:t>
            </w:r>
            <w:r w:rsidR="00ED2E20" w:rsidRPr="00D93780">
              <w:rPr>
                <w:rFonts w:ascii="Arial" w:hAnsi="Arial" w:cs="Arial"/>
                <w:sz w:val="18"/>
                <w:szCs w:val="18"/>
              </w:rPr>
              <w:t>%</w:t>
            </w:r>
          </w:p>
        </w:tc>
        <w:tc>
          <w:tcPr>
            <w:tcW w:w="878" w:type="pct"/>
            <w:tcBorders>
              <w:bottom w:val="single" w:sz="4" w:space="0" w:color="auto"/>
            </w:tcBorders>
            <w:vAlign w:val="center"/>
          </w:tcPr>
          <w:p w14:paraId="62415832" w14:textId="7A6543BC" w:rsidR="00ED2E20" w:rsidRPr="00D93780" w:rsidRDefault="00C02E8C" w:rsidP="00EF0AC3">
            <w:pPr>
              <w:pStyle w:val="ListParagraph"/>
              <w:ind w:left="0"/>
              <w:jc w:val="center"/>
              <w:rPr>
                <w:rFonts w:ascii="Arial" w:hAnsi="Arial" w:cs="Arial"/>
                <w:sz w:val="18"/>
                <w:szCs w:val="18"/>
              </w:rPr>
            </w:pPr>
            <w:r w:rsidRPr="00D93780">
              <w:rPr>
                <w:rFonts w:ascii="Arial" w:hAnsi="Arial" w:cs="Arial"/>
                <w:sz w:val="18"/>
                <w:szCs w:val="18"/>
              </w:rPr>
              <w:t>2</w:t>
            </w:r>
            <w:r w:rsidR="00EF0AC3" w:rsidRPr="00D93780">
              <w:rPr>
                <w:rFonts w:ascii="Arial" w:hAnsi="Arial" w:cs="Arial"/>
                <w:sz w:val="18"/>
                <w:szCs w:val="18"/>
              </w:rPr>
              <w:t>2,</w:t>
            </w:r>
            <w:r w:rsidR="00BC3F43" w:rsidRPr="00D93780">
              <w:rPr>
                <w:rFonts w:ascii="Arial" w:hAnsi="Arial" w:cs="Arial"/>
                <w:sz w:val="18"/>
                <w:szCs w:val="18"/>
              </w:rPr>
              <w:t>33</w:t>
            </w:r>
            <w:r w:rsidR="00ED2E20" w:rsidRPr="00D93780">
              <w:rPr>
                <w:rFonts w:ascii="Arial" w:hAnsi="Arial" w:cs="Arial"/>
                <w:sz w:val="18"/>
                <w:szCs w:val="18"/>
              </w:rPr>
              <w:t>%</w:t>
            </w:r>
          </w:p>
        </w:tc>
        <w:tc>
          <w:tcPr>
            <w:tcW w:w="863" w:type="pct"/>
            <w:tcBorders>
              <w:bottom w:val="single" w:sz="4" w:space="0" w:color="auto"/>
            </w:tcBorders>
            <w:vAlign w:val="center"/>
          </w:tcPr>
          <w:p w14:paraId="7FE16CFF" w14:textId="51CDF28A" w:rsidR="00ED2E20" w:rsidRPr="00D93780" w:rsidRDefault="00EF0AC3" w:rsidP="00227A32">
            <w:pPr>
              <w:pStyle w:val="ListParagraph"/>
              <w:ind w:left="0"/>
              <w:jc w:val="center"/>
              <w:rPr>
                <w:rFonts w:ascii="Arial" w:hAnsi="Arial" w:cs="Arial"/>
                <w:sz w:val="18"/>
                <w:szCs w:val="18"/>
              </w:rPr>
            </w:pPr>
            <w:r w:rsidRPr="00D93780">
              <w:rPr>
                <w:rFonts w:ascii="Arial" w:hAnsi="Arial" w:cs="Arial"/>
                <w:sz w:val="18"/>
                <w:szCs w:val="18"/>
              </w:rPr>
              <w:t>-</w:t>
            </w:r>
            <w:r w:rsidR="00BC3F43" w:rsidRPr="00D93780">
              <w:rPr>
                <w:rFonts w:ascii="Arial" w:hAnsi="Arial" w:cs="Arial"/>
                <w:sz w:val="18"/>
                <w:szCs w:val="18"/>
              </w:rPr>
              <w:t>5</w:t>
            </w:r>
          </w:p>
        </w:tc>
        <w:tc>
          <w:tcPr>
            <w:tcW w:w="898" w:type="pct"/>
            <w:tcBorders>
              <w:bottom w:val="single" w:sz="4" w:space="0" w:color="auto"/>
            </w:tcBorders>
            <w:vAlign w:val="center"/>
          </w:tcPr>
          <w:p w14:paraId="061F75FD" w14:textId="77777777" w:rsidR="00ED2E20" w:rsidRPr="00D93780" w:rsidRDefault="00ED2E20" w:rsidP="00227A32">
            <w:pPr>
              <w:pStyle w:val="ListParagraph"/>
              <w:ind w:left="0"/>
              <w:jc w:val="center"/>
              <w:rPr>
                <w:rFonts w:ascii="Arial" w:hAnsi="Arial" w:cs="Arial"/>
                <w:sz w:val="18"/>
                <w:szCs w:val="18"/>
              </w:rPr>
            </w:pPr>
            <w:r w:rsidRPr="00D93780">
              <w:rPr>
                <w:rFonts w:ascii="Arial" w:hAnsi="Arial" w:cs="Arial"/>
                <w:sz w:val="18"/>
                <w:szCs w:val="18"/>
              </w:rPr>
              <w:t>TIR= 12,0%</w:t>
            </w:r>
          </w:p>
        </w:tc>
      </w:tr>
    </w:tbl>
    <w:p w14:paraId="5547B1F6" w14:textId="77777777" w:rsidR="00ED2E20" w:rsidRPr="00D93780" w:rsidRDefault="00ED2E20" w:rsidP="00ED2E20">
      <w:pPr>
        <w:pStyle w:val="ListParagraph"/>
        <w:spacing w:line="276" w:lineRule="auto"/>
        <w:ind w:left="567"/>
        <w:jc w:val="both"/>
        <w:rPr>
          <w:rFonts w:ascii="Arial" w:hAnsi="Arial" w:cs="Arial"/>
          <w:sz w:val="22"/>
          <w:szCs w:val="22"/>
        </w:rPr>
      </w:pPr>
    </w:p>
    <w:p w14:paraId="3A830435" w14:textId="5904F726" w:rsidR="00ED2E20" w:rsidRPr="00D93780" w:rsidRDefault="00ED2E20" w:rsidP="00694FB3">
      <w:pPr>
        <w:pStyle w:val="ListParagraph"/>
        <w:numPr>
          <w:ilvl w:val="0"/>
          <w:numId w:val="12"/>
        </w:numPr>
        <w:spacing w:before="120" w:after="120" w:line="276" w:lineRule="auto"/>
        <w:ind w:left="567" w:hanging="567"/>
        <w:jc w:val="both"/>
        <w:rPr>
          <w:rFonts w:ascii="Arial" w:hAnsi="Arial" w:cs="Arial"/>
          <w:sz w:val="22"/>
          <w:szCs w:val="22"/>
        </w:rPr>
      </w:pPr>
      <w:r w:rsidRPr="00D93780">
        <w:rPr>
          <w:rFonts w:ascii="Arial" w:hAnsi="Arial" w:cs="Arial"/>
          <w:sz w:val="22"/>
          <w:szCs w:val="22"/>
        </w:rPr>
        <w:t xml:space="preserve">Para ello se han seleccionado </w:t>
      </w:r>
      <w:r w:rsidR="005A0342" w:rsidRPr="00D93780">
        <w:rPr>
          <w:rFonts w:ascii="Arial" w:hAnsi="Arial" w:cs="Arial"/>
          <w:sz w:val="22"/>
          <w:szCs w:val="22"/>
        </w:rPr>
        <w:t>dos</w:t>
      </w:r>
      <w:r w:rsidRPr="00D93780">
        <w:rPr>
          <w:rFonts w:ascii="Arial" w:hAnsi="Arial" w:cs="Arial"/>
          <w:sz w:val="22"/>
          <w:szCs w:val="22"/>
        </w:rPr>
        <w:t xml:space="preserve"> parámetros críticos que pueden afectar sensiblemente los resultados del análisis:  </w:t>
      </w:r>
    </w:p>
    <w:p w14:paraId="2D58FB7D" w14:textId="1F83E280" w:rsidR="00ED2E20" w:rsidRPr="00D93780" w:rsidRDefault="00ED2E20" w:rsidP="00694FB3">
      <w:pPr>
        <w:pStyle w:val="ListParagraph"/>
        <w:numPr>
          <w:ilvl w:val="0"/>
          <w:numId w:val="37"/>
        </w:numPr>
        <w:spacing w:before="120" w:after="120" w:line="276" w:lineRule="auto"/>
        <w:jc w:val="both"/>
        <w:rPr>
          <w:rFonts w:ascii="Arial" w:hAnsi="Arial" w:cs="Arial"/>
          <w:sz w:val="22"/>
          <w:szCs w:val="22"/>
        </w:rPr>
      </w:pPr>
      <w:r w:rsidRPr="00D93780">
        <w:rPr>
          <w:rFonts w:ascii="Arial" w:hAnsi="Arial" w:cs="Arial"/>
          <w:i/>
          <w:sz w:val="22"/>
          <w:szCs w:val="22"/>
        </w:rPr>
        <w:t>Tasa de valoración padrones</w:t>
      </w:r>
      <w:r w:rsidRPr="00D93780">
        <w:rPr>
          <w:rFonts w:ascii="Arial" w:hAnsi="Arial" w:cs="Arial"/>
          <w:sz w:val="22"/>
          <w:szCs w:val="22"/>
        </w:rPr>
        <w:t xml:space="preserve">. Como se recordará, esta tasa es la que estima la relación entre la inversión y el monto de los padrones catastrales involucrados, en aquellos casos en los que en los proyectos técnicos no hay estimación directa. De acuerdo con las estimaciones, este factor tendría que reducirse en un </w:t>
      </w:r>
      <w:r w:rsidR="00EF0AC3" w:rsidRPr="00D93780">
        <w:rPr>
          <w:rFonts w:ascii="Arial" w:hAnsi="Arial" w:cs="Arial"/>
          <w:sz w:val="22"/>
          <w:szCs w:val="22"/>
        </w:rPr>
        <w:t>10</w:t>
      </w:r>
      <w:r w:rsidR="009B5AEA" w:rsidRPr="00D93780">
        <w:rPr>
          <w:rFonts w:ascii="Arial" w:hAnsi="Arial" w:cs="Arial"/>
          <w:sz w:val="22"/>
          <w:szCs w:val="22"/>
        </w:rPr>
        <w:t>,5</w:t>
      </w:r>
      <w:r w:rsidRPr="00D93780">
        <w:rPr>
          <w:rFonts w:ascii="Arial" w:hAnsi="Arial" w:cs="Arial"/>
          <w:sz w:val="22"/>
          <w:szCs w:val="22"/>
        </w:rPr>
        <w:t>% para que la TIR descienda del nivel crítico de 12%, lo que resulta altamente improbable.</w:t>
      </w:r>
    </w:p>
    <w:p w14:paraId="351C10F8" w14:textId="7F96FE5F" w:rsidR="00ED2E20" w:rsidRPr="00D93780" w:rsidRDefault="00ED2E20" w:rsidP="00694FB3">
      <w:pPr>
        <w:pStyle w:val="ListParagraph"/>
        <w:numPr>
          <w:ilvl w:val="0"/>
          <w:numId w:val="37"/>
        </w:numPr>
        <w:spacing w:before="120" w:after="120" w:line="276" w:lineRule="auto"/>
        <w:jc w:val="both"/>
        <w:rPr>
          <w:rFonts w:ascii="Arial" w:hAnsi="Arial" w:cs="Arial"/>
          <w:sz w:val="22"/>
          <w:szCs w:val="22"/>
        </w:rPr>
      </w:pPr>
      <w:r w:rsidRPr="00D93780">
        <w:rPr>
          <w:rFonts w:ascii="Arial" w:hAnsi="Arial" w:cs="Arial"/>
          <w:i/>
          <w:sz w:val="22"/>
          <w:szCs w:val="22"/>
        </w:rPr>
        <w:t>Cambio de clase y estado (promedio) en las infraestructuras</w:t>
      </w:r>
      <w:r w:rsidRPr="00D93780">
        <w:rPr>
          <w:rFonts w:ascii="Arial" w:hAnsi="Arial" w:cs="Arial"/>
          <w:sz w:val="22"/>
          <w:szCs w:val="22"/>
        </w:rPr>
        <w:t xml:space="preserve">. La revalorización de los valores catastrales depende, de acuerdo con las estimaciones de Lebedinsky, básicamente de las características de la nueva infraestructura, y del estado inicial. El efecto </w:t>
      </w:r>
      <w:r w:rsidRPr="00D93780">
        <w:rPr>
          <w:rFonts w:ascii="Arial" w:hAnsi="Arial" w:cs="Arial"/>
          <w:i/>
          <w:sz w:val="22"/>
          <w:szCs w:val="22"/>
        </w:rPr>
        <w:t>conjunto</w:t>
      </w:r>
      <w:r w:rsidRPr="00D93780">
        <w:rPr>
          <w:rFonts w:ascii="Arial" w:hAnsi="Arial" w:cs="Arial"/>
          <w:sz w:val="22"/>
          <w:szCs w:val="22"/>
        </w:rPr>
        <w:t xml:space="preserve"> de ambos factores no debe reducirse más de un </w:t>
      </w:r>
      <w:r w:rsidR="00BC3F43" w:rsidRPr="00D93780">
        <w:rPr>
          <w:rFonts w:ascii="Arial" w:hAnsi="Arial" w:cs="Arial"/>
          <w:sz w:val="22"/>
          <w:szCs w:val="22"/>
        </w:rPr>
        <w:t>5</w:t>
      </w:r>
      <w:r w:rsidRPr="00D93780">
        <w:rPr>
          <w:rFonts w:ascii="Arial" w:hAnsi="Arial" w:cs="Arial"/>
          <w:sz w:val="22"/>
          <w:szCs w:val="22"/>
        </w:rPr>
        <w:t xml:space="preserve">% para que la TIR caiga por debajo del 12%. Es improbable que este </w:t>
      </w:r>
      <w:r w:rsidRPr="00D93780">
        <w:rPr>
          <w:rFonts w:ascii="Arial" w:hAnsi="Arial" w:cs="Arial"/>
          <w:sz w:val="22"/>
          <w:szCs w:val="22"/>
        </w:rPr>
        <w:lastRenderedPageBreak/>
        <w:t>efecto se reduzca, de acuerdo con las evidencias discutidas en la sección “</w:t>
      </w:r>
      <w:r w:rsidRPr="00D93780">
        <w:rPr>
          <w:rFonts w:ascii="Arial" w:hAnsi="Arial" w:cs="Arial"/>
          <w:sz w:val="22"/>
          <w:szCs w:val="22"/>
        </w:rPr>
        <w:fldChar w:fldCharType="begin"/>
      </w:r>
      <w:r w:rsidRPr="00D93780">
        <w:rPr>
          <w:rFonts w:ascii="Arial" w:hAnsi="Arial" w:cs="Arial"/>
          <w:sz w:val="22"/>
          <w:szCs w:val="22"/>
        </w:rPr>
        <w:instrText xml:space="preserve"> REF _Ref454993753 \h  \* MERGEFORMAT </w:instrText>
      </w:r>
      <w:r w:rsidRPr="00D93780">
        <w:rPr>
          <w:rFonts w:ascii="Arial" w:hAnsi="Arial" w:cs="Arial"/>
          <w:sz w:val="22"/>
          <w:szCs w:val="22"/>
        </w:rPr>
      </w:r>
      <w:r w:rsidRPr="00D93780">
        <w:rPr>
          <w:rFonts w:ascii="Arial" w:hAnsi="Arial" w:cs="Arial"/>
          <w:sz w:val="22"/>
          <w:szCs w:val="22"/>
        </w:rPr>
        <w:fldChar w:fldCharType="separate"/>
      </w:r>
      <w:r w:rsidRPr="00D93780">
        <w:rPr>
          <w:rFonts w:ascii="Arial" w:hAnsi="Arial" w:cs="Arial"/>
          <w:sz w:val="22"/>
          <w:szCs w:val="22"/>
        </w:rPr>
        <w:t>Cuantificación de los beneficios</w:t>
      </w:r>
      <w:r w:rsidRPr="00D93780">
        <w:rPr>
          <w:rFonts w:ascii="Arial" w:hAnsi="Arial" w:cs="Arial"/>
          <w:sz w:val="22"/>
          <w:szCs w:val="22"/>
        </w:rPr>
        <w:fldChar w:fldCharType="end"/>
      </w:r>
      <w:r w:rsidRPr="00D93780">
        <w:rPr>
          <w:rFonts w:ascii="Arial" w:hAnsi="Arial" w:cs="Arial"/>
          <w:sz w:val="22"/>
          <w:szCs w:val="22"/>
        </w:rPr>
        <w:t>”.</w:t>
      </w:r>
    </w:p>
    <w:p w14:paraId="18C53C78" w14:textId="77777777" w:rsidR="00934C93" w:rsidRPr="00D93780" w:rsidRDefault="00934C93" w:rsidP="00694FB3">
      <w:pPr>
        <w:pStyle w:val="Heading1"/>
        <w:spacing w:before="120" w:after="120"/>
        <w:rPr>
          <w:rFonts w:ascii="Arial" w:hAnsi="Arial" w:cs="Arial"/>
          <w:sz w:val="22"/>
          <w:szCs w:val="22"/>
        </w:rPr>
      </w:pPr>
      <w:bookmarkStart w:id="29" w:name="_Toc456337519"/>
      <w:bookmarkStart w:id="30" w:name="_Toc139199306"/>
      <w:bookmarkStart w:id="31" w:name="_Toc179282705"/>
      <w:bookmarkEnd w:id="10"/>
      <w:r w:rsidRPr="00D93780">
        <w:rPr>
          <w:rFonts w:ascii="Arial" w:hAnsi="Arial" w:cs="Arial"/>
          <w:sz w:val="22"/>
          <w:szCs w:val="22"/>
        </w:rPr>
        <w:t>Conclusiones</w:t>
      </w:r>
      <w:bookmarkEnd w:id="29"/>
    </w:p>
    <w:p w14:paraId="18C53C7A" w14:textId="2D4978BE" w:rsidR="00981F8A" w:rsidRPr="00D93780" w:rsidRDefault="00FE47F4" w:rsidP="00694FB3">
      <w:pPr>
        <w:pStyle w:val="ListParagraph"/>
        <w:numPr>
          <w:ilvl w:val="0"/>
          <w:numId w:val="12"/>
        </w:numPr>
        <w:spacing w:before="120" w:after="120" w:line="276" w:lineRule="auto"/>
        <w:ind w:left="567" w:hanging="567"/>
        <w:jc w:val="both"/>
        <w:rPr>
          <w:rFonts w:ascii="Arial" w:hAnsi="Arial" w:cs="Arial"/>
          <w:bCs/>
          <w:sz w:val="22"/>
          <w:szCs w:val="22"/>
          <w:lang w:val="es-ES_tradnl"/>
        </w:rPr>
      </w:pPr>
      <w:r w:rsidRPr="00D93780">
        <w:rPr>
          <w:rFonts w:ascii="Arial" w:hAnsi="Arial" w:cs="Arial"/>
          <w:bCs/>
          <w:sz w:val="22"/>
          <w:szCs w:val="22"/>
          <w:lang w:val="es-ES_tradnl"/>
        </w:rPr>
        <w:t>Los resultados de</w:t>
      </w:r>
      <w:r w:rsidR="003A47CD" w:rsidRPr="00D93780">
        <w:rPr>
          <w:rFonts w:ascii="Arial" w:hAnsi="Arial" w:cs="Arial"/>
          <w:bCs/>
          <w:sz w:val="22"/>
          <w:szCs w:val="22"/>
          <w:lang w:val="es-ES_tradnl"/>
        </w:rPr>
        <w:t xml:space="preserve"> </w:t>
      </w:r>
      <w:r w:rsidRPr="00D93780">
        <w:rPr>
          <w:rFonts w:ascii="Arial" w:hAnsi="Arial" w:cs="Arial"/>
          <w:bCs/>
          <w:sz w:val="22"/>
          <w:szCs w:val="22"/>
          <w:lang w:val="es-ES_tradnl"/>
        </w:rPr>
        <w:t>l</w:t>
      </w:r>
      <w:r w:rsidR="003A47CD" w:rsidRPr="00D93780">
        <w:rPr>
          <w:rFonts w:ascii="Arial" w:hAnsi="Arial" w:cs="Arial"/>
          <w:bCs/>
          <w:sz w:val="22"/>
          <w:szCs w:val="22"/>
          <w:lang w:val="es-ES_tradnl"/>
        </w:rPr>
        <w:t xml:space="preserve">os </w:t>
      </w:r>
      <w:r w:rsidR="0095222A" w:rsidRPr="00D93780">
        <w:rPr>
          <w:rFonts w:ascii="Arial" w:hAnsi="Arial" w:cs="Arial"/>
          <w:bCs/>
          <w:sz w:val="22"/>
          <w:szCs w:val="22"/>
          <w:lang w:val="es-ES_tradnl"/>
        </w:rPr>
        <w:t>dos</w:t>
      </w:r>
      <w:r w:rsidRPr="00D93780">
        <w:rPr>
          <w:rFonts w:ascii="Arial" w:hAnsi="Arial" w:cs="Arial"/>
          <w:bCs/>
          <w:sz w:val="22"/>
          <w:szCs w:val="22"/>
          <w:lang w:val="es-ES_tradnl"/>
        </w:rPr>
        <w:t xml:space="preserve"> análisis costo-beneficio no ofrecen dudas acerca de la contundencia de los beneficios </w:t>
      </w:r>
      <w:r w:rsidR="00354DFB" w:rsidRPr="00D93780">
        <w:rPr>
          <w:rFonts w:ascii="Arial" w:hAnsi="Arial" w:cs="Arial"/>
          <w:bCs/>
          <w:sz w:val="22"/>
          <w:szCs w:val="22"/>
          <w:lang w:val="es-ES_tradnl"/>
        </w:rPr>
        <w:t xml:space="preserve">a obtener </w:t>
      </w:r>
      <w:r w:rsidRPr="00D93780">
        <w:rPr>
          <w:rFonts w:ascii="Arial" w:hAnsi="Arial" w:cs="Arial"/>
          <w:bCs/>
          <w:sz w:val="22"/>
          <w:szCs w:val="22"/>
          <w:lang w:val="es-ES_tradnl"/>
        </w:rPr>
        <w:t>en relación con los costos estimados</w:t>
      </w:r>
      <w:r w:rsidR="008D251A" w:rsidRPr="00D93780">
        <w:rPr>
          <w:rFonts w:ascii="Arial" w:hAnsi="Arial" w:cs="Arial"/>
          <w:bCs/>
          <w:sz w:val="22"/>
          <w:szCs w:val="22"/>
          <w:lang w:val="es-ES_tradnl"/>
        </w:rPr>
        <w:t>, máxime teniendo en cuenta los crite</w:t>
      </w:r>
      <w:r w:rsidR="00610B14" w:rsidRPr="00D93780">
        <w:rPr>
          <w:rFonts w:ascii="Arial" w:hAnsi="Arial" w:cs="Arial"/>
          <w:bCs/>
          <w:sz w:val="22"/>
          <w:szCs w:val="22"/>
          <w:lang w:val="es-ES_tradnl"/>
        </w:rPr>
        <w:t>rios conservadores aplicados tanto en los costos como en los beneficios</w:t>
      </w:r>
      <w:r w:rsidR="00BA2FB2" w:rsidRPr="00D93780">
        <w:rPr>
          <w:rFonts w:ascii="Arial" w:hAnsi="Arial" w:cs="Arial"/>
          <w:bCs/>
          <w:sz w:val="22"/>
          <w:szCs w:val="22"/>
          <w:lang w:val="es-ES_tradnl"/>
        </w:rPr>
        <w:t xml:space="preserve">. </w:t>
      </w:r>
      <w:r w:rsidR="003A47CD" w:rsidRPr="00D93780">
        <w:rPr>
          <w:rFonts w:ascii="Arial" w:hAnsi="Arial" w:cs="Arial"/>
          <w:bCs/>
          <w:sz w:val="22"/>
          <w:szCs w:val="22"/>
          <w:lang w:val="es-ES_tradnl"/>
        </w:rPr>
        <w:t xml:space="preserve">En el cuadro </w:t>
      </w:r>
      <w:r w:rsidR="0095222A" w:rsidRPr="00D93780">
        <w:rPr>
          <w:rFonts w:ascii="Arial" w:hAnsi="Arial" w:cs="Arial"/>
          <w:bCs/>
          <w:sz w:val="22"/>
          <w:szCs w:val="22"/>
          <w:lang w:val="es-ES_tradnl"/>
        </w:rPr>
        <w:t>19</w:t>
      </w:r>
      <w:r w:rsidR="003A47CD" w:rsidRPr="00D93780">
        <w:rPr>
          <w:rFonts w:ascii="Arial" w:hAnsi="Arial" w:cs="Arial"/>
          <w:bCs/>
          <w:sz w:val="22"/>
          <w:szCs w:val="22"/>
          <w:lang w:val="es-ES_tradnl"/>
        </w:rPr>
        <w:t xml:space="preserve"> puede observarse un resumen de los </w:t>
      </w:r>
      <w:r w:rsidR="008D251A" w:rsidRPr="00D93780">
        <w:rPr>
          <w:rFonts w:ascii="Arial" w:hAnsi="Arial" w:cs="Arial"/>
          <w:bCs/>
          <w:sz w:val="22"/>
          <w:szCs w:val="22"/>
          <w:lang w:val="es-ES_tradnl"/>
        </w:rPr>
        <w:t>dos</w:t>
      </w:r>
      <w:r w:rsidR="003A47CD" w:rsidRPr="00D93780">
        <w:rPr>
          <w:rFonts w:ascii="Arial" w:hAnsi="Arial" w:cs="Arial"/>
          <w:bCs/>
          <w:sz w:val="22"/>
          <w:szCs w:val="22"/>
          <w:lang w:val="es-ES_tradnl"/>
        </w:rPr>
        <w:t xml:space="preserve"> ejercicios realizados.</w:t>
      </w:r>
    </w:p>
    <w:p w14:paraId="24B20314" w14:textId="133D31DC" w:rsidR="00613784" w:rsidRPr="00462E76" w:rsidRDefault="00613784" w:rsidP="00694FB3">
      <w:pPr>
        <w:pStyle w:val="ListParagraph"/>
        <w:spacing w:before="120" w:after="120"/>
        <w:ind w:left="0"/>
        <w:jc w:val="center"/>
        <w:rPr>
          <w:rFonts w:ascii="Arial" w:hAnsi="Arial" w:cs="Arial"/>
          <w:b/>
          <w:sz w:val="18"/>
          <w:szCs w:val="22"/>
        </w:rPr>
      </w:pPr>
      <w:r w:rsidRPr="00462E76">
        <w:rPr>
          <w:rFonts w:ascii="Arial" w:hAnsi="Arial" w:cs="Arial"/>
          <w:b/>
          <w:sz w:val="18"/>
          <w:szCs w:val="22"/>
        </w:rPr>
        <w:t xml:space="preserve">Cuadro </w:t>
      </w:r>
      <w:r w:rsidR="0095222A" w:rsidRPr="00462E76">
        <w:rPr>
          <w:rFonts w:ascii="Arial" w:hAnsi="Arial" w:cs="Arial"/>
          <w:b/>
          <w:sz w:val="18"/>
          <w:szCs w:val="22"/>
        </w:rPr>
        <w:t>19</w:t>
      </w:r>
      <w:r w:rsidRPr="00462E76">
        <w:rPr>
          <w:rFonts w:ascii="Arial" w:hAnsi="Arial" w:cs="Arial"/>
          <w:b/>
          <w:sz w:val="18"/>
          <w:szCs w:val="22"/>
        </w:rPr>
        <w:t>. Resultados del escenario base</w:t>
      </w:r>
    </w:p>
    <w:tbl>
      <w:tblPr>
        <w:tblStyle w:val="TableGrid"/>
        <w:tblW w:w="4634" w:type="pct"/>
        <w:tblInd w:w="648" w:type="dxa"/>
        <w:tblLook w:val="04A0" w:firstRow="1" w:lastRow="0" w:firstColumn="1" w:lastColumn="0" w:noHBand="0" w:noVBand="1"/>
      </w:tblPr>
      <w:tblGrid>
        <w:gridCol w:w="4410"/>
        <w:gridCol w:w="1239"/>
        <w:gridCol w:w="2559"/>
      </w:tblGrid>
      <w:tr w:rsidR="003A47CD" w:rsidRPr="00D93780" w14:paraId="4AD09540" w14:textId="77777777" w:rsidTr="005D454E">
        <w:tc>
          <w:tcPr>
            <w:tcW w:w="2686" w:type="pct"/>
          </w:tcPr>
          <w:p w14:paraId="05E691A8" w14:textId="77777777" w:rsidR="003A47CD" w:rsidRPr="00D93780" w:rsidRDefault="003A47CD" w:rsidP="003A47CD">
            <w:pPr>
              <w:pStyle w:val="ListParagraph"/>
              <w:ind w:left="0"/>
              <w:jc w:val="center"/>
              <w:rPr>
                <w:rFonts w:ascii="Arial" w:hAnsi="Arial" w:cs="Arial"/>
                <w:b/>
                <w:bCs/>
                <w:sz w:val="22"/>
                <w:szCs w:val="22"/>
                <w:lang w:val="es-ES_tradnl"/>
              </w:rPr>
            </w:pPr>
          </w:p>
        </w:tc>
        <w:tc>
          <w:tcPr>
            <w:tcW w:w="755" w:type="pct"/>
          </w:tcPr>
          <w:p w14:paraId="796E8470" w14:textId="45A50C7F" w:rsidR="003A47CD" w:rsidRPr="00D93780" w:rsidRDefault="003A47CD" w:rsidP="003A47CD">
            <w:pPr>
              <w:pStyle w:val="ListParagraph"/>
              <w:ind w:left="0"/>
              <w:jc w:val="center"/>
              <w:rPr>
                <w:rFonts w:ascii="Arial" w:hAnsi="Arial" w:cs="Arial"/>
                <w:b/>
                <w:bCs/>
                <w:sz w:val="22"/>
                <w:szCs w:val="22"/>
                <w:lang w:val="es-ES_tradnl"/>
              </w:rPr>
            </w:pPr>
            <w:r w:rsidRPr="00D93780">
              <w:rPr>
                <w:rFonts w:ascii="Arial" w:hAnsi="Arial" w:cs="Arial"/>
                <w:b/>
                <w:bCs/>
                <w:sz w:val="22"/>
                <w:szCs w:val="22"/>
                <w:lang w:val="es-ES_tradnl"/>
              </w:rPr>
              <w:t>TIR</w:t>
            </w:r>
            <w:r w:rsidR="00613784" w:rsidRPr="00D93780">
              <w:rPr>
                <w:rFonts w:ascii="Arial" w:hAnsi="Arial" w:cs="Arial"/>
                <w:b/>
                <w:bCs/>
                <w:sz w:val="22"/>
                <w:szCs w:val="22"/>
                <w:lang w:val="es-ES_tradnl"/>
              </w:rPr>
              <w:t xml:space="preserve"> (%)</w:t>
            </w:r>
          </w:p>
        </w:tc>
        <w:tc>
          <w:tcPr>
            <w:tcW w:w="1559" w:type="pct"/>
          </w:tcPr>
          <w:p w14:paraId="1FDBB58D" w14:textId="5657C2DB" w:rsidR="003A47CD" w:rsidRPr="00D93780" w:rsidRDefault="0020520C" w:rsidP="003A47CD">
            <w:pPr>
              <w:pStyle w:val="ListParagraph"/>
              <w:ind w:left="0"/>
              <w:jc w:val="center"/>
              <w:rPr>
                <w:rFonts w:ascii="Arial" w:hAnsi="Arial" w:cs="Arial"/>
                <w:b/>
                <w:bCs/>
                <w:sz w:val="22"/>
                <w:szCs w:val="22"/>
                <w:lang w:val="es-ES_tradnl"/>
              </w:rPr>
            </w:pPr>
            <w:r w:rsidRPr="00D93780">
              <w:rPr>
                <w:rFonts w:ascii="Arial" w:hAnsi="Arial" w:cs="Arial"/>
                <w:b/>
                <w:bCs/>
                <w:sz w:val="22"/>
                <w:szCs w:val="22"/>
                <w:lang w:val="es-ES_tradnl"/>
              </w:rPr>
              <w:t>VPN (r</w:t>
            </w:r>
            <w:r w:rsidR="003A47CD" w:rsidRPr="00D93780">
              <w:rPr>
                <w:rFonts w:ascii="Arial" w:hAnsi="Arial" w:cs="Arial"/>
                <w:b/>
                <w:bCs/>
                <w:sz w:val="22"/>
                <w:szCs w:val="22"/>
                <w:lang w:val="es-ES_tradnl"/>
              </w:rPr>
              <w:t>= 12%)</w:t>
            </w:r>
          </w:p>
        </w:tc>
      </w:tr>
      <w:tr w:rsidR="00613784" w:rsidRPr="00D93780" w14:paraId="50F47E9F" w14:textId="77777777" w:rsidTr="005D454E">
        <w:tc>
          <w:tcPr>
            <w:tcW w:w="2686" w:type="pct"/>
          </w:tcPr>
          <w:p w14:paraId="3EFA867A" w14:textId="357B9FF2" w:rsidR="00613784" w:rsidRPr="00D93780" w:rsidRDefault="00613784" w:rsidP="0095222A">
            <w:pPr>
              <w:pStyle w:val="ListParagraph"/>
              <w:ind w:left="885" w:hanging="885"/>
              <w:jc w:val="both"/>
              <w:rPr>
                <w:rFonts w:ascii="Arial" w:hAnsi="Arial" w:cs="Arial"/>
                <w:bCs/>
                <w:sz w:val="22"/>
                <w:szCs w:val="22"/>
                <w:lang w:val="es-ES_tradnl"/>
              </w:rPr>
            </w:pPr>
            <w:r w:rsidRPr="00D93780">
              <w:rPr>
                <w:rFonts w:ascii="Arial" w:hAnsi="Arial" w:cs="Arial"/>
                <w:bCs/>
                <w:sz w:val="22"/>
                <w:szCs w:val="22"/>
                <w:lang w:val="es-ES_tradnl"/>
              </w:rPr>
              <w:t xml:space="preserve">ACB </w:t>
            </w:r>
            <w:r w:rsidR="0095222A" w:rsidRPr="00D93780">
              <w:rPr>
                <w:rFonts w:ascii="Arial" w:hAnsi="Arial" w:cs="Arial"/>
                <w:bCs/>
                <w:sz w:val="22"/>
                <w:szCs w:val="22"/>
                <w:lang w:val="es-ES_tradnl"/>
              </w:rPr>
              <w:t>1</w:t>
            </w:r>
            <w:r w:rsidRPr="00D93780">
              <w:rPr>
                <w:rFonts w:ascii="Arial" w:hAnsi="Arial" w:cs="Arial"/>
                <w:bCs/>
                <w:sz w:val="22"/>
                <w:szCs w:val="22"/>
                <w:lang w:val="es-ES_tradnl"/>
              </w:rPr>
              <w:t xml:space="preserve">: </w:t>
            </w:r>
            <w:r w:rsidRPr="00D93780">
              <w:rPr>
                <w:rFonts w:ascii="Arial" w:hAnsi="Arial" w:cs="Arial"/>
                <w:bCs/>
                <w:sz w:val="22"/>
                <w:szCs w:val="22"/>
                <w:lang w:val="es-ES_tradnl"/>
              </w:rPr>
              <w:tab/>
            </w:r>
            <w:r w:rsidR="0095222A" w:rsidRPr="00D93780">
              <w:rPr>
                <w:rFonts w:ascii="Arial" w:hAnsi="Arial" w:cs="Arial"/>
                <w:bCs/>
                <w:sz w:val="22"/>
                <w:szCs w:val="22"/>
              </w:rPr>
              <w:t>Centralización de la recaudación</w:t>
            </w:r>
          </w:p>
        </w:tc>
        <w:tc>
          <w:tcPr>
            <w:tcW w:w="755" w:type="pct"/>
          </w:tcPr>
          <w:p w14:paraId="2C05C213" w14:textId="7CA70E07" w:rsidR="00613784" w:rsidRPr="00D93780" w:rsidRDefault="0095222A" w:rsidP="00613784">
            <w:pPr>
              <w:pStyle w:val="ListParagraph"/>
              <w:ind w:left="0" w:right="369"/>
              <w:jc w:val="right"/>
              <w:rPr>
                <w:rFonts w:ascii="Arial" w:hAnsi="Arial" w:cs="Arial"/>
                <w:bCs/>
                <w:sz w:val="22"/>
                <w:szCs w:val="22"/>
                <w:lang w:val="es-ES_tradnl"/>
              </w:rPr>
            </w:pPr>
            <w:r w:rsidRPr="00D93780">
              <w:rPr>
                <w:rFonts w:ascii="Arial" w:hAnsi="Arial" w:cs="Arial"/>
                <w:bCs/>
                <w:sz w:val="22"/>
                <w:szCs w:val="22"/>
                <w:lang w:val="es-ES_tradnl"/>
              </w:rPr>
              <w:t>21,6</w:t>
            </w:r>
          </w:p>
        </w:tc>
        <w:tc>
          <w:tcPr>
            <w:tcW w:w="1559" w:type="pct"/>
            <w:vAlign w:val="bottom"/>
          </w:tcPr>
          <w:p w14:paraId="73F31EE0" w14:textId="67A6A959" w:rsidR="00613784" w:rsidRPr="00D93780" w:rsidRDefault="0095222A" w:rsidP="0095222A">
            <w:pPr>
              <w:pStyle w:val="ListParagraph"/>
              <w:ind w:right="369"/>
              <w:rPr>
                <w:rFonts w:ascii="Arial" w:hAnsi="Arial" w:cs="Arial"/>
                <w:color w:val="000000"/>
                <w:sz w:val="22"/>
                <w:szCs w:val="22"/>
              </w:rPr>
            </w:pPr>
            <w:r w:rsidRPr="00D93780">
              <w:rPr>
                <w:rFonts w:ascii="Arial" w:hAnsi="Arial" w:cs="Arial"/>
                <w:color w:val="000000"/>
                <w:sz w:val="22"/>
                <w:szCs w:val="22"/>
              </w:rPr>
              <w:t>11.196.336</w:t>
            </w:r>
          </w:p>
        </w:tc>
      </w:tr>
      <w:tr w:rsidR="00613784" w:rsidRPr="00D93780" w14:paraId="22E1DF7E" w14:textId="77777777" w:rsidTr="005D454E">
        <w:tc>
          <w:tcPr>
            <w:tcW w:w="2686" w:type="pct"/>
          </w:tcPr>
          <w:p w14:paraId="4EAA6E5B" w14:textId="1D8BA5F9" w:rsidR="00613784" w:rsidRPr="00D93780" w:rsidRDefault="00613784" w:rsidP="0095222A">
            <w:pPr>
              <w:pStyle w:val="ListParagraph"/>
              <w:ind w:left="885" w:hanging="885"/>
              <w:jc w:val="both"/>
              <w:rPr>
                <w:rFonts w:ascii="Arial" w:hAnsi="Arial" w:cs="Arial"/>
                <w:bCs/>
                <w:sz w:val="22"/>
                <w:szCs w:val="22"/>
                <w:lang w:val="es-ES_tradnl"/>
              </w:rPr>
            </w:pPr>
            <w:r w:rsidRPr="00D93780">
              <w:rPr>
                <w:rFonts w:ascii="Arial" w:hAnsi="Arial" w:cs="Arial"/>
                <w:bCs/>
                <w:sz w:val="22"/>
                <w:szCs w:val="22"/>
                <w:lang w:val="es-ES_tradnl"/>
              </w:rPr>
              <w:t>ACB 2:</w:t>
            </w:r>
            <w:r w:rsidRPr="00D93780">
              <w:rPr>
                <w:rFonts w:ascii="Arial" w:hAnsi="Arial" w:cs="Arial"/>
                <w:bCs/>
                <w:sz w:val="22"/>
                <w:szCs w:val="22"/>
                <w:lang w:val="es-ES_tradnl"/>
              </w:rPr>
              <w:tab/>
            </w:r>
            <w:r w:rsidR="0095222A" w:rsidRPr="00D93780">
              <w:rPr>
                <w:rFonts w:ascii="Arial" w:hAnsi="Arial" w:cs="Arial"/>
                <w:bCs/>
                <w:sz w:val="22"/>
                <w:szCs w:val="22"/>
                <w:lang w:val="es-ES_tradnl"/>
              </w:rPr>
              <w:t>Inversiones públicas</w:t>
            </w:r>
          </w:p>
        </w:tc>
        <w:tc>
          <w:tcPr>
            <w:tcW w:w="755" w:type="pct"/>
          </w:tcPr>
          <w:p w14:paraId="7B5875AB" w14:textId="0930BDA6" w:rsidR="00613784" w:rsidRPr="00D93780" w:rsidRDefault="006E176A" w:rsidP="006E176A">
            <w:pPr>
              <w:pStyle w:val="ListParagraph"/>
              <w:ind w:left="0" w:right="369"/>
              <w:jc w:val="right"/>
              <w:rPr>
                <w:rFonts w:ascii="Arial" w:hAnsi="Arial" w:cs="Arial"/>
                <w:bCs/>
                <w:sz w:val="22"/>
                <w:szCs w:val="22"/>
                <w:lang w:val="es-ES_tradnl"/>
              </w:rPr>
            </w:pPr>
            <w:r w:rsidRPr="00D93780">
              <w:rPr>
                <w:rFonts w:ascii="Arial" w:hAnsi="Arial" w:cs="Arial"/>
                <w:bCs/>
                <w:sz w:val="22"/>
                <w:szCs w:val="22"/>
                <w:lang w:val="es-ES_tradnl"/>
              </w:rPr>
              <w:t>20,3</w:t>
            </w:r>
          </w:p>
        </w:tc>
        <w:tc>
          <w:tcPr>
            <w:tcW w:w="1559" w:type="pct"/>
          </w:tcPr>
          <w:p w14:paraId="0BA70E72" w14:textId="75772A97" w:rsidR="00613784" w:rsidRPr="00D93780" w:rsidRDefault="006E176A" w:rsidP="006E176A">
            <w:pPr>
              <w:pStyle w:val="ListParagraph"/>
              <w:ind w:right="369"/>
              <w:jc w:val="right"/>
              <w:rPr>
                <w:rFonts w:ascii="Arial" w:hAnsi="Arial" w:cs="Arial"/>
                <w:color w:val="000000"/>
                <w:sz w:val="22"/>
                <w:szCs w:val="22"/>
              </w:rPr>
            </w:pPr>
            <w:r w:rsidRPr="00D93780">
              <w:rPr>
                <w:rFonts w:ascii="Arial" w:hAnsi="Arial" w:cs="Arial"/>
                <w:color w:val="000000"/>
                <w:sz w:val="22"/>
                <w:szCs w:val="22"/>
              </w:rPr>
              <w:t>1.570.621</w:t>
            </w:r>
          </w:p>
        </w:tc>
      </w:tr>
    </w:tbl>
    <w:p w14:paraId="3CF40FEF" w14:textId="77777777" w:rsidR="00613784" w:rsidRPr="00694FB3" w:rsidRDefault="00613784" w:rsidP="005D454E">
      <w:pPr>
        <w:tabs>
          <w:tab w:val="left" w:pos="450"/>
        </w:tabs>
        <w:ind w:left="540"/>
        <w:rPr>
          <w:rFonts w:ascii="Arial" w:hAnsi="Arial" w:cs="Arial"/>
          <w:bCs/>
          <w:sz w:val="18"/>
          <w:szCs w:val="22"/>
          <w:lang w:val="es-ES_tradnl"/>
        </w:rPr>
      </w:pPr>
      <w:bookmarkStart w:id="32" w:name="_GoBack"/>
      <w:r w:rsidRPr="00694FB3">
        <w:rPr>
          <w:rFonts w:ascii="Arial" w:hAnsi="Arial" w:cs="Arial"/>
          <w:sz w:val="18"/>
          <w:szCs w:val="22"/>
        </w:rPr>
        <w:t>Montos en USD.</w:t>
      </w:r>
    </w:p>
    <w:bookmarkEnd w:id="32"/>
    <w:p w14:paraId="18C53C7B" w14:textId="4A7B6BC2" w:rsidR="00543BCD" w:rsidRPr="00D93780" w:rsidRDefault="00FE47F4" w:rsidP="00694FB3">
      <w:pPr>
        <w:pStyle w:val="ListParagraph"/>
        <w:numPr>
          <w:ilvl w:val="0"/>
          <w:numId w:val="12"/>
        </w:numPr>
        <w:spacing w:before="120" w:after="120" w:line="276" w:lineRule="auto"/>
        <w:ind w:left="567" w:hanging="567"/>
        <w:jc w:val="both"/>
        <w:rPr>
          <w:rFonts w:ascii="Arial" w:hAnsi="Arial" w:cs="Arial"/>
          <w:bCs/>
          <w:sz w:val="22"/>
          <w:szCs w:val="22"/>
          <w:lang w:val="es-ES_tradnl"/>
        </w:rPr>
      </w:pPr>
      <w:r w:rsidRPr="00D93780">
        <w:rPr>
          <w:rFonts w:ascii="Arial" w:hAnsi="Arial" w:cs="Arial"/>
          <w:bCs/>
          <w:sz w:val="22"/>
          <w:szCs w:val="22"/>
          <w:lang w:val="es-ES_tradnl"/>
        </w:rPr>
        <w:t xml:space="preserve">Desde este punto de vista, </w:t>
      </w:r>
      <w:r w:rsidR="00543BCD" w:rsidRPr="00D93780">
        <w:rPr>
          <w:rFonts w:ascii="Arial" w:hAnsi="Arial" w:cs="Arial"/>
          <w:bCs/>
          <w:sz w:val="22"/>
          <w:szCs w:val="22"/>
          <w:lang w:val="es-ES_tradnl"/>
        </w:rPr>
        <w:t>siguiendo el criterio de Kaldor-Hicks</w:t>
      </w:r>
      <w:r w:rsidR="00354DFB" w:rsidRPr="00D93780">
        <w:rPr>
          <w:rFonts w:ascii="Arial" w:hAnsi="Arial" w:cs="Arial"/>
          <w:bCs/>
          <w:sz w:val="22"/>
          <w:szCs w:val="22"/>
          <w:lang w:val="es-ES_tradnl"/>
        </w:rPr>
        <w:t xml:space="preserve"> de eficiencia </w:t>
      </w:r>
      <w:r w:rsidR="00DF203B" w:rsidRPr="00D93780">
        <w:rPr>
          <w:rFonts w:ascii="Arial" w:hAnsi="Arial" w:cs="Arial"/>
          <w:bCs/>
          <w:sz w:val="22"/>
          <w:szCs w:val="22"/>
          <w:lang w:val="es-ES_tradnl"/>
        </w:rPr>
        <w:t>absoluta, quedaría</w:t>
      </w:r>
      <w:r w:rsidRPr="00D93780">
        <w:rPr>
          <w:rFonts w:ascii="Arial" w:hAnsi="Arial" w:cs="Arial"/>
          <w:bCs/>
          <w:sz w:val="22"/>
          <w:szCs w:val="22"/>
          <w:lang w:val="es-ES_tradnl"/>
        </w:rPr>
        <w:t xml:space="preserve"> justificada la inversión prevista dentro del marco del </w:t>
      </w:r>
      <w:r w:rsidR="009075E7" w:rsidRPr="00D93780">
        <w:rPr>
          <w:rFonts w:ascii="Arial" w:hAnsi="Arial" w:cs="Arial"/>
          <w:bCs/>
          <w:sz w:val="22"/>
          <w:szCs w:val="22"/>
          <w:lang w:val="es-ES_tradnl"/>
        </w:rPr>
        <w:t xml:space="preserve">Programa </w:t>
      </w:r>
      <w:r w:rsidRPr="00D93780">
        <w:rPr>
          <w:rFonts w:ascii="Arial" w:hAnsi="Arial" w:cs="Arial"/>
          <w:bCs/>
          <w:sz w:val="22"/>
          <w:szCs w:val="22"/>
          <w:lang w:val="es-ES_tradnl"/>
        </w:rPr>
        <w:t xml:space="preserve">BID. </w:t>
      </w:r>
    </w:p>
    <w:p w14:paraId="59F3D7CF" w14:textId="42B25A0F" w:rsidR="005F6DC7" w:rsidRPr="00D93780" w:rsidRDefault="005F6DC7" w:rsidP="00694FB3">
      <w:pPr>
        <w:pStyle w:val="ListParagraph"/>
        <w:numPr>
          <w:ilvl w:val="0"/>
          <w:numId w:val="12"/>
        </w:numPr>
        <w:spacing w:before="120" w:after="120" w:line="276" w:lineRule="auto"/>
        <w:ind w:left="567" w:hanging="567"/>
        <w:jc w:val="both"/>
        <w:rPr>
          <w:rFonts w:ascii="Arial" w:hAnsi="Arial" w:cs="Arial"/>
          <w:bCs/>
          <w:sz w:val="22"/>
          <w:szCs w:val="22"/>
          <w:lang w:val="es-ES_tradnl"/>
        </w:rPr>
      </w:pPr>
      <w:r w:rsidRPr="00D93780">
        <w:rPr>
          <w:rFonts w:ascii="Arial" w:hAnsi="Arial" w:cs="Arial"/>
          <w:bCs/>
          <w:sz w:val="22"/>
          <w:szCs w:val="22"/>
          <w:lang w:val="es-ES_tradnl"/>
        </w:rPr>
        <w:t xml:space="preserve">No obstante, </w:t>
      </w:r>
      <w:r w:rsidR="006E176A" w:rsidRPr="00D93780">
        <w:rPr>
          <w:rFonts w:ascii="Arial" w:hAnsi="Arial" w:cs="Arial"/>
          <w:bCs/>
          <w:sz w:val="22"/>
          <w:szCs w:val="22"/>
          <w:lang w:val="es-ES_tradnl"/>
        </w:rPr>
        <w:t xml:space="preserve">en el caso de los proyectos de obras de infraestructura </w:t>
      </w:r>
      <w:r w:rsidRPr="00D93780">
        <w:rPr>
          <w:rFonts w:ascii="Arial" w:hAnsi="Arial" w:cs="Arial"/>
          <w:bCs/>
          <w:sz w:val="22"/>
          <w:szCs w:val="22"/>
          <w:lang w:val="es-ES_tradnl"/>
        </w:rPr>
        <w:t>los análisis de sensibilidad muestran la conveniencia de fortalecer las capacidades técnicas de los equipos. En este sentido, en el propio diseño del Programa se contemplan recursos significativos para mejorar la calidad de la formulación de los proyectos y, por otra parte, mejorar la calidad de la dirección técnica de las obras. Una adecuada implementación de estas actividades debería servir para mitigar los riesgos</w:t>
      </w:r>
      <w:r w:rsidR="00192C83" w:rsidRPr="00D93780">
        <w:rPr>
          <w:rFonts w:ascii="Arial" w:hAnsi="Arial" w:cs="Arial"/>
          <w:bCs/>
          <w:sz w:val="22"/>
          <w:szCs w:val="22"/>
          <w:lang w:val="es-ES_tradnl"/>
        </w:rPr>
        <w:t xml:space="preserve"> identificados</w:t>
      </w:r>
      <w:r w:rsidRPr="00D93780">
        <w:rPr>
          <w:rFonts w:ascii="Arial" w:hAnsi="Arial" w:cs="Arial"/>
          <w:bCs/>
          <w:sz w:val="22"/>
          <w:szCs w:val="22"/>
          <w:lang w:val="es-ES_tradnl"/>
        </w:rPr>
        <w:t>.</w:t>
      </w:r>
    </w:p>
    <w:p w14:paraId="4F35C07F" w14:textId="47BBC43F" w:rsidR="006E176A" w:rsidRPr="00D93780" w:rsidRDefault="006E176A" w:rsidP="00694FB3">
      <w:pPr>
        <w:pStyle w:val="ListParagraph"/>
        <w:numPr>
          <w:ilvl w:val="0"/>
          <w:numId w:val="12"/>
        </w:numPr>
        <w:spacing w:before="120" w:after="120" w:line="276" w:lineRule="auto"/>
        <w:ind w:left="567" w:hanging="567"/>
        <w:jc w:val="both"/>
        <w:rPr>
          <w:rFonts w:ascii="Arial" w:hAnsi="Arial" w:cs="Arial"/>
          <w:bCs/>
          <w:sz w:val="22"/>
          <w:szCs w:val="22"/>
          <w:lang w:val="es-ES_tradnl"/>
        </w:rPr>
      </w:pPr>
      <w:r w:rsidRPr="00D93780">
        <w:rPr>
          <w:rFonts w:ascii="Arial" w:hAnsi="Arial" w:cs="Arial"/>
          <w:bCs/>
          <w:sz w:val="22"/>
          <w:szCs w:val="22"/>
          <w:lang w:val="es-ES_tradnl"/>
        </w:rPr>
        <w:t>En cualquier caso, los supuestos de partida utilizados para el análisis son conservadores, en especial en la cuantificaci</w:t>
      </w:r>
      <w:r w:rsidR="00596684" w:rsidRPr="00D93780">
        <w:rPr>
          <w:rFonts w:ascii="Arial" w:hAnsi="Arial" w:cs="Arial"/>
          <w:bCs/>
          <w:sz w:val="22"/>
          <w:szCs w:val="22"/>
          <w:lang w:val="es-ES_tradnl"/>
        </w:rPr>
        <w:t>ón de los costos, tal y como se razona al respecto en la sección “</w:t>
      </w:r>
      <w:r w:rsidR="00596684" w:rsidRPr="00D93780">
        <w:rPr>
          <w:rFonts w:ascii="Arial" w:hAnsi="Arial" w:cs="Arial"/>
          <w:bCs/>
          <w:sz w:val="22"/>
          <w:szCs w:val="22"/>
          <w:lang w:val="es-ES_tradnl"/>
        </w:rPr>
        <w:fldChar w:fldCharType="begin"/>
      </w:r>
      <w:r w:rsidR="00596684" w:rsidRPr="00D93780">
        <w:rPr>
          <w:rFonts w:ascii="Arial" w:hAnsi="Arial" w:cs="Arial"/>
          <w:bCs/>
          <w:sz w:val="22"/>
          <w:szCs w:val="22"/>
          <w:lang w:val="es-ES_tradnl"/>
        </w:rPr>
        <w:instrText xml:space="preserve"> REF _Ref456136976 \h </w:instrText>
      </w:r>
      <w:r w:rsidR="00D93780" w:rsidRPr="00D93780">
        <w:rPr>
          <w:rFonts w:ascii="Arial" w:hAnsi="Arial" w:cs="Arial"/>
          <w:bCs/>
          <w:sz w:val="22"/>
          <w:szCs w:val="22"/>
          <w:lang w:val="es-ES_tradnl"/>
        </w:rPr>
        <w:instrText xml:space="preserve"> \* MERGEFORMAT </w:instrText>
      </w:r>
      <w:r w:rsidR="00596684" w:rsidRPr="00D93780">
        <w:rPr>
          <w:rFonts w:ascii="Arial" w:hAnsi="Arial" w:cs="Arial"/>
          <w:bCs/>
          <w:sz w:val="22"/>
          <w:szCs w:val="22"/>
          <w:lang w:val="es-ES_tradnl"/>
        </w:rPr>
      </w:r>
      <w:r w:rsidR="00596684" w:rsidRPr="00D93780">
        <w:rPr>
          <w:rFonts w:ascii="Arial" w:hAnsi="Arial" w:cs="Arial"/>
          <w:bCs/>
          <w:sz w:val="22"/>
          <w:szCs w:val="22"/>
          <w:lang w:val="es-ES_tradnl"/>
        </w:rPr>
        <w:fldChar w:fldCharType="separate"/>
      </w:r>
      <w:r w:rsidR="00596684" w:rsidRPr="00D93780">
        <w:rPr>
          <w:rFonts w:ascii="Arial" w:hAnsi="Arial" w:cs="Arial"/>
          <w:sz w:val="22"/>
          <w:szCs w:val="22"/>
        </w:rPr>
        <w:t>Cuantificación de los costos</w:t>
      </w:r>
      <w:r w:rsidR="00596684" w:rsidRPr="00D93780">
        <w:rPr>
          <w:rFonts w:ascii="Arial" w:hAnsi="Arial" w:cs="Arial"/>
          <w:bCs/>
          <w:sz w:val="22"/>
          <w:szCs w:val="22"/>
          <w:lang w:val="es-ES_tradnl"/>
        </w:rPr>
        <w:fldChar w:fldCharType="end"/>
      </w:r>
      <w:r w:rsidR="00596684" w:rsidRPr="00D93780">
        <w:rPr>
          <w:rFonts w:ascii="Arial" w:hAnsi="Arial" w:cs="Arial"/>
          <w:bCs/>
          <w:sz w:val="22"/>
          <w:szCs w:val="22"/>
          <w:lang w:val="es-ES_tradnl"/>
        </w:rPr>
        <w:t xml:space="preserve">” del capítulo </w:t>
      </w:r>
      <w:r w:rsidR="00596684" w:rsidRPr="00D93780">
        <w:rPr>
          <w:rFonts w:ascii="Arial" w:hAnsi="Arial" w:cs="Arial"/>
          <w:bCs/>
          <w:sz w:val="22"/>
          <w:szCs w:val="22"/>
          <w:lang w:val="es-ES_tradnl"/>
        </w:rPr>
        <w:fldChar w:fldCharType="begin"/>
      </w:r>
      <w:r w:rsidR="00596684" w:rsidRPr="00D93780">
        <w:rPr>
          <w:rFonts w:ascii="Arial" w:hAnsi="Arial" w:cs="Arial"/>
          <w:bCs/>
          <w:sz w:val="22"/>
          <w:szCs w:val="22"/>
          <w:lang w:val="es-ES_tradnl"/>
        </w:rPr>
        <w:instrText xml:space="preserve"> REF _Ref456137033 \r \h </w:instrText>
      </w:r>
      <w:r w:rsidR="00D93780" w:rsidRPr="00D93780">
        <w:rPr>
          <w:rFonts w:ascii="Arial" w:hAnsi="Arial" w:cs="Arial"/>
          <w:bCs/>
          <w:sz w:val="22"/>
          <w:szCs w:val="22"/>
          <w:lang w:val="es-ES_tradnl"/>
        </w:rPr>
        <w:instrText xml:space="preserve"> \* MERGEFORMAT </w:instrText>
      </w:r>
      <w:r w:rsidR="00596684" w:rsidRPr="00D93780">
        <w:rPr>
          <w:rFonts w:ascii="Arial" w:hAnsi="Arial" w:cs="Arial"/>
          <w:bCs/>
          <w:sz w:val="22"/>
          <w:szCs w:val="22"/>
          <w:lang w:val="es-ES_tradnl"/>
        </w:rPr>
      </w:r>
      <w:r w:rsidR="00596684" w:rsidRPr="00D93780">
        <w:rPr>
          <w:rFonts w:ascii="Arial" w:hAnsi="Arial" w:cs="Arial"/>
          <w:bCs/>
          <w:sz w:val="22"/>
          <w:szCs w:val="22"/>
          <w:lang w:val="es-ES_tradnl"/>
        </w:rPr>
        <w:fldChar w:fldCharType="separate"/>
      </w:r>
      <w:r w:rsidR="00596684" w:rsidRPr="00D93780">
        <w:rPr>
          <w:rFonts w:ascii="Arial" w:hAnsi="Arial" w:cs="Arial"/>
          <w:bCs/>
          <w:sz w:val="22"/>
          <w:szCs w:val="22"/>
          <w:lang w:val="es-ES_tradnl"/>
        </w:rPr>
        <w:t>3</w:t>
      </w:r>
      <w:r w:rsidR="00596684" w:rsidRPr="00D93780">
        <w:rPr>
          <w:rFonts w:ascii="Arial" w:hAnsi="Arial" w:cs="Arial"/>
          <w:bCs/>
          <w:sz w:val="22"/>
          <w:szCs w:val="22"/>
          <w:lang w:val="es-ES_tradnl"/>
        </w:rPr>
        <w:fldChar w:fldCharType="end"/>
      </w:r>
      <w:r w:rsidR="00596684" w:rsidRPr="00D93780">
        <w:rPr>
          <w:rFonts w:ascii="Arial" w:hAnsi="Arial" w:cs="Arial"/>
          <w:bCs/>
          <w:sz w:val="22"/>
          <w:szCs w:val="22"/>
          <w:lang w:val="es-ES_tradnl"/>
        </w:rPr>
        <w:t xml:space="preserve">. </w:t>
      </w:r>
    </w:p>
    <w:p w14:paraId="18C53C7C" w14:textId="77777777" w:rsidR="00934C93" w:rsidRPr="00D93780" w:rsidRDefault="00934C93" w:rsidP="00694FB3">
      <w:pPr>
        <w:spacing w:before="120" w:after="120" w:line="276" w:lineRule="auto"/>
        <w:jc w:val="both"/>
        <w:rPr>
          <w:rFonts w:ascii="Arial" w:hAnsi="Arial" w:cs="Arial"/>
          <w:bCs/>
          <w:sz w:val="22"/>
          <w:szCs w:val="22"/>
          <w:lang w:val="es-ES_tradnl"/>
        </w:rPr>
      </w:pPr>
    </w:p>
    <w:p w14:paraId="18C53C7D" w14:textId="77777777" w:rsidR="00843C83" w:rsidRPr="00D93780" w:rsidRDefault="00843C83" w:rsidP="00694FB3">
      <w:pPr>
        <w:spacing w:before="120" w:after="120"/>
        <w:rPr>
          <w:rFonts w:ascii="Arial" w:hAnsi="Arial" w:cs="Arial"/>
          <w:bCs/>
          <w:sz w:val="22"/>
          <w:szCs w:val="22"/>
          <w:lang w:val="es-ES_tradnl"/>
        </w:rPr>
      </w:pPr>
    </w:p>
    <w:p w14:paraId="18C53C7E" w14:textId="77777777" w:rsidR="00843C83" w:rsidRPr="00D93780" w:rsidRDefault="00843C83" w:rsidP="00694FB3">
      <w:pPr>
        <w:spacing w:before="120" w:after="120"/>
        <w:rPr>
          <w:rFonts w:ascii="Arial" w:hAnsi="Arial" w:cs="Arial"/>
          <w:bCs/>
          <w:sz w:val="22"/>
          <w:szCs w:val="22"/>
          <w:lang w:val="es-ES_tradnl"/>
        </w:rPr>
        <w:sectPr w:rsidR="00843C83" w:rsidRPr="00D93780" w:rsidSect="00217F32">
          <w:footerReference w:type="default" r:id="rId13"/>
          <w:pgSz w:w="12240" w:h="15840" w:code="1"/>
          <w:pgMar w:top="1440" w:right="1800" w:bottom="1440" w:left="1800" w:header="709" w:footer="856" w:gutter="0"/>
          <w:cols w:space="708"/>
          <w:docGrid w:linePitch="360"/>
        </w:sectPr>
      </w:pPr>
    </w:p>
    <w:p w14:paraId="18C53CB3" w14:textId="6FCE47C0" w:rsidR="00843C83" w:rsidRPr="00D93780" w:rsidRDefault="00843C83" w:rsidP="00694FB3">
      <w:pPr>
        <w:pStyle w:val="Heading1"/>
        <w:spacing w:before="120" w:after="120"/>
        <w:rPr>
          <w:rFonts w:ascii="Arial" w:hAnsi="Arial" w:cs="Arial"/>
          <w:sz w:val="22"/>
          <w:szCs w:val="22"/>
          <w:lang w:val="en-US"/>
        </w:rPr>
      </w:pPr>
      <w:bookmarkStart w:id="33" w:name="_Toc456337520"/>
      <w:r w:rsidRPr="00D93780">
        <w:rPr>
          <w:rFonts w:ascii="Arial" w:hAnsi="Arial" w:cs="Arial"/>
          <w:sz w:val="22"/>
          <w:szCs w:val="22"/>
          <w:lang w:val="en-US"/>
        </w:rPr>
        <w:lastRenderedPageBreak/>
        <w:t>Referencias</w:t>
      </w:r>
      <w:bookmarkEnd w:id="30"/>
      <w:bookmarkEnd w:id="31"/>
      <w:bookmarkEnd w:id="33"/>
    </w:p>
    <w:p w14:paraId="23EBE0E3" w14:textId="7B924FC6" w:rsidR="00143749" w:rsidRPr="00D93780" w:rsidRDefault="00143749" w:rsidP="00694FB3">
      <w:pPr>
        <w:pStyle w:val="ListParagraph"/>
        <w:numPr>
          <w:ilvl w:val="0"/>
          <w:numId w:val="46"/>
        </w:numPr>
        <w:spacing w:before="60" w:after="60"/>
        <w:jc w:val="both"/>
        <w:rPr>
          <w:rFonts w:ascii="Arial" w:eastAsia="Calibri" w:hAnsi="Arial" w:cs="Arial"/>
          <w:sz w:val="22"/>
          <w:szCs w:val="22"/>
          <w:lang w:eastAsia="en-US"/>
        </w:rPr>
      </w:pPr>
      <w:r w:rsidRPr="00D93780">
        <w:rPr>
          <w:rFonts w:ascii="Arial" w:eastAsia="Calibri" w:hAnsi="Arial" w:cs="Arial"/>
          <w:sz w:val="22"/>
          <w:szCs w:val="22"/>
          <w:lang w:eastAsia="en-US"/>
        </w:rPr>
        <w:t>Ahmad, E. Gio</w:t>
      </w:r>
      <w:r w:rsidR="002F3717" w:rsidRPr="00D93780">
        <w:rPr>
          <w:rFonts w:ascii="Arial" w:eastAsia="Calibri" w:hAnsi="Arial" w:cs="Arial"/>
          <w:sz w:val="22"/>
          <w:szCs w:val="22"/>
          <w:lang w:eastAsia="en-US"/>
        </w:rPr>
        <w:t>rgio Brosio y Caroli</w:t>
      </w:r>
      <w:r w:rsidR="00433D69" w:rsidRPr="00D93780">
        <w:rPr>
          <w:rFonts w:ascii="Arial" w:eastAsia="Calibri" w:hAnsi="Arial" w:cs="Arial"/>
          <w:sz w:val="22"/>
          <w:szCs w:val="22"/>
          <w:lang w:eastAsia="en-US"/>
        </w:rPr>
        <w:t>n</w:t>
      </w:r>
      <w:r w:rsidR="002F3717" w:rsidRPr="00D93780">
        <w:rPr>
          <w:rFonts w:ascii="Arial" w:eastAsia="Calibri" w:hAnsi="Arial" w:cs="Arial"/>
          <w:sz w:val="22"/>
          <w:szCs w:val="22"/>
          <w:lang w:eastAsia="en-US"/>
        </w:rPr>
        <w:t>e</w:t>
      </w:r>
      <w:r w:rsidR="00433D69" w:rsidRPr="00D93780">
        <w:rPr>
          <w:rFonts w:ascii="Arial" w:eastAsia="Calibri" w:hAnsi="Arial" w:cs="Arial"/>
          <w:sz w:val="22"/>
          <w:szCs w:val="22"/>
          <w:lang w:eastAsia="en-US"/>
        </w:rPr>
        <w:t xml:space="preserve"> Pöeschl (</w:t>
      </w:r>
      <w:r w:rsidRPr="00D93780">
        <w:rPr>
          <w:rFonts w:ascii="Arial" w:eastAsia="Calibri" w:hAnsi="Arial" w:cs="Arial"/>
          <w:sz w:val="22"/>
          <w:szCs w:val="22"/>
          <w:lang w:eastAsia="en-US"/>
        </w:rPr>
        <w:t>2014</w:t>
      </w:r>
      <w:r w:rsidR="00433D69" w:rsidRPr="00D93780">
        <w:rPr>
          <w:rFonts w:ascii="Arial" w:eastAsia="Calibri" w:hAnsi="Arial" w:cs="Arial"/>
          <w:sz w:val="22"/>
          <w:szCs w:val="22"/>
          <w:lang w:eastAsia="en-US"/>
        </w:rPr>
        <w:t>)</w:t>
      </w:r>
      <w:r w:rsidRPr="00D93780">
        <w:rPr>
          <w:rFonts w:ascii="Arial" w:eastAsia="Calibri" w:hAnsi="Arial" w:cs="Arial"/>
          <w:sz w:val="22"/>
          <w:szCs w:val="22"/>
          <w:lang w:eastAsia="en-US"/>
        </w:rPr>
        <w:t xml:space="preserve">. </w:t>
      </w:r>
      <w:r w:rsidRPr="00D93780">
        <w:rPr>
          <w:rFonts w:ascii="Arial" w:eastAsia="Calibri" w:hAnsi="Arial" w:cs="Arial"/>
          <w:sz w:val="22"/>
          <w:szCs w:val="22"/>
          <w:lang w:val="en-GB" w:eastAsia="en-US"/>
        </w:rPr>
        <w:t xml:space="preserve">Local Property Taxation and Benefits in Developing Countries – Overcoming political resistence? </w:t>
      </w:r>
      <w:r w:rsidRPr="00D93780">
        <w:rPr>
          <w:rFonts w:ascii="Arial" w:eastAsia="Calibri" w:hAnsi="Arial" w:cs="Arial"/>
          <w:i/>
          <w:sz w:val="22"/>
          <w:szCs w:val="22"/>
          <w:lang w:eastAsia="en-US"/>
        </w:rPr>
        <w:t>Asia Research Centre Working Paper 65</w:t>
      </w:r>
      <w:r w:rsidRPr="00D93780">
        <w:rPr>
          <w:rFonts w:ascii="Arial" w:eastAsia="Calibri" w:hAnsi="Arial" w:cs="Arial"/>
          <w:sz w:val="22"/>
          <w:szCs w:val="22"/>
          <w:lang w:eastAsia="en-US"/>
        </w:rPr>
        <w:t>.</w:t>
      </w:r>
    </w:p>
    <w:p w14:paraId="2B1F25A7" w14:textId="2E7C0F50" w:rsidR="00143749" w:rsidRPr="00D93780" w:rsidRDefault="00143749" w:rsidP="00694FB3">
      <w:pPr>
        <w:pStyle w:val="ListParagraph"/>
        <w:numPr>
          <w:ilvl w:val="0"/>
          <w:numId w:val="46"/>
        </w:numPr>
        <w:spacing w:before="60" w:after="60"/>
        <w:jc w:val="both"/>
        <w:rPr>
          <w:rFonts w:ascii="Arial" w:eastAsia="Calibri" w:hAnsi="Arial" w:cs="Arial"/>
          <w:sz w:val="22"/>
          <w:szCs w:val="22"/>
          <w:lang w:eastAsia="en-US"/>
        </w:rPr>
      </w:pPr>
      <w:r w:rsidRPr="00D93780">
        <w:rPr>
          <w:rFonts w:ascii="Arial" w:eastAsia="Calibri" w:hAnsi="Arial" w:cs="Arial"/>
          <w:sz w:val="22"/>
          <w:szCs w:val="22"/>
          <w:lang w:eastAsia="en-US"/>
        </w:rPr>
        <w:t>Banc</w:t>
      </w:r>
      <w:r w:rsidR="00433D69" w:rsidRPr="00D93780">
        <w:rPr>
          <w:rFonts w:ascii="Arial" w:eastAsia="Calibri" w:hAnsi="Arial" w:cs="Arial"/>
          <w:sz w:val="22"/>
          <w:szCs w:val="22"/>
          <w:lang w:eastAsia="en-US"/>
        </w:rPr>
        <w:t>o Interamericano de Desarrollo (</w:t>
      </w:r>
      <w:r w:rsidRPr="00D93780">
        <w:rPr>
          <w:rFonts w:ascii="Arial" w:eastAsia="Calibri" w:hAnsi="Arial" w:cs="Arial"/>
          <w:sz w:val="22"/>
          <w:szCs w:val="22"/>
          <w:lang w:eastAsia="en-US"/>
        </w:rPr>
        <w:t>2008</w:t>
      </w:r>
      <w:r w:rsidR="00433D69" w:rsidRPr="00D93780">
        <w:rPr>
          <w:rFonts w:ascii="Arial" w:eastAsia="Calibri" w:hAnsi="Arial" w:cs="Arial"/>
          <w:sz w:val="22"/>
          <w:szCs w:val="22"/>
          <w:lang w:eastAsia="en-US"/>
        </w:rPr>
        <w:t>)</w:t>
      </w:r>
      <w:r w:rsidRPr="00D93780">
        <w:rPr>
          <w:rFonts w:ascii="Arial" w:eastAsia="Calibri" w:hAnsi="Arial" w:cs="Arial"/>
          <w:sz w:val="22"/>
          <w:szCs w:val="22"/>
          <w:lang w:eastAsia="en-US"/>
        </w:rPr>
        <w:t>. Programa de Mejoramiento de Barrios (</w:t>
      </w:r>
      <w:r w:rsidRPr="00D93780">
        <w:rPr>
          <w:rFonts w:ascii="Arial" w:eastAsia="Calibri" w:hAnsi="Arial" w:cs="Arial"/>
          <w:sz w:val="22"/>
          <w:szCs w:val="22"/>
          <w:lang w:val="es-ES_tradnl" w:eastAsia="en-US"/>
        </w:rPr>
        <w:t xml:space="preserve">UR-L1009). </w:t>
      </w:r>
      <w:r w:rsidRPr="00D93780">
        <w:rPr>
          <w:rFonts w:ascii="Arial" w:eastAsia="Calibri" w:hAnsi="Arial" w:cs="Arial"/>
          <w:sz w:val="22"/>
          <w:szCs w:val="22"/>
          <w:lang w:eastAsia="en-US"/>
        </w:rPr>
        <w:t>Evaluación económico-financiera.</w:t>
      </w:r>
    </w:p>
    <w:p w14:paraId="64F4528E" w14:textId="2F223620" w:rsidR="00143749" w:rsidRPr="00D93780" w:rsidRDefault="00143749" w:rsidP="00694FB3">
      <w:pPr>
        <w:pStyle w:val="ListParagraph"/>
        <w:numPr>
          <w:ilvl w:val="0"/>
          <w:numId w:val="46"/>
        </w:numPr>
        <w:spacing w:before="60" w:after="60"/>
        <w:jc w:val="both"/>
        <w:rPr>
          <w:rFonts w:ascii="Arial" w:eastAsia="Calibri" w:hAnsi="Arial" w:cs="Arial"/>
          <w:sz w:val="22"/>
          <w:szCs w:val="22"/>
          <w:lang w:eastAsia="en-US"/>
        </w:rPr>
      </w:pPr>
      <w:r w:rsidRPr="00D93780">
        <w:rPr>
          <w:rFonts w:ascii="Arial" w:eastAsia="Calibri" w:hAnsi="Arial" w:cs="Arial"/>
          <w:sz w:val="22"/>
          <w:szCs w:val="22"/>
          <w:lang w:eastAsia="en-US"/>
        </w:rPr>
        <w:t>Banc</w:t>
      </w:r>
      <w:r w:rsidR="00433D69" w:rsidRPr="00D93780">
        <w:rPr>
          <w:rFonts w:ascii="Arial" w:eastAsia="Calibri" w:hAnsi="Arial" w:cs="Arial"/>
          <w:sz w:val="22"/>
          <w:szCs w:val="22"/>
          <w:lang w:eastAsia="en-US"/>
        </w:rPr>
        <w:t>o Interamericano de Desarrollo (</w:t>
      </w:r>
      <w:r w:rsidRPr="00D93780">
        <w:rPr>
          <w:rFonts w:ascii="Arial" w:eastAsia="Calibri" w:hAnsi="Arial" w:cs="Arial"/>
          <w:sz w:val="22"/>
          <w:szCs w:val="22"/>
          <w:lang w:eastAsia="en-US"/>
        </w:rPr>
        <w:t>2011</w:t>
      </w:r>
      <w:r w:rsidR="00433D69" w:rsidRPr="00D93780">
        <w:rPr>
          <w:rFonts w:ascii="Arial" w:eastAsia="Calibri" w:hAnsi="Arial" w:cs="Arial"/>
          <w:sz w:val="22"/>
          <w:szCs w:val="22"/>
          <w:lang w:eastAsia="en-US"/>
        </w:rPr>
        <w:t>)</w:t>
      </w:r>
      <w:r w:rsidRPr="00D93780">
        <w:rPr>
          <w:rFonts w:ascii="Arial" w:eastAsia="Calibri" w:hAnsi="Arial" w:cs="Arial"/>
          <w:sz w:val="22"/>
          <w:szCs w:val="22"/>
          <w:lang w:eastAsia="en-US"/>
        </w:rPr>
        <w:t xml:space="preserve">. Programa de Desarrollo y Gestión Subnacional (UR-L1038). Evaluación económico-financiera. </w:t>
      </w:r>
    </w:p>
    <w:p w14:paraId="0C0FF817" w14:textId="3D6F2E42" w:rsidR="00143749" w:rsidRPr="00D93780" w:rsidRDefault="00143749" w:rsidP="00694FB3">
      <w:pPr>
        <w:pStyle w:val="ListParagraph"/>
        <w:numPr>
          <w:ilvl w:val="0"/>
          <w:numId w:val="46"/>
        </w:numPr>
        <w:autoSpaceDE w:val="0"/>
        <w:autoSpaceDN w:val="0"/>
        <w:adjustRightInd w:val="0"/>
        <w:spacing w:before="60" w:after="60"/>
        <w:jc w:val="both"/>
        <w:rPr>
          <w:rFonts w:ascii="Arial" w:eastAsia="Calibri" w:hAnsi="Arial" w:cs="Arial"/>
          <w:sz w:val="22"/>
          <w:szCs w:val="22"/>
          <w:lang w:eastAsia="en-US"/>
        </w:rPr>
      </w:pPr>
      <w:r w:rsidRPr="00D93780">
        <w:rPr>
          <w:rFonts w:ascii="Arial" w:eastAsia="Calibri" w:hAnsi="Arial" w:cs="Arial"/>
          <w:sz w:val="22"/>
          <w:szCs w:val="22"/>
          <w:lang w:val="es-ES_tradnl" w:eastAsia="en-US"/>
        </w:rPr>
        <w:t>Banc</w:t>
      </w:r>
      <w:r w:rsidR="00433D69" w:rsidRPr="00D93780">
        <w:rPr>
          <w:rFonts w:ascii="Arial" w:eastAsia="Calibri" w:hAnsi="Arial" w:cs="Arial"/>
          <w:sz w:val="22"/>
          <w:szCs w:val="22"/>
          <w:lang w:val="es-ES_tradnl" w:eastAsia="en-US"/>
        </w:rPr>
        <w:t>o Interamericano de Desarrollo (</w:t>
      </w:r>
      <w:r w:rsidRPr="00D93780">
        <w:rPr>
          <w:rFonts w:ascii="Arial" w:eastAsia="Calibri" w:hAnsi="Arial" w:cs="Arial"/>
          <w:sz w:val="22"/>
          <w:szCs w:val="22"/>
          <w:lang w:val="es-ES_tradnl" w:eastAsia="en-US"/>
        </w:rPr>
        <w:t>2012</w:t>
      </w:r>
      <w:r w:rsidR="00433D69" w:rsidRPr="00D93780">
        <w:rPr>
          <w:rFonts w:ascii="Arial" w:eastAsia="Calibri" w:hAnsi="Arial" w:cs="Arial"/>
          <w:sz w:val="22"/>
          <w:szCs w:val="22"/>
          <w:lang w:val="es-ES_tradnl" w:eastAsia="en-US"/>
        </w:rPr>
        <w:t>)</w:t>
      </w:r>
      <w:r w:rsidRPr="00D93780">
        <w:rPr>
          <w:rFonts w:ascii="Arial" w:eastAsia="Calibri" w:hAnsi="Arial" w:cs="Arial"/>
          <w:sz w:val="22"/>
          <w:szCs w:val="22"/>
          <w:lang w:val="es-ES_tradnl" w:eastAsia="en-US"/>
        </w:rPr>
        <w:t xml:space="preserve">. Programa de Inversiones Municipales (AR-L1148). </w:t>
      </w:r>
      <w:r w:rsidRPr="00D93780">
        <w:rPr>
          <w:rFonts w:ascii="Arial" w:eastAsia="Calibri" w:hAnsi="Arial" w:cs="Arial"/>
          <w:sz w:val="22"/>
          <w:szCs w:val="22"/>
          <w:lang w:eastAsia="en-US"/>
        </w:rPr>
        <w:t>Evaluación económico-financiera.</w:t>
      </w:r>
    </w:p>
    <w:p w14:paraId="3A8721C8"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n-GB"/>
        </w:rPr>
      </w:pPr>
      <w:r w:rsidRPr="00D93780">
        <w:rPr>
          <w:rFonts w:ascii="Arial" w:hAnsi="Arial" w:cs="Arial"/>
          <w:sz w:val="22"/>
          <w:szCs w:val="22"/>
          <w:lang w:val="en-US"/>
        </w:rPr>
        <w:t xml:space="preserve">Campbell H. y Richard </w:t>
      </w:r>
      <w:r w:rsidRPr="00D93780">
        <w:rPr>
          <w:rFonts w:ascii="Arial" w:hAnsi="Arial" w:cs="Arial"/>
          <w:sz w:val="22"/>
          <w:szCs w:val="22"/>
          <w:lang w:val="en-GB"/>
        </w:rPr>
        <w:t>Brown (2003). Benefit-Cost Analysis. Cambridge University Press.</w:t>
      </w:r>
    </w:p>
    <w:p w14:paraId="6D27D1BE" w14:textId="78F9D2AC" w:rsidR="00143749" w:rsidRPr="00D93780" w:rsidRDefault="00143749" w:rsidP="00694FB3">
      <w:pPr>
        <w:pStyle w:val="ListParagraph"/>
        <w:numPr>
          <w:ilvl w:val="0"/>
          <w:numId w:val="46"/>
        </w:numPr>
        <w:spacing w:before="60" w:after="60"/>
        <w:jc w:val="both"/>
        <w:rPr>
          <w:rFonts w:ascii="Arial" w:hAnsi="Arial" w:cs="Arial"/>
          <w:sz w:val="22"/>
          <w:szCs w:val="22"/>
          <w:lang w:val="en-US"/>
        </w:rPr>
      </w:pPr>
      <w:r w:rsidRPr="00D93780">
        <w:rPr>
          <w:rFonts w:ascii="Arial" w:hAnsi="Arial" w:cs="Arial"/>
          <w:sz w:val="22"/>
          <w:szCs w:val="22"/>
          <w:lang w:val="en-US"/>
        </w:rPr>
        <w:t>Caplin A. y John Leahy (2004). The Social Discount Rate. New York University.</w:t>
      </w:r>
    </w:p>
    <w:p w14:paraId="6DC20198"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n-US"/>
        </w:rPr>
      </w:pPr>
      <w:r w:rsidRPr="00D93780">
        <w:rPr>
          <w:rFonts w:ascii="Arial" w:hAnsi="Arial" w:cs="Arial"/>
          <w:sz w:val="22"/>
          <w:szCs w:val="22"/>
          <w:lang w:val="en-US"/>
        </w:rPr>
        <w:t>Cowen T. (2001). What is the Correct Intergenerational Discount Rate?</w:t>
      </w:r>
    </w:p>
    <w:p w14:paraId="5BAD5069" w14:textId="49DF8912" w:rsidR="00143749" w:rsidRPr="00D93780" w:rsidRDefault="00433D69" w:rsidP="00694FB3">
      <w:pPr>
        <w:pStyle w:val="ListParagraph"/>
        <w:numPr>
          <w:ilvl w:val="0"/>
          <w:numId w:val="46"/>
        </w:numPr>
        <w:autoSpaceDE w:val="0"/>
        <w:autoSpaceDN w:val="0"/>
        <w:adjustRightInd w:val="0"/>
        <w:spacing w:before="60" w:after="60"/>
        <w:jc w:val="both"/>
        <w:rPr>
          <w:rFonts w:ascii="Arial" w:eastAsia="Calibri" w:hAnsi="Arial" w:cs="Arial"/>
          <w:sz w:val="22"/>
          <w:szCs w:val="22"/>
          <w:lang w:val="en-GB" w:eastAsia="en-US"/>
        </w:rPr>
      </w:pPr>
      <w:r w:rsidRPr="00D93780">
        <w:rPr>
          <w:rFonts w:ascii="Arial" w:eastAsia="Calibri" w:hAnsi="Arial" w:cs="Arial"/>
          <w:sz w:val="22"/>
          <w:szCs w:val="22"/>
          <w:lang w:eastAsia="en-US"/>
        </w:rPr>
        <w:t>Cuenin, Fernando (</w:t>
      </w:r>
      <w:r w:rsidR="00143749" w:rsidRPr="00D93780">
        <w:rPr>
          <w:rFonts w:ascii="Arial" w:eastAsia="Calibri" w:hAnsi="Arial" w:cs="Arial"/>
          <w:sz w:val="22"/>
          <w:szCs w:val="22"/>
          <w:lang w:val="es-ES_tradnl" w:eastAsia="en-US"/>
        </w:rPr>
        <w:t>2009</w:t>
      </w:r>
      <w:r w:rsidRPr="00D93780">
        <w:rPr>
          <w:rFonts w:ascii="Arial" w:eastAsia="Calibri" w:hAnsi="Arial" w:cs="Arial"/>
          <w:sz w:val="22"/>
          <w:szCs w:val="22"/>
          <w:lang w:val="es-ES_tradnl" w:eastAsia="en-US"/>
        </w:rPr>
        <w:t>)</w:t>
      </w:r>
      <w:r w:rsidR="00143749" w:rsidRPr="00D93780">
        <w:rPr>
          <w:rFonts w:ascii="Arial" w:eastAsia="Calibri" w:hAnsi="Arial" w:cs="Arial"/>
          <w:sz w:val="22"/>
          <w:szCs w:val="22"/>
          <w:lang w:val="es-ES_tradnl" w:eastAsia="en-US"/>
        </w:rPr>
        <w:t xml:space="preserve">. El aporte del análisis económico al diseño, seguimiento y evaluación de proyectos de mejoramiento de barrios. </w:t>
      </w:r>
      <w:r w:rsidR="00143749" w:rsidRPr="00D93780">
        <w:rPr>
          <w:rFonts w:ascii="Arial" w:eastAsia="Calibri" w:hAnsi="Arial" w:cs="Arial"/>
          <w:sz w:val="22"/>
          <w:szCs w:val="22"/>
          <w:lang w:val="en-GB" w:eastAsia="en-US"/>
        </w:rPr>
        <w:t>Nota Técnica. Banco Interamericano de Desarrollo.</w:t>
      </w:r>
    </w:p>
    <w:p w14:paraId="64ED8CFA"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n-US"/>
        </w:rPr>
      </w:pPr>
      <w:r w:rsidRPr="00D93780">
        <w:rPr>
          <w:rFonts w:ascii="Arial" w:hAnsi="Arial" w:cs="Arial"/>
          <w:sz w:val="22"/>
          <w:szCs w:val="22"/>
          <w:lang w:val="en-US"/>
        </w:rPr>
        <w:t xml:space="preserve">Drummond M., Mark Sculpher, George Torrance, Bernie O´Brian y Greg Stoddart (2005). Methods for the Economic Evaluation of Health Care Programmes. Oxford University Press. </w:t>
      </w:r>
    </w:p>
    <w:p w14:paraId="0846373A"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n-US"/>
        </w:rPr>
      </w:pPr>
      <w:r w:rsidRPr="00D93780">
        <w:rPr>
          <w:rFonts w:ascii="Arial" w:hAnsi="Arial" w:cs="Arial"/>
          <w:sz w:val="22"/>
          <w:szCs w:val="22"/>
          <w:lang w:val="en-US"/>
        </w:rPr>
        <w:t xml:space="preserve">Fuguitt D. y Shanton J. Wilcox (1999). Cost-Benefit Analysis for Public Sector Decision Makers. Quorum Books. </w:t>
      </w:r>
    </w:p>
    <w:p w14:paraId="08C16ED6"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n-US"/>
        </w:rPr>
      </w:pPr>
      <w:r w:rsidRPr="00D93780">
        <w:rPr>
          <w:rFonts w:ascii="Arial" w:hAnsi="Arial" w:cs="Arial"/>
          <w:sz w:val="22"/>
          <w:szCs w:val="22"/>
          <w:lang w:val="en-US"/>
        </w:rPr>
        <w:t>Graves, P. E. (2007). Environmental Economics. A Critique of Benefit-Cost Analysis. Rowman&amp; Littlefield Publishers.</w:t>
      </w:r>
    </w:p>
    <w:p w14:paraId="22F2C5FB" w14:textId="29819533" w:rsidR="00143749" w:rsidRPr="00D93780" w:rsidRDefault="00143749" w:rsidP="00694FB3">
      <w:pPr>
        <w:pStyle w:val="ListParagraph"/>
        <w:numPr>
          <w:ilvl w:val="0"/>
          <w:numId w:val="46"/>
        </w:numPr>
        <w:spacing w:before="60" w:after="60"/>
        <w:jc w:val="both"/>
        <w:rPr>
          <w:rFonts w:ascii="Arial" w:eastAsia="Calibri" w:hAnsi="Arial" w:cs="Arial"/>
          <w:sz w:val="22"/>
          <w:szCs w:val="22"/>
          <w:lang w:eastAsia="en-US"/>
        </w:rPr>
      </w:pPr>
      <w:r w:rsidRPr="00D93780">
        <w:rPr>
          <w:rFonts w:ascii="Arial" w:eastAsia="Calibri" w:hAnsi="Arial" w:cs="Arial"/>
          <w:sz w:val="22"/>
          <w:szCs w:val="22"/>
          <w:lang w:val="en-GB"/>
        </w:rPr>
        <w:t>Ki and Jayan</w:t>
      </w:r>
      <w:r w:rsidR="00433D69" w:rsidRPr="00D93780">
        <w:rPr>
          <w:rFonts w:ascii="Arial" w:eastAsia="Calibri" w:hAnsi="Arial" w:cs="Arial"/>
          <w:sz w:val="22"/>
          <w:szCs w:val="22"/>
          <w:lang w:val="en-GB"/>
        </w:rPr>
        <w:t>tha (</w:t>
      </w:r>
      <w:r w:rsidRPr="00D93780">
        <w:rPr>
          <w:rFonts w:ascii="Arial" w:eastAsia="Calibri" w:hAnsi="Arial" w:cs="Arial"/>
          <w:sz w:val="22"/>
          <w:szCs w:val="22"/>
          <w:lang w:val="en-GB"/>
        </w:rPr>
        <w:t>2010</w:t>
      </w:r>
      <w:r w:rsidR="00433D69" w:rsidRPr="00D93780">
        <w:rPr>
          <w:rFonts w:ascii="Arial" w:eastAsia="Calibri" w:hAnsi="Arial" w:cs="Arial"/>
          <w:sz w:val="22"/>
          <w:szCs w:val="22"/>
          <w:lang w:val="en-GB"/>
        </w:rPr>
        <w:t>)</w:t>
      </w:r>
      <w:r w:rsidRPr="00D93780">
        <w:rPr>
          <w:rFonts w:ascii="Arial" w:eastAsia="Calibri" w:hAnsi="Arial" w:cs="Arial"/>
          <w:sz w:val="22"/>
          <w:szCs w:val="22"/>
          <w:lang w:val="en-GB"/>
        </w:rPr>
        <w:t xml:space="preserve">. “The Effects of Urban Redevelopment on Neighbourhood Housing Prices”. </w:t>
      </w:r>
      <w:r w:rsidRPr="00D93780">
        <w:rPr>
          <w:rFonts w:ascii="Arial" w:eastAsia="Calibri" w:hAnsi="Arial" w:cs="Arial"/>
          <w:i/>
          <w:sz w:val="22"/>
          <w:szCs w:val="22"/>
        </w:rPr>
        <w:t>International Journal of Urban Sciences,</w:t>
      </w:r>
      <w:r w:rsidRPr="00D93780">
        <w:rPr>
          <w:rFonts w:ascii="Arial" w:eastAsia="Calibri" w:hAnsi="Arial" w:cs="Arial"/>
          <w:sz w:val="22"/>
          <w:szCs w:val="22"/>
        </w:rPr>
        <w:t xml:space="preserve"> 14(3), 2010, 276-294.</w:t>
      </w:r>
    </w:p>
    <w:p w14:paraId="56A1EEFF" w14:textId="0FE23977" w:rsidR="00143749" w:rsidRPr="00D93780" w:rsidRDefault="00433D69" w:rsidP="00694FB3">
      <w:pPr>
        <w:pStyle w:val="ListParagraph"/>
        <w:numPr>
          <w:ilvl w:val="0"/>
          <w:numId w:val="46"/>
        </w:numPr>
        <w:spacing w:before="60" w:after="60"/>
        <w:jc w:val="both"/>
        <w:rPr>
          <w:rFonts w:ascii="Arial" w:eastAsia="Calibri" w:hAnsi="Arial" w:cs="Arial"/>
          <w:sz w:val="22"/>
          <w:szCs w:val="22"/>
          <w:lang w:eastAsia="en-US"/>
        </w:rPr>
      </w:pPr>
      <w:r w:rsidRPr="00D93780">
        <w:rPr>
          <w:rFonts w:ascii="Arial" w:eastAsia="Calibri" w:hAnsi="Arial" w:cs="Arial"/>
          <w:sz w:val="22"/>
          <w:szCs w:val="22"/>
          <w:lang w:eastAsia="en-US"/>
        </w:rPr>
        <w:t>Lebedinsky, Santiago (</w:t>
      </w:r>
      <w:r w:rsidR="00143749" w:rsidRPr="00D93780">
        <w:rPr>
          <w:rFonts w:ascii="Arial" w:eastAsia="Calibri" w:hAnsi="Arial" w:cs="Arial"/>
          <w:sz w:val="22"/>
          <w:szCs w:val="22"/>
          <w:lang w:eastAsia="en-US"/>
        </w:rPr>
        <w:t>2010</w:t>
      </w:r>
      <w:r w:rsidRPr="00D93780">
        <w:rPr>
          <w:rFonts w:ascii="Arial" w:eastAsia="Calibri" w:hAnsi="Arial" w:cs="Arial"/>
          <w:sz w:val="22"/>
          <w:szCs w:val="22"/>
          <w:lang w:eastAsia="en-US"/>
        </w:rPr>
        <w:t>)</w:t>
      </w:r>
      <w:r w:rsidR="00143749" w:rsidRPr="00D93780">
        <w:rPr>
          <w:rFonts w:ascii="Arial" w:eastAsia="Calibri" w:hAnsi="Arial" w:cs="Arial"/>
          <w:sz w:val="22"/>
          <w:szCs w:val="22"/>
          <w:lang w:eastAsia="en-US"/>
        </w:rPr>
        <w:t xml:space="preserve">. Desarrollo de modelos hedónicos de valoración para su aplicación en proyectos de mejoramiento urbano. </w:t>
      </w:r>
      <w:r w:rsidR="00143749" w:rsidRPr="00D93780">
        <w:rPr>
          <w:rFonts w:ascii="Arial" w:eastAsia="Calibri" w:hAnsi="Arial" w:cs="Arial"/>
          <w:i/>
          <w:sz w:val="22"/>
          <w:szCs w:val="22"/>
          <w:lang w:eastAsia="en-US"/>
        </w:rPr>
        <w:t>Programa de Desarrollo y Gestión Municipal IV</w:t>
      </w:r>
      <w:r w:rsidR="00143749" w:rsidRPr="00D93780">
        <w:rPr>
          <w:rFonts w:ascii="Arial" w:eastAsia="Calibri" w:hAnsi="Arial" w:cs="Arial"/>
          <w:sz w:val="22"/>
          <w:szCs w:val="22"/>
          <w:lang w:eastAsia="en-US"/>
        </w:rPr>
        <w:t>. Banco Interamericano de Desarrollo.</w:t>
      </w:r>
    </w:p>
    <w:p w14:paraId="47FC565E" w14:textId="7FAB36DF" w:rsidR="00143749" w:rsidRPr="00D93780" w:rsidRDefault="00143749" w:rsidP="00694FB3">
      <w:pPr>
        <w:pStyle w:val="ListParagraph"/>
        <w:numPr>
          <w:ilvl w:val="0"/>
          <w:numId w:val="46"/>
        </w:numPr>
        <w:spacing w:before="60" w:after="60"/>
        <w:jc w:val="both"/>
        <w:rPr>
          <w:rFonts w:ascii="Arial" w:hAnsi="Arial" w:cs="Arial"/>
          <w:sz w:val="22"/>
          <w:szCs w:val="22"/>
          <w:lang w:val="es-ES_tradnl"/>
        </w:rPr>
      </w:pPr>
      <w:r w:rsidRPr="00D93780">
        <w:rPr>
          <w:rFonts w:ascii="Arial" w:hAnsi="Arial" w:cs="Arial"/>
          <w:sz w:val="22"/>
          <w:szCs w:val="22"/>
          <w:lang w:val="en-GB"/>
        </w:rPr>
        <w:t>López H. (2008).</w:t>
      </w:r>
      <w:r w:rsidRPr="00D93780">
        <w:rPr>
          <w:rFonts w:ascii="Arial" w:hAnsi="Arial" w:cs="Arial"/>
          <w:sz w:val="22"/>
          <w:szCs w:val="22"/>
          <w:lang w:val="en-US"/>
        </w:rPr>
        <w:t xml:space="preserve"> The Social Discount Rate: Estimates for Nine Latin American Countries. </w:t>
      </w:r>
      <w:r w:rsidRPr="00D93780">
        <w:rPr>
          <w:rFonts w:ascii="Arial" w:hAnsi="Arial" w:cs="Arial"/>
          <w:i/>
          <w:sz w:val="22"/>
          <w:szCs w:val="22"/>
          <w:lang w:val="es-ES_tradnl"/>
        </w:rPr>
        <w:t>Policy Research Working Paper 4639</w:t>
      </w:r>
      <w:r w:rsidRPr="00D93780">
        <w:rPr>
          <w:rFonts w:ascii="Arial" w:hAnsi="Arial" w:cs="Arial"/>
          <w:sz w:val="22"/>
          <w:szCs w:val="22"/>
          <w:lang w:val="es-ES_tradnl"/>
        </w:rPr>
        <w:t>.</w:t>
      </w:r>
    </w:p>
    <w:p w14:paraId="1D5A8B0C" w14:textId="4874D2F6" w:rsidR="00143749" w:rsidRPr="00D93780" w:rsidRDefault="00143749" w:rsidP="00694FB3">
      <w:pPr>
        <w:pStyle w:val="ListParagraph"/>
        <w:numPr>
          <w:ilvl w:val="0"/>
          <w:numId w:val="46"/>
        </w:numPr>
        <w:spacing w:before="60" w:after="60"/>
        <w:jc w:val="both"/>
        <w:rPr>
          <w:rFonts w:ascii="Arial" w:eastAsia="Calibri" w:hAnsi="Arial" w:cs="Arial"/>
          <w:sz w:val="22"/>
          <w:szCs w:val="22"/>
          <w:lang w:eastAsia="en-US"/>
        </w:rPr>
      </w:pPr>
      <w:r w:rsidRPr="00D93780">
        <w:rPr>
          <w:rFonts w:ascii="Arial" w:eastAsia="Calibri" w:hAnsi="Arial" w:cs="Arial"/>
          <w:sz w:val="22"/>
          <w:szCs w:val="22"/>
          <w:lang w:eastAsia="en-US"/>
        </w:rPr>
        <w:t>López Laborda, Julio, Jorge Mar</w:t>
      </w:r>
      <w:r w:rsidR="00433D69" w:rsidRPr="00D93780">
        <w:rPr>
          <w:rFonts w:ascii="Arial" w:eastAsia="Calibri" w:hAnsi="Arial" w:cs="Arial"/>
          <w:sz w:val="22"/>
          <w:szCs w:val="22"/>
          <w:lang w:eastAsia="en-US"/>
        </w:rPr>
        <w:t>tínez-Vázquez y Jorge Onrubia (</w:t>
      </w:r>
      <w:r w:rsidRPr="00D93780">
        <w:rPr>
          <w:rFonts w:ascii="Arial" w:eastAsia="Calibri" w:hAnsi="Arial" w:cs="Arial"/>
          <w:sz w:val="22"/>
          <w:szCs w:val="22"/>
          <w:lang w:eastAsia="en-US"/>
        </w:rPr>
        <w:t>2004</w:t>
      </w:r>
      <w:r w:rsidR="00433D69" w:rsidRPr="00D93780">
        <w:rPr>
          <w:rFonts w:ascii="Arial" w:eastAsia="Calibri" w:hAnsi="Arial" w:cs="Arial"/>
          <w:sz w:val="22"/>
          <w:szCs w:val="22"/>
          <w:lang w:eastAsia="en-US"/>
        </w:rPr>
        <w:t>)</w:t>
      </w:r>
      <w:r w:rsidRPr="00D93780">
        <w:rPr>
          <w:rFonts w:ascii="Arial" w:eastAsia="Calibri" w:hAnsi="Arial" w:cs="Arial"/>
          <w:sz w:val="22"/>
          <w:szCs w:val="22"/>
          <w:lang w:eastAsia="en-US"/>
        </w:rPr>
        <w:t xml:space="preserve">. Modelos de Administración Tributaria en un Estado Descentralizado, </w:t>
      </w:r>
      <w:r w:rsidRPr="00D93780">
        <w:rPr>
          <w:rFonts w:ascii="Arial" w:eastAsia="Calibri" w:hAnsi="Arial" w:cs="Arial"/>
          <w:i/>
          <w:sz w:val="22"/>
          <w:szCs w:val="22"/>
          <w:lang w:eastAsia="en-US"/>
        </w:rPr>
        <w:t>Papel de Trabajo</w:t>
      </w:r>
      <w:r w:rsidRPr="00D93780">
        <w:rPr>
          <w:rFonts w:ascii="Arial" w:eastAsia="Calibri" w:hAnsi="Arial" w:cs="Arial"/>
          <w:sz w:val="22"/>
          <w:szCs w:val="22"/>
          <w:lang w:eastAsia="en-US"/>
        </w:rPr>
        <w:t>, Universidad de Zaragoza.</w:t>
      </w:r>
    </w:p>
    <w:p w14:paraId="3595201B" w14:textId="38541B19" w:rsidR="00143749" w:rsidRPr="00D93780" w:rsidRDefault="00143749" w:rsidP="00694FB3">
      <w:pPr>
        <w:pStyle w:val="ListParagraph"/>
        <w:numPr>
          <w:ilvl w:val="0"/>
          <w:numId w:val="46"/>
        </w:numPr>
        <w:spacing w:before="60" w:after="60"/>
        <w:jc w:val="both"/>
        <w:rPr>
          <w:rFonts w:ascii="Arial" w:eastAsia="Calibri" w:hAnsi="Arial" w:cs="Arial"/>
          <w:sz w:val="22"/>
          <w:szCs w:val="22"/>
          <w:lang w:val="en-GB" w:eastAsia="en-US"/>
        </w:rPr>
      </w:pPr>
      <w:r w:rsidRPr="00D93780">
        <w:rPr>
          <w:rFonts w:ascii="Arial" w:eastAsia="Calibri" w:hAnsi="Arial" w:cs="Arial"/>
          <w:sz w:val="22"/>
          <w:szCs w:val="22"/>
          <w:lang w:eastAsia="en-US"/>
        </w:rPr>
        <w:t>Martíne</w:t>
      </w:r>
      <w:r w:rsidR="00433D69" w:rsidRPr="00D93780">
        <w:rPr>
          <w:rFonts w:ascii="Arial" w:eastAsia="Calibri" w:hAnsi="Arial" w:cs="Arial"/>
          <w:sz w:val="22"/>
          <w:szCs w:val="22"/>
          <w:lang w:eastAsia="en-US"/>
        </w:rPr>
        <w:t>z-Vázquez, Jorge y A. Timofeev (</w:t>
      </w:r>
      <w:r w:rsidRPr="00D93780">
        <w:rPr>
          <w:rFonts w:ascii="Arial" w:eastAsia="Calibri" w:hAnsi="Arial" w:cs="Arial"/>
          <w:sz w:val="22"/>
          <w:szCs w:val="22"/>
          <w:lang w:eastAsia="en-US"/>
        </w:rPr>
        <w:t>2005</w:t>
      </w:r>
      <w:r w:rsidR="00433D69" w:rsidRPr="00D93780">
        <w:rPr>
          <w:rFonts w:ascii="Arial" w:eastAsia="Calibri" w:hAnsi="Arial" w:cs="Arial"/>
          <w:sz w:val="22"/>
          <w:szCs w:val="22"/>
          <w:lang w:eastAsia="en-US"/>
        </w:rPr>
        <w:t>)</w:t>
      </w:r>
      <w:r w:rsidRPr="00D93780">
        <w:rPr>
          <w:rFonts w:ascii="Arial" w:eastAsia="Calibri" w:hAnsi="Arial" w:cs="Arial"/>
          <w:sz w:val="22"/>
          <w:szCs w:val="22"/>
          <w:lang w:eastAsia="en-US"/>
        </w:rPr>
        <w:t xml:space="preserve">. </w:t>
      </w:r>
      <w:r w:rsidRPr="00D93780">
        <w:rPr>
          <w:rFonts w:ascii="Arial" w:eastAsia="Calibri" w:hAnsi="Arial" w:cs="Arial"/>
          <w:sz w:val="22"/>
          <w:szCs w:val="22"/>
          <w:lang w:val="en-GB" w:eastAsia="en-US"/>
        </w:rPr>
        <w:t xml:space="preserve">Choosing beetwen Centralized and Decentralized Models of Tax Administration. </w:t>
      </w:r>
      <w:r w:rsidRPr="00D93780">
        <w:rPr>
          <w:rFonts w:ascii="Arial" w:eastAsia="Calibri" w:hAnsi="Arial" w:cs="Arial"/>
          <w:i/>
          <w:sz w:val="22"/>
          <w:szCs w:val="22"/>
          <w:lang w:val="en-GB" w:eastAsia="en-US"/>
        </w:rPr>
        <w:t>International Journal of Public Administration</w:t>
      </w:r>
      <w:r w:rsidRPr="00D93780">
        <w:rPr>
          <w:rFonts w:ascii="Arial" w:eastAsia="Calibri" w:hAnsi="Arial" w:cs="Arial"/>
          <w:sz w:val="22"/>
          <w:szCs w:val="22"/>
          <w:lang w:val="en-GB" w:eastAsia="en-US"/>
        </w:rPr>
        <w:t xml:space="preserve">. </w:t>
      </w:r>
      <w:hyperlink r:id="rId14" w:history="1">
        <w:r w:rsidRPr="00D93780">
          <w:rPr>
            <w:rFonts w:ascii="Arial" w:eastAsia="Calibri" w:hAnsi="Arial" w:cs="Arial"/>
            <w:color w:val="0563C1"/>
            <w:sz w:val="22"/>
            <w:szCs w:val="22"/>
            <w:u w:val="single"/>
            <w:lang w:val="en-GB" w:eastAsia="en-US"/>
          </w:rPr>
          <w:t>http://aysps.gsu.edu/publications/2006/index.htm</w:t>
        </w:r>
      </w:hyperlink>
      <w:r w:rsidRPr="00D93780">
        <w:rPr>
          <w:rFonts w:ascii="Arial" w:eastAsia="Calibri" w:hAnsi="Arial" w:cs="Arial"/>
          <w:sz w:val="22"/>
          <w:szCs w:val="22"/>
          <w:lang w:val="en-GB" w:eastAsia="en-US"/>
        </w:rPr>
        <w:t xml:space="preserve">. </w:t>
      </w:r>
    </w:p>
    <w:p w14:paraId="34FD6FFF" w14:textId="48102CF7" w:rsidR="00143749" w:rsidRPr="00D93780" w:rsidRDefault="00433D69" w:rsidP="00694FB3">
      <w:pPr>
        <w:pStyle w:val="ListParagraph"/>
        <w:numPr>
          <w:ilvl w:val="0"/>
          <w:numId w:val="46"/>
        </w:numPr>
        <w:spacing w:before="60" w:after="60"/>
        <w:jc w:val="both"/>
        <w:rPr>
          <w:rFonts w:ascii="Arial" w:eastAsia="Calibri" w:hAnsi="Arial" w:cs="Arial"/>
          <w:sz w:val="22"/>
          <w:szCs w:val="22"/>
          <w:lang w:val="en-GB" w:eastAsia="en-US"/>
        </w:rPr>
      </w:pPr>
      <w:r w:rsidRPr="00D93780">
        <w:rPr>
          <w:rFonts w:ascii="Arial" w:eastAsia="Calibri" w:hAnsi="Arial" w:cs="Arial"/>
          <w:sz w:val="22"/>
          <w:szCs w:val="22"/>
          <w:lang w:val="en-GB" w:eastAsia="en-US"/>
        </w:rPr>
        <w:t>OECD (</w:t>
      </w:r>
      <w:r w:rsidR="00143749" w:rsidRPr="00D93780">
        <w:rPr>
          <w:rFonts w:ascii="Arial" w:eastAsia="Calibri" w:hAnsi="Arial" w:cs="Arial"/>
          <w:sz w:val="22"/>
          <w:szCs w:val="22"/>
          <w:lang w:val="en-GB" w:eastAsia="en-US"/>
        </w:rPr>
        <w:t>2004</w:t>
      </w:r>
      <w:r w:rsidRPr="00D93780">
        <w:rPr>
          <w:rFonts w:ascii="Arial" w:eastAsia="Calibri" w:hAnsi="Arial" w:cs="Arial"/>
          <w:sz w:val="22"/>
          <w:szCs w:val="22"/>
          <w:lang w:val="en-GB" w:eastAsia="en-US"/>
        </w:rPr>
        <w:t>)</w:t>
      </w:r>
      <w:r w:rsidR="00143749" w:rsidRPr="00D93780">
        <w:rPr>
          <w:rFonts w:ascii="Arial" w:eastAsia="Calibri" w:hAnsi="Arial" w:cs="Arial"/>
          <w:sz w:val="22"/>
          <w:szCs w:val="22"/>
          <w:lang w:val="en-GB" w:eastAsia="en-US"/>
        </w:rPr>
        <w:t xml:space="preserve">. Tax Administration in OECD Countries: Comparative Information Series. Centre for Tax Policy and Administration. </w:t>
      </w:r>
    </w:p>
    <w:p w14:paraId="7E0469EE"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n-US"/>
        </w:rPr>
      </w:pPr>
      <w:r w:rsidRPr="00D93780">
        <w:rPr>
          <w:rFonts w:ascii="Arial" w:hAnsi="Arial" w:cs="Arial"/>
          <w:sz w:val="22"/>
          <w:szCs w:val="22"/>
        </w:rPr>
        <w:t xml:space="preserve">Pasqual J. (1999). La evaluación de políticas y proyectos. </w:t>
      </w:r>
      <w:r w:rsidRPr="00D93780">
        <w:rPr>
          <w:rFonts w:ascii="Arial" w:hAnsi="Arial" w:cs="Arial"/>
          <w:sz w:val="22"/>
          <w:szCs w:val="22"/>
          <w:lang w:val="en-US"/>
        </w:rPr>
        <w:t>Icaria.</w:t>
      </w:r>
    </w:p>
    <w:p w14:paraId="0A60C7A6" w14:textId="77777777" w:rsidR="00143749" w:rsidRPr="00D93780" w:rsidRDefault="00143749" w:rsidP="00694FB3">
      <w:pPr>
        <w:pStyle w:val="ListParagraph"/>
        <w:numPr>
          <w:ilvl w:val="0"/>
          <w:numId w:val="46"/>
        </w:numPr>
        <w:spacing w:before="60" w:after="60"/>
        <w:jc w:val="both"/>
        <w:rPr>
          <w:rFonts w:ascii="Arial" w:hAnsi="Arial" w:cs="Arial"/>
          <w:sz w:val="22"/>
          <w:szCs w:val="22"/>
          <w:lang w:val="es-ES_tradnl"/>
        </w:rPr>
      </w:pPr>
      <w:r w:rsidRPr="00D93780">
        <w:rPr>
          <w:rFonts w:ascii="Arial" w:hAnsi="Arial" w:cs="Arial"/>
          <w:sz w:val="22"/>
          <w:szCs w:val="22"/>
          <w:lang w:val="en-US"/>
        </w:rPr>
        <w:t xml:space="preserve">Petitti D. (2000). Meta-Analysis, Decision Analysis, and Cost-Effectiveness Analysis. </w:t>
      </w:r>
      <w:r w:rsidRPr="00D93780">
        <w:rPr>
          <w:rFonts w:ascii="Arial" w:hAnsi="Arial" w:cs="Arial"/>
          <w:sz w:val="22"/>
          <w:szCs w:val="22"/>
          <w:lang w:val="es-ES_tradnl"/>
        </w:rPr>
        <w:t xml:space="preserve">Oxford </w:t>
      </w:r>
    </w:p>
    <w:p w14:paraId="18C53E62" w14:textId="1364876A" w:rsidR="00E60866" w:rsidRPr="00694FB3" w:rsidRDefault="00433D69" w:rsidP="00694FB3">
      <w:pPr>
        <w:pStyle w:val="ListParagraph"/>
        <w:numPr>
          <w:ilvl w:val="0"/>
          <w:numId w:val="46"/>
        </w:numPr>
        <w:spacing w:before="120" w:after="120"/>
        <w:jc w:val="both"/>
        <w:rPr>
          <w:rFonts w:ascii="Arial" w:hAnsi="Arial" w:cs="Arial"/>
          <w:sz w:val="22"/>
          <w:szCs w:val="22"/>
          <w:lang w:val="pt-BR"/>
        </w:rPr>
      </w:pPr>
      <w:r w:rsidRPr="00694FB3">
        <w:rPr>
          <w:rFonts w:ascii="Arial" w:eastAsia="Calibri" w:hAnsi="Arial" w:cs="Arial"/>
          <w:sz w:val="22"/>
          <w:szCs w:val="22"/>
          <w:lang w:val="en-GB" w:eastAsia="en-US"/>
        </w:rPr>
        <w:t>Wood, Gavin y Melek Cigdem (</w:t>
      </w:r>
      <w:r w:rsidR="00143749" w:rsidRPr="00694FB3">
        <w:rPr>
          <w:rFonts w:ascii="Arial" w:eastAsia="Calibri" w:hAnsi="Arial" w:cs="Arial"/>
          <w:sz w:val="22"/>
          <w:szCs w:val="22"/>
          <w:lang w:val="en-GB" w:eastAsia="en-US"/>
        </w:rPr>
        <w:t>2012</w:t>
      </w:r>
      <w:r w:rsidRPr="00694FB3">
        <w:rPr>
          <w:rFonts w:ascii="Arial" w:eastAsia="Calibri" w:hAnsi="Arial" w:cs="Arial"/>
          <w:sz w:val="22"/>
          <w:szCs w:val="22"/>
          <w:lang w:val="en-GB" w:eastAsia="en-US"/>
        </w:rPr>
        <w:t>)</w:t>
      </w:r>
      <w:r w:rsidR="00143749" w:rsidRPr="00694FB3">
        <w:rPr>
          <w:rFonts w:ascii="Arial" w:eastAsia="Calibri" w:hAnsi="Arial" w:cs="Arial"/>
          <w:sz w:val="22"/>
          <w:szCs w:val="22"/>
          <w:lang w:val="en-GB" w:eastAsia="en-US"/>
        </w:rPr>
        <w:t>. Neighbourhood Renewal and Housing Externalities. Mimeo.</w:t>
      </w:r>
    </w:p>
    <w:sectPr w:rsidR="00E60866" w:rsidRPr="00694FB3" w:rsidSect="00217F32">
      <w:pgSz w:w="12240" w:h="15840" w:code="1"/>
      <w:pgMar w:top="1440" w:right="1800" w:bottom="1440" w:left="1800" w:header="709" w:footer="8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87F1C4" w14:textId="77777777" w:rsidR="00462E76" w:rsidRDefault="00462E76" w:rsidP="00D04EC0">
      <w:r>
        <w:separator/>
      </w:r>
    </w:p>
  </w:endnote>
  <w:endnote w:type="continuationSeparator" w:id="0">
    <w:p w14:paraId="4907C12D" w14:textId="77777777" w:rsidR="00462E76" w:rsidRDefault="00462E76" w:rsidP="00D04E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53E67" w14:textId="77777777" w:rsidR="00462E76" w:rsidRDefault="00462E76" w:rsidP="001A0694">
    <w:pPr>
      <w:pStyle w:val="Foote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53E68" w14:textId="0C13E1CB" w:rsidR="00462E76" w:rsidRPr="00D93780" w:rsidRDefault="00462E76" w:rsidP="001A0694">
    <w:pPr>
      <w:pStyle w:val="Footer"/>
      <w:jc w:val="right"/>
      <w:rPr>
        <w:rFonts w:ascii="Arial" w:hAnsi="Arial" w:cs="Arial"/>
        <w:sz w:val="20"/>
        <w:szCs w:val="20"/>
      </w:rPr>
    </w:pPr>
    <w:r w:rsidRPr="00D93780">
      <w:rPr>
        <w:rFonts w:ascii="Arial" w:hAnsi="Arial" w:cs="Arial"/>
        <w:sz w:val="20"/>
        <w:szCs w:val="20"/>
      </w:rPr>
      <w:fldChar w:fldCharType="begin"/>
    </w:r>
    <w:r w:rsidRPr="00D93780">
      <w:rPr>
        <w:rFonts w:ascii="Arial" w:hAnsi="Arial" w:cs="Arial"/>
        <w:sz w:val="20"/>
        <w:szCs w:val="20"/>
      </w:rPr>
      <w:instrText>PAGE   \* MERGEFORMAT</w:instrText>
    </w:r>
    <w:r w:rsidRPr="00D93780">
      <w:rPr>
        <w:rFonts w:ascii="Arial" w:hAnsi="Arial" w:cs="Arial"/>
        <w:sz w:val="20"/>
        <w:szCs w:val="20"/>
      </w:rPr>
      <w:fldChar w:fldCharType="separate"/>
    </w:r>
    <w:r w:rsidR="005D454E">
      <w:rPr>
        <w:rFonts w:ascii="Arial" w:hAnsi="Arial" w:cs="Arial"/>
        <w:noProof/>
        <w:sz w:val="20"/>
        <w:szCs w:val="20"/>
      </w:rPr>
      <w:t>24</w:t>
    </w:r>
    <w:r w:rsidRPr="00D93780">
      <w:rPr>
        <w:rFonts w:ascii="Arial" w:hAnsi="Arial" w:cs="Arial"/>
        <w:noProof/>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8E540B" w14:textId="77777777" w:rsidR="00462E76" w:rsidRDefault="00462E76" w:rsidP="00D04EC0">
      <w:r>
        <w:separator/>
      </w:r>
    </w:p>
  </w:footnote>
  <w:footnote w:type="continuationSeparator" w:id="0">
    <w:p w14:paraId="0290D721" w14:textId="77777777" w:rsidR="00462E76" w:rsidRDefault="00462E76" w:rsidP="00D04EC0">
      <w:r>
        <w:continuationSeparator/>
      </w:r>
    </w:p>
  </w:footnote>
  <w:footnote w:id="1">
    <w:p w14:paraId="2CEE7AE3" w14:textId="514268CC"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Ver Propuesta para el Desarrollo de la Operación (POD).</w:t>
      </w:r>
    </w:p>
  </w:footnote>
  <w:footnote w:id="2">
    <w:p w14:paraId="18C53E6A"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Ver Propuesta para el Desarrollo de la Operación (POD).</w:t>
      </w:r>
    </w:p>
  </w:footnote>
  <w:footnote w:id="3">
    <w:p w14:paraId="6C3D7F4B" w14:textId="77777777" w:rsidR="00462E76" w:rsidRPr="00D93780" w:rsidRDefault="00462E76" w:rsidP="00514FEB">
      <w:pPr>
        <w:pStyle w:val="FootnoteText"/>
        <w:ind w:left="180" w:hanging="180"/>
        <w:jc w:val="both"/>
        <w:rPr>
          <w:rFonts w:ascii="Arial" w:hAnsi="Arial" w:cs="Arial"/>
          <w:sz w:val="18"/>
          <w:szCs w:val="18"/>
          <w:lang w:val="es-ES_tradnl"/>
        </w:rPr>
      </w:pPr>
      <w:r w:rsidRPr="00D93780">
        <w:rPr>
          <w:rStyle w:val="FootnoteReference"/>
          <w:rFonts w:ascii="Arial" w:hAnsi="Arial" w:cs="Arial"/>
          <w:sz w:val="18"/>
          <w:szCs w:val="18"/>
        </w:rPr>
        <w:footnoteRef/>
      </w:r>
      <w:r w:rsidRPr="00D93780">
        <w:rPr>
          <w:rFonts w:ascii="Arial" w:hAnsi="Arial" w:cs="Arial"/>
          <w:sz w:val="18"/>
          <w:szCs w:val="18"/>
          <w:lang w:val="es-ES_tradnl"/>
        </w:rPr>
        <w:t xml:space="preserve"> Para un mayor detalle de estas reglas y sus distintas variantes, puede consultarse Fuguitt y Wilcox (1999: 82 y ss.).</w:t>
      </w:r>
    </w:p>
  </w:footnote>
  <w:footnote w:id="4">
    <w:p w14:paraId="79FD3C2D" w14:textId="6E67396D"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En cualquier caso, si se considera que los resultados de los dos ejercicios muestran que los beneficios son superiores a los costos, es evidente que el agregado daría un resultado similar. El resultado final de un ejercicio agregado está muy influido por el resultado del ejercicio ACB 2, dado el gran peso en términos de inversión económica (USD 78,6 millones de un total de USD 90 millones) que tiene en relación con la otra actividad que se analiza en el ejercicio ACB 1. </w:t>
      </w:r>
    </w:p>
  </w:footnote>
  <w:footnote w:id="5">
    <w:p w14:paraId="533736A0"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Ver </w:t>
      </w:r>
      <w:r w:rsidRPr="00D93780">
        <w:rPr>
          <w:rFonts w:ascii="Arial" w:hAnsi="Arial" w:cs="Arial"/>
          <w:sz w:val="18"/>
          <w:szCs w:val="18"/>
          <w:lang w:val="es-ES_tradnl"/>
        </w:rPr>
        <w:t>OECD (2004:5 y :32).</w:t>
      </w:r>
    </w:p>
  </w:footnote>
  <w:footnote w:id="6">
    <w:p w14:paraId="158A4B83" w14:textId="627799D4"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Cabría esperar que hubiera una descentralización de la recaudación de impuestos territoriales.</w:t>
      </w:r>
    </w:p>
  </w:footnote>
  <w:footnote w:id="7">
    <w:p w14:paraId="08378C7E"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Un caso de interés es que algunos cantones suizos de baja población encargaron la administración de sus tributos a cantones más grandes (Martínez-Vázquez y </w:t>
      </w:r>
      <w:r w:rsidRPr="00D93780">
        <w:rPr>
          <w:rFonts w:ascii="Arial" w:hAnsi="Arial" w:cs="Arial"/>
          <w:sz w:val="18"/>
          <w:szCs w:val="18"/>
          <w:lang w:val="es-ES_tradnl"/>
        </w:rPr>
        <w:t>Timofeev</w:t>
      </w:r>
      <w:r w:rsidRPr="00D93780">
        <w:rPr>
          <w:rFonts w:ascii="Arial" w:hAnsi="Arial" w:cs="Arial"/>
          <w:sz w:val="18"/>
          <w:szCs w:val="18"/>
        </w:rPr>
        <w:t>, 2005:27)</w:t>
      </w:r>
    </w:p>
  </w:footnote>
  <w:footnote w:id="8">
    <w:p w14:paraId="5615749F"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Ahmad et al. (2014:26).</w:t>
      </w:r>
    </w:p>
  </w:footnote>
  <w:footnote w:id="9">
    <w:p w14:paraId="1027D01B"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Aprobado por Ley 18860.</w:t>
      </w:r>
    </w:p>
  </w:footnote>
  <w:footnote w:id="10">
    <w:p w14:paraId="62675534"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Art. 1 de la Ley 18860.</w:t>
      </w:r>
    </w:p>
  </w:footnote>
  <w:footnote w:id="11">
    <w:p w14:paraId="313C8AFA" w14:textId="177CE3A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Recuérdese que representa el 5,2% del total de la inversión de los componentes 1 y 2.</w:t>
      </w:r>
    </w:p>
  </w:footnote>
  <w:footnote w:id="12">
    <w:p w14:paraId="1A72761C" w14:textId="3C11B5CE"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En la actualidad todavía no se conoce cuál </w:t>
      </w:r>
      <w:r>
        <w:rPr>
          <w:rFonts w:ascii="Arial" w:hAnsi="Arial" w:cs="Arial"/>
          <w:sz w:val="18"/>
          <w:szCs w:val="18"/>
        </w:rPr>
        <w:t>será</w:t>
      </w:r>
      <w:r w:rsidRPr="00D93780">
        <w:rPr>
          <w:rFonts w:ascii="Arial" w:hAnsi="Arial" w:cs="Arial"/>
          <w:sz w:val="18"/>
          <w:szCs w:val="18"/>
        </w:rPr>
        <w:t xml:space="preserve"> la solución institucional que finalmente se va</w:t>
      </w:r>
      <w:r>
        <w:rPr>
          <w:rFonts w:ascii="Arial" w:hAnsi="Arial" w:cs="Arial"/>
          <w:sz w:val="18"/>
          <w:szCs w:val="18"/>
        </w:rPr>
        <w:t>ya</w:t>
      </w:r>
      <w:r w:rsidRPr="00D93780">
        <w:rPr>
          <w:rFonts w:ascii="Arial" w:hAnsi="Arial" w:cs="Arial"/>
          <w:sz w:val="18"/>
          <w:szCs w:val="18"/>
        </w:rPr>
        <w:t xml:space="preserve"> adoptar.</w:t>
      </w:r>
    </w:p>
  </w:footnote>
  <w:footnote w:id="13">
    <w:p w14:paraId="7AAC5F8D" w14:textId="1E7EE78C"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Como referencias en otros países, la Central Collection Agency (CCA), del Departamento de Finanzas de Ohio, administra la recaudación de los impuestos de las municipales. Puede cobrar hasta un máximo del 5% del total recaudado, pero en realidad están muy por debajo de este límite superior. En Italia, los costos promedio de la recaudación tributaria están alrededor del 3%. Ver Martínez-Vázquez y </w:t>
      </w:r>
      <w:r w:rsidRPr="00D93780">
        <w:rPr>
          <w:rFonts w:ascii="Arial" w:hAnsi="Arial" w:cs="Arial"/>
          <w:sz w:val="18"/>
          <w:szCs w:val="18"/>
          <w:lang w:val="es-ES_tradnl"/>
        </w:rPr>
        <w:t>Timofeev</w:t>
      </w:r>
      <w:r w:rsidRPr="00D93780">
        <w:rPr>
          <w:rFonts w:ascii="Arial" w:hAnsi="Arial" w:cs="Arial"/>
          <w:sz w:val="18"/>
          <w:szCs w:val="18"/>
        </w:rPr>
        <w:t xml:space="preserve"> (2004:19 y :22).</w:t>
      </w:r>
    </w:p>
  </w:footnote>
  <w:footnote w:id="14">
    <w:p w14:paraId="41DA900B"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lang w:val="es-ES_tradnl"/>
        </w:rPr>
        <w:t>Fuguitt y Wilcox (1999: 82 y ss.).</w:t>
      </w:r>
    </w:p>
  </w:footnote>
  <w:footnote w:id="15">
    <w:p w14:paraId="7E266D2C" w14:textId="1CE09794"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En la matriz de resultados hay dos resultados previstos asociados a esta mejora de la gestión: (i) tiempo transcurrido </w:t>
      </w:r>
      <w:r w:rsidRPr="00D93780">
        <w:rPr>
          <w:rFonts w:ascii="Arial" w:hAnsi="Arial" w:cs="Arial"/>
          <w:sz w:val="18"/>
          <w:szCs w:val="18"/>
          <w:lang w:val="es-ES_tradnl"/>
        </w:rPr>
        <w:t>desde la solicitud de no objeción al BID (al pliego y al proyecto) y la fecha de contratación de la empresa constructora, y (ii) diferencia entre el precio de oficina (actualizado al momento de la licitación) y el monto adjudicado.</w:t>
      </w:r>
    </w:p>
  </w:footnote>
  <w:footnote w:id="16">
    <w:p w14:paraId="28935A3D"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rPr>
        <w:t xml:space="preserve"> Este valor de 7,01 se denominará </w:t>
      </w:r>
      <w:r w:rsidRPr="00D93780">
        <w:rPr>
          <w:rFonts w:ascii="Arial" w:hAnsi="Arial" w:cs="Arial"/>
          <w:i/>
          <w:sz w:val="18"/>
          <w:szCs w:val="18"/>
        </w:rPr>
        <w:t>factor de valoración de padrones</w:t>
      </w:r>
      <w:r w:rsidRPr="00D93780">
        <w:rPr>
          <w:rFonts w:ascii="Arial" w:hAnsi="Arial" w:cs="Arial"/>
          <w:sz w:val="18"/>
          <w:szCs w:val="18"/>
        </w:rPr>
        <w:t>, y será objeto de análisis de sensibilidad.</w:t>
      </w:r>
    </w:p>
  </w:footnote>
  <w:footnote w:id="17">
    <w:p w14:paraId="37F9A523" w14:textId="77777777" w:rsidR="00462E76" w:rsidRPr="00D93780" w:rsidRDefault="00462E76" w:rsidP="00514FEB">
      <w:pPr>
        <w:pStyle w:val="FootnoteText"/>
        <w:ind w:left="180" w:hanging="180"/>
        <w:jc w:val="both"/>
        <w:rPr>
          <w:rFonts w:ascii="Arial" w:hAnsi="Arial" w:cs="Arial"/>
          <w:sz w:val="18"/>
          <w:szCs w:val="18"/>
        </w:rPr>
      </w:pPr>
      <w:r w:rsidRPr="00D93780">
        <w:rPr>
          <w:rStyle w:val="FootnoteReference"/>
          <w:rFonts w:ascii="Arial" w:hAnsi="Arial" w:cs="Arial"/>
          <w:sz w:val="18"/>
          <w:szCs w:val="18"/>
        </w:rPr>
        <w:footnoteRef/>
      </w:r>
      <w:r w:rsidRPr="00D93780">
        <w:rPr>
          <w:rFonts w:ascii="Arial" w:hAnsi="Arial" w:cs="Arial"/>
          <w:sz w:val="18"/>
          <w:szCs w:val="18"/>
          <w:lang w:val="es-ES_tradnl"/>
        </w:rPr>
        <w:t>Fuguitt y Wilcox (1999: 82 y ss.).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7C051CC"/>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C70A2B4"/>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4F2EF48C"/>
    <w:lvl w:ilvl="0">
      <w:start w:val="1"/>
      <w:numFmt w:val="decimal"/>
      <w:pStyle w:val="ListNumber3"/>
      <w:lvlText w:val="%1."/>
      <w:lvlJc w:val="left"/>
      <w:pPr>
        <w:tabs>
          <w:tab w:val="num" w:pos="926"/>
        </w:tabs>
        <w:ind w:left="926" w:hanging="360"/>
      </w:pPr>
    </w:lvl>
  </w:abstractNum>
  <w:abstractNum w:abstractNumId="3">
    <w:nsid w:val="FFFFFF7F"/>
    <w:multiLevelType w:val="singleLevel"/>
    <w:tmpl w:val="202EE360"/>
    <w:lvl w:ilvl="0">
      <w:start w:val="1"/>
      <w:numFmt w:val="decimal"/>
      <w:pStyle w:val="ListNumber2"/>
      <w:lvlText w:val="%1."/>
      <w:lvlJc w:val="left"/>
      <w:pPr>
        <w:tabs>
          <w:tab w:val="num" w:pos="643"/>
        </w:tabs>
        <w:ind w:left="643" w:hanging="360"/>
      </w:pPr>
    </w:lvl>
  </w:abstractNum>
  <w:abstractNum w:abstractNumId="4">
    <w:nsid w:val="FFFFFF80"/>
    <w:multiLevelType w:val="singleLevel"/>
    <w:tmpl w:val="D2E8B34C"/>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7C682EE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6D96AEF0"/>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8CB695A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709685A0"/>
    <w:lvl w:ilvl="0">
      <w:start w:val="1"/>
      <w:numFmt w:val="decimal"/>
      <w:pStyle w:val="ListNumber"/>
      <w:lvlText w:val="%1."/>
      <w:lvlJc w:val="left"/>
      <w:pPr>
        <w:tabs>
          <w:tab w:val="num" w:pos="360"/>
        </w:tabs>
        <w:ind w:left="360" w:hanging="360"/>
      </w:pPr>
    </w:lvl>
  </w:abstractNum>
  <w:abstractNum w:abstractNumId="9">
    <w:nsid w:val="FFFFFF89"/>
    <w:multiLevelType w:val="singleLevel"/>
    <w:tmpl w:val="6276A64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D63E81"/>
    <w:multiLevelType w:val="multilevel"/>
    <w:tmpl w:val="1B10B896"/>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1">
    <w:nsid w:val="01217915"/>
    <w:multiLevelType w:val="hybridMultilevel"/>
    <w:tmpl w:val="6158DE5E"/>
    <w:lvl w:ilvl="0" w:tplc="04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2">
    <w:nsid w:val="0AE07376"/>
    <w:multiLevelType w:val="hybridMultilevel"/>
    <w:tmpl w:val="37FC15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0DAB7FC9"/>
    <w:multiLevelType w:val="multilevel"/>
    <w:tmpl w:val="50FC2F7A"/>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4">
    <w:nsid w:val="15E347FE"/>
    <w:multiLevelType w:val="hybridMultilevel"/>
    <w:tmpl w:val="267CC004"/>
    <w:lvl w:ilvl="0" w:tplc="6C580ED4">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66729BF"/>
    <w:multiLevelType w:val="hybridMultilevel"/>
    <w:tmpl w:val="37FC15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175F42A5"/>
    <w:multiLevelType w:val="multilevel"/>
    <w:tmpl w:val="07C0CEA4"/>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7ED09DE"/>
    <w:multiLevelType w:val="hybridMultilevel"/>
    <w:tmpl w:val="559E0B32"/>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nsid w:val="19A90DF3"/>
    <w:multiLevelType w:val="multilevel"/>
    <w:tmpl w:val="B71C40F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A2B1859"/>
    <w:multiLevelType w:val="multilevel"/>
    <w:tmpl w:val="0CE2BF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0">
    <w:nsid w:val="202277E5"/>
    <w:multiLevelType w:val="hybridMultilevel"/>
    <w:tmpl w:val="979492E4"/>
    <w:lvl w:ilvl="0" w:tplc="04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1">
    <w:nsid w:val="20730355"/>
    <w:multiLevelType w:val="hybridMultilevel"/>
    <w:tmpl w:val="37FC15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24620025"/>
    <w:multiLevelType w:val="hybridMultilevel"/>
    <w:tmpl w:val="C80641E4"/>
    <w:lvl w:ilvl="0" w:tplc="04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23">
    <w:nsid w:val="24A76315"/>
    <w:multiLevelType w:val="multilevel"/>
    <w:tmpl w:val="EB76D0E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28627FB2"/>
    <w:multiLevelType w:val="multilevel"/>
    <w:tmpl w:val="C04CC0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295439C6"/>
    <w:multiLevelType w:val="hybridMultilevel"/>
    <w:tmpl w:val="37FC15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31E27521"/>
    <w:multiLevelType w:val="hybridMultilevel"/>
    <w:tmpl w:val="3E34A4FC"/>
    <w:lvl w:ilvl="0" w:tplc="AB9CE96A">
      <w:start w:val="1"/>
      <w:numFmt w:val="lowerRoman"/>
      <w:lvlText w:val="(%1)"/>
      <w:lvlJc w:val="left"/>
      <w:pPr>
        <w:ind w:left="1287" w:hanging="720"/>
      </w:pPr>
      <w:rPr>
        <w:rFonts w:hint="default"/>
      </w:rPr>
    </w:lvl>
    <w:lvl w:ilvl="1" w:tplc="040A0019" w:tentative="1">
      <w:start w:val="1"/>
      <w:numFmt w:val="lowerLetter"/>
      <w:lvlText w:val="%2."/>
      <w:lvlJc w:val="left"/>
      <w:pPr>
        <w:ind w:left="1647" w:hanging="360"/>
      </w:pPr>
    </w:lvl>
    <w:lvl w:ilvl="2" w:tplc="040A001B" w:tentative="1">
      <w:start w:val="1"/>
      <w:numFmt w:val="lowerRoman"/>
      <w:lvlText w:val="%3."/>
      <w:lvlJc w:val="right"/>
      <w:pPr>
        <w:ind w:left="2367" w:hanging="180"/>
      </w:pPr>
    </w:lvl>
    <w:lvl w:ilvl="3" w:tplc="040A000F" w:tentative="1">
      <w:start w:val="1"/>
      <w:numFmt w:val="decimal"/>
      <w:lvlText w:val="%4."/>
      <w:lvlJc w:val="left"/>
      <w:pPr>
        <w:ind w:left="3087" w:hanging="360"/>
      </w:pPr>
    </w:lvl>
    <w:lvl w:ilvl="4" w:tplc="040A0019" w:tentative="1">
      <w:start w:val="1"/>
      <w:numFmt w:val="lowerLetter"/>
      <w:lvlText w:val="%5."/>
      <w:lvlJc w:val="left"/>
      <w:pPr>
        <w:ind w:left="3807" w:hanging="360"/>
      </w:pPr>
    </w:lvl>
    <w:lvl w:ilvl="5" w:tplc="040A001B" w:tentative="1">
      <w:start w:val="1"/>
      <w:numFmt w:val="lowerRoman"/>
      <w:lvlText w:val="%6."/>
      <w:lvlJc w:val="right"/>
      <w:pPr>
        <w:ind w:left="4527" w:hanging="180"/>
      </w:pPr>
    </w:lvl>
    <w:lvl w:ilvl="6" w:tplc="040A000F" w:tentative="1">
      <w:start w:val="1"/>
      <w:numFmt w:val="decimal"/>
      <w:lvlText w:val="%7."/>
      <w:lvlJc w:val="left"/>
      <w:pPr>
        <w:ind w:left="5247" w:hanging="360"/>
      </w:pPr>
    </w:lvl>
    <w:lvl w:ilvl="7" w:tplc="040A0019" w:tentative="1">
      <w:start w:val="1"/>
      <w:numFmt w:val="lowerLetter"/>
      <w:lvlText w:val="%8."/>
      <w:lvlJc w:val="left"/>
      <w:pPr>
        <w:ind w:left="5967" w:hanging="360"/>
      </w:pPr>
    </w:lvl>
    <w:lvl w:ilvl="8" w:tplc="040A001B" w:tentative="1">
      <w:start w:val="1"/>
      <w:numFmt w:val="lowerRoman"/>
      <w:lvlText w:val="%9."/>
      <w:lvlJc w:val="right"/>
      <w:pPr>
        <w:ind w:left="6687" w:hanging="180"/>
      </w:pPr>
    </w:lvl>
  </w:abstractNum>
  <w:abstractNum w:abstractNumId="27">
    <w:nsid w:val="340678D5"/>
    <w:multiLevelType w:val="hybridMultilevel"/>
    <w:tmpl w:val="450C2A2A"/>
    <w:lvl w:ilvl="0" w:tplc="EE88959E">
      <w:start w:val="1"/>
      <w:numFmt w:val="upperLetter"/>
      <w:pStyle w:val="Anexo"/>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8">
    <w:nsid w:val="34EB5D09"/>
    <w:multiLevelType w:val="multilevel"/>
    <w:tmpl w:val="BA70CA90"/>
    <w:lvl w:ilvl="0">
      <w:start w:val="2"/>
      <w:numFmt w:val="decimal"/>
      <w:lvlText w:val="%1"/>
      <w:lvlJc w:val="left"/>
      <w:pPr>
        <w:ind w:left="360" w:hanging="360"/>
      </w:pPr>
      <w:rPr>
        <w:rFonts w:hint="default"/>
      </w:rPr>
    </w:lvl>
    <w:lvl w:ilvl="1">
      <w:start w:val="1"/>
      <w:numFmt w:val="decimal"/>
      <w:lvlText w:val="%1.%2"/>
      <w:lvlJc w:val="left"/>
      <w:pPr>
        <w:ind w:left="1146" w:hanging="360"/>
      </w:pPr>
      <w:rPr>
        <w:rFonts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9">
    <w:nsid w:val="37FE5C5C"/>
    <w:multiLevelType w:val="hybridMultilevel"/>
    <w:tmpl w:val="8F2C31AA"/>
    <w:lvl w:ilvl="0" w:tplc="AB9CE96A">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0">
    <w:nsid w:val="3E644D43"/>
    <w:multiLevelType w:val="hybridMultilevel"/>
    <w:tmpl w:val="743C9A3C"/>
    <w:lvl w:ilvl="0" w:tplc="8FD2056A">
      <w:start w:val="1"/>
      <w:numFmt w:val="bullet"/>
      <w:lvlText w:val="•"/>
      <w:lvlJc w:val="left"/>
      <w:pPr>
        <w:tabs>
          <w:tab w:val="num" w:pos="927"/>
        </w:tabs>
        <w:ind w:left="927" w:hanging="360"/>
      </w:pPr>
      <w:rPr>
        <w:rFonts w:ascii="Georgia" w:hAnsi="Georgia" w:hint="default"/>
      </w:rPr>
    </w:lvl>
    <w:lvl w:ilvl="1" w:tplc="0B9EF048" w:tentative="1">
      <w:start w:val="1"/>
      <w:numFmt w:val="bullet"/>
      <w:lvlText w:val="•"/>
      <w:lvlJc w:val="left"/>
      <w:pPr>
        <w:tabs>
          <w:tab w:val="num" w:pos="1647"/>
        </w:tabs>
        <w:ind w:left="1647" w:hanging="360"/>
      </w:pPr>
      <w:rPr>
        <w:rFonts w:ascii="Georgia" w:hAnsi="Georgia" w:hint="default"/>
      </w:rPr>
    </w:lvl>
    <w:lvl w:ilvl="2" w:tplc="C38ED9A8" w:tentative="1">
      <w:start w:val="1"/>
      <w:numFmt w:val="bullet"/>
      <w:lvlText w:val="•"/>
      <w:lvlJc w:val="left"/>
      <w:pPr>
        <w:tabs>
          <w:tab w:val="num" w:pos="2367"/>
        </w:tabs>
        <w:ind w:left="2367" w:hanging="360"/>
      </w:pPr>
      <w:rPr>
        <w:rFonts w:ascii="Georgia" w:hAnsi="Georgia" w:hint="default"/>
      </w:rPr>
    </w:lvl>
    <w:lvl w:ilvl="3" w:tplc="B29E0D66" w:tentative="1">
      <w:start w:val="1"/>
      <w:numFmt w:val="bullet"/>
      <w:lvlText w:val="•"/>
      <w:lvlJc w:val="left"/>
      <w:pPr>
        <w:tabs>
          <w:tab w:val="num" w:pos="3087"/>
        </w:tabs>
        <w:ind w:left="3087" w:hanging="360"/>
      </w:pPr>
      <w:rPr>
        <w:rFonts w:ascii="Georgia" w:hAnsi="Georgia" w:hint="default"/>
      </w:rPr>
    </w:lvl>
    <w:lvl w:ilvl="4" w:tplc="5B262196" w:tentative="1">
      <w:start w:val="1"/>
      <w:numFmt w:val="bullet"/>
      <w:lvlText w:val="•"/>
      <w:lvlJc w:val="left"/>
      <w:pPr>
        <w:tabs>
          <w:tab w:val="num" w:pos="3807"/>
        </w:tabs>
        <w:ind w:left="3807" w:hanging="360"/>
      </w:pPr>
      <w:rPr>
        <w:rFonts w:ascii="Georgia" w:hAnsi="Georgia" w:hint="default"/>
      </w:rPr>
    </w:lvl>
    <w:lvl w:ilvl="5" w:tplc="D7601884" w:tentative="1">
      <w:start w:val="1"/>
      <w:numFmt w:val="bullet"/>
      <w:lvlText w:val="•"/>
      <w:lvlJc w:val="left"/>
      <w:pPr>
        <w:tabs>
          <w:tab w:val="num" w:pos="4527"/>
        </w:tabs>
        <w:ind w:left="4527" w:hanging="360"/>
      </w:pPr>
      <w:rPr>
        <w:rFonts w:ascii="Georgia" w:hAnsi="Georgia" w:hint="default"/>
      </w:rPr>
    </w:lvl>
    <w:lvl w:ilvl="6" w:tplc="BDF85DAE" w:tentative="1">
      <w:start w:val="1"/>
      <w:numFmt w:val="bullet"/>
      <w:lvlText w:val="•"/>
      <w:lvlJc w:val="left"/>
      <w:pPr>
        <w:tabs>
          <w:tab w:val="num" w:pos="5247"/>
        </w:tabs>
        <w:ind w:left="5247" w:hanging="360"/>
      </w:pPr>
      <w:rPr>
        <w:rFonts w:ascii="Georgia" w:hAnsi="Georgia" w:hint="default"/>
      </w:rPr>
    </w:lvl>
    <w:lvl w:ilvl="7" w:tplc="746E2BC6" w:tentative="1">
      <w:start w:val="1"/>
      <w:numFmt w:val="bullet"/>
      <w:lvlText w:val="•"/>
      <w:lvlJc w:val="left"/>
      <w:pPr>
        <w:tabs>
          <w:tab w:val="num" w:pos="5967"/>
        </w:tabs>
        <w:ind w:left="5967" w:hanging="360"/>
      </w:pPr>
      <w:rPr>
        <w:rFonts w:ascii="Georgia" w:hAnsi="Georgia" w:hint="default"/>
      </w:rPr>
    </w:lvl>
    <w:lvl w:ilvl="8" w:tplc="B3A0807E" w:tentative="1">
      <w:start w:val="1"/>
      <w:numFmt w:val="bullet"/>
      <w:lvlText w:val="•"/>
      <w:lvlJc w:val="left"/>
      <w:pPr>
        <w:tabs>
          <w:tab w:val="num" w:pos="6687"/>
        </w:tabs>
        <w:ind w:left="6687" w:hanging="360"/>
      </w:pPr>
      <w:rPr>
        <w:rFonts w:ascii="Georgia" w:hAnsi="Georgia" w:hint="default"/>
      </w:rPr>
    </w:lvl>
  </w:abstractNum>
  <w:abstractNum w:abstractNumId="31">
    <w:nsid w:val="404847DE"/>
    <w:multiLevelType w:val="hybridMultilevel"/>
    <w:tmpl w:val="BEB0F2A2"/>
    <w:lvl w:ilvl="0" w:tplc="040A000F">
      <w:start w:val="1"/>
      <w:numFmt w:val="decimal"/>
      <w:lvlText w:val="%1."/>
      <w:lvlJc w:val="left"/>
      <w:pPr>
        <w:ind w:left="2912" w:hanging="360"/>
      </w:pPr>
    </w:lvl>
    <w:lvl w:ilvl="1" w:tplc="C1AEBDC0">
      <w:start w:val="1"/>
      <w:numFmt w:val="lowerLetter"/>
      <w:lvlText w:val="%2."/>
      <w:lvlJc w:val="left"/>
      <w:pPr>
        <w:ind w:left="1425" w:hanging="705"/>
      </w:pPr>
      <w:rPr>
        <w:rFonts w:hint="default"/>
      </w:r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32">
    <w:nsid w:val="45B90457"/>
    <w:multiLevelType w:val="hybridMultilevel"/>
    <w:tmpl w:val="343EAEE8"/>
    <w:lvl w:ilvl="0" w:tplc="442260CE">
      <w:start w:val="1"/>
      <w:numFmt w:val="lowerRoman"/>
      <w:lvlText w:val="(%1)"/>
      <w:lvlJc w:val="left"/>
      <w:pPr>
        <w:ind w:left="1287" w:hanging="72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3">
    <w:nsid w:val="479148ED"/>
    <w:multiLevelType w:val="hybridMultilevel"/>
    <w:tmpl w:val="559E0B32"/>
    <w:lvl w:ilvl="0" w:tplc="0C0A0015">
      <w:start w:val="1"/>
      <w:numFmt w:val="upperLetter"/>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523B7099"/>
    <w:multiLevelType w:val="multilevel"/>
    <w:tmpl w:val="D0B06FE4"/>
    <w:lvl w:ilvl="0">
      <w:start w:val="2"/>
      <w:numFmt w:val="decimal"/>
      <w:lvlText w:val="%1"/>
      <w:lvlJc w:val="left"/>
      <w:pPr>
        <w:ind w:left="360" w:hanging="360"/>
      </w:pPr>
      <w:rPr>
        <w:rFonts w:hint="default"/>
      </w:rPr>
    </w:lvl>
    <w:lvl w:ilvl="1">
      <w:start w:val="1"/>
      <w:numFmt w:val="bullet"/>
      <w:lvlText w:val=""/>
      <w:lvlJc w:val="left"/>
      <w:pPr>
        <w:ind w:left="1146" w:hanging="360"/>
      </w:pPr>
      <w:rPr>
        <w:rFonts w:ascii="Symbol" w:hAnsi="Symbol" w:hint="default"/>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35">
    <w:nsid w:val="54766A95"/>
    <w:multiLevelType w:val="hybridMultilevel"/>
    <w:tmpl w:val="0E6A3D0A"/>
    <w:lvl w:ilvl="0" w:tplc="04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6">
    <w:nsid w:val="5A8564A6"/>
    <w:multiLevelType w:val="hybridMultilevel"/>
    <w:tmpl w:val="06F6528C"/>
    <w:lvl w:ilvl="0" w:tplc="04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7">
    <w:nsid w:val="5F260F87"/>
    <w:multiLevelType w:val="hybridMultilevel"/>
    <w:tmpl w:val="B520FE06"/>
    <w:lvl w:ilvl="0" w:tplc="04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38">
    <w:nsid w:val="5F6C6D76"/>
    <w:multiLevelType w:val="hybridMultilevel"/>
    <w:tmpl w:val="D4A8CAE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nsid w:val="637434D9"/>
    <w:multiLevelType w:val="hybridMultilevel"/>
    <w:tmpl w:val="70DAE91A"/>
    <w:lvl w:ilvl="0" w:tplc="6C580ED4">
      <w:start w:val="1"/>
      <w:numFmt w:val="bullet"/>
      <w:lvlText w:val=""/>
      <w:lvlJc w:val="left"/>
      <w:pPr>
        <w:ind w:left="360" w:hanging="360"/>
      </w:pPr>
      <w:rPr>
        <w:rFonts w:ascii="Symbol" w:hAnsi="Symbol" w:hint="default"/>
      </w:rPr>
    </w:lvl>
    <w:lvl w:ilvl="1" w:tplc="6C580ED4">
      <w:start w:val="1"/>
      <w:numFmt w:val="bullet"/>
      <w:lvlText w:val=""/>
      <w:lvlJc w:val="left"/>
      <w:pPr>
        <w:ind w:left="1080" w:hanging="360"/>
      </w:pPr>
      <w:rPr>
        <w:rFonts w:ascii="Symbol" w:hAnsi="Symbol"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0">
    <w:nsid w:val="641B23D0"/>
    <w:multiLevelType w:val="hybridMultilevel"/>
    <w:tmpl w:val="CF044932"/>
    <w:lvl w:ilvl="0" w:tplc="0C0A0017">
      <w:start w:val="1"/>
      <w:numFmt w:val="lowerLetter"/>
      <w:lvlText w:val="%1)"/>
      <w:lvlJc w:val="left"/>
      <w:pPr>
        <w:ind w:left="720" w:hanging="72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1">
    <w:nsid w:val="65193666"/>
    <w:multiLevelType w:val="hybridMultilevel"/>
    <w:tmpl w:val="06F6528C"/>
    <w:lvl w:ilvl="0" w:tplc="04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2">
    <w:nsid w:val="660B0D15"/>
    <w:multiLevelType w:val="hybridMultilevel"/>
    <w:tmpl w:val="12A6DA1E"/>
    <w:lvl w:ilvl="0" w:tplc="6C580ED4">
      <w:start w:val="1"/>
      <w:numFmt w:val="bullet"/>
      <w:lvlText w:val=""/>
      <w:lvlJc w:val="left"/>
      <w:pPr>
        <w:ind w:left="927" w:hanging="360"/>
      </w:pPr>
      <w:rPr>
        <w:rFonts w:ascii="Symbol" w:hAnsi="Symbol"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43">
    <w:nsid w:val="66A93037"/>
    <w:multiLevelType w:val="hybridMultilevel"/>
    <w:tmpl w:val="F0383DCE"/>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A0F1091"/>
    <w:multiLevelType w:val="hybridMultilevel"/>
    <w:tmpl w:val="06BA64FC"/>
    <w:lvl w:ilvl="0" w:tplc="B28EA39A">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A395741"/>
    <w:multiLevelType w:val="hybridMultilevel"/>
    <w:tmpl w:val="3A82D5B4"/>
    <w:lvl w:ilvl="0" w:tplc="04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6">
    <w:nsid w:val="6E5F06E5"/>
    <w:multiLevelType w:val="hybridMultilevel"/>
    <w:tmpl w:val="7102CE9A"/>
    <w:lvl w:ilvl="0" w:tplc="0C0A0017">
      <w:start w:val="1"/>
      <w:numFmt w:val="lowerLetter"/>
      <w:lvlText w:val="%1)"/>
      <w:lvlJc w:val="left"/>
      <w:pPr>
        <w:ind w:left="927" w:hanging="360"/>
      </w:p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7">
    <w:nsid w:val="6F641CA6"/>
    <w:multiLevelType w:val="hybridMultilevel"/>
    <w:tmpl w:val="46B01D40"/>
    <w:lvl w:ilvl="0" w:tplc="FD5095E6">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8">
    <w:nsid w:val="72E8766E"/>
    <w:multiLevelType w:val="hybridMultilevel"/>
    <w:tmpl w:val="8F2C31AA"/>
    <w:lvl w:ilvl="0" w:tplc="AB9CE96A">
      <w:start w:val="1"/>
      <w:numFmt w:val="lowerRoman"/>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9">
    <w:nsid w:val="771831CC"/>
    <w:multiLevelType w:val="hybridMultilevel"/>
    <w:tmpl w:val="3C2A6B88"/>
    <w:lvl w:ilvl="0" w:tplc="1CF4FC90">
      <w:start w:val="2"/>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7A607ADF"/>
    <w:multiLevelType w:val="hybridMultilevel"/>
    <w:tmpl w:val="37FC1532"/>
    <w:lvl w:ilvl="0" w:tplc="0C0A000F">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1">
    <w:nsid w:val="7C0812CD"/>
    <w:multiLevelType w:val="hybridMultilevel"/>
    <w:tmpl w:val="C80641E4"/>
    <w:lvl w:ilvl="0" w:tplc="040A0017">
      <w:start w:val="1"/>
      <w:numFmt w:val="lowerLetter"/>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52">
    <w:nsid w:val="7D015734"/>
    <w:multiLevelType w:val="hybridMultilevel"/>
    <w:tmpl w:val="06BA64FC"/>
    <w:lvl w:ilvl="0" w:tplc="B28EA39A">
      <w:start w:val="4"/>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3">
    <w:nsid w:val="7EC234F6"/>
    <w:multiLevelType w:val="multilevel"/>
    <w:tmpl w:val="17E62B5C"/>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7"/>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31"/>
  </w:num>
  <w:num w:numId="13">
    <w:abstractNumId w:val="13"/>
  </w:num>
  <w:num w:numId="14">
    <w:abstractNumId w:val="26"/>
  </w:num>
  <w:num w:numId="15">
    <w:abstractNumId w:val="36"/>
  </w:num>
  <w:num w:numId="16">
    <w:abstractNumId w:val="30"/>
  </w:num>
  <w:num w:numId="17">
    <w:abstractNumId w:val="19"/>
  </w:num>
  <w:num w:numId="18">
    <w:abstractNumId w:val="23"/>
  </w:num>
  <w:num w:numId="19">
    <w:abstractNumId w:val="29"/>
  </w:num>
  <w:num w:numId="20">
    <w:abstractNumId w:val="47"/>
  </w:num>
  <w:num w:numId="21">
    <w:abstractNumId w:val="17"/>
  </w:num>
  <w:num w:numId="22">
    <w:abstractNumId w:val="33"/>
  </w:num>
  <w:num w:numId="23">
    <w:abstractNumId w:val="50"/>
  </w:num>
  <w:num w:numId="24">
    <w:abstractNumId w:val="48"/>
  </w:num>
  <w:num w:numId="25">
    <w:abstractNumId w:val="46"/>
  </w:num>
  <w:num w:numId="26">
    <w:abstractNumId w:val="32"/>
  </w:num>
  <w:num w:numId="27">
    <w:abstractNumId w:val="38"/>
  </w:num>
  <w:num w:numId="28">
    <w:abstractNumId w:val="24"/>
  </w:num>
  <w:num w:numId="29">
    <w:abstractNumId w:val="28"/>
  </w:num>
  <w:num w:numId="30">
    <w:abstractNumId w:val="10"/>
  </w:num>
  <w:num w:numId="31">
    <w:abstractNumId w:val="34"/>
  </w:num>
  <w:num w:numId="32">
    <w:abstractNumId w:val="40"/>
  </w:num>
  <w:num w:numId="33">
    <w:abstractNumId w:val="44"/>
  </w:num>
  <w:num w:numId="34">
    <w:abstractNumId w:val="25"/>
  </w:num>
  <w:num w:numId="35">
    <w:abstractNumId w:val="39"/>
  </w:num>
  <w:num w:numId="36">
    <w:abstractNumId w:val="12"/>
  </w:num>
  <w:num w:numId="37">
    <w:abstractNumId w:val="35"/>
  </w:num>
  <w:num w:numId="38">
    <w:abstractNumId w:val="45"/>
  </w:num>
  <w:num w:numId="39">
    <w:abstractNumId w:val="20"/>
  </w:num>
  <w:num w:numId="40">
    <w:abstractNumId w:val="42"/>
  </w:num>
  <w:num w:numId="41">
    <w:abstractNumId w:val="14"/>
  </w:num>
  <w:num w:numId="42">
    <w:abstractNumId w:val="21"/>
  </w:num>
  <w:num w:numId="43">
    <w:abstractNumId w:val="49"/>
  </w:num>
  <w:num w:numId="44">
    <w:abstractNumId w:val="52"/>
  </w:num>
  <w:num w:numId="45">
    <w:abstractNumId w:val="37"/>
  </w:num>
  <w:num w:numId="46">
    <w:abstractNumId w:val="43"/>
  </w:num>
  <w:num w:numId="47">
    <w:abstractNumId w:val="51"/>
  </w:num>
  <w:num w:numId="48">
    <w:abstractNumId w:val="11"/>
  </w:num>
  <w:num w:numId="49">
    <w:abstractNumId w:val="22"/>
  </w:num>
  <w:num w:numId="50">
    <w:abstractNumId w:val="15"/>
  </w:num>
  <w:num w:numId="51">
    <w:abstractNumId w:val="18"/>
  </w:num>
  <w:num w:numId="52">
    <w:abstractNumId w:val="16"/>
  </w:num>
  <w:num w:numId="53">
    <w:abstractNumId w:val="53"/>
  </w:num>
  <w:num w:numId="54">
    <w:abstractNumId w:val="4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s-ES_tradnl" w:vendorID="64" w:dllVersion="131078" w:nlCheck="1" w:checkStyle="0"/>
  <w:activeWritingStyle w:appName="MSWord" w:lang="es-ES" w:vendorID="64" w:dllVersion="131078" w:nlCheck="1" w:checkStyle="0"/>
  <w:activeWritingStyle w:appName="MSWord" w:lang="es-A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es-CL" w:vendorID="64" w:dllVersion="131078" w:nlCheck="1" w:checkStyle="0"/>
  <w:activeWritingStyle w:appName="MSWord" w:lang="pt-BR" w:vendorID="64" w:dllVersion="131078" w:nlCheck="1" w:checkStyle="0"/>
  <w:activeWritingStyle w:appName="MSWord" w:lang="es-UY" w:vendorID="64" w:dllVersion="131078" w:nlCheck="1" w:checkStyle="0"/>
  <w:activeWritingStyle w:appName="MSWord" w:lang="es-MX"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4A7"/>
    <w:rsid w:val="00000E45"/>
    <w:rsid w:val="00001C9A"/>
    <w:rsid w:val="000022B3"/>
    <w:rsid w:val="00006638"/>
    <w:rsid w:val="00010D61"/>
    <w:rsid w:val="00011AD3"/>
    <w:rsid w:val="000127F7"/>
    <w:rsid w:val="00012A86"/>
    <w:rsid w:val="00013BED"/>
    <w:rsid w:val="00013EF5"/>
    <w:rsid w:val="00014890"/>
    <w:rsid w:val="00014D73"/>
    <w:rsid w:val="000155D9"/>
    <w:rsid w:val="000167FF"/>
    <w:rsid w:val="00017305"/>
    <w:rsid w:val="00017821"/>
    <w:rsid w:val="0002054C"/>
    <w:rsid w:val="0002292D"/>
    <w:rsid w:val="0002356C"/>
    <w:rsid w:val="00023687"/>
    <w:rsid w:val="00024096"/>
    <w:rsid w:val="00024268"/>
    <w:rsid w:val="0002462A"/>
    <w:rsid w:val="000250AF"/>
    <w:rsid w:val="00025E6B"/>
    <w:rsid w:val="00026E53"/>
    <w:rsid w:val="00027A3A"/>
    <w:rsid w:val="00027E30"/>
    <w:rsid w:val="0003078A"/>
    <w:rsid w:val="00030F21"/>
    <w:rsid w:val="0003338D"/>
    <w:rsid w:val="000339F4"/>
    <w:rsid w:val="00034A69"/>
    <w:rsid w:val="00035899"/>
    <w:rsid w:val="000370C6"/>
    <w:rsid w:val="00037F13"/>
    <w:rsid w:val="00040650"/>
    <w:rsid w:val="0004079A"/>
    <w:rsid w:val="00041026"/>
    <w:rsid w:val="000413EA"/>
    <w:rsid w:val="00041731"/>
    <w:rsid w:val="00042D8B"/>
    <w:rsid w:val="000430A5"/>
    <w:rsid w:val="00043DA2"/>
    <w:rsid w:val="00046021"/>
    <w:rsid w:val="000466A3"/>
    <w:rsid w:val="00046AF0"/>
    <w:rsid w:val="00046FDA"/>
    <w:rsid w:val="000478CC"/>
    <w:rsid w:val="000507BD"/>
    <w:rsid w:val="000515B9"/>
    <w:rsid w:val="00053BA0"/>
    <w:rsid w:val="000547ED"/>
    <w:rsid w:val="00055F90"/>
    <w:rsid w:val="000567C7"/>
    <w:rsid w:val="00057E05"/>
    <w:rsid w:val="00060105"/>
    <w:rsid w:val="00060AB7"/>
    <w:rsid w:val="00062F8D"/>
    <w:rsid w:val="00064011"/>
    <w:rsid w:val="0006505A"/>
    <w:rsid w:val="000650E7"/>
    <w:rsid w:val="00065764"/>
    <w:rsid w:val="00066502"/>
    <w:rsid w:val="00067B8C"/>
    <w:rsid w:val="00070A2F"/>
    <w:rsid w:val="00070A3F"/>
    <w:rsid w:val="0007174B"/>
    <w:rsid w:val="00072ABA"/>
    <w:rsid w:val="00072EE5"/>
    <w:rsid w:val="00073134"/>
    <w:rsid w:val="00074355"/>
    <w:rsid w:val="00074DCA"/>
    <w:rsid w:val="00076BBB"/>
    <w:rsid w:val="00076E6D"/>
    <w:rsid w:val="00077CD5"/>
    <w:rsid w:val="00081CD5"/>
    <w:rsid w:val="0008261D"/>
    <w:rsid w:val="000865EF"/>
    <w:rsid w:val="00086BF0"/>
    <w:rsid w:val="00090970"/>
    <w:rsid w:val="000922FF"/>
    <w:rsid w:val="00092916"/>
    <w:rsid w:val="00093A3A"/>
    <w:rsid w:val="000944BF"/>
    <w:rsid w:val="000949A3"/>
    <w:rsid w:val="00094F4A"/>
    <w:rsid w:val="00096F7F"/>
    <w:rsid w:val="000A053D"/>
    <w:rsid w:val="000A06DE"/>
    <w:rsid w:val="000A1628"/>
    <w:rsid w:val="000A1992"/>
    <w:rsid w:val="000A2AB3"/>
    <w:rsid w:val="000A2D1F"/>
    <w:rsid w:val="000A5801"/>
    <w:rsid w:val="000A586A"/>
    <w:rsid w:val="000A5E32"/>
    <w:rsid w:val="000A6231"/>
    <w:rsid w:val="000B00C1"/>
    <w:rsid w:val="000B0871"/>
    <w:rsid w:val="000B1297"/>
    <w:rsid w:val="000B1D4C"/>
    <w:rsid w:val="000B275B"/>
    <w:rsid w:val="000B28CA"/>
    <w:rsid w:val="000B3431"/>
    <w:rsid w:val="000B4D01"/>
    <w:rsid w:val="000B519A"/>
    <w:rsid w:val="000B53D2"/>
    <w:rsid w:val="000B55B4"/>
    <w:rsid w:val="000B5686"/>
    <w:rsid w:val="000B6AF0"/>
    <w:rsid w:val="000B7263"/>
    <w:rsid w:val="000B797E"/>
    <w:rsid w:val="000C0A77"/>
    <w:rsid w:val="000C159F"/>
    <w:rsid w:val="000C1629"/>
    <w:rsid w:val="000C17C6"/>
    <w:rsid w:val="000C282F"/>
    <w:rsid w:val="000C2EAD"/>
    <w:rsid w:val="000C3083"/>
    <w:rsid w:val="000C5373"/>
    <w:rsid w:val="000C5972"/>
    <w:rsid w:val="000C7345"/>
    <w:rsid w:val="000C7499"/>
    <w:rsid w:val="000D1C59"/>
    <w:rsid w:val="000D38FA"/>
    <w:rsid w:val="000D3A88"/>
    <w:rsid w:val="000D44B4"/>
    <w:rsid w:val="000D481B"/>
    <w:rsid w:val="000D5296"/>
    <w:rsid w:val="000D5429"/>
    <w:rsid w:val="000D7913"/>
    <w:rsid w:val="000D7957"/>
    <w:rsid w:val="000E0839"/>
    <w:rsid w:val="000E141B"/>
    <w:rsid w:val="000E3828"/>
    <w:rsid w:val="000E4C6C"/>
    <w:rsid w:val="000E55EA"/>
    <w:rsid w:val="000E5EC6"/>
    <w:rsid w:val="000E5F45"/>
    <w:rsid w:val="000E68EF"/>
    <w:rsid w:val="000E697E"/>
    <w:rsid w:val="000E78AC"/>
    <w:rsid w:val="000E7D60"/>
    <w:rsid w:val="000F1A1B"/>
    <w:rsid w:val="000F2057"/>
    <w:rsid w:val="000F37AC"/>
    <w:rsid w:val="000F5250"/>
    <w:rsid w:val="000F5F9A"/>
    <w:rsid w:val="000F60BB"/>
    <w:rsid w:val="000F615C"/>
    <w:rsid w:val="000F6222"/>
    <w:rsid w:val="000F7FA8"/>
    <w:rsid w:val="001002E2"/>
    <w:rsid w:val="00101772"/>
    <w:rsid w:val="00102978"/>
    <w:rsid w:val="00102B62"/>
    <w:rsid w:val="00103A26"/>
    <w:rsid w:val="00103D3A"/>
    <w:rsid w:val="0010476F"/>
    <w:rsid w:val="00104B0E"/>
    <w:rsid w:val="00104E03"/>
    <w:rsid w:val="00105ADE"/>
    <w:rsid w:val="0010738C"/>
    <w:rsid w:val="00107412"/>
    <w:rsid w:val="00107D21"/>
    <w:rsid w:val="0011062F"/>
    <w:rsid w:val="00110654"/>
    <w:rsid w:val="00110AEA"/>
    <w:rsid w:val="0011108D"/>
    <w:rsid w:val="001121DE"/>
    <w:rsid w:val="001123AE"/>
    <w:rsid w:val="00112B8B"/>
    <w:rsid w:val="001146B1"/>
    <w:rsid w:val="00114ABF"/>
    <w:rsid w:val="001164AA"/>
    <w:rsid w:val="00116EE5"/>
    <w:rsid w:val="00117DC0"/>
    <w:rsid w:val="0012267D"/>
    <w:rsid w:val="00122899"/>
    <w:rsid w:val="001228EF"/>
    <w:rsid w:val="001245AB"/>
    <w:rsid w:val="001268DC"/>
    <w:rsid w:val="00126F36"/>
    <w:rsid w:val="0013072C"/>
    <w:rsid w:val="00130C87"/>
    <w:rsid w:val="00133645"/>
    <w:rsid w:val="00134CA1"/>
    <w:rsid w:val="0013680B"/>
    <w:rsid w:val="00136A0B"/>
    <w:rsid w:val="00136B76"/>
    <w:rsid w:val="00137506"/>
    <w:rsid w:val="0013752D"/>
    <w:rsid w:val="001379BD"/>
    <w:rsid w:val="001379E6"/>
    <w:rsid w:val="00140937"/>
    <w:rsid w:val="00142495"/>
    <w:rsid w:val="001433A6"/>
    <w:rsid w:val="00143749"/>
    <w:rsid w:val="00143D15"/>
    <w:rsid w:val="00144B37"/>
    <w:rsid w:val="00145179"/>
    <w:rsid w:val="00145871"/>
    <w:rsid w:val="00145B76"/>
    <w:rsid w:val="0014706F"/>
    <w:rsid w:val="00147325"/>
    <w:rsid w:val="00150C0A"/>
    <w:rsid w:val="00152382"/>
    <w:rsid w:val="001526D4"/>
    <w:rsid w:val="00152AFA"/>
    <w:rsid w:val="00154780"/>
    <w:rsid w:val="00155C32"/>
    <w:rsid w:val="0015617B"/>
    <w:rsid w:val="0015682F"/>
    <w:rsid w:val="001577AB"/>
    <w:rsid w:val="00157A27"/>
    <w:rsid w:val="00160076"/>
    <w:rsid w:val="0016015B"/>
    <w:rsid w:val="00161072"/>
    <w:rsid w:val="0016257E"/>
    <w:rsid w:val="001626A8"/>
    <w:rsid w:val="00163252"/>
    <w:rsid w:val="00163DCB"/>
    <w:rsid w:val="00164496"/>
    <w:rsid w:val="001649BE"/>
    <w:rsid w:val="00165D50"/>
    <w:rsid w:val="0016659F"/>
    <w:rsid w:val="00172EF6"/>
    <w:rsid w:val="00173517"/>
    <w:rsid w:val="00173F0B"/>
    <w:rsid w:val="0017426A"/>
    <w:rsid w:val="001742D0"/>
    <w:rsid w:val="0017454C"/>
    <w:rsid w:val="001765EF"/>
    <w:rsid w:val="0017791C"/>
    <w:rsid w:val="00180434"/>
    <w:rsid w:val="00180945"/>
    <w:rsid w:val="0018095D"/>
    <w:rsid w:val="0018272B"/>
    <w:rsid w:val="0018281A"/>
    <w:rsid w:val="001830AA"/>
    <w:rsid w:val="00183D2B"/>
    <w:rsid w:val="00186010"/>
    <w:rsid w:val="00186882"/>
    <w:rsid w:val="00190494"/>
    <w:rsid w:val="00192C83"/>
    <w:rsid w:val="00193360"/>
    <w:rsid w:val="001955F0"/>
    <w:rsid w:val="00195625"/>
    <w:rsid w:val="00195E06"/>
    <w:rsid w:val="00197225"/>
    <w:rsid w:val="00197506"/>
    <w:rsid w:val="001A0694"/>
    <w:rsid w:val="001A0C14"/>
    <w:rsid w:val="001A13C6"/>
    <w:rsid w:val="001A2052"/>
    <w:rsid w:val="001A2A7E"/>
    <w:rsid w:val="001A3254"/>
    <w:rsid w:val="001A40CE"/>
    <w:rsid w:val="001A54B2"/>
    <w:rsid w:val="001A6008"/>
    <w:rsid w:val="001A627E"/>
    <w:rsid w:val="001A6333"/>
    <w:rsid w:val="001A6501"/>
    <w:rsid w:val="001A7C57"/>
    <w:rsid w:val="001B06AB"/>
    <w:rsid w:val="001B2E96"/>
    <w:rsid w:val="001B41CE"/>
    <w:rsid w:val="001B4AC4"/>
    <w:rsid w:val="001B63C2"/>
    <w:rsid w:val="001B703C"/>
    <w:rsid w:val="001B70A6"/>
    <w:rsid w:val="001B77CD"/>
    <w:rsid w:val="001B78EB"/>
    <w:rsid w:val="001C00AE"/>
    <w:rsid w:val="001C0B29"/>
    <w:rsid w:val="001C1249"/>
    <w:rsid w:val="001C16B1"/>
    <w:rsid w:val="001C36AA"/>
    <w:rsid w:val="001C3CF2"/>
    <w:rsid w:val="001C3EBE"/>
    <w:rsid w:val="001C45E9"/>
    <w:rsid w:val="001C4805"/>
    <w:rsid w:val="001C6C4B"/>
    <w:rsid w:val="001C78A0"/>
    <w:rsid w:val="001D05C5"/>
    <w:rsid w:val="001D280A"/>
    <w:rsid w:val="001D2BBE"/>
    <w:rsid w:val="001D3771"/>
    <w:rsid w:val="001D45A4"/>
    <w:rsid w:val="001D50A9"/>
    <w:rsid w:val="001D7104"/>
    <w:rsid w:val="001D7BBA"/>
    <w:rsid w:val="001E07A2"/>
    <w:rsid w:val="001E2E96"/>
    <w:rsid w:val="001E5C60"/>
    <w:rsid w:val="001E6314"/>
    <w:rsid w:val="001E720E"/>
    <w:rsid w:val="001F0EAC"/>
    <w:rsid w:val="001F1594"/>
    <w:rsid w:val="001F229F"/>
    <w:rsid w:val="001F30D1"/>
    <w:rsid w:val="001F37E7"/>
    <w:rsid w:val="001F4D8B"/>
    <w:rsid w:val="001F5023"/>
    <w:rsid w:val="001F6CAA"/>
    <w:rsid w:val="001F711D"/>
    <w:rsid w:val="002001E6"/>
    <w:rsid w:val="00200298"/>
    <w:rsid w:val="00200A8D"/>
    <w:rsid w:val="00203531"/>
    <w:rsid w:val="00203911"/>
    <w:rsid w:val="00204592"/>
    <w:rsid w:val="00204895"/>
    <w:rsid w:val="002048AD"/>
    <w:rsid w:val="00204BFD"/>
    <w:rsid w:val="0020520C"/>
    <w:rsid w:val="002056F5"/>
    <w:rsid w:val="00206389"/>
    <w:rsid w:val="00206888"/>
    <w:rsid w:val="00210EC2"/>
    <w:rsid w:val="0021151D"/>
    <w:rsid w:val="00211968"/>
    <w:rsid w:val="00211A6F"/>
    <w:rsid w:val="0021254A"/>
    <w:rsid w:val="00212706"/>
    <w:rsid w:val="002142D6"/>
    <w:rsid w:val="00215302"/>
    <w:rsid w:val="00215726"/>
    <w:rsid w:val="00216907"/>
    <w:rsid w:val="0021696C"/>
    <w:rsid w:val="002177E0"/>
    <w:rsid w:val="00217F32"/>
    <w:rsid w:val="00221952"/>
    <w:rsid w:val="0022394C"/>
    <w:rsid w:val="002248BE"/>
    <w:rsid w:val="002249AA"/>
    <w:rsid w:val="002256FC"/>
    <w:rsid w:val="00226D32"/>
    <w:rsid w:val="00227112"/>
    <w:rsid w:val="00227A32"/>
    <w:rsid w:val="00227CFB"/>
    <w:rsid w:val="00230EE7"/>
    <w:rsid w:val="00231009"/>
    <w:rsid w:val="00232515"/>
    <w:rsid w:val="00232E0F"/>
    <w:rsid w:val="002331B9"/>
    <w:rsid w:val="002346FA"/>
    <w:rsid w:val="00235293"/>
    <w:rsid w:val="002359ED"/>
    <w:rsid w:val="00235A1A"/>
    <w:rsid w:val="002367B7"/>
    <w:rsid w:val="00236A3B"/>
    <w:rsid w:val="00237248"/>
    <w:rsid w:val="002402F0"/>
    <w:rsid w:val="0024089D"/>
    <w:rsid w:val="0024160B"/>
    <w:rsid w:val="00243686"/>
    <w:rsid w:val="002442E2"/>
    <w:rsid w:val="00245614"/>
    <w:rsid w:val="00245893"/>
    <w:rsid w:val="00245E40"/>
    <w:rsid w:val="00246271"/>
    <w:rsid w:val="00250757"/>
    <w:rsid w:val="00250EE0"/>
    <w:rsid w:val="002511AA"/>
    <w:rsid w:val="00251AB8"/>
    <w:rsid w:val="00251CAF"/>
    <w:rsid w:val="0025225B"/>
    <w:rsid w:val="0025397E"/>
    <w:rsid w:val="0025420B"/>
    <w:rsid w:val="00254C9C"/>
    <w:rsid w:val="0025503A"/>
    <w:rsid w:val="002550BC"/>
    <w:rsid w:val="00255FE7"/>
    <w:rsid w:val="00256A2E"/>
    <w:rsid w:val="00256DBA"/>
    <w:rsid w:val="0026058F"/>
    <w:rsid w:val="0026085A"/>
    <w:rsid w:val="0026101A"/>
    <w:rsid w:val="002616C2"/>
    <w:rsid w:val="00262BA7"/>
    <w:rsid w:val="00263C4B"/>
    <w:rsid w:val="00267B80"/>
    <w:rsid w:val="0027073B"/>
    <w:rsid w:val="002707BB"/>
    <w:rsid w:val="00270A89"/>
    <w:rsid w:val="00272B60"/>
    <w:rsid w:val="00272C06"/>
    <w:rsid w:val="00273EAB"/>
    <w:rsid w:val="00276DF2"/>
    <w:rsid w:val="0027703D"/>
    <w:rsid w:val="00280D39"/>
    <w:rsid w:val="00281C0D"/>
    <w:rsid w:val="002820D5"/>
    <w:rsid w:val="00282807"/>
    <w:rsid w:val="002834A1"/>
    <w:rsid w:val="00283D5F"/>
    <w:rsid w:val="0028698C"/>
    <w:rsid w:val="00286A2D"/>
    <w:rsid w:val="0029033E"/>
    <w:rsid w:val="00291C87"/>
    <w:rsid w:val="00292EF0"/>
    <w:rsid w:val="00293217"/>
    <w:rsid w:val="00293329"/>
    <w:rsid w:val="00293DAE"/>
    <w:rsid w:val="00293DD4"/>
    <w:rsid w:val="002943C0"/>
    <w:rsid w:val="002944B3"/>
    <w:rsid w:val="0029515A"/>
    <w:rsid w:val="0029519E"/>
    <w:rsid w:val="00295A8C"/>
    <w:rsid w:val="00295C21"/>
    <w:rsid w:val="00296029"/>
    <w:rsid w:val="00296C07"/>
    <w:rsid w:val="002A05FD"/>
    <w:rsid w:val="002A1DD6"/>
    <w:rsid w:val="002A2A19"/>
    <w:rsid w:val="002A3B0D"/>
    <w:rsid w:val="002A42BD"/>
    <w:rsid w:val="002A4E38"/>
    <w:rsid w:val="002A5670"/>
    <w:rsid w:val="002A6F30"/>
    <w:rsid w:val="002A7146"/>
    <w:rsid w:val="002B0C25"/>
    <w:rsid w:val="002B2484"/>
    <w:rsid w:val="002B2C2C"/>
    <w:rsid w:val="002B3067"/>
    <w:rsid w:val="002B3484"/>
    <w:rsid w:val="002B5C07"/>
    <w:rsid w:val="002B5EA4"/>
    <w:rsid w:val="002C0359"/>
    <w:rsid w:val="002C04EF"/>
    <w:rsid w:val="002C0EA1"/>
    <w:rsid w:val="002C11B7"/>
    <w:rsid w:val="002C1C5F"/>
    <w:rsid w:val="002C208E"/>
    <w:rsid w:val="002C348C"/>
    <w:rsid w:val="002C465A"/>
    <w:rsid w:val="002C515F"/>
    <w:rsid w:val="002C5B77"/>
    <w:rsid w:val="002C5C6E"/>
    <w:rsid w:val="002C6759"/>
    <w:rsid w:val="002D01F5"/>
    <w:rsid w:val="002D17DE"/>
    <w:rsid w:val="002D1856"/>
    <w:rsid w:val="002D19BD"/>
    <w:rsid w:val="002D2056"/>
    <w:rsid w:val="002D43A0"/>
    <w:rsid w:val="002D489E"/>
    <w:rsid w:val="002D7E20"/>
    <w:rsid w:val="002E09DE"/>
    <w:rsid w:val="002E09E9"/>
    <w:rsid w:val="002E10A6"/>
    <w:rsid w:val="002E23F4"/>
    <w:rsid w:val="002E2A06"/>
    <w:rsid w:val="002E4E29"/>
    <w:rsid w:val="002E6342"/>
    <w:rsid w:val="002E642D"/>
    <w:rsid w:val="002E6F3E"/>
    <w:rsid w:val="002F0631"/>
    <w:rsid w:val="002F0AD1"/>
    <w:rsid w:val="002F2816"/>
    <w:rsid w:val="002F3717"/>
    <w:rsid w:val="002F4E2C"/>
    <w:rsid w:val="002F5680"/>
    <w:rsid w:val="002F6027"/>
    <w:rsid w:val="002F6744"/>
    <w:rsid w:val="002F6BF4"/>
    <w:rsid w:val="002F6C5C"/>
    <w:rsid w:val="002F6CE6"/>
    <w:rsid w:val="002F6FCE"/>
    <w:rsid w:val="002F74E8"/>
    <w:rsid w:val="003008A8"/>
    <w:rsid w:val="00300B36"/>
    <w:rsid w:val="00301106"/>
    <w:rsid w:val="003021CB"/>
    <w:rsid w:val="0030271B"/>
    <w:rsid w:val="00304005"/>
    <w:rsid w:val="0030441C"/>
    <w:rsid w:val="00304A92"/>
    <w:rsid w:val="003052B2"/>
    <w:rsid w:val="003061F0"/>
    <w:rsid w:val="00306B6A"/>
    <w:rsid w:val="00307772"/>
    <w:rsid w:val="00307AF1"/>
    <w:rsid w:val="00307B0B"/>
    <w:rsid w:val="00310721"/>
    <w:rsid w:val="00311E15"/>
    <w:rsid w:val="003129EF"/>
    <w:rsid w:val="00312CA8"/>
    <w:rsid w:val="0031431E"/>
    <w:rsid w:val="00315766"/>
    <w:rsid w:val="00315E86"/>
    <w:rsid w:val="00320D77"/>
    <w:rsid w:val="00320F1D"/>
    <w:rsid w:val="003228FB"/>
    <w:rsid w:val="00322F3A"/>
    <w:rsid w:val="00324295"/>
    <w:rsid w:val="003263BD"/>
    <w:rsid w:val="003266FD"/>
    <w:rsid w:val="00326C4B"/>
    <w:rsid w:val="00327AAA"/>
    <w:rsid w:val="00330608"/>
    <w:rsid w:val="00330BB7"/>
    <w:rsid w:val="00331580"/>
    <w:rsid w:val="003327D1"/>
    <w:rsid w:val="00334648"/>
    <w:rsid w:val="00334CE0"/>
    <w:rsid w:val="00335956"/>
    <w:rsid w:val="0033646A"/>
    <w:rsid w:val="003371FF"/>
    <w:rsid w:val="0033781B"/>
    <w:rsid w:val="0033787D"/>
    <w:rsid w:val="00341B8D"/>
    <w:rsid w:val="00342AF9"/>
    <w:rsid w:val="00343127"/>
    <w:rsid w:val="003431AC"/>
    <w:rsid w:val="003442B6"/>
    <w:rsid w:val="003447A1"/>
    <w:rsid w:val="00345935"/>
    <w:rsid w:val="00350E2F"/>
    <w:rsid w:val="00351D91"/>
    <w:rsid w:val="00352E5A"/>
    <w:rsid w:val="003530CD"/>
    <w:rsid w:val="00354DFB"/>
    <w:rsid w:val="003550FB"/>
    <w:rsid w:val="00355484"/>
    <w:rsid w:val="0035555F"/>
    <w:rsid w:val="00356CFE"/>
    <w:rsid w:val="00357D8E"/>
    <w:rsid w:val="0036027D"/>
    <w:rsid w:val="003629A2"/>
    <w:rsid w:val="00362D98"/>
    <w:rsid w:val="00362E9A"/>
    <w:rsid w:val="00363B72"/>
    <w:rsid w:val="00364076"/>
    <w:rsid w:val="003661EC"/>
    <w:rsid w:val="003671D8"/>
    <w:rsid w:val="00367F0A"/>
    <w:rsid w:val="00370C2F"/>
    <w:rsid w:val="00370DBE"/>
    <w:rsid w:val="00372BF2"/>
    <w:rsid w:val="00372D79"/>
    <w:rsid w:val="00373187"/>
    <w:rsid w:val="00373563"/>
    <w:rsid w:val="00374181"/>
    <w:rsid w:val="00375BCB"/>
    <w:rsid w:val="00375CB5"/>
    <w:rsid w:val="00376613"/>
    <w:rsid w:val="003778D6"/>
    <w:rsid w:val="00377C26"/>
    <w:rsid w:val="003813D7"/>
    <w:rsid w:val="00382E56"/>
    <w:rsid w:val="00382F76"/>
    <w:rsid w:val="0038334F"/>
    <w:rsid w:val="00383A39"/>
    <w:rsid w:val="00384A46"/>
    <w:rsid w:val="003861F0"/>
    <w:rsid w:val="003901AE"/>
    <w:rsid w:val="00390836"/>
    <w:rsid w:val="00390BBA"/>
    <w:rsid w:val="003926D2"/>
    <w:rsid w:val="00392BC1"/>
    <w:rsid w:val="003934AB"/>
    <w:rsid w:val="00393D76"/>
    <w:rsid w:val="00394F42"/>
    <w:rsid w:val="00395657"/>
    <w:rsid w:val="00395F29"/>
    <w:rsid w:val="003979A2"/>
    <w:rsid w:val="00397B80"/>
    <w:rsid w:val="003A00AE"/>
    <w:rsid w:val="003A06C6"/>
    <w:rsid w:val="003A0A1C"/>
    <w:rsid w:val="003A2E86"/>
    <w:rsid w:val="003A37CF"/>
    <w:rsid w:val="003A47CD"/>
    <w:rsid w:val="003A580D"/>
    <w:rsid w:val="003A6301"/>
    <w:rsid w:val="003A6774"/>
    <w:rsid w:val="003A6D66"/>
    <w:rsid w:val="003A7F5E"/>
    <w:rsid w:val="003B1BF2"/>
    <w:rsid w:val="003B221A"/>
    <w:rsid w:val="003B260D"/>
    <w:rsid w:val="003B28F5"/>
    <w:rsid w:val="003B296A"/>
    <w:rsid w:val="003B3BDE"/>
    <w:rsid w:val="003B498E"/>
    <w:rsid w:val="003B5FDF"/>
    <w:rsid w:val="003B72B1"/>
    <w:rsid w:val="003B72CE"/>
    <w:rsid w:val="003B7719"/>
    <w:rsid w:val="003C36A5"/>
    <w:rsid w:val="003C7DF4"/>
    <w:rsid w:val="003D092E"/>
    <w:rsid w:val="003D0FC8"/>
    <w:rsid w:val="003D162D"/>
    <w:rsid w:val="003D1678"/>
    <w:rsid w:val="003D2540"/>
    <w:rsid w:val="003D27B9"/>
    <w:rsid w:val="003D4885"/>
    <w:rsid w:val="003D62F8"/>
    <w:rsid w:val="003D6C6E"/>
    <w:rsid w:val="003D6FBA"/>
    <w:rsid w:val="003E042D"/>
    <w:rsid w:val="003E0A8C"/>
    <w:rsid w:val="003E295A"/>
    <w:rsid w:val="003E53A4"/>
    <w:rsid w:val="003E6CB5"/>
    <w:rsid w:val="003E7804"/>
    <w:rsid w:val="003F1025"/>
    <w:rsid w:val="003F1260"/>
    <w:rsid w:val="003F1634"/>
    <w:rsid w:val="003F169B"/>
    <w:rsid w:val="003F16A8"/>
    <w:rsid w:val="003F2555"/>
    <w:rsid w:val="003F305A"/>
    <w:rsid w:val="003F41B8"/>
    <w:rsid w:val="003F4617"/>
    <w:rsid w:val="003F51C5"/>
    <w:rsid w:val="003F5F7E"/>
    <w:rsid w:val="003F6DCA"/>
    <w:rsid w:val="003F7C7A"/>
    <w:rsid w:val="00401073"/>
    <w:rsid w:val="0040125E"/>
    <w:rsid w:val="00402548"/>
    <w:rsid w:val="00402B52"/>
    <w:rsid w:val="00402C8D"/>
    <w:rsid w:val="004038DD"/>
    <w:rsid w:val="0040531C"/>
    <w:rsid w:val="004055E7"/>
    <w:rsid w:val="00406543"/>
    <w:rsid w:val="00406F9D"/>
    <w:rsid w:val="00407C62"/>
    <w:rsid w:val="0041195A"/>
    <w:rsid w:val="00411ADE"/>
    <w:rsid w:val="00412E57"/>
    <w:rsid w:val="00413488"/>
    <w:rsid w:val="00415A19"/>
    <w:rsid w:val="00415F0E"/>
    <w:rsid w:val="0042098D"/>
    <w:rsid w:val="00420C65"/>
    <w:rsid w:val="00421800"/>
    <w:rsid w:val="004221D9"/>
    <w:rsid w:val="004222A8"/>
    <w:rsid w:val="00422F2A"/>
    <w:rsid w:val="004234D2"/>
    <w:rsid w:val="00424A2C"/>
    <w:rsid w:val="00426D47"/>
    <w:rsid w:val="00427644"/>
    <w:rsid w:val="00430095"/>
    <w:rsid w:val="00432B84"/>
    <w:rsid w:val="0043399F"/>
    <w:rsid w:val="00433D69"/>
    <w:rsid w:val="0043483C"/>
    <w:rsid w:val="00434D3D"/>
    <w:rsid w:val="004357A9"/>
    <w:rsid w:val="00436404"/>
    <w:rsid w:val="004401AD"/>
    <w:rsid w:val="00440711"/>
    <w:rsid w:val="0044098D"/>
    <w:rsid w:val="00440CE4"/>
    <w:rsid w:val="004433C4"/>
    <w:rsid w:val="004466B4"/>
    <w:rsid w:val="0044718C"/>
    <w:rsid w:val="004478BC"/>
    <w:rsid w:val="004479A3"/>
    <w:rsid w:val="00450C42"/>
    <w:rsid w:val="004512B3"/>
    <w:rsid w:val="00451C78"/>
    <w:rsid w:val="0045213D"/>
    <w:rsid w:val="00454BA5"/>
    <w:rsid w:val="00456605"/>
    <w:rsid w:val="00457FD3"/>
    <w:rsid w:val="00462E76"/>
    <w:rsid w:val="0046320C"/>
    <w:rsid w:val="004632D1"/>
    <w:rsid w:val="00463594"/>
    <w:rsid w:val="00465B38"/>
    <w:rsid w:val="00465DD0"/>
    <w:rsid w:val="0046630D"/>
    <w:rsid w:val="00466C5A"/>
    <w:rsid w:val="004700BC"/>
    <w:rsid w:val="0047039A"/>
    <w:rsid w:val="0047119D"/>
    <w:rsid w:val="00471C81"/>
    <w:rsid w:val="00473003"/>
    <w:rsid w:val="00473E7A"/>
    <w:rsid w:val="00474799"/>
    <w:rsid w:val="004752D8"/>
    <w:rsid w:val="004753C4"/>
    <w:rsid w:val="00475430"/>
    <w:rsid w:val="0047600A"/>
    <w:rsid w:val="00477438"/>
    <w:rsid w:val="00480C44"/>
    <w:rsid w:val="00480D6D"/>
    <w:rsid w:val="00480E20"/>
    <w:rsid w:val="00481143"/>
    <w:rsid w:val="00481A1F"/>
    <w:rsid w:val="00481B35"/>
    <w:rsid w:val="0048345A"/>
    <w:rsid w:val="004834BD"/>
    <w:rsid w:val="00483784"/>
    <w:rsid w:val="00483891"/>
    <w:rsid w:val="004858AF"/>
    <w:rsid w:val="004870FE"/>
    <w:rsid w:val="00487930"/>
    <w:rsid w:val="00487DB2"/>
    <w:rsid w:val="004908FE"/>
    <w:rsid w:val="004909C4"/>
    <w:rsid w:val="0049171B"/>
    <w:rsid w:val="00493168"/>
    <w:rsid w:val="0049380C"/>
    <w:rsid w:val="00494F2A"/>
    <w:rsid w:val="00495EAC"/>
    <w:rsid w:val="00496680"/>
    <w:rsid w:val="00497056"/>
    <w:rsid w:val="00497543"/>
    <w:rsid w:val="00497E57"/>
    <w:rsid w:val="004A0460"/>
    <w:rsid w:val="004A09CE"/>
    <w:rsid w:val="004A2025"/>
    <w:rsid w:val="004A3E10"/>
    <w:rsid w:val="004A43E7"/>
    <w:rsid w:val="004A477C"/>
    <w:rsid w:val="004A52C0"/>
    <w:rsid w:val="004A5E2B"/>
    <w:rsid w:val="004A74E8"/>
    <w:rsid w:val="004A77DF"/>
    <w:rsid w:val="004B198C"/>
    <w:rsid w:val="004B1F98"/>
    <w:rsid w:val="004B2440"/>
    <w:rsid w:val="004B2C0E"/>
    <w:rsid w:val="004B3E90"/>
    <w:rsid w:val="004B6105"/>
    <w:rsid w:val="004B6434"/>
    <w:rsid w:val="004C28D7"/>
    <w:rsid w:val="004C3847"/>
    <w:rsid w:val="004C3C19"/>
    <w:rsid w:val="004C46AD"/>
    <w:rsid w:val="004C5AFB"/>
    <w:rsid w:val="004C7009"/>
    <w:rsid w:val="004C7BC0"/>
    <w:rsid w:val="004C7F4B"/>
    <w:rsid w:val="004D006B"/>
    <w:rsid w:val="004D05A8"/>
    <w:rsid w:val="004D175B"/>
    <w:rsid w:val="004D21F8"/>
    <w:rsid w:val="004D305E"/>
    <w:rsid w:val="004D51ED"/>
    <w:rsid w:val="004D5F25"/>
    <w:rsid w:val="004D7B32"/>
    <w:rsid w:val="004E0672"/>
    <w:rsid w:val="004E0A7B"/>
    <w:rsid w:val="004E0F07"/>
    <w:rsid w:val="004E2D57"/>
    <w:rsid w:val="004E444E"/>
    <w:rsid w:val="004E53FF"/>
    <w:rsid w:val="004E6C47"/>
    <w:rsid w:val="004E6F4E"/>
    <w:rsid w:val="004F004D"/>
    <w:rsid w:val="004F00F8"/>
    <w:rsid w:val="004F12AA"/>
    <w:rsid w:val="004F22D6"/>
    <w:rsid w:val="004F4585"/>
    <w:rsid w:val="004F4EBD"/>
    <w:rsid w:val="004F5066"/>
    <w:rsid w:val="004F683F"/>
    <w:rsid w:val="005012F5"/>
    <w:rsid w:val="00503C1F"/>
    <w:rsid w:val="00505A30"/>
    <w:rsid w:val="00506E22"/>
    <w:rsid w:val="00506F9A"/>
    <w:rsid w:val="00507D80"/>
    <w:rsid w:val="0051150B"/>
    <w:rsid w:val="005116E5"/>
    <w:rsid w:val="0051233A"/>
    <w:rsid w:val="00513319"/>
    <w:rsid w:val="00514766"/>
    <w:rsid w:val="00514FEB"/>
    <w:rsid w:val="0051528C"/>
    <w:rsid w:val="005162B5"/>
    <w:rsid w:val="0051718F"/>
    <w:rsid w:val="005171C2"/>
    <w:rsid w:val="00517832"/>
    <w:rsid w:val="0051798D"/>
    <w:rsid w:val="00517FA3"/>
    <w:rsid w:val="005203FF"/>
    <w:rsid w:val="00520E15"/>
    <w:rsid w:val="005217FC"/>
    <w:rsid w:val="005241C1"/>
    <w:rsid w:val="00525CD0"/>
    <w:rsid w:val="00525DA9"/>
    <w:rsid w:val="005260EF"/>
    <w:rsid w:val="00527527"/>
    <w:rsid w:val="00527750"/>
    <w:rsid w:val="00527B64"/>
    <w:rsid w:val="0053061D"/>
    <w:rsid w:val="00534D55"/>
    <w:rsid w:val="00534FD6"/>
    <w:rsid w:val="00535C1C"/>
    <w:rsid w:val="00535CA5"/>
    <w:rsid w:val="00536125"/>
    <w:rsid w:val="005374C7"/>
    <w:rsid w:val="005379A4"/>
    <w:rsid w:val="00541B55"/>
    <w:rsid w:val="00543BCD"/>
    <w:rsid w:val="00545C4A"/>
    <w:rsid w:val="00545D97"/>
    <w:rsid w:val="005463CC"/>
    <w:rsid w:val="00550727"/>
    <w:rsid w:val="005511CE"/>
    <w:rsid w:val="00551FF9"/>
    <w:rsid w:val="00552102"/>
    <w:rsid w:val="00553BEA"/>
    <w:rsid w:val="0055490B"/>
    <w:rsid w:val="00555B55"/>
    <w:rsid w:val="00555CB1"/>
    <w:rsid w:val="005561E9"/>
    <w:rsid w:val="00557F71"/>
    <w:rsid w:val="005608D5"/>
    <w:rsid w:val="0056096C"/>
    <w:rsid w:val="00561C67"/>
    <w:rsid w:val="00561F33"/>
    <w:rsid w:val="005624B7"/>
    <w:rsid w:val="00562D56"/>
    <w:rsid w:val="00562F01"/>
    <w:rsid w:val="00563B92"/>
    <w:rsid w:val="00564391"/>
    <w:rsid w:val="0056455D"/>
    <w:rsid w:val="00564AFC"/>
    <w:rsid w:val="00565C7A"/>
    <w:rsid w:val="00565E45"/>
    <w:rsid w:val="005669D1"/>
    <w:rsid w:val="00566BFC"/>
    <w:rsid w:val="00566DF5"/>
    <w:rsid w:val="005671DF"/>
    <w:rsid w:val="005674A5"/>
    <w:rsid w:val="0057132F"/>
    <w:rsid w:val="00571599"/>
    <w:rsid w:val="00572143"/>
    <w:rsid w:val="0057353F"/>
    <w:rsid w:val="00573897"/>
    <w:rsid w:val="0057451D"/>
    <w:rsid w:val="00574D35"/>
    <w:rsid w:val="005751AE"/>
    <w:rsid w:val="005759CA"/>
    <w:rsid w:val="00575E67"/>
    <w:rsid w:val="00577265"/>
    <w:rsid w:val="00581CB5"/>
    <w:rsid w:val="00581E27"/>
    <w:rsid w:val="00582018"/>
    <w:rsid w:val="00582A01"/>
    <w:rsid w:val="00583C99"/>
    <w:rsid w:val="005840C3"/>
    <w:rsid w:val="0058579A"/>
    <w:rsid w:val="005861A4"/>
    <w:rsid w:val="00590687"/>
    <w:rsid w:val="00590DEF"/>
    <w:rsid w:val="00591B53"/>
    <w:rsid w:val="00592BB1"/>
    <w:rsid w:val="00592DF1"/>
    <w:rsid w:val="0059368A"/>
    <w:rsid w:val="00593C7F"/>
    <w:rsid w:val="00593CB9"/>
    <w:rsid w:val="00594201"/>
    <w:rsid w:val="00594DAB"/>
    <w:rsid w:val="00596684"/>
    <w:rsid w:val="00596718"/>
    <w:rsid w:val="00597454"/>
    <w:rsid w:val="005A0342"/>
    <w:rsid w:val="005A097D"/>
    <w:rsid w:val="005A0B2E"/>
    <w:rsid w:val="005A132C"/>
    <w:rsid w:val="005A1514"/>
    <w:rsid w:val="005A19F3"/>
    <w:rsid w:val="005A26D3"/>
    <w:rsid w:val="005A3742"/>
    <w:rsid w:val="005A37F9"/>
    <w:rsid w:val="005A3EC6"/>
    <w:rsid w:val="005A474B"/>
    <w:rsid w:val="005A4C63"/>
    <w:rsid w:val="005A6A2D"/>
    <w:rsid w:val="005A6A95"/>
    <w:rsid w:val="005A6C74"/>
    <w:rsid w:val="005A75FD"/>
    <w:rsid w:val="005A776B"/>
    <w:rsid w:val="005A7F3C"/>
    <w:rsid w:val="005B06C3"/>
    <w:rsid w:val="005B102A"/>
    <w:rsid w:val="005B11AB"/>
    <w:rsid w:val="005B2FF5"/>
    <w:rsid w:val="005B310F"/>
    <w:rsid w:val="005B3745"/>
    <w:rsid w:val="005B3C86"/>
    <w:rsid w:val="005B4A68"/>
    <w:rsid w:val="005B52DA"/>
    <w:rsid w:val="005B5557"/>
    <w:rsid w:val="005B7618"/>
    <w:rsid w:val="005B7BE9"/>
    <w:rsid w:val="005C15BC"/>
    <w:rsid w:val="005C35B3"/>
    <w:rsid w:val="005C5525"/>
    <w:rsid w:val="005C5B55"/>
    <w:rsid w:val="005C62D4"/>
    <w:rsid w:val="005C6A56"/>
    <w:rsid w:val="005C75A5"/>
    <w:rsid w:val="005C7C26"/>
    <w:rsid w:val="005D035B"/>
    <w:rsid w:val="005D1291"/>
    <w:rsid w:val="005D1934"/>
    <w:rsid w:val="005D21C0"/>
    <w:rsid w:val="005D2919"/>
    <w:rsid w:val="005D2BFE"/>
    <w:rsid w:val="005D3B9C"/>
    <w:rsid w:val="005D3C12"/>
    <w:rsid w:val="005D3FC3"/>
    <w:rsid w:val="005D454E"/>
    <w:rsid w:val="005D60C0"/>
    <w:rsid w:val="005D656D"/>
    <w:rsid w:val="005E05E9"/>
    <w:rsid w:val="005E128B"/>
    <w:rsid w:val="005E1485"/>
    <w:rsid w:val="005E188A"/>
    <w:rsid w:val="005E18EC"/>
    <w:rsid w:val="005E2255"/>
    <w:rsid w:val="005E2418"/>
    <w:rsid w:val="005E348D"/>
    <w:rsid w:val="005E391F"/>
    <w:rsid w:val="005E3F44"/>
    <w:rsid w:val="005E4729"/>
    <w:rsid w:val="005E5165"/>
    <w:rsid w:val="005E691A"/>
    <w:rsid w:val="005F155A"/>
    <w:rsid w:val="005F1638"/>
    <w:rsid w:val="005F1883"/>
    <w:rsid w:val="005F2498"/>
    <w:rsid w:val="005F2A27"/>
    <w:rsid w:val="005F4251"/>
    <w:rsid w:val="005F4F43"/>
    <w:rsid w:val="005F6511"/>
    <w:rsid w:val="005F660C"/>
    <w:rsid w:val="005F6DC7"/>
    <w:rsid w:val="006000C9"/>
    <w:rsid w:val="00600563"/>
    <w:rsid w:val="00600A78"/>
    <w:rsid w:val="00600D7E"/>
    <w:rsid w:val="00601C9F"/>
    <w:rsid w:val="00602146"/>
    <w:rsid w:val="006039B6"/>
    <w:rsid w:val="00603B68"/>
    <w:rsid w:val="006040DB"/>
    <w:rsid w:val="00605B42"/>
    <w:rsid w:val="00606251"/>
    <w:rsid w:val="0060678B"/>
    <w:rsid w:val="006077EA"/>
    <w:rsid w:val="006079CE"/>
    <w:rsid w:val="00610278"/>
    <w:rsid w:val="00610B14"/>
    <w:rsid w:val="0061171B"/>
    <w:rsid w:val="00612C45"/>
    <w:rsid w:val="00613784"/>
    <w:rsid w:val="00613D30"/>
    <w:rsid w:val="00613D8F"/>
    <w:rsid w:val="00615072"/>
    <w:rsid w:val="0061653C"/>
    <w:rsid w:val="00617A6F"/>
    <w:rsid w:val="00620762"/>
    <w:rsid w:val="00620B96"/>
    <w:rsid w:val="00622528"/>
    <w:rsid w:val="006238D4"/>
    <w:rsid w:val="006249D9"/>
    <w:rsid w:val="0062515A"/>
    <w:rsid w:val="00625272"/>
    <w:rsid w:val="00626CB2"/>
    <w:rsid w:val="00630708"/>
    <w:rsid w:val="00633093"/>
    <w:rsid w:val="0063466D"/>
    <w:rsid w:val="0063495F"/>
    <w:rsid w:val="00636775"/>
    <w:rsid w:val="00636A58"/>
    <w:rsid w:val="00636C78"/>
    <w:rsid w:val="00640E7A"/>
    <w:rsid w:val="00640E90"/>
    <w:rsid w:val="006428C3"/>
    <w:rsid w:val="00643361"/>
    <w:rsid w:val="0064346B"/>
    <w:rsid w:val="0064481F"/>
    <w:rsid w:val="00644E31"/>
    <w:rsid w:val="00645257"/>
    <w:rsid w:val="00645294"/>
    <w:rsid w:val="006458EC"/>
    <w:rsid w:val="00645A13"/>
    <w:rsid w:val="00646727"/>
    <w:rsid w:val="00647155"/>
    <w:rsid w:val="0064778D"/>
    <w:rsid w:val="0065009D"/>
    <w:rsid w:val="00650929"/>
    <w:rsid w:val="00651851"/>
    <w:rsid w:val="00652599"/>
    <w:rsid w:val="00657757"/>
    <w:rsid w:val="006611BB"/>
    <w:rsid w:val="006615A5"/>
    <w:rsid w:val="00661854"/>
    <w:rsid w:val="00661992"/>
    <w:rsid w:val="00661F5C"/>
    <w:rsid w:val="0066551F"/>
    <w:rsid w:val="00666E74"/>
    <w:rsid w:val="006676EC"/>
    <w:rsid w:val="006745FF"/>
    <w:rsid w:val="00674D80"/>
    <w:rsid w:val="00674EDF"/>
    <w:rsid w:val="00676F79"/>
    <w:rsid w:val="0067709C"/>
    <w:rsid w:val="006773F8"/>
    <w:rsid w:val="006779EC"/>
    <w:rsid w:val="0068003F"/>
    <w:rsid w:val="0068136D"/>
    <w:rsid w:val="00682BAC"/>
    <w:rsid w:val="00685B60"/>
    <w:rsid w:val="00690C36"/>
    <w:rsid w:val="006913A5"/>
    <w:rsid w:val="00691D07"/>
    <w:rsid w:val="00694BD2"/>
    <w:rsid w:val="00694BEB"/>
    <w:rsid w:val="00694FB3"/>
    <w:rsid w:val="006950AD"/>
    <w:rsid w:val="006979A4"/>
    <w:rsid w:val="00697E72"/>
    <w:rsid w:val="006A0CE7"/>
    <w:rsid w:val="006A148E"/>
    <w:rsid w:val="006A2725"/>
    <w:rsid w:val="006A2EA5"/>
    <w:rsid w:val="006A3719"/>
    <w:rsid w:val="006A4CCC"/>
    <w:rsid w:val="006A5AC1"/>
    <w:rsid w:val="006A62BC"/>
    <w:rsid w:val="006A686E"/>
    <w:rsid w:val="006A7B2D"/>
    <w:rsid w:val="006A7CD9"/>
    <w:rsid w:val="006B14AD"/>
    <w:rsid w:val="006B1938"/>
    <w:rsid w:val="006B1FF8"/>
    <w:rsid w:val="006B243A"/>
    <w:rsid w:val="006B448D"/>
    <w:rsid w:val="006B7641"/>
    <w:rsid w:val="006B77C6"/>
    <w:rsid w:val="006C1C86"/>
    <w:rsid w:val="006C21DB"/>
    <w:rsid w:val="006C3E55"/>
    <w:rsid w:val="006C4010"/>
    <w:rsid w:val="006C53BA"/>
    <w:rsid w:val="006C5B2A"/>
    <w:rsid w:val="006C7042"/>
    <w:rsid w:val="006C7498"/>
    <w:rsid w:val="006D0053"/>
    <w:rsid w:val="006D0452"/>
    <w:rsid w:val="006D13D9"/>
    <w:rsid w:val="006D1EAF"/>
    <w:rsid w:val="006D22B2"/>
    <w:rsid w:val="006D28F6"/>
    <w:rsid w:val="006D470F"/>
    <w:rsid w:val="006D4C1A"/>
    <w:rsid w:val="006D51E0"/>
    <w:rsid w:val="006D5597"/>
    <w:rsid w:val="006D5DB1"/>
    <w:rsid w:val="006D6400"/>
    <w:rsid w:val="006E03BA"/>
    <w:rsid w:val="006E176A"/>
    <w:rsid w:val="006E235B"/>
    <w:rsid w:val="006E290B"/>
    <w:rsid w:val="006E2ADB"/>
    <w:rsid w:val="006E32D1"/>
    <w:rsid w:val="006E3AD2"/>
    <w:rsid w:val="006E5002"/>
    <w:rsid w:val="006E7048"/>
    <w:rsid w:val="006F0205"/>
    <w:rsid w:val="006F0819"/>
    <w:rsid w:val="006F2ADC"/>
    <w:rsid w:val="006F2B1E"/>
    <w:rsid w:val="006F2D68"/>
    <w:rsid w:val="006F5B1B"/>
    <w:rsid w:val="006F5B5A"/>
    <w:rsid w:val="006F6E33"/>
    <w:rsid w:val="00700189"/>
    <w:rsid w:val="00702FE0"/>
    <w:rsid w:val="00703D81"/>
    <w:rsid w:val="00704007"/>
    <w:rsid w:val="00704DBA"/>
    <w:rsid w:val="0070540E"/>
    <w:rsid w:val="007066D9"/>
    <w:rsid w:val="00706B26"/>
    <w:rsid w:val="00706E05"/>
    <w:rsid w:val="007110EF"/>
    <w:rsid w:val="0071198D"/>
    <w:rsid w:val="00713E1D"/>
    <w:rsid w:val="00713F93"/>
    <w:rsid w:val="007141E8"/>
    <w:rsid w:val="0071452C"/>
    <w:rsid w:val="0071728B"/>
    <w:rsid w:val="007203BA"/>
    <w:rsid w:val="0072126A"/>
    <w:rsid w:val="00721A56"/>
    <w:rsid w:val="00721E18"/>
    <w:rsid w:val="00723773"/>
    <w:rsid w:val="00723B96"/>
    <w:rsid w:val="007244D7"/>
    <w:rsid w:val="007244F0"/>
    <w:rsid w:val="00724B41"/>
    <w:rsid w:val="00724EB0"/>
    <w:rsid w:val="007260D0"/>
    <w:rsid w:val="007262A9"/>
    <w:rsid w:val="007262BA"/>
    <w:rsid w:val="0072680C"/>
    <w:rsid w:val="00732527"/>
    <w:rsid w:val="00735090"/>
    <w:rsid w:val="007352F9"/>
    <w:rsid w:val="00735E76"/>
    <w:rsid w:val="00740F47"/>
    <w:rsid w:val="007414A8"/>
    <w:rsid w:val="0074435A"/>
    <w:rsid w:val="00745C62"/>
    <w:rsid w:val="00745F93"/>
    <w:rsid w:val="00746B42"/>
    <w:rsid w:val="00746C3B"/>
    <w:rsid w:val="0074728C"/>
    <w:rsid w:val="00747B63"/>
    <w:rsid w:val="00751121"/>
    <w:rsid w:val="0075174E"/>
    <w:rsid w:val="007519E3"/>
    <w:rsid w:val="007524B7"/>
    <w:rsid w:val="0075289C"/>
    <w:rsid w:val="00755C7B"/>
    <w:rsid w:val="007570D1"/>
    <w:rsid w:val="00757DA7"/>
    <w:rsid w:val="00757F92"/>
    <w:rsid w:val="00760A83"/>
    <w:rsid w:val="007614EF"/>
    <w:rsid w:val="00762ADB"/>
    <w:rsid w:val="00762C02"/>
    <w:rsid w:val="00764CCE"/>
    <w:rsid w:val="00765111"/>
    <w:rsid w:val="0076537E"/>
    <w:rsid w:val="00765420"/>
    <w:rsid w:val="007667C9"/>
    <w:rsid w:val="00771C58"/>
    <w:rsid w:val="00773688"/>
    <w:rsid w:val="007747BD"/>
    <w:rsid w:val="00775D80"/>
    <w:rsid w:val="00777C93"/>
    <w:rsid w:val="00780364"/>
    <w:rsid w:val="0078256B"/>
    <w:rsid w:val="00782699"/>
    <w:rsid w:val="00783631"/>
    <w:rsid w:val="00783F51"/>
    <w:rsid w:val="007840D2"/>
    <w:rsid w:val="007864EC"/>
    <w:rsid w:val="007865FE"/>
    <w:rsid w:val="00786CC9"/>
    <w:rsid w:val="007872B8"/>
    <w:rsid w:val="00787D71"/>
    <w:rsid w:val="00790ABD"/>
    <w:rsid w:val="00791421"/>
    <w:rsid w:val="00791A9B"/>
    <w:rsid w:val="00792335"/>
    <w:rsid w:val="007933E5"/>
    <w:rsid w:val="0079406E"/>
    <w:rsid w:val="00797A1D"/>
    <w:rsid w:val="00797F5C"/>
    <w:rsid w:val="007A098F"/>
    <w:rsid w:val="007A1F3A"/>
    <w:rsid w:val="007A2275"/>
    <w:rsid w:val="007A40A5"/>
    <w:rsid w:val="007A4EFB"/>
    <w:rsid w:val="007A6E5E"/>
    <w:rsid w:val="007B08C9"/>
    <w:rsid w:val="007B185C"/>
    <w:rsid w:val="007B26E3"/>
    <w:rsid w:val="007B3C14"/>
    <w:rsid w:val="007B48C4"/>
    <w:rsid w:val="007B761E"/>
    <w:rsid w:val="007C096B"/>
    <w:rsid w:val="007C0B1F"/>
    <w:rsid w:val="007C165F"/>
    <w:rsid w:val="007C2116"/>
    <w:rsid w:val="007C39BE"/>
    <w:rsid w:val="007C3B46"/>
    <w:rsid w:val="007C5862"/>
    <w:rsid w:val="007C67B0"/>
    <w:rsid w:val="007C74ED"/>
    <w:rsid w:val="007C7A28"/>
    <w:rsid w:val="007C7D56"/>
    <w:rsid w:val="007D05D5"/>
    <w:rsid w:val="007D1C52"/>
    <w:rsid w:val="007D326D"/>
    <w:rsid w:val="007D4952"/>
    <w:rsid w:val="007D49FD"/>
    <w:rsid w:val="007D568F"/>
    <w:rsid w:val="007D5828"/>
    <w:rsid w:val="007D5CEF"/>
    <w:rsid w:val="007D6B7E"/>
    <w:rsid w:val="007E0EE5"/>
    <w:rsid w:val="007E1304"/>
    <w:rsid w:val="007E165A"/>
    <w:rsid w:val="007E1AD0"/>
    <w:rsid w:val="007E343C"/>
    <w:rsid w:val="007E36CC"/>
    <w:rsid w:val="007E6684"/>
    <w:rsid w:val="007E7B70"/>
    <w:rsid w:val="007F06EF"/>
    <w:rsid w:val="007F16A1"/>
    <w:rsid w:val="007F26A1"/>
    <w:rsid w:val="007F2F80"/>
    <w:rsid w:val="007F3A46"/>
    <w:rsid w:val="007F442B"/>
    <w:rsid w:val="007F4BD4"/>
    <w:rsid w:val="007F4EED"/>
    <w:rsid w:val="007F530F"/>
    <w:rsid w:val="007F5CD0"/>
    <w:rsid w:val="007F5ED8"/>
    <w:rsid w:val="007F6A0C"/>
    <w:rsid w:val="007F6DBA"/>
    <w:rsid w:val="007F707A"/>
    <w:rsid w:val="007F7562"/>
    <w:rsid w:val="007F7652"/>
    <w:rsid w:val="007F78A3"/>
    <w:rsid w:val="007F7913"/>
    <w:rsid w:val="008001BE"/>
    <w:rsid w:val="00801883"/>
    <w:rsid w:val="00801B4C"/>
    <w:rsid w:val="00802D73"/>
    <w:rsid w:val="008039F3"/>
    <w:rsid w:val="00804A7B"/>
    <w:rsid w:val="00804CDE"/>
    <w:rsid w:val="00804F1B"/>
    <w:rsid w:val="00806201"/>
    <w:rsid w:val="008064AB"/>
    <w:rsid w:val="00806823"/>
    <w:rsid w:val="00807D28"/>
    <w:rsid w:val="00810D70"/>
    <w:rsid w:val="00811320"/>
    <w:rsid w:val="00811446"/>
    <w:rsid w:val="0081231B"/>
    <w:rsid w:val="008124D0"/>
    <w:rsid w:val="008126A7"/>
    <w:rsid w:val="00813BA9"/>
    <w:rsid w:val="00814E09"/>
    <w:rsid w:val="00820DA9"/>
    <w:rsid w:val="00821526"/>
    <w:rsid w:val="00823012"/>
    <w:rsid w:val="008233F3"/>
    <w:rsid w:val="00823AF0"/>
    <w:rsid w:val="00824E26"/>
    <w:rsid w:val="00824F1E"/>
    <w:rsid w:val="0082613D"/>
    <w:rsid w:val="008263A9"/>
    <w:rsid w:val="008268E8"/>
    <w:rsid w:val="008275C7"/>
    <w:rsid w:val="00827A79"/>
    <w:rsid w:val="00827EA3"/>
    <w:rsid w:val="00830065"/>
    <w:rsid w:val="00830B84"/>
    <w:rsid w:val="00831195"/>
    <w:rsid w:val="00831714"/>
    <w:rsid w:val="00833CA8"/>
    <w:rsid w:val="00834DBE"/>
    <w:rsid w:val="00836BBB"/>
    <w:rsid w:val="00836BE4"/>
    <w:rsid w:val="00837D2E"/>
    <w:rsid w:val="00840298"/>
    <w:rsid w:val="0084112C"/>
    <w:rsid w:val="008422BB"/>
    <w:rsid w:val="008430CC"/>
    <w:rsid w:val="00843678"/>
    <w:rsid w:val="00843C83"/>
    <w:rsid w:val="00843CAF"/>
    <w:rsid w:val="0084425B"/>
    <w:rsid w:val="008446FC"/>
    <w:rsid w:val="00844FC7"/>
    <w:rsid w:val="00845F0C"/>
    <w:rsid w:val="00850DAE"/>
    <w:rsid w:val="00850E6F"/>
    <w:rsid w:val="00851DD2"/>
    <w:rsid w:val="00851E3B"/>
    <w:rsid w:val="008528A7"/>
    <w:rsid w:val="008534E8"/>
    <w:rsid w:val="00853D0B"/>
    <w:rsid w:val="00855867"/>
    <w:rsid w:val="00855E20"/>
    <w:rsid w:val="00855F77"/>
    <w:rsid w:val="008567F1"/>
    <w:rsid w:val="00856AED"/>
    <w:rsid w:val="00856DBE"/>
    <w:rsid w:val="00857FBC"/>
    <w:rsid w:val="00860581"/>
    <w:rsid w:val="0086117A"/>
    <w:rsid w:val="00861432"/>
    <w:rsid w:val="008614B9"/>
    <w:rsid w:val="00861A3E"/>
    <w:rsid w:val="008623A4"/>
    <w:rsid w:val="00862626"/>
    <w:rsid w:val="00862B28"/>
    <w:rsid w:val="008641BC"/>
    <w:rsid w:val="00864E5F"/>
    <w:rsid w:val="008673F8"/>
    <w:rsid w:val="00867DE6"/>
    <w:rsid w:val="00870BB2"/>
    <w:rsid w:val="00870C0A"/>
    <w:rsid w:val="008718D9"/>
    <w:rsid w:val="00872959"/>
    <w:rsid w:val="008741D2"/>
    <w:rsid w:val="00875487"/>
    <w:rsid w:val="00875AAD"/>
    <w:rsid w:val="00875BE3"/>
    <w:rsid w:val="00875E41"/>
    <w:rsid w:val="00875F26"/>
    <w:rsid w:val="00875F6A"/>
    <w:rsid w:val="00876BF3"/>
    <w:rsid w:val="00877464"/>
    <w:rsid w:val="00877A3E"/>
    <w:rsid w:val="00877B0C"/>
    <w:rsid w:val="00880309"/>
    <w:rsid w:val="00881C02"/>
    <w:rsid w:val="00881F44"/>
    <w:rsid w:val="0088333B"/>
    <w:rsid w:val="008833BF"/>
    <w:rsid w:val="0088656B"/>
    <w:rsid w:val="008877D4"/>
    <w:rsid w:val="00887A07"/>
    <w:rsid w:val="008914A0"/>
    <w:rsid w:val="00891691"/>
    <w:rsid w:val="00891F67"/>
    <w:rsid w:val="008927E2"/>
    <w:rsid w:val="008936D2"/>
    <w:rsid w:val="00893B6F"/>
    <w:rsid w:val="00894569"/>
    <w:rsid w:val="008959B6"/>
    <w:rsid w:val="008968D9"/>
    <w:rsid w:val="00897AE7"/>
    <w:rsid w:val="008A0027"/>
    <w:rsid w:val="008A0C5C"/>
    <w:rsid w:val="008A1072"/>
    <w:rsid w:val="008A1A32"/>
    <w:rsid w:val="008A1C28"/>
    <w:rsid w:val="008A209A"/>
    <w:rsid w:val="008A2A34"/>
    <w:rsid w:val="008A2F37"/>
    <w:rsid w:val="008A41CF"/>
    <w:rsid w:val="008A494F"/>
    <w:rsid w:val="008A4F7D"/>
    <w:rsid w:val="008A5431"/>
    <w:rsid w:val="008A5931"/>
    <w:rsid w:val="008A5AA9"/>
    <w:rsid w:val="008A6602"/>
    <w:rsid w:val="008A6923"/>
    <w:rsid w:val="008A79E9"/>
    <w:rsid w:val="008A7D5F"/>
    <w:rsid w:val="008B006F"/>
    <w:rsid w:val="008B108D"/>
    <w:rsid w:val="008B229A"/>
    <w:rsid w:val="008B2E3D"/>
    <w:rsid w:val="008B3253"/>
    <w:rsid w:val="008B32AE"/>
    <w:rsid w:val="008B3F16"/>
    <w:rsid w:val="008B45A8"/>
    <w:rsid w:val="008B4D4C"/>
    <w:rsid w:val="008B71D0"/>
    <w:rsid w:val="008B730E"/>
    <w:rsid w:val="008B731E"/>
    <w:rsid w:val="008C0899"/>
    <w:rsid w:val="008C212F"/>
    <w:rsid w:val="008C25F2"/>
    <w:rsid w:val="008C3AA7"/>
    <w:rsid w:val="008C443F"/>
    <w:rsid w:val="008C45D5"/>
    <w:rsid w:val="008C4F0D"/>
    <w:rsid w:val="008C74C3"/>
    <w:rsid w:val="008D1236"/>
    <w:rsid w:val="008D1C81"/>
    <w:rsid w:val="008D20F7"/>
    <w:rsid w:val="008D24BE"/>
    <w:rsid w:val="008D251A"/>
    <w:rsid w:val="008D2E55"/>
    <w:rsid w:val="008D39FF"/>
    <w:rsid w:val="008D49CB"/>
    <w:rsid w:val="008D5299"/>
    <w:rsid w:val="008D5898"/>
    <w:rsid w:val="008D589D"/>
    <w:rsid w:val="008D59A4"/>
    <w:rsid w:val="008D6148"/>
    <w:rsid w:val="008D76E6"/>
    <w:rsid w:val="008D7AB4"/>
    <w:rsid w:val="008E1995"/>
    <w:rsid w:val="008E3038"/>
    <w:rsid w:val="008E321B"/>
    <w:rsid w:val="008E3E37"/>
    <w:rsid w:val="008E5D7F"/>
    <w:rsid w:val="008E7ED5"/>
    <w:rsid w:val="008F25DF"/>
    <w:rsid w:val="008F284E"/>
    <w:rsid w:val="008F2953"/>
    <w:rsid w:val="008F2C8F"/>
    <w:rsid w:val="008F3126"/>
    <w:rsid w:val="008F3911"/>
    <w:rsid w:val="008F4A52"/>
    <w:rsid w:val="008F4A85"/>
    <w:rsid w:val="008F7370"/>
    <w:rsid w:val="008F770A"/>
    <w:rsid w:val="00900422"/>
    <w:rsid w:val="009011FB"/>
    <w:rsid w:val="009022C8"/>
    <w:rsid w:val="00902BB4"/>
    <w:rsid w:val="009030F8"/>
    <w:rsid w:val="009062D2"/>
    <w:rsid w:val="0090636C"/>
    <w:rsid w:val="00907065"/>
    <w:rsid w:val="009075E7"/>
    <w:rsid w:val="00910510"/>
    <w:rsid w:val="00910585"/>
    <w:rsid w:val="00911E93"/>
    <w:rsid w:val="00911E9D"/>
    <w:rsid w:val="0091216B"/>
    <w:rsid w:val="009123C4"/>
    <w:rsid w:val="009128FC"/>
    <w:rsid w:val="00913085"/>
    <w:rsid w:val="00913D94"/>
    <w:rsid w:val="00913DE9"/>
    <w:rsid w:val="00914CAC"/>
    <w:rsid w:val="00914D57"/>
    <w:rsid w:val="009158CB"/>
    <w:rsid w:val="00915E63"/>
    <w:rsid w:val="00916076"/>
    <w:rsid w:val="00916618"/>
    <w:rsid w:val="00917D93"/>
    <w:rsid w:val="00920056"/>
    <w:rsid w:val="009208A9"/>
    <w:rsid w:val="00920CBC"/>
    <w:rsid w:val="00921193"/>
    <w:rsid w:val="00921535"/>
    <w:rsid w:val="00921AF2"/>
    <w:rsid w:val="00921D24"/>
    <w:rsid w:val="00921E6B"/>
    <w:rsid w:val="00924ABC"/>
    <w:rsid w:val="00925125"/>
    <w:rsid w:val="00926053"/>
    <w:rsid w:val="009261CC"/>
    <w:rsid w:val="009266F9"/>
    <w:rsid w:val="009272CD"/>
    <w:rsid w:val="009273DD"/>
    <w:rsid w:val="00927821"/>
    <w:rsid w:val="00930FD9"/>
    <w:rsid w:val="00931332"/>
    <w:rsid w:val="009319D8"/>
    <w:rsid w:val="0093233F"/>
    <w:rsid w:val="00932587"/>
    <w:rsid w:val="00932BA8"/>
    <w:rsid w:val="009335A1"/>
    <w:rsid w:val="009336DC"/>
    <w:rsid w:val="00934176"/>
    <w:rsid w:val="0093446E"/>
    <w:rsid w:val="00934812"/>
    <w:rsid w:val="00934C93"/>
    <w:rsid w:val="00941FE4"/>
    <w:rsid w:val="0094279A"/>
    <w:rsid w:val="009427E5"/>
    <w:rsid w:val="009430D8"/>
    <w:rsid w:val="00943872"/>
    <w:rsid w:val="00943A1D"/>
    <w:rsid w:val="009446D4"/>
    <w:rsid w:val="00950DBD"/>
    <w:rsid w:val="0095126A"/>
    <w:rsid w:val="00951719"/>
    <w:rsid w:val="0095222A"/>
    <w:rsid w:val="00952717"/>
    <w:rsid w:val="00953168"/>
    <w:rsid w:val="0095332C"/>
    <w:rsid w:val="00953C19"/>
    <w:rsid w:val="00953CEF"/>
    <w:rsid w:val="00953E93"/>
    <w:rsid w:val="0095432C"/>
    <w:rsid w:val="009548C3"/>
    <w:rsid w:val="00954A4C"/>
    <w:rsid w:val="00954CB8"/>
    <w:rsid w:val="0095521E"/>
    <w:rsid w:val="0095547C"/>
    <w:rsid w:val="00955E79"/>
    <w:rsid w:val="00956CF0"/>
    <w:rsid w:val="00957844"/>
    <w:rsid w:val="00960F8C"/>
    <w:rsid w:val="0096179F"/>
    <w:rsid w:val="009624E6"/>
    <w:rsid w:val="00963DA5"/>
    <w:rsid w:val="00963FC8"/>
    <w:rsid w:val="009644A8"/>
    <w:rsid w:val="00965442"/>
    <w:rsid w:val="009659D0"/>
    <w:rsid w:val="00965E22"/>
    <w:rsid w:val="00965E83"/>
    <w:rsid w:val="0096624F"/>
    <w:rsid w:val="0096632A"/>
    <w:rsid w:val="00966E7C"/>
    <w:rsid w:val="00966F4C"/>
    <w:rsid w:val="0096786C"/>
    <w:rsid w:val="00967D93"/>
    <w:rsid w:val="0097161A"/>
    <w:rsid w:val="00971D32"/>
    <w:rsid w:val="0097237E"/>
    <w:rsid w:val="00972B4B"/>
    <w:rsid w:val="0097366C"/>
    <w:rsid w:val="00974492"/>
    <w:rsid w:val="00975553"/>
    <w:rsid w:val="00975E65"/>
    <w:rsid w:val="00976DB3"/>
    <w:rsid w:val="009770CE"/>
    <w:rsid w:val="0098090B"/>
    <w:rsid w:val="00981502"/>
    <w:rsid w:val="0098189D"/>
    <w:rsid w:val="00981F8A"/>
    <w:rsid w:val="00983D0F"/>
    <w:rsid w:val="00984280"/>
    <w:rsid w:val="009844A4"/>
    <w:rsid w:val="00984560"/>
    <w:rsid w:val="009847BF"/>
    <w:rsid w:val="00985789"/>
    <w:rsid w:val="00985848"/>
    <w:rsid w:val="00985AF9"/>
    <w:rsid w:val="00990254"/>
    <w:rsid w:val="0099034A"/>
    <w:rsid w:val="00992E3C"/>
    <w:rsid w:val="00993391"/>
    <w:rsid w:val="00993417"/>
    <w:rsid w:val="009940BE"/>
    <w:rsid w:val="00994B8A"/>
    <w:rsid w:val="00994BAE"/>
    <w:rsid w:val="00994D2F"/>
    <w:rsid w:val="00997A12"/>
    <w:rsid w:val="00997DDA"/>
    <w:rsid w:val="009A0DCA"/>
    <w:rsid w:val="009A1210"/>
    <w:rsid w:val="009A2F74"/>
    <w:rsid w:val="009A32EC"/>
    <w:rsid w:val="009A36A5"/>
    <w:rsid w:val="009A3B43"/>
    <w:rsid w:val="009A3C12"/>
    <w:rsid w:val="009A4CC4"/>
    <w:rsid w:val="009A54E0"/>
    <w:rsid w:val="009A741D"/>
    <w:rsid w:val="009A7738"/>
    <w:rsid w:val="009B0780"/>
    <w:rsid w:val="009B0EBD"/>
    <w:rsid w:val="009B0F91"/>
    <w:rsid w:val="009B12FF"/>
    <w:rsid w:val="009B2687"/>
    <w:rsid w:val="009B32A6"/>
    <w:rsid w:val="009B4E7A"/>
    <w:rsid w:val="009B5023"/>
    <w:rsid w:val="009B51AB"/>
    <w:rsid w:val="009B5AEA"/>
    <w:rsid w:val="009B6C4A"/>
    <w:rsid w:val="009B6DAA"/>
    <w:rsid w:val="009B75B4"/>
    <w:rsid w:val="009B7788"/>
    <w:rsid w:val="009B7860"/>
    <w:rsid w:val="009B7F87"/>
    <w:rsid w:val="009C06E2"/>
    <w:rsid w:val="009C0922"/>
    <w:rsid w:val="009C3FD6"/>
    <w:rsid w:val="009C43D1"/>
    <w:rsid w:val="009C521B"/>
    <w:rsid w:val="009C7191"/>
    <w:rsid w:val="009C7DAC"/>
    <w:rsid w:val="009D1018"/>
    <w:rsid w:val="009D131A"/>
    <w:rsid w:val="009D2A5C"/>
    <w:rsid w:val="009D4AC4"/>
    <w:rsid w:val="009D50FC"/>
    <w:rsid w:val="009D5DBA"/>
    <w:rsid w:val="009D645C"/>
    <w:rsid w:val="009D76D3"/>
    <w:rsid w:val="009D7888"/>
    <w:rsid w:val="009E000C"/>
    <w:rsid w:val="009E02DF"/>
    <w:rsid w:val="009E09E3"/>
    <w:rsid w:val="009E4ABC"/>
    <w:rsid w:val="009E50F8"/>
    <w:rsid w:val="009E52D8"/>
    <w:rsid w:val="009E5810"/>
    <w:rsid w:val="009E619F"/>
    <w:rsid w:val="009E71FE"/>
    <w:rsid w:val="009E799F"/>
    <w:rsid w:val="009E7F7F"/>
    <w:rsid w:val="009F0167"/>
    <w:rsid w:val="009F01F9"/>
    <w:rsid w:val="009F35F2"/>
    <w:rsid w:val="009F3B5B"/>
    <w:rsid w:val="009F3BB4"/>
    <w:rsid w:val="009F4429"/>
    <w:rsid w:val="009F65A0"/>
    <w:rsid w:val="009F724B"/>
    <w:rsid w:val="00A01607"/>
    <w:rsid w:val="00A01E60"/>
    <w:rsid w:val="00A0272A"/>
    <w:rsid w:val="00A03DD1"/>
    <w:rsid w:val="00A03E5D"/>
    <w:rsid w:val="00A044A2"/>
    <w:rsid w:val="00A04993"/>
    <w:rsid w:val="00A050B2"/>
    <w:rsid w:val="00A052F4"/>
    <w:rsid w:val="00A057A6"/>
    <w:rsid w:val="00A0735B"/>
    <w:rsid w:val="00A07409"/>
    <w:rsid w:val="00A07626"/>
    <w:rsid w:val="00A07C49"/>
    <w:rsid w:val="00A1051F"/>
    <w:rsid w:val="00A108C6"/>
    <w:rsid w:val="00A12EBF"/>
    <w:rsid w:val="00A14A67"/>
    <w:rsid w:val="00A14B6D"/>
    <w:rsid w:val="00A1557C"/>
    <w:rsid w:val="00A1694D"/>
    <w:rsid w:val="00A17150"/>
    <w:rsid w:val="00A178DD"/>
    <w:rsid w:val="00A202FC"/>
    <w:rsid w:val="00A21237"/>
    <w:rsid w:val="00A22188"/>
    <w:rsid w:val="00A221FD"/>
    <w:rsid w:val="00A22EBA"/>
    <w:rsid w:val="00A24355"/>
    <w:rsid w:val="00A265D7"/>
    <w:rsid w:val="00A27375"/>
    <w:rsid w:val="00A30923"/>
    <w:rsid w:val="00A30AF1"/>
    <w:rsid w:val="00A30C5A"/>
    <w:rsid w:val="00A31311"/>
    <w:rsid w:val="00A31784"/>
    <w:rsid w:val="00A33A99"/>
    <w:rsid w:val="00A35F06"/>
    <w:rsid w:val="00A36AEB"/>
    <w:rsid w:val="00A36B8C"/>
    <w:rsid w:val="00A37391"/>
    <w:rsid w:val="00A3767B"/>
    <w:rsid w:val="00A40004"/>
    <w:rsid w:val="00A40157"/>
    <w:rsid w:val="00A40BB0"/>
    <w:rsid w:val="00A41ED2"/>
    <w:rsid w:val="00A4282D"/>
    <w:rsid w:val="00A43D09"/>
    <w:rsid w:val="00A43D45"/>
    <w:rsid w:val="00A445DC"/>
    <w:rsid w:val="00A44A5D"/>
    <w:rsid w:val="00A46C73"/>
    <w:rsid w:val="00A47BB2"/>
    <w:rsid w:val="00A50EE9"/>
    <w:rsid w:val="00A51E69"/>
    <w:rsid w:val="00A51F9D"/>
    <w:rsid w:val="00A52642"/>
    <w:rsid w:val="00A52E68"/>
    <w:rsid w:val="00A55018"/>
    <w:rsid w:val="00A56BC2"/>
    <w:rsid w:val="00A6012E"/>
    <w:rsid w:val="00A61F18"/>
    <w:rsid w:val="00A62816"/>
    <w:rsid w:val="00A63116"/>
    <w:rsid w:val="00A63365"/>
    <w:rsid w:val="00A64067"/>
    <w:rsid w:val="00A641E9"/>
    <w:rsid w:val="00A65812"/>
    <w:rsid w:val="00A659A5"/>
    <w:rsid w:val="00A660A9"/>
    <w:rsid w:val="00A665C2"/>
    <w:rsid w:val="00A667CA"/>
    <w:rsid w:val="00A66E39"/>
    <w:rsid w:val="00A66EE8"/>
    <w:rsid w:val="00A66F9C"/>
    <w:rsid w:val="00A672F1"/>
    <w:rsid w:val="00A67D3E"/>
    <w:rsid w:val="00A702A0"/>
    <w:rsid w:val="00A70F93"/>
    <w:rsid w:val="00A71A58"/>
    <w:rsid w:val="00A721C1"/>
    <w:rsid w:val="00A7286A"/>
    <w:rsid w:val="00A729D3"/>
    <w:rsid w:val="00A73D40"/>
    <w:rsid w:val="00A741F0"/>
    <w:rsid w:val="00A75449"/>
    <w:rsid w:val="00A75578"/>
    <w:rsid w:val="00A75B02"/>
    <w:rsid w:val="00A77B8D"/>
    <w:rsid w:val="00A803B4"/>
    <w:rsid w:val="00A80E90"/>
    <w:rsid w:val="00A81C09"/>
    <w:rsid w:val="00A81FAE"/>
    <w:rsid w:val="00A858CD"/>
    <w:rsid w:val="00A86F10"/>
    <w:rsid w:val="00A87F45"/>
    <w:rsid w:val="00A9099C"/>
    <w:rsid w:val="00A90E9D"/>
    <w:rsid w:val="00A929EB"/>
    <w:rsid w:val="00A930C9"/>
    <w:rsid w:val="00A95FCF"/>
    <w:rsid w:val="00A97C5A"/>
    <w:rsid w:val="00AA1CC6"/>
    <w:rsid w:val="00AA2A9C"/>
    <w:rsid w:val="00AA3573"/>
    <w:rsid w:val="00AA3B49"/>
    <w:rsid w:val="00AA3F66"/>
    <w:rsid w:val="00AA672B"/>
    <w:rsid w:val="00AA6BC7"/>
    <w:rsid w:val="00AA7EAC"/>
    <w:rsid w:val="00AB0D30"/>
    <w:rsid w:val="00AB1A1E"/>
    <w:rsid w:val="00AB3191"/>
    <w:rsid w:val="00AB35FC"/>
    <w:rsid w:val="00AB4056"/>
    <w:rsid w:val="00AB581A"/>
    <w:rsid w:val="00AB5D76"/>
    <w:rsid w:val="00AB6717"/>
    <w:rsid w:val="00AC0726"/>
    <w:rsid w:val="00AC0786"/>
    <w:rsid w:val="00AC09C8"/>
    <w:rsid w:val="00AC34D2"/>
    <w:rsid w:val="00AC3E44"/>
    <w:rsid w:val="00AC4291"/>
    <w:rsid w:val="00AC4E6A"/>
    <w:rsid w:val="00AC5507"/>
    <w:rsid w:val="00AC5B7D"/>
    <w:rsid w:val="00AC6BDE"/>
    <w:rsid w:val="00AC7863"/>
    <w:rsid w:val="00AD0EA1"/>
    <w:rsid w:val="00AD190A"/>
    <w:rsid w:val="00AD1BB0"/>
    <w:rsid w:val="00AD2CB9"/>
    <w:rsid w:val="00AD323D"/>
    <w:rsid w:val="00AD46F0"/>
    <w:rsid w:val="00AD7F79"/>
    <w:rsid w:val="00AE3302"/>
    <w:rsid w:val="00AE33D5"/>
    <w:rsid w:val="00AE3B3B"/>
    <w:rsid w:val="00AE488A"/>
    <w:rsid w:val="00AE5E6D"/>
    <w:rsid w:val="00AE653E"/>
    <w:rsid w:val="00AF0320"/>
    <w:rsid w:val="00AF13B4"/>
    <w:rsid w:val="00AF1CB2"/>
    <w:rsid w:val="00AF2394"/>
    <w:rsid w:val="00AF6FB5"/>
    <w:rsid w:val="00AF70C1"/>
    <w:rsid w:val="00B00310"/>
    <w:rsid w:val="00B005A7"/>
    <w:rsid w:val="00B0180C"/>
    <w:rsid w:val="00B01AC4"/>
    <w:rsid w:val="00B01EB9"/>
    <w:rsid w:val="00B024A7"/>
    <w:rsid w:val="00B04E0A"/>
    <w:rsid w:val="00B04E28"/>
    <w:rsid w:val="00B0503B"/>
    <w:rsid w:val="00B056FE"/>
    <w:rsid w:val="00B06D4B"/>
    <w:rsid w:val="00B06DB8"/>
    <w:rsid w:val="00B07409"/>
    <w:rsid w:val="00B074EE"/>
    <w:rsid w:val="00B10387"/>
    <w:rsid w:val="00B1515B"/>
    <w:rsid w:val="00B1622B"/>
    <w:rsid w:val="00B200C3"/>
    <w:rsid w:val="00B208ED"/>
    <w:rsid w:val="00B232B5"/>
    <w:rsid w:val="00B2333A"/>
    <w:rsid w:val="00B23C50"/>
    <w:rsid w:val="00B261E8"/>
    <w:rsid w:val="00B2644C"/>
    <w:rsid w:val="00B270DD"/>
    <w:rsid w:val="00B30022"/>
    <w:rsid w:val="00B30CD5"/>
    <w:rsid w:val="00B368C6"/>
    <w:rsid w:val="00B36AD7"/>
    <w:rsid w:val="00B36DE4"/>
    <w:rsid w:val="00B40647"/>
    <w:rsid w:val="00B412B2"/>
    <w:rsid w:val="00B423D1"/>
    <w:rsid w:val="00B428AA"/>
    <w:rsid w:val="00B42F37"/>
    <w:rsid w:val="00B4326D"/>
    <w:rsid w:val="00B4395F"/>
    <w:rsid w:val="00B43986"/>
    <w:rsid w:val="00B462D2"/>
    <w:rsid w:val="00B477F9"/>
    <w:rsid w:val="00B51165"/>
    <w:rsid w:val="00B51192"/>
    <w:rsid w:val="00B51F9F"/>
    <w:rsid w:val="00B5216E"/>
    <w:rsid w:val="00B52F04"/>
    <w:rsid w:val="00B53223"/>
    <w:rsid w:val="00B53942"/>
    <w:rsid w:val="00B53B8D"/>
    <w:rsid w:val="00B54049"/>
    <w:rsid w:val="00B54136"/>
    <w:rsid w:val="00B562EB"/>
    <w:rsid w:val="00B566AB"/>
    <w:rsid w:val="00B56EA7"/>
    <w:rsid w:val="00B573E0"/>
    <w:rsid w:val="00B57A7F"/>
    <w:rsid w:val="00B57C0A"/>
    <w:rsid w:val="00B6262A"/>
    <w:rsid w:val="00B627FB"/>
    <w:rsid w:val="00B649CD"/>
    <w:rsid w:val="00B64CE7"/>
    <w:rsid w:val="00B67143"/>
    <w:rsid w:val="00B70AE8"/>
    <w:rsid w:val="00B7192A"/>
    <w:rsid w:val="00B71A6F"/>
    <w:rsid w:val="00B72716"/>
    <w:rsid w:val="00B73425"/>
    <w:rsid w:val="00B73928"/>
    <w:rsid w:val="00B73A56"/>
    <w:rsid w:val="00B748C9"/>
    <w:rsid w:val="00B756EA"/>
    <w:rsid w:val="00B75F2C"/>
    <w:rsid w:val="00B7608B"/>
    <w:rsid w:val="00B766E2"/>
    <w:rsid w:val="00B7696C"/>
    <w:rsid w:val="00B76E6C"/>
    <w:rsid w:val="00B77702"/>
    <w:rsid w:val="00B80410"/>
    <w:rsid w:val="00B80F8D"/>
    <w:rsid w:val="00B8275A"/>
    <w:rsid w:val="00B83CD3"/>
    <w:rsid w:val="00B857F6"/>
    <w:rsid w:val="00B85D36"/>
    <w:rsid w:val="00B87BE8"/>
    <w:rsid w:val="00B90440"/>
    <w:rsid w:val="00B90A08"/>
    <w:rsid w:val="00B91603"/>
    <w:rsid w:val="00B9193C"/>
    <w:rsid w:val="00B91D36"/>
    <w:rsid w:val="00B92655"/>
    <w:rsid w:val="00B92C35"/>
    <w:rsid w:val="00B93258"/>
    <w:rsid w:val="00B9345E"/>
    <w:rsid w:val="00B93E5E"/>
    <w:rsid w:val="00B9489D"/>
    <w:rsid w:val="00B95BC7"/>
    <w:rsid w:val="00B973DE"/>
    <w:rsid w:val="00BA018C"/>
    <w:rsid w:val="00BA1C99"/>
    <w:rsid w:val="00BA1E7E"/>
    <w:rsid w:val="00BA2A17"/>
    <w:rsid w:val="00BA2AB2"/>
    <w:rsid w:val="00BA2FB2"/>
    <w:rsid w:val="00BA3DB6"/>
    <w:rsid w:val="00BA46B2"/>
    <w:rsid w:val="00BA5831"/>
    <w:rsid w:val="00BA59F9"/>
    <w:rsid w:val="00BA5EB1"/>
    <w:rsid w:val="00BA6660"/>
    <w:rsid w:val="00BA6A03"/>
    <w:rsid w:val="00BA6E57"/>
    <w:rsid w:val="00BA6E8C"/>
    <w:rsid w:val="00BA7828"/>
    <w:rsid w:val="00BB15AE"/>
    <w:rsid w:val="00BC05FB"/>
    <w:rsid w:val="00BC201F"/>
    <w:rsid w:val="00BC22F6"/>
    <w:rsid w:val="00BC3862"/>
    <w:rsid w:val="00BC3EF0"/>
    <w:rsid w:val="00BC3F43"/>
    <w:rsid w:val="00BC447C"/>
    <w:rsid w:val="00BC46B1"/>
    <w:rsid w:val="00BC4C5C"/>
    <w:rsid w:val="00BC6CA4"/>
    <w:rsid w:val="00BC70E3"/>
    <w:rsid w:val="00BC76B3"/>
    <w:rsid w:val="00BD028B"/>
    <w:rsid w:val="00BD1681"/>
    <w:rsid w:val="00BD2051"/>
    <w:rsid w:val="00BD21A0"/>
    <w:rsid w:val="00BD24E5"/>
    <w:rsid w:val="00BD2A7B"/>
    <w:rsid w:val="00BD4057"/>
    <w:rsid w:val="00BD6C5C"/>
    <w:rsid w:val="00BE070F"/>
    <w:rsid w:val="00BE08F4"/>
    <w:rsid w:val="00BE099B"/>
    <w:rsid w:val="00BE36AA"/>
    <w:rsid w:val="00BE4554"/>
    <w:rsid w:val="00BE49C8"/>
    <w:rsid w:val="00BE4CE0"/>
    <w:rsid w:val="00BE5B96"/>
    <w:rsid w:val="00BE752A"/>
    <w:rsid w:val="00BE7ED9"/>
    <w:rsid w:val="00BF0901"/>
    <w:rsid w:val="00BF17E3"/>
    <w:rsid w:val="00BF1B4D"/>
    <w:rsid w:val="00BF2C56"/>
    <w:rsid w:val="00BF3B81"/>
    <w:rsid w:val="00BF6430"/>
    <w:rsid w:val="00BF7958"/>
    <w:rsid w:val="00C00C39"/>
    <w:rsid w:val="00C01F27"/>
    <w:rsid w:val="00C0214D"/>
    <w:rsid w:val="00C02E8C"/>
    <w:rsid w:val="00C036FE"/>
    <w:rsid w:val="00C03FA8"/>
    <w:rsid w:val="00C0426C"/>
    <w:rsid w:val="00C05801"/>
    <w:rsid w:val="00C063A2"/>
    <w:rsid w:val="00C06498"/>
    <w:rsid w:val="00C104C8"/>
    <w:rsid w:val="00C104D5"/>
    <w:rsid w:val="00C11DA7"/>
    <w:rsid w:val="00C11E52"/>
    <w:rsid w:val="00C11F79"/>
    <w:rsid w:val="00C1375B"/>
    <w:rsid w:val="00C14E89"/>
    <w:rsid w:val="00C15348"/>
    <w:rsid w:val="00C201C2"/>
    <w:rsid w:val="00C2134C"/>
    <w:rsid w:val="00C21703"/>
    <w:rsid w:val="00C23C36"/>
    <w:rsid w:val="00C24E92"/>
    <w:rsid w:val="00C25299"/>
    <w:rsid w:val="00C256F4"/>
    <w:rsid w:val="00C265C9"/>
    <w:rsid w:val="00C26C06"/>
    <w:rsid w:val="00C27433"/>
    <w:rsid w:val="00C27C44"/>
    <w:rsid w:val="00C3025E"/>
    <w:rsid w:val="00C3074C"/>
    <w:rsid w:val="00C30FE5"/>
    <w:rsid w:val="00C31647"/>
    <w:rsid w:val="00C32A70"/>
    <w:rsid w:val="00C33462"/>
    <w:rsid w:val="00C336C8"/>
    <w:rsid w:val="00C33C05"/>
    <w:rsid w:val="00C3582E"/>
    <w:rsid w:val="00C3797B"/>
    <w:rsid w:val="00C40963"/>
    <w:rsid w:val="00C40C58"/>
    <w:rsid w:val="00C41871"/>
    <w:rsid w:val="00C42EB7"/>
    <w:rsid w:val="00C440A4"/>
    <w:rsid w:val="00C45FE3"/>
    <w:rsid w:val="00C47499"/>
    <w:rsid w:val="00C4764B"/>
    <w:rsid w:val="00C47BB1"/>
    <w:rsid w:val="00C50308"/>
    <w:rsid w:val="00C503A8"/>
    <w:rsid w:val="00C51F0E"/>
    <w:rsid w:val="00C525B6"/>
    <w:rsid w:val="00C529D6"/>
    <w:rsid w:val="00C534D8"/>
    <w:rsid w:val="00C53AF8"/>
    <w:rsid w:val="00C53CF5"/>
    <w:rsid w:val="00C54276"/>
    <w:rsid w:val="00C54286"/>
    <w:rsid w:val="00C54352"/>
    <w:rsid w:val="00C54AC3"/>
    <w:rsid w:val="00C54D8A"/>
    <w:rsid w:val="00C55A5F"/>
    <w:rsid w:val="00C568CE"/>
    <w:rsid w:val="00C571D7"/>
    <w:rsid w:val="00C57BE9"/>
    <w:rsid w:val="00C60C2D"/>
    <w:rsid w:val="00C61381"/>
    <w:rsid w:val="00C6160E"/>
    <w:rsid w:val="00C617CE"/>
    <w:rsid w:val="00C622FE"/>
    <w:rsid w:val="00C626E2"/>
    <w:rsid w:val="00C64D56"/>
    <w:rsid w:val="00C65FB5"/>
    <w:rsid w:val="00C66162"/>
    <w:rsid w:val="00C6665C"/>
    <w:rsid w:val="00C6693B"/>
    <w:rsid w:val="00C70435"/>
    <w:rsid w:val="00C70FBF"/>
    <w:rsid w:val="00C71309"/>
    <w:rsid w:val="00C71F15"/>
    <w:rsid w:val="00C72027"/>
    <w:rsid w:val="00C7218B"/>
    <w:rsid w:val="00C73089"/>
    <w:rsid w:val="00C74BBE"/>
    <w:rsid w:val="00C74C0B"/>
    <w:rsid w:val="00C75960"/>
    <w:rsid w:val="00C76BA0"/>
    <w:rsid w:val="00C76DDD"/>
    <w:rsid w:val="00C77235"/>
    <w:rsid w:val="00C77E29"/>
    <w:rsid w:val="00C80578"/>
    <w:rsid w:val="00C80C43"/>
    <w:rsid w:val="00C81802"/>
    <w:rsid w:val="00C821A2"/>
    <w:rsid w:val="00C83003"/>
    <w:rsid w:val="00C8315E"/>
    <w:rsid w:val="00C83558"/>
    <w:rsid w:val="00C83A16"/>
    <w:rsid w:val="00C83D63"/>
    <w:rsid w:val="00C842B9"/>
    <w:rsid w:val="00C8653A"/>
    <w:rsid w:val="00C8660E"/>
    <w:rsid w:val="00C86C57"/>
    <w:rsid w:val="00C875BF"/>
    <w:rsid w:val="00C90F85"/>
    <w:rsid w:val="00C92E08"/>
    <w:rsid w:val="00C93243"/>
    <w:rsid w:val="00C939AC"/>
    <w:rsid w:val="00C94D54"/>
    <w:rsid w:val="00C95967"/>
    <w:rsid w:val="00C96D66"/>
    <w:rsid w:val="00C97E4B"/>
    <w:rsid w:val="00CA064A"/>
    <w:rsid w:val="00CA3918"/>
    <w:rsid w:val="00CA3AC2"/>
    <w:rsid w:val="00CA3C59"/>
    <w:rsid w:val="00CA4217"/>
    <w:rsid w:val="00CA507D"/>
    <w:rsid w:val="00CA6060"/>
    <w:rsid w:val="00CA75B5"/>
    <w:rsid w:val="00CB0122"/>
    <w:rsid w:val="00CB0150"/>
    <w:rsid w:val="00CB0ADE"/>
    <w:rsid w:val="00CB0B1D"/>
    <w:rsid w:val="00CB11C3"/>
    <w:rsid w:val="00CB3920"/>
    <w:rsid w:val="00CB3984"/>
    <w:rsid w:val="00CB45E3"/>
    <w:rsid w:val="00CB57A9"/>
    <w:rsid w:val="00CB5AC7"/>
    <w:rsid w:val="00CB6703"/>
    <w:rsid w:val="00CB77F7"/>
    <w:rsid w:val="00CC01AB"/>
    <w:rsid w:val="00CC02ED"/>
    <w:rsid w:val="00CC0BDE"/>
    <w:rsid w:val="00CC1360"/>
    <w:rsid w:val="00CC1B97"/>
    <w:rsid w:val="00CC26E5"/>
    <w:rsid w:val="00CC2772"/>
    <w:rsid w:val="00CC2DF6"/>
    <w:rsid w:val="00CC2F34"/>
    <w:rsid w:val="00CC4311"/>
    <w:rsid w:val="00CC4D8F"/>
    <w:rsid w:val="00CC4E72"/>
    <w:rsid w:val="00CC5DB6"/>
    <w:rsid w:val="00CC6162"/>
    <w:rsid w:val="00CD06F8"/>
    <w:rsid w:val="00CD18EF"/>
    <w:rsid w:val="00CD35E9"/>
    <w:rsid w:val="00CD3CBB"/>
    <w:rsid w:val="00CD3DCF"/>
    <w:rsid w:val="00CD59D0"/>
    <w:rsid w:val="00CD7072"/>
    <w:rsid w:val="00CD79A5"/>
    <w:rsid w:val="00CD7C63"/>
    <w:rsid w:val="00CE0681"/>
    <w:rsid w:val="00CE09BD"/>
    <w:rsid w:val="00CE0C26"/>
    <w:rsid w:val="00CE1781"/>
    <w:rsid w:val="00CE378E"/>
    <w:rsid w:val="00CE648E"/>
    <w:rsid w:val="00CE6F8E"/>
    <w:rsid w:val="00CF002C"/>
    <w:rsid w:val="00CF1F94"/>
    <w:rsid w:val="00CF287F"/>
    <w:rsid w:val="00CF291E"/>
    <w:rsid w:val="00CF2BD6"/>
    <w:rsid w:val="00CF3980"/>
    <w:rsid w:val="00CF496A"/>
    <w:rsid w:val="00CF4A60"/>
    <w:rsid w:val="00CF67B2"/>
    <w:rsid w:val="00CF7116"/>
    <w:rsid w:val="00D000AC"/>
    <w:rsid w:val="00D006D8"/>
    <w:rsid w:val="00D0076D"/>
    <w:rsid w:val="00D04EC0"/>
    <w:rsid w:val="00D0502F"/>
    <w:rsid w:val="00D0581E"/>
    <w:rsid w:val="00D05A6E"/>
    <w:rsid w:val="00D06824"/>
    <w:rsid w:val="00D06F1B"/>
    <w:rsid w:val="00D07524"/>
    <w:rsid w:val="00D076A4"/>
    <w:rsid w:val="00D1080D"/>
    <w:rsid w:val="00D12703"/>
    <w:rsid w:val="00D128AD"/>
    <w:rsid w:val="00D15824"/>
    <w:rsid w:val="00D1593E"/>
    <w:rsid w:val="00D160BE"/>
    <w:rsid w:val="00D16D29"/>
    <w:rsid w:val="00D16DC5"/>
    <w:rsid w:val="00D177C1"/>
    <w:rsid w:val="00D17F63"/>
    <w:rsid w:val="00D206EE"/>
    <w:rsid w:val="00D213E9"/>
    <w:rsid w:val="00D222EE"/>
    <w:rsid w:val="00D2244D"/>
    <w:rsid w:val="00D22A04"/>
    <w:rsid w:val="00D232DF"/>
    <w:rsid w:val="00D23A87"/>
    <w:rsid w:val="00D258ED"/>
    <w:rsid w:val="00D25C78"/>
    <w:rsid w:val="00D26AD2"/>
    <w:rsid w:val="00D26BA7"/>
    <w:rsid w:val="00D27391"/>
    <w:rsid w:val="00D27839"/>
    <w:rsid w:val="00D279FE"/>
    <w:rsid w:val="00D31EB0"/>
    <w:rsid w:val="00D346E7"/>
    <w:rsid w:val="00D34F25"/>
    <w:rsid w:val="00D37865"/>
    <w:rsid w:val="00D413D2"/>
    <w:rsid w:val="00D41462"/>
    <w:rsid w:val="00D41F4D"/>
    <w:rsid w:val="00D44A71"/>
    <w:rsid w:val="00D45041"/>
    <w:rsid w:val="00D45D4B"/>
    <w:rsid w:val="00D45DF2"/>
    <w:rsid w:val="00D46D88"/>
    <w:rsid w:val="00D4793E"/>
    <w:rsid w:val="00D50418"/>
    <w:rsid w:val="00D50E65"/>
    <w:rsid w:val="00D51207"/>
    <w:rsid w:val="00D526D2"/>
    <w:rsid w:val="00D52E63"/>
    <w:rsid w:val="00D54D08"/>
    <w:rsid w:val="00D5637F"/>
    <w:rsid w:val="00D568B0"/>
    <w:rsid w:val="00D57E7F"/>
    <w:rsid w:val="00D6087B"/>
    <w:rsid w:val="00D60D81"/>
    <w:rsid w:val="00D611E5"/>
    <w:rsid w:val="00D6138D"/>
    <w:rsid w:val="00D6263A"/>
    <w:rsid w:val="00D67122"/>
    <w:rsid w:val="00D70D40"/>
    <w:rsid w:val="00D70E6C"/>
    <w:rsid w:val="00D711E6"/>
    <w:rsid w:val="00D71848"/>
    <w:rsid w:val="00D72795"/>
    <w:rsid w:val="00D72825"/>
    <w:rsid w:val="00D7386A"/>
    <w:rsid w:val="00D739FB"/>
    <w:rsid w:val="00D75313"/>
    <w:rsid w:val="00D75B40"/>
    <w:rsid w:val="00D76335"/>
    <w:rsid w:val="00D76567"/>
    <w:rsid w:val="00D766A5"/>
    <w:rsid w:val="00D81354"/>
    <w:rsid w:val="00D820A5"/>
    <w:rsid w:val="00D82310"/>
    <w:rsid w:val="00D8343D"/>
    <w:rsid w:val="00D84981"/>
    <w:rsid w:val="00D85B2E"/>
    <w:rsid w:val="00D85C94"/>
    <w:rsid w:val="00D85F7B"/>
    <w:rsid w:val="00D866AE"/>
    <w:rsid w:val="00D87201"/>
    <w:rsid w:val="00D900C7"/>
    <w:rsid w:val="00D901F6"/>
    <w:rsid w:val="00D90758"/>
    <w:rsid w:val="00D9141E"/>
    <w:rsid w:val="00D914EE"/>
    <w:rsid w:val="00D91A03"/>
    <w:rsid w:val="00D932AE"/>
    <w:rsid w:val="00D93780"/>
    <w:rsid w:val="00D93F01"/>
    <w:rsid w:val="00D9551A"/>
    <w:rsid w:val="00D958DC"/>
    <w:rsid w:val="00D959D5"/>
    <w:rsid w:val="00D96242"/>
    <w:rsid w:val="00D9755F"/>
    <w:rsid w:val="00D97E1F"/>
    <w:rsid w:val="00DA0565"/>
    <w:rsid w:val="00DA0B46"/>
    <w:rsid w:val="00DA0C5D"/>
    <w:rsid w:val="00DA1FAB"/>
    <w:rsid w:val="00DA2156"/>
    <w:rsid w:val="00DA265C"/>
    <w:rsid w:val="00DA30DC"/>
    <w:rsid w:val="00DA3ABC"/>
    <w:rsid w:val="00DA60C8"/>
    <w:rsid w:val="00DA61F1"/>
    <w:rsid w:val="00DA6296"/>
    <w:rsid w:val="00DA7EAD"/>
    <w:rsid w:val="00DB053D"/>
    <w:rsid w:val="00DB0908"/>
    <w:rsid w:val="00DB102D"/>
    <w:rsid w:val="00DB1BC3"/>
    <w:rsid w:val="00DB2105"/>
    <w:rsid w:val="00DB2916"/>
    <w:rsid w:val="00DB29EC"/>
    <w:rsid w:val="00DB2B75"/>
    <w:rsid w:val="00DB3344"/>
    <w:rsid w:val="00DB37E3"/>
    <w:rsid w:val="00DB41A4"/>
    <w:rsid w:val="00DB4771"/>
    <w:rsid w:val="00DB4A75"/>
    <w:rsid w:val="00DB4B8E"/>
    <w:rsid w:val="00DB4D14"/>
    <w:rsid w:val="00DB4D92"/>
    <w:rsid w:val="00DB5BBF"/>
    <w:rsid w:val="00DB67E2"/>
    <w:rsid w:val="00DB6D9F"/>
    <w:rsid w:val="00DB7014"/>
    <w:rsid w:val="00DB7208"/>
    <w:rsid w:val="00DB7ABB"/>
    <w:rsid w:val="00DC2758"/>
    <w:rsid w:val="00DC2806"/>
    <w:rsid w:val="00DC3371"/>
    <w:rsid w:val="00DC3FF2"/>
    <w:rsid w:val="00DC4279"/>
    <w:rsid w:val="00DC44EB"/>
    <w:rsid w:val="00DC4F28"/>
    <w:rsid w:val="00DC4FD3"/>
    <w:rsid w:val="00DC55E1"/>
    <w:rsid w:val="00DC5E39"/>
    <w:rsid w:val="00DC612B"/>
    <w:rsid w:val="00DC75E4"/>
    <w:rsid w:val="00DC7606"/>
    <w:rsid w:val="00DC7A97"/>
    <w:rsid w:val="00DC7BD8"/>
    <w:rsid w:val="00DD0623"/>
    <w:rsid w:val="00DD1FBA"/>
    <w:rsid w:val="00DD21D2"/>
    <w:rsid w:val="00DD2BBF"/>
    <w:rsid w:val="00DD3185"/>
    <w:rsid w:val="00DD3485"/>
    <w:rsid w:val="00DD3BAB"/>
    <w:rsid w:val="00DD4562"/>
    <w:rsid w:val="00DD4EDA"/>
    <w:rsid w:val="00DD5684"/>
    <w:rsid w:val="00DD5714"/>
    <w:rsid w:val="00DD5C98"/>
    <w:rsid w:val="00DD692A"/>
    <w:rsid w:val="00DD6A93"/>
    <w:rsid w:val="00DD7297"/>
    <w:rsid w:val="00DD764E"/>
    <w:rsid w:val="00DE3E60"/>
    <w:rsid w:val="00DE50C0"/>
    <w:rsid w:val="00DE5AB5"/>
    <w:rsid w:val="00DE62B9"/>
    <w:rsid w:val="00DE7CFA"/>
    <w:rsid w:val="00DF0563"/>
    <w:rsid w:val="00DF1573"/>
    <w:rsid w:val="00DF203B"/>
    <w:rsid w:val="00DF34E7"/>
    <w:rsid w:val="00DF3737"/>
    <w:rsid w:val="00DF42E1"/>
    <w:rsid w:val="00DF49C1"/>
    <w:rsid w:val="00DF4B1E"/>
    <w:rsid w:val="00DF6235"/>
    <w:rsid w:val="00DF6BA7"/>
    <w:rsid w:val="00DF788C"/>
    <w:rsid w:val="00E000B8"/>
    <w:rsid w:val="00E0015D"/>
    <w:rsid w:val="00E018F1"/>
    <w:rsid w:val="00E01CE5"/>
    <w:rsid w:val="00E04617"/>
    <w:rsid w:val="00E051C6"/>
    <w:rsid w:val="00E06949"/>
    <w:rsid w:val="00E06FC3"/>
    <w:rsid w:val="00E07523"/>
    <w:rsid w:val="00E11695"/>
    <w:rsid w:val="00E11DA9"/>
    <w:rsid w:val="00E120C8"/>
    <w:rsid w:val="00E12E67"/>
    <w:rsid w:val="00E12E7F"/>
    <w:rsid w:val="00E1307E"/>
    <w:rsid w:val="00E14205"/>
    <w:rsid w:val="00E14418"/>
    <w:rsid w:val="00E15EA7"/>
    <w:rsid w:val="00E16B6A"/>
    <w:rsid w:val="00E17523"/>
    <w:rsid w:val="00E176EF"/>
    <w:rsid w:val="00E17E94"/>
    <w:rsid w:val="00E2058E"/>
    <w:rsid w:val="00E206BC"/>
    <w:rsid w:val="00E21F93"/>
    <w:rsid w:val="00E240EB"/>
    <w:rsid w:val="00E252DF"/>
    <w:rsid w:val="00E27727"/>
    <w:rsid w:val="00E278B9"/>
    <w:rsid w:val="00E2790C"/>
    <w:rsid w:val="00E30412"/>
    <w:rsid w:val="00E32158"/>
    <w:rsid w:val="00E32636"/>
    <w:rsid w:val="00E34272"/>
    <w:rsid w:val="00E34B90"/>
    <w:rsid w:val="00E35D1C"/>
    <w:rsid w:val="00E35D44"/>
    <w:rsid w:val="00E360E3"/>
    <w:rsid w:val="00E369F1"/>
    <w:rsid w:val="00E36CB8"/>
    <w:rsid w:val="00E36FEB"/>
    <w:rsid w:val="00E37377"/>
    <w:rsid w:val="00E40A0F"/>
    <w:rsid w:val="00E40FB0"/>
    <w:rsid w:val="00E4171A"/>
    <w:rsid w:val="00E42877"/>
    <w:rsid w:val="00E435C8"/>
    <w:rsid w:val="00E44D92"/>
    <w:rsid w:val="00E450EE"/>
    <w:rsid w:val="00E45F3E"/>
    <w:rsid w:val="00E46CCF"/>
    <w:rsid w:val="00E47F42"/>
    <w:rsid w:val="00E50692"/>
    <w:rsid w:val="00E50C9F"/>
    <w:rsid w:val="00E51457"/>
    <w:rsid w:val="00E52B9B"/>
    <w:rsid w:val="00E53A2A"/>
    <w:rsid w:val="00E5401C"/>
    <w:rsid w:val="00E559D2"/>
    <w:rsid w:val="00E571C4"/>
    <w:rsid w:val="00E573FD"/>
    <w:rsid w:val="00E606F3"/>
    <w:rsid w:val="00E60866"/>
    <w:rsid w:val="00E619FF"/>
    <w:rsid w:val="00E6298B"/>
    <w:rsid w:val="00E63FC1"/>
    <w:rsid w:val="00E645C4"/>
    <w:rsid w:val="00E65C5A"/>
    <w:rsid w:val="00E66853"/>
    <w:rsid w:val="00E678C8"/>
    <w:rsid w:val="00E70EF9"/>
    <w:rsid w:val="00E71643"/>
    <w:rsid w:val="00E71675"/>
    <w:rsid w:val="00E717AB"/>
    <w:rsid w:val="00E71BA4"/>
    <w:rsid w:val="00E71F1E"/>
    <w:rsid w:val="00E73167"/>
    <w:rsid w:val="00E76098"/>
    <w:rsid w:val="00E7749D"/>
    <w:rsid w:val="00E77993"/>
    <w:rsid w:val="00E80005"/>
    <w:rsid w:val="00E809B5"/>
    <w:rsid w:val="00E80ECA"/>
    <w:rsid w:val="00E80FDB"/>
    <w:rsid w:val="00E855B1"/>
    <w:rsid w:val="00E857BB"/>
    <w:rsid w:val="00E86DEA"/>
    <w:rsid w:val="00E87DF1"/>
    <w:rsid w:val="00E91927"/>
    <w:rsid w:val="00E91B99"/>
    <w:rsid w:val="00E93D67"/>
    <w:rsid w:val="00E93E1D"/>
    <w:rsid w:val="00E94B89"/>
    <w:rsid w:val="00E9561E"/>
    <w:rsid w:val="00E95A58"/>
    <w:rsid w:val="00EA0BDA"/>
    <w:rsid w:val="00EA0E8E"/>
    <w:rsid w:val="00EA1612"/>
    <w:rsid w:val="00EA2014"/>
    <w:rsid w:val="00EA2968"/>
    <w:rsid w:val="00EA2E2B"/>
    <w:rsid w:val="00EA3D2C"/>
    <w:rsid w:val="00EA4BFA"/>
    <w:rsid w:val="00EA55AE"/>
    <w:rsid w:val="00EA5627"/>
    <w:rsid w:val="00EA6328"/>
    <w:rsid w:val="00EA63A5"/>
    <w:rsid w:val="00EA7743"/>
    <w:rsid w:val="00EB0190"/>
    <w:rsid w:val="00EB25FB"/>
    <w:rsid w:val="00EB4220"/>
    <w:rsid w:val="00EB4A06"/>
    <w:rsid w:val="00EB5701"/>
    <w:rsid w:val="00EB6E41"/>
    <w:rsid w:val="00EB711E"/>
    <w:rsid w:val="00EB749D"/>
    <w:rsid w:val="00EC2204"/>
    <w:rsid w:val="00EC29E4"/>
    <w:rsid w:val="00EC2AD9"/>
    <w:rsid w:val="00EC4199"/>
    <w:rsid w:val="00EC5691"/>
    <w:rsid w:val="00EC621C"/>
    <w:rsid w:val="00EC6420"/>
    <w:rsid w:val="00EC67AE"/>
    <w:rsid w:val="00EC6839"/>
    <w:rsid w:val="00EC6EDC"/>
    <w:rsid w:val="00EC7A0F"/>
    <w:rsid w:val="00ED0B82"/>
    <w:rsid w:val="00ED0D86"/>
    <w:rsid w:val="00ED26A8"/>
    <w:rsid w:val="00ED2E20"/>
    <w:rsid w:val="00ED2E53"/>
    <w:rsid w:val="00ED523F"/>
    <w:rsid w:val="00ED587E"/>
    <w:rsid w:val="00ED59A1"/>
    <w:rsid w:val="00ED6AD2"/>
    <w:rsid w:val="00ED7546"/>
    <w:rsid w:val="00ED785C"/>
    <w:rsid w:val="00ED7EBA"/>
    <w:rsid w:val="00ED7F3A"/>
    <w:rsid w:val="00EE0353"/>
    <w:rsid w:val="00EE0B47"/>
    <w:rsid w:val="00EE2714"/>
    <w:rsid w:val="00EE284E"/>
    <w:rsid w:val="00EE2ED7"/>
    <w:rsid w:val="00EE4A3A"/>
    <w:rsid w:val="00EE5E4C"/>
    <w:rsid w:val="00EE6E60"/>
    <w:rsid w:val="00EE706F"/>
    <w:rsid w:val="00EE7D6E"/>
    <w:rsid w:val="00EF04A8"/>
    <w:rsid w:val="00EF0AC3"/>
    <w:rsid w:val="00EF0D34"/>
    <w:rsid w:val="00EF0D6A"/>
    <w:rsid w:val="00EF0DC1"/>
    <w:rsid w:val="00EF234B"/>
    <w:rsid w:val="00EF2401"/>
    <w:rsid w:val="00EF4D3E"/>
    <w:rsid w:val="00EF540F"/>
    <w:rsid w:val="00EF54BB"/>
    <w:rsid w:val="00EF5DAD"/>
    <w:rsid w:val="00EF725A"/>
    <w:rsid w:val="00EF7D19"/>
    <w:rsid w:val="00F0163E"/>
    <w:rsid w:val="00F02061"/>
    <w:rsid w:val="00F022D3"/>
    <w:rsid w:val="00F0246C"/>
    <w:rsid w:val="00F034F2"/>
    <w:rsid w:val="00F04280"/>
    <w:rsid w:val="00F0450D"/>
    <w:rsid w:val="00F05458"/>
    <w:rsid w:val="00F05461"/>
    <w:rsid w:val="00F0639E"/>
    <w:rsid w:val="00F07542"/>
    <w:rsid w:val="00F07670"/>
    <w:rsid w:val="00F07EA3"/>
    <w:rsid w:val="00F104BA"/>
    <w:rsid w:val="00F12B85"/>
    <w:rsid w:val="00F131F7"/>
    <w:rsid w:val="00F135AC"/>
    <w:rsid w:val="00F139F7"/>
    <w:rsid w:val="00F1457E"/>
    <w:rsid w:val="00F150E4"/>
    <w:rsid w:val="00F155C8"/>
    <w:rsid w:val="00F15CE6"/>
    <w:rsid w:val="00F1715C"/>
    <w:rsid w:val="00F17FB3"/>
    <w:rsid w:val="00F2050D"/>
    <w:rsid w:val="00F20F0E"/>
    <w:rsid w:val="00F20FFD"/>
    <w:rsid w:val="00F230F3"/>
    <w:rsid w:val="00F2424D"/>
    <w:rsid w:val="00F24721"/>
    <w:rsid w:val="00F24A0A"/>
    <w:rsid w:val="00F25EE1"/>
    <w:rsid w:val="00F2646A"/>
    <w:rsid w:val="00F34F4C"/>
    <w:rsid w:val="00F35013"/>
    <w:rsid w:val="00F35378"/>
    <w:rsid w:val="00F35527"/>
    <w:rsid w:val="00F357FC"/>
    <w:rsid w:val="00F36E34"/>
    <w:rsid w:val="00F40024"/>
    <w:rsid w:val="00F4124B"/>
    <w:rsid w:val="00F4264C"/>
    <w:rsid w:val="00F42E25"/>
    <w:rsid w:val="00F42F51"/>
    <w:rsid w:val="00F44D03"/>
    <w:rsid w:val="00F47E78"/>
    <w:rsid w:val="00F510B6"/>
    <w:rsid w:val="00F523A5"/>
    <w:rsid w:val="00F52BFC"/>
    <w:rsid w:val="00F542BE"/>
    <w:rsid w:val="00F54530"/>
    <w:rsid w:val="00F54537"/>
    <w:rsid w:val="00F54561"/>
    <w:rsid w:val="00F55174"/>
    <w:rsid w:val="00F55FE4"/>
    <w:rsid w:val="00F56C20"/>
    <w:rsid w:val="00F56ECF"/>
    <w:rsid w:val="00F575ED"/>
    <w:rsid w:val="00F576CD"/>
    <w:rsid w:val="00F57E89"/>
    <w:rsid w:val="00F6059C"/>
    <w:rsid w:val="00F60B96"/>
    <w:rsid w:val="00F60F78"/>
    <w:rsid w:val="00F6430A"/>
    <w:rsid w:val="00F6446F"/>
    <w:rsid w:val="00F645DA"/>
    <w:rsid w:val="00F65387"/>
    <w:rsid w:val="00F65633"/>
    <w:rsid w:val="00F66D9E"/>
    <w:rsid w:val="00F67D24"/>
    <w:rsid w:val="00F70192"/>
    <w:rsid w:val="00F7065C"/>
    <w:rsid w:val="00F70E69"/>
    <w:rsid w:val="00F71D78"/>
    <w:rsid w:val="00F729A9"/>
    <w:rsid w:val="00F72AEB"/>
    <w:rsid w:val="00F72EA1"/>
    <w:rsid w:val="00F730A8"/>
    <w:rsid w:val="00F7364E"/>
    <w:rsid w:val="00F8026E"/>
    <w:rsid w:val="00F808FE"/>
    <w:rsid w:val="00F81019"/>
    <w:rsid w:val="00F81619"/>
    <w:rsid w:val="00F83925"/>
    <w:rsid w:val="00F844BE"/>
    <w:rsid w:val="00F8492B"/>
    <w:rsid w:val="00F84B20"/>
    <w:rsid w:val="00F85A95"/>
    <w:rsid w:val="00F86410"/>
    <w:rsid w:val="00F90421"/>
    <w:rsid w:val="00F90A13"/>
    <w:rsid w:val="00F91FBF"/>
    <w:rsid w:val="00F9289A"/>
    <w:rsid w:val="00F92E69"/>
    <w:rsid w:val="00F93E85"/>
    <w:rsid w:val="00F958E0"/>
    <w:rsid w:val="00F95913"/>
    <w:rsid w:val="00F96BD9"/>
    <w:rsid w:val="00F96EEC"/>
    <w:rsid w:val="00F97D1D"/>
    <w:rsid w:val="00FA00CA"/>
    <w:rsid w:val="00FA17C8"/>
    <w:rsid w:val="00FA23FF"/>
    <w:rsid w:val="00FA25C2"/>
    <w:rsid w:val="00FA2628"/>
    <w:rsid w:val="00FA31A5"/>
    <w:rsid w:val="00FA5164"/>
    <w:rsid w:val="00FA57B6"/>
    <w:rsid w:val="00FA644E"/>
    <w:rsid w:val="00FA7F86"/>
    <w:rsid w:val="00FB06AC"/>
    <w:rsid w:val="00FB09BF"/>
    <w:rsid w:val="00FB1483"/>
    <w:rsid w:val="00FB17AD"/>
    <w:rsid w:val="00FB1C92"/>
    <w:rsid w:val="00FB1D57"/>
    <w:rsid w:val="00FB2CC7"/>
    <w:rsid w:val="00FB3FE6"/>
    <w:rsid w:val="00FB4DDC"/>
    <w:rsid w:val="00FB5013"/>
    <w:rsid w:val="00FB6663"/>
    <w:rsid w:val="00FB6FC0"/>
    <w:rsid w:val="00FB7513"/>
    <w:rsid w:val="00FC00D5"/>
    <w:rsid w:val="00FC1E77"/>
    <w:rsid w:val="00FC2D32"/>
    <w:rsid w:val="00FC51B3"/>
    <w:rsid w:val="00FC66D7"/>
    <w:rsid w:val="00FD0541"/>
    <w:rsid w:val="00FD1D8C"/>
    <w:rsid w:val="00FD23FF"/>
    <w:rsid w:val="00FD405F"/>
    <w:rsid w:val="00FD4641"/>
    <w:rsid w:val="00FD5C35"/>
    <w:rsid w:val="00FD6D5C"/>
    <w:rsid w:val="00FD7434"/>
    <w:rsid w:val="00FE0047"/>
    <w:rsid w:val="00FE0492"/>
    <w:rsid w:val="00FE058F"/>
    <w:rsid w:val="00FE127B"/>
    <w:rsid w:val="00FE35E5"/>
    <w:rsid w:val="00FE47F4"/>
    <w:rsid w:val="00FE4BE2"/>
    <w:rsid w:val="00FE4D92"/>
    <w:rsid w:val="00FE5FF8"/>
    <w:rsid w:val="00FE6245"/>
    <w:rsid w:val="00FE7AD7"/>
    <w:rsid w:val="00FF14BE"/>
    <w:rsid w:val="00FF21D8"/>
    <w:rsid w:val="00FF3A81"/>
    <w:rsid w:val="00FF6B4A"/>
    <w:rsid w:val="00FF73F1"/>
    <w:rsid w:val="00FF74A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18C53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9E6"/>
    <w:rPr>
      <w:sz w:val="24"/>
      <w:szCs w:val="24"/>
    </w:rPr>
  </w:style>
  <w:style w:type="paragraph" w:styleId="Heading1">
    <w:name w:val="heading 1"/>
    <w:basedOn w:val="Normal"/>
    <w:next w:val="Normal"/>
    <w:qFormat/>
    <w:rsid w:val="00310721"/>
    <w:pPr>
      <w:keepNext/>
      <w:numPr>
        <w:numId w:val="17"/>
      </w:numPr>
      <w:shd w:val="clear" w:color="auto" w:fill="F2F2F2"/>
      <w:tabs>
        <w:tab w:val="left" w:pos="567"/>
      </w:tabs>
      <w:spacing w:before="60" w:after="240" w:line="276" w:lineRule="auto"/>
      <w:outlineLvl w:val="0"/>
    </w:pPr>
    <w:rPr>
      <w:b/>
      <w:bCs/>
      <w:kern w:val="32"/>
    </w:rPr>
  </w:style>
  <w:style w:type="paragraph" w:styleId="Heading2">
    <w:name w:val="heading 2"/>
    <w:basedOn w:val="Normal"/>
    <w:next w:val="Normal"/>
    <w:qFormat/>
    <w:rsid w:val="00310721"/>
    <w:pPr>
      <w:keepNext/>
      <w:numPr>
        <w:ilvl w:val="1"/>
        <w:numId w:val="17"/>
      </w:numPr>
      <w:shd w:val="clear" w:color="auto" w:fill="F2F2F2" w:themeFill="background1" w:themeFillShade="F2"/>
      <w:spacing w:before="60" w:after="240"/>
      <w:outlineLvl w:val="1"/>
    </w:pPr>
    <w:rPr>
      <w:b/>
      <w:bCs/>
      <w:iCs/>
    </w:rPr>
  </w:style>
  <w:style w:type="paragraph" w:styleId="Heading3">
    <w:name w:val="heading 3"/>
    <w:basedOn w:val="Normal"/>
    <w:next w:val="Normal"/>
    <w:link w:val="Heading3Char"/>
    <w:qFormat/>
    <w:rsid w:val="003F51C5"/>
    <w:pPr>
      <w:keepNext/>
      <w:tabs>
        <w:tab w:val="left" w:pos="720"/>
      </w:tabs>
      <w:spacing w:before="60" w:after="240"/>
      <w:outlineLvl w:val="2"/>
    </w:pPr>
    <w:rPr>
      <w:rFonts w:cs="Arial"/>
      <w:b/>
      <w:bCs/>
      <w:sz w:val="22"/>
      <w:szCs w:val="26"/>
    </w:rPr>
  </w:style>
  <w:style w:type="paragraph" w:styleId="Heading4">
    <w:name w:val="heading 4"/>
    <w:basedOn w:val="Normal"/>
    <w:next w:val="Normal"/>
    <w:link w:val="Heading4Char"/>
    <w:semiHidden/>
    <w:unhideWhenUsed/>
    <w:qFormat/>
    <w:rsid w:val="00606251"/>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numPr>
        <w:ilvl w:val="5"/>
        <w:numId w:val="17"/>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numPr>
        <w:ilvl w:val="6"/>
        <w:numId w:val="17"/>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numPr>
        <w:ilvl w:val="7"/>
        <w:numId w:val="17"/>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numPr>
        <w:ilvl w:val="8"/>
        <w:numId w:val="17"/>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aliases w:val="titulo 2,Style 24,pie pddes"/>
    <w:basedOn w:val="DefaultParagraphFont"/>
    <w:uiPriority w:val="99"/>
    <w:semiHidden/>
    <w:qFormat/>
    <w:rsid w:val="00541B55"/>
    <w:rPr>
      <w:rFonts w:ascii="Times New Roman" w:hAnsi="Times New Roman"/>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qFormat/>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ind w:left="357" w:hanging="357"/>
    </w:pPr>
    <w:rPr>
      <w:b/>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DC75E4"/>
    <w:pPr>
      <w:tabs>
        <w:tab w:val="left" w:pos="1200"/>
        <w:tab w:val="right" w:leader="dot" w:pos="8789"/>
      </w:tabs>
      <w:spacing w:after="100"/>
      <w:ind w:left="709"/>
    </w:pPr>
    <w:rPr>
      <w:rFonts w:eastAsiaTheme="minorEastAsia"/>
      <w:noProof/>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3F51C5"/>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2"/>
      </w:numPr>
      <w:contextualSpacing/>
    </w:pPr>
  </w:style>
  <w:style w:type="paragraph" w:styleId="ListNumber2">
    <w:name w:val="List Number 2"/>
    <w:basedOn w:val="Normal"/>
    <w:rsid w:val="00606251"/>
    <w:pPr>
      <w:numPr>
        <w:numId w:val="3"/>
      </w:numPr>
      <w:contextualSpacing/>
    </w:pPr>
  </w:style>
  <w:style w:type="paragraph" w:styleId="ListNumber3">
    <w:name w:val="List Number 3"/>
    <w:basedOn w:val="Normal"/>
    <w:rsid w:val="00606251"/>
    <w:pPr>
      <w:numPr>
        <w:numId w:val="4"/>
      </w:numPr>
      <w:contextualSpacing/>
    </w:pPr>
  </w:style>
  <w:style w:type="paragraph" w:styleId="ListNumber4">
    <w:name w:val="List Number 4"/>
    <w:basedOn w:val="Normal"/>
    <w:rsid w:val="00606251"/>
    <w:pPr>
      <w:numPr>
        <w:numId w:val="5"/>
      </w:numPr>
      <w:contextualSpacing/>
    </w:pPr>
  </w:style>
  <w:style w:type="paragraph" w:styleId="ListNumber5">
    <w:name w:val="List Number 5"/>
    <w:basedOn w:val="Normal"/>
    <w:rsid w:val="00606251"/>
    <w:pPr>
      <w:numPr>
        <w:numId w:val="6"/>
      </w:numPr>
      <w:contextualSpacing/>
    </w:pPr>
  </w:style>
  <w:style w:type="paragraph" w:styleId="ListBullet">
    <w:name w:val="List Bullet"/>
    <w:basedOn w:val="Normal"/>
    <w:rsid w:val="00606251"/>
    <w:pPr>
      <w:numPr>
        <w:numId w:val="7"/>
      </w:numPr>
      <w:contextualSpacing/>
    </w:pPr>
  </w:style>
  <w:style w:type="paragraph" w:styleId="ListBullet2">
    <w:name w:val="List Bullet 2"/>
    <w:basedOn w:val="Normal"/>
    <w:rsid w:val="00606251"/>
    <w:pPr>
      <w:numPr>
        <w:numId w:val="8"/>
      </w:numPr>
      <w:contextualSpacing/>
    </w:pPr>
  </w:style>
  <w:style w:type="paragraph" w:styleId="ListBullet3">
    <w:name w:val="List Bullet 3"/>
    <w:basedOn w:val="Normal"/>
    <w:rsid w:val="00606251"/>
    <w:pPr>
      <w:numPr>
        <w:numId w:val="9"/>
      </w:numPr>
      <w:contextualSpacing/>
    </w:pPr>
  </w:style>
  <w:style w:type="paragraph" w:styleId="ListBullet4">
    <w:name w:val="List Bullet 4"/>
    <w:basedOn w:val="Normal"/>
    <w:rsid w:val="00606251"/>
    <w:pPr>
      <w:numPr>
        <w:numId w:val="10"/>
      </w:numPr>
      <w:contextualSpacing/>
    </w:pPr>
  </w:style>
  <w:style w:type="paragraph" w:styleId="ListBullet5">
    <w:name w:val="List Bullet 5"/>
    <w:basedOn w:val="Normal"/>
    <w:rsid w:val="00606251"/>
    <w:pPr>
      <w:numPr>
        <w:numId w:val="11"/>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hAnsi="Calibri"/>
      <w:b/>
      <w:bCs/>
      <w:sz w:val="28"/>
      <w:szCs w:val="28"/>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4"/>
      <w:szCs w:val="24"/>
    </w:rPr>
  </w:style>
  <w:style w:type="character" w:customStyle="1" w:styleId="Heading7Char">
    <w:name w:val="Heading 7 Char"/>
    <w:basedOn w:val="DefaultParagraphFont"/>
    <w:link w:val="Heading7"/>
    <w:semiHidden/>
    <w:rsid w:val="00606251"/>
    <w:rPr>
      <w:rFonts w:ascii="Calibri" w:hAnsi="Calibri"/>
      <w:sz w:val="24"/>
      <w:szCs w:val="24"/>
    </w:rPr>
  </w:style>
  <w:style w:type="character" w:customStyle="1" w:styleId="Heading8Char">
    <w:name w:val="Heading 8 Char"/>
    <w:basedOn w:val="DefaultParagraphFont"/>
    <w:link w:val="Heading8"/>
    <w:semiHidden/>
    <w:rsid w:val="00606251"/>
    <w:rPr>
      <w:rFonts w:ascii="Calibri" w:hAnsi="Calibri"/>
      <w:i/>
      <w:iCs/>
      <w:sz w:val="24"/>
      <w:szCs w:val="24"/>
    </w:rPr>
  </w:style>
  <w:style w:type="character" w:customStyle="1" w:styleId="Heading9Char">
    <w:name w:val="Heading 9 Char"/>
    <w:basedOn w:val="DefaultParagraphFont"/>
    <w:link w:val="Heading9"/>
    <w:semiHidden/>
    <w:rsid w:val="00606251"/>
    <w:rPr>
      <w:rFonts w:ascii="Cambria" w:hAnsi="Cambria"/>
      <w:sz w:val="24"/>
      <w:szCs w:val="24"/>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3"/>
      </w:numPr>
      <w:tabs>
        <w:tab w:val="left" w:pos="1440"/>
      </w:tabs>
      <w:spacing w:after="240"/>
      <w:jc w:val="center"/>
    </w:pPr>
    <w:rPr>
      <w:b/>
      <w:smallCaps/>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rsid w:val="00C03FA8"/>
    <w:pPr>
      <w:numPr>
        <w:ilvl w:val="1"/>
        <w:numId w:val="13"/>
      </w:numPr>
      <w:spacing w:before="120"/>
      <w:outlineLvl w:val="1"/>
    </w:pPr>
    <w:rPr>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Cs w:val="20"/>
      <w:lang w:eastAsia="en-US"/>
    </w:rPr>
  </w:style>
  <w:style w:type="paragraph" w:customStyle="1" w:styleId="subpar">
    <w:name w:val="subpar"/>
    <w:basedOn w:val="BodyTextIndent3"/>
    <w:rsid w:val="00C03FA8"/>
    <w:pPr>
      <w:numPr>
        <w:ilvl w:val="2"/>
        <w:numId w:val="13"/>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paragraph" w:styleId="Revision">
    <w:name w:val="Revision"/>
    <w:hidden/>
    <w:uiPriority w:val="99"/>
    <w:semiHidden/>
    <w:rsid w:val="002B3067"/>
    <w:rPr>
      <w:sz w:val="22"/>
      <w:szCs w:val="22"/>
    </w:rPr>
  </w:style>
  <w:style w:type="character" w:customStyle="1" w:styleId="FooterChar">
    <w:name w:val="Footer Char"/>
    <w:link w:val="Footer"/>
    <w:uiPriority w:val="99"/>
    <w:rsid w:val="00BC22F6"/>
    <w:rPr>
      <w:sz w:val="22"/>
      <w:szCs w:val="22"/>
    </w:rPr>
  </w:style>
  <w:style w:type="character" w:customStyle="1" w:styleId="ParagraphChar">
    <w:name w:val="Paragraph Char"/>
    <w:link w:val="Paragraph"/>
    <w:rsid w:val="00FF21D8"/>
    <w:rPr>
      <w:sz w:val="24"/>
      <w:lang w:eastAsia="en-US"/>
    </w:rPr>
  </w:style>
  <w:style w:type="character" w:customStyle="1" w:styleId="FootnoteTextChar">
    <w:name w:val="Footnote Text Char"/>
    <w:basedOn w:val="DefaultParagraphFont"/>
    <w:link w:val="FootnoteText"/>
    <w:uiPriority w:val="99"/>
    <w:semiHidden/>
    <w:rsid w:val="00FF21D8"/>
  </w:style>
  <w:style w:type="paragraph" w:customStyle="1" w:styleId="SecHeading">
    <w:name w:val="SecHeading"/>
    <w:basedOn w:val="Normal"/>
    <w:next w:val="Paragraph"/>
    <w:rsid w:val="0027073B"/>
    <w:pPr>
      <w:keepNext/>
      <w:tabs>
        <w:tab w:val="num" w:pos="1584"/>
      </w:tabs>
      <w:spacing w:before="120" w:after="120"/>
      <w:ind w:left="1584" w:hanging="288"/>
    </w:pPr>
    <w:rPr>
      <w:b/>
      <w:bCs/>
      <w:lang w:val="es-ES_tradnl"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note text" w:uiPriority="99"/>
    <w:lsdException w:name="footer" w:uiPriority="99"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79E6"/>
    <w:rPr>
      <w:sz w:val="24"/>
      <w:szCs w:val="24"/>
    </w:rPr>
  </w:style>
  <w:style w:type="paragraph" w:styleId="Heading1">
    <w:name w:val="heading 1"/>
    <w:basedOn w:val="Normal"/>
    <w:next w:val="Normal"/>
    <w:qFormat/>
    <w:rsid w:val="00310721"/>
    <w:pPr>
      <w:keepNext/>
      <w:numPr>
        <w:numId w:val="17"/>
      </w:numPr>
      <w:shd w:val="clear" w:color="auto" w:fill="F2F2F2"/>
      <w:tabs>
        <w:tab w:val="left" w:pos="567"/>
      </w:tabs>
      <w:spacing w:before="60" w:after="240" w:line="276" w:lineRule="auto"/>
      <w:outlineLvl w:val="0"/>
    </w:pPr>
    <w:rPr>
      <w:b/>
      <w:bCs/>
      <w:kern w:val="32"/>
    </w:rPr>
  </w:style>
  <w:style w:type="paragraph" w:styleId="Heading2">
    <w:name w:val="heading 2"/>
    <w:basedOn w:val="Normal"/>
    <w:next w:val="Normal"/>
    <w:qFormat/>
    <w:rsid w:val="00310721"/>
    <w:pPr>
      <w:keepNext/>
      <w:numPr>
        <w:ilvl w:val="1"/>
        <w:numId w:val="17"/>
      </w:numPr>
      <w:shd w:val="clear" w:color="auto" w:fill="F2F2F2" w:themeFill="background1" w:themeFillShade="F2"/>
      <w:spacing w:before="60" w:after="240"/>
      <w:outlineLvl w:val="1"/>
    </w:pPr>
    <w:rPr>
      <w:b/>
      <w:bCs/>
      <w:iCs/>
    </w:rPr>
  </w:style>
  <w:style w:type="paragraph" w:styleId="Heading3">
    <w:name w:val="heading 3"/>
    <w:basedOn w:val="Normal"/>
    <w:next w:val="Normal"/>
    <w:link w:val="Heading3Char"/>
    <w:qFormat/>
    <w:rsid w:val="003F51C5"/>
    <w:pPr>
      <w:keepNext/>
      <w:tabs>
        <w:tab w:val="left" w:pos="720"/>
      </w:tabs>
      <w:spacing w:before="60" w:after="240"/>
      <w:outlineLvl w:val="2"/>
    </w:pPr>
    <w:rPr>
      <w:rFonts w:cs="Arial"/>
      <w:b/>
      <w:bCs/>
      <w:sz w:val="22"/>
      <w:szCs w:val="26"/>
    </w:rPr>
  </w:style>
  <w:style w:type="paragraph" w:styleId="Heading4">
    <w:name w:val="heading 4"/>
    <w:basedOn w:val="Normal"/>
    <w:next w:val="Normal"/>
    <w:link w:val="Heading4Char"/>
    <w:semiHidden/>
    <w:unhideWhenUsed/>
    <w:qFormat/>
    <w:rsid w:val="00606251"/>
    <w:pPr>
      <w:keepNext/>
      <w:numPr>
        <w:ilvl w:val="3"/>
        <w:numId w:val="17"/>
      </w:numPr>
      <w:spacing w:before="240" w:after="60"/>
      <w:outlineLvl w:val="3"/>
    </w:pPr>
    <w:rPr>
      <w:rFonts w:ascii="Calibri" w:hAnsi="Calibri"/>
      <w:b/>
      <w:bCs/>
      <w:sz w:val="28"/>
      <w:szCs w:val="28"/>
    </w:rPr>
  </w:style>
  <w:style w:type="paragraph" w:styleId="Heading5">
    <w:name w:val="heading 5"/>
    <w:basedOn w:val="Normal"/>
    <w:next w:val="Normal"/>
    <w:link w:val="Heading5Char"/>
    <w:semiHidden/>
    <w:unhideWhenUsed/>
    <w:qFormat/>
    <w:rsid w:val="00606251"/>
    <w:pPr>
      <w:numPr>
        <w:ilvl w:val="4"/>
        <w:numId w:val="17"/>
      </w:num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606251"/>
    <w:pPr>
      <w:numPr>
        <w:ilvl w:val="5"/>
        <w:numId w:val="17"/>
      </w:numPr>
      <w:spacing w:before="240" w:after="60"/>
      <w:outlineLvl w:val="5"/>
    </w:pPr>
    <w:rPr>
      <w:rFonts w:ascii="Calibri" w:hAnsi="Calibri"/>
      <w:b/>
      <w:bCs/>
    </w:rPr>
  </w:style>
  <w:style w:type="paragraph" w:styleId="Heading7">
    <w:name w:val="heading 7"/>
    <w:basedOn w:val="Normal"/>
    <w:next w:val="Normal"/>
    <w:link w:val="Heading7Char"/>
    <w:semiHidden/>
    <w:unhideWhenUsed/>
    <w:qFormat/>
    <w:rsid w:val="00606251"/>
    <w:pPr>
      <w:numPr>
        <w:ilvl w:val="6"/>
        <w:numId w:val="17"/>
      </w:numPr>
      <w:spacing w:before="240" w:after="60"/>
      <w:outlineLvl w:val="6"/>
    </w:pPr>
    <w:rPr>
      <w:rFonts w:ascii="Calibri" w:hAnsi="Calibri"/>
    </w:rPr>
  </w:style>
  <w:style w:type="paragraph" w:styleId="Heading8">
    <w:name w:val="heading 8"/>
    <w:basedOn w:val="Normal"/>
    <w:next w:val="Normal"/>
    <w:link w:val="Heading8Char"/>
    <w:semiHidden/>
    <w:unhideWhenUsed/>
    <w:qFormat/>
    <w:rsid w:val="00606251"/>
    <w:pPr>
      <w:numPr>
        <w:ilvl w:val="7"/>
        <w:numId w:val="17"/>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606251"/>
    <w:pPr>
      <w:numPr>
        <w:ilvl w:val="8"/>
        <w:numId w:val="17"/>
      </w:numPr>
      <w:spacing w:before="240" w:after="60"/>
      <w:outlineLvl w:val="8"/>
    </w:pPr>
    <w:rPr>
      <w:rFonts w:ascii="Cambria"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rsid w:val="007262BA"/>
    <w:rPr>
      <w:sz w:val="20"/>
      <w:szCs w:val="20"/>
    </w:rPr>
  </w:style>
  <w:style w:type="character" w:styleId="FootnoteReference">
    <w:name w:val="footnote reference"/>
    <w:aliases w:val="titulo 2,Style 24,pie pddes"/>
    <w:basedOn w:val="DefaultParagraphFont"/>
    <w:uiPriority w:val="99"/>
    <w:semiHidden/>
    <w:qFormat/>
    <w:rsid w:val="00541B55"/>
    <w:rPr>
      <w:rFonts w:ascii="Times New Roman" w:hAnsi="Times New Roman"/>
      <w:sz w:val="20"/>
      <w:vertAlign w:val="superscript"/>
    </w:rPr>
  </w:style>
  <w:style w:type="paragraph" w:styleId="Header">
    <w:name w:val="header"/>
    <w:basedOn w:val="Normal"/>
    <w:rsid w:val="000B28CA"/>
    <w:pPr>
      <w:tabs>
        <w:tab w:val="center" w:pos="4252"/>
        <w:tab w:val="right" w:pos="8504"/>
      </w:tabs>
    </w:pPr>
  </w:style>
  <w:style w:type="paragraph" w:styleId="Footer">
    <w:name w:val="footer"/>
    <w:basedOn w:val="Normal"/>
    <w:link w:val="FooterChar"/>
    <w:uiPriority w:val="99"/>
    <w:qFormat/>
    <w:rsid w:val="000B28CA"/>
    <w:pPr>
      <w:tabs>
        <w:tab w:val="center" w:pos="4252"/>
        <w:tab w:val="right" w:pos="8504"/>
      </w:tabs>
    </w:pPr>
  </w:style>
  <w:style w:type="table" w:styleId="TableGrid">
    <w:name w:val="Table Grid"/>
    <w:basedOn w:val="TableNormal"/>
    <w:uiPriority w:val="59"/>
    <w:rsid w:val="000B28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0B28CA"/>
  </w:style>
  <w:style w:type="paragraph" w:customStyle="1" w:styleId="Ttular">
    <w:name w:val="Títular"/>
    <w:basedOn w:val="Heading1"/>
    <w:rsid w:val="00BA59F9"/>
    <w:pPr>
      <w:numPr>
        <w:numId w:val="0"/>
      </w:numPr>
    </w:pPr>
    <w:rPr>
      <w:sz w:val="20"/>
    </w:rPr>
  </w:style>
  <w:style w:type="paragraph" w:styleId="ListParagraph">
    <w:name w:val="List Paragraph"/>
    <w:basedOn w:val="Normal"/>
    <w:uiPriority w:val="34"/>
    <w:qFormat/>
    <w:rsid w:val="00910585"/>
    <w:pPr>
      <w:ind w:left="708"/>
    </w:pPr>
  </w:style>
  <w:style w:type="paragraph" w:styleId="Title">
    <w:name w:val="Title"/>
    <w:basedOn w:val="Normal"/>
    <w:next w:val="Normal"/>
    <w:link w:val="TitleChar"/>
    <w:qFormat/>
    <w:rsid w:val="00B4326D"/>
    <w:pPr>
      <w:spacing w:after="360"/>
      <w:outlineLvl w:val="0"/>
    </w:pPr>
    <w:rPr>
      <w:rFonts w:ascii="Verdana" w:hAnsi="Verdana"/>
      <w:b/>
      <w:bCs/>
      <w:kern w:val="28"/>
      <w:sz w:val="20"/>
      <w:szCs w:val="20"/>
    </w:rPr>
  </w:style>
  <w:style w:type="character" w:customStyle="1" w:styleId="TitleChar">
    <w:name w:val="Title Char"/>
    <w:basedOn w:val="DefaultParagraphFont"/>
    <w:link w:val="Title"/>
    <w:rsid w:val="00B4326D"/>
    <w:rPr>
      <w:rFonts w:ascii="Verdana" w:eastAsia="Times New Roman" w:hAnsi="Verdana" w:cs="Times New Roman"/>
      <w:b/>
      <w:bCs/>
      <w:kern w:val="28"/>
    </w:rPr>
  </w:style>
  <w:style w:type="paragraph" w:customStyle="1" w:styleId="Anexo">
    <w:name w:val="Anexo"/>
    <w:basedOn w:val="Normal"/>
    <w:next w:val="Normal"/>
    <w:qFormat/>
    <w:rsid w:val="00D04EC0"/>
    <w:pPr>
      <w:numPr>
        <w:numId w:val="1"/>
      </w:numPr>
      <w:shd w:val="clear" w:color="auto" w:fill="D9D9D9"/>
      <w:spacing w:after="240"/>
      <w:ind w:left="357" w:hanging="357"/>
    </w:pPr>
    <w:rPr>
      <w:b/>
    </w:rPr>
  </w:style>
  <w:style w:type="paragraph" w:styleId="Caption">
    <w:name w:val="caption"/>
    <w:basedOn w:val="Normal"/>
    <w:next w:val="Normal"/>
    <w:unhideWhenUsed/>
    <w:rsid w:val="00B92655"/>
    <w:rPr>
      <w:b/>
      <w:bCs/>
      <w:sz w:val="20"/>
      <w:szCs w:val="20"/>
    </w:rPr>
  </w:style>
  <w:style w:type="paragraph" w:styleId="TableofFigures">
    <w:name w:val="table of figures"/>
    <w:basedOn w:val="Normal"/>
    <w:next w:val="Normal"/>
    <w:rsid w:val="00B92655"/>
    <w:rPr>
      <w:rFonts w:ascii="Verdana" w:hAnsi="Verdana"/>
      <w:sz w:val="18"/>
    </w:rPr>
  </w:style>
  <w:style w:type="paragraph" w:styleId="TOCHeading">
    <w:name w:val="TOC Heading"/>
    <w:basedOn w:val="Heading1"/>
    <w:next w:val="Normal"/>
    <w:uiPriority w:val="39"/>
    <w:unhideWhenUsed/>
    <w:qFormat/>
    <w:rsid w:val="00CC2F34"/>
    <w:pPr>
      <w:keepLines/>
      <w:numPr>
        <w:numId w:val="0"/>
      </w:numPr>
      <w:spacing w:before="480" w:after="0"/>
      <w:outlineLvl w:val="9"/>
    </w:pPr>
    <w:rPr>
      <w:rFonts w:ascii="Cambria" w:hAnsi="Cambria"/>
      <w:color w:val="365F91"/>
      <w:kern w:val="0"/>
      <w:sz w:val="28"/>
      <w:szCs w:val="28"/>
      <w:lang w:eastAsia="en-US"/>
    </w:rPr>
  </w:style>
  <w:style w:type="paragraph" w:styleId="TOC1">
    <w:name w:val="toc 1"/>
    <w:basedOn w:val="Normal"/>
    <w:next w:val="Normal"/>
    <w:autoRedefine/>
    <w:uiPriority w:val="39"/>
    <w:qFormat/>
    <w:rsid w:val="005A6A95"/>
    <w:pPr>
      <w:tabs>
        <w:tab w:val="right" w:leader="dot" w:pos="480"/>
        <w:tab w:val="right" w:leader="dot" w:pos="9072"/>
      </w:tabs>
      <w:spacing w:before="120" w:after="120" w:line="276" w:lineRule="auto"/>
      <w:ind w:left="426" w:hanging="426"/>
    </w:pPr>
    <w:rPr>
      <w:b/>
      <w:noProof/>
      <w:szCs w:val="18"/>
    </w:rPr>
  </w:style>
  <w:style w:type="paragraph" w:styleId="TOC2">
    <w:name w:val="toc 2"/>
    <w:basedOn w:val="Normal"/>
    <w:next w:val="Normal"/>
    <w:autoRedefine/>
    <w:uiPriority w:val="39"/>
    <w:qFormat/>
    <w:rsid w:val="005A6A95"/>
    <w:pPr>
      <w:tabs>
        <w:tab w:val="left" w:pos="880"/>
        <w:tab w:val="left" w:leader="dot" w:pos="8789"/>
      </w:tabs>
      <w:ind w:left="426"/>
    </w:pPr>
    <w:rPr>
      <w:noProof/>
      <w:szCs w:val="18"/>
    </w:rPr>
  </w:style>
  <w:style w:type="paragraph" w:styleId="TOC3">
    <w:name w:val="toc 3"/>
    <w:basedOn w:val="Normal"/>
    <w:next w:val="Normal"/>
    <w:autoRedefine/>
    <w:uiPriority w:val="39"/>
    <w:qFormat/>
    <w:rsid w:val="00DC75E4"/>
    <w:pPr>
      <w:tabs>
        <w:tab w:val="left" w:pos="1200"/>
        <w:tab w:val="right" w:leader="dot" w:pos="8789"/>
      </w:tabs>
      <w:spacing w:after="100"/>
      <w:ind w:left="709"/>
    </w:pPr>
    <w:rPr>
      <w:rFonts w:eastAsiaTheme="minorEastAsia"/>
      <w:noProof/>
    </w:rPr>
  </w:style>
  <w:style w:type="character" w:styleId="Hyperlink">
    <w:name w:val="Hyperlink"/>
    <w:basedOn w:val="DefaultParagraphFont"/>
    <w:uiPriority w:val="99"/>
    <w:unhideWhenUsed/>
    <w:rsid w:val="00CC2F34"/>
    <w:rPr>
      <w:color w:val="0000FF"/>
      <w:u w:val="single"/>
    </w:rPr>
  </w:style>
  <w:style w:type="paragraph" w:styleId="BalloonText">
    <w:name w:val="Balloon Text"/>
    <w:basedOn w:val="Normal"/>
    <w:link w:val="BalloonTextChar"/>
    <w:rsid w:val="00CC2F34"/>
    <w:rPr>
      <w:rFonts w:ascii="Tahoma" w:hAnsi="Tahoma" w:cs="Tahoma"/>
      <w:sz w:val="16"/>
      <w:szCs w:val="16"/>
    </w:rPr>
  </w:style>
  <w:style w:type="character" w:customStyle="1" w:styleId="BalloonTextChar">
    <w:name w:val="Balloon Text Char"/>
    <w:basedOn w:val="DefaultParagraphFont"/>
    <w:link w:val="BalloonText"/>
    <w:rsid w:val="00CC2F34"/>
    <w:rPr>
      <w:rFonts w:ascii="Tahoma" w:hAnsi="Tahoma" w:cs="Tahoma"/>
      <w:sz w:val="16"/>
      <w:szCs w:val="16"/>
    </w:rPr>
  </w:style>
  <w:style w:type="paragraph" w:styleId="BodyText">
    <w:name w:val="Body Text"/>
    <w:basedOn w:val="Normal"/>
    <w:link w:val="BodyTextChar"/>
    <w:rsid w:val="00757DA7"/>
    <w:rPr>
      <w:sz w:val="28"/>
      <w:szCs w:val="20"/>
    </w:rPr>
  </w:style>
  <w:style w:type="character" w:customStyle="1" w:styleId="BodyTextChar">
    <w:name w:val="Body Text Char"/>
    <w:basedOn w:val="DefaultParagraphFont"/>
    <w:link w:val="BodyText"/>
    <w:rsid w:val="00757DA7"/>
    <w:rPr>
      <w:sz w:val="28"/>
    </w:rPr>
  </w:style>
  <w:style w:type="paragraph" w:customStyle="1" w:styleId="Default">
    <w:name w:val="Default"/>
    <w:rsid w:val="003228FB"/>
    <w:pPr>
      <w:autoSpaceDE w:val="0"/>
      <w:autoSpaceDN w:val="0"/>
      <w:adjustRightInd w:val="0"/>
    </w:pPr>
    <w:rPr>
      <w:rFonts w:ascii="Wingdings" w:hAnsi="Wingdings" w:cs="Wingdings"/>
      <w:color w:val="000000"/>
      <w:sz w:val="24"/>
      <w:szCs w:val="24"/>
    </w:rPr>
  </w:style>
  <w:style w:type="paragraph" w:customStyle="1" w:styleId="Normal3">
    <w:name w:val="Normal+3"/>
    <w:basedOn w:val="Default"/>
    <w:next w:val="Default"/>
    <w:uiPriority w:val="99"/>
    <w:rsid w:val="003228FB"/>
    <w:rPr>
      <w:rFonts w:cs="Times New Roman"/>
      <w:color w:val="auto"/>
    </w:rPr>
  </w:style>
  <w:style w:type="paragraph" w:customStyle="1" w:styleId="Textoindependiente2">
    <w:name w:val="Texto independiente+2"/>
    <w:basedOn w:val="Normal"/>
    <w:next w:val="Normal"/>
    <w:uiPriority w:val="99"/>
    <w:rsid w:val="00B56EA7"/>
    <w:pPr>
      <w:autoSpaceDE w:val="0"/>
      <w:autoSpaceDN w:val="0"/>
      <w:adjustRightInd w:val="0"/>
    </w:pPr>
    <w:rPr>
      <w:rFonts w:ascii="Arial Narrow" w:hAnsi="Arial Narrow"/>
    </w:rPr>
  </w:style>
  <w:style w:type="character" w:customStyle="1" w:styleId="Heading3Char">
    <w:name w:val="Heading 3 Char"/>
    <w:basedOn w:val="DefaultParagraphFont"/>
    <w:link w:val="Heading3"/>
    <w:rsid w:val="003F51C5"/>
    <w:rPr>
      <w:rFonts w:cs="Arial"/>
      <w:b/>
      <w:bCs/>
      <w:sz w:val="22"/>
      <w:szCs w:val="26"/>
    </w:rPr>
  </w:style>
  <w:style w:type="paragraph" w:styleId="CommentText">
    <w:name w:val="annotation text"/>
    <w:basedOn w:val="Normal"/>
    <w:link w:val="CommentTextChar"/>
    <w:rsid w:val="00606251"/>
    <w:rPr>
      <w:sz w:val="20"/>
      <w:szCs w:val="20"/>
    </w:rPr>
  </w:style>
  <w:style w:type="character" w:customStyle="1" w:styleId="CommentTextChar">
    <w:name w:val="Comment Text Char"/>
    <w:basedOn w:val="DefaultParagraphFont"/>
    <w:link w:val="CommentText"/>
    <w:rsid w:val="00606251"/>
  </w:style>
  <w:style w:type="paragraph" w:styleId="CommentSubject">
    <w:name w:val="annotation subject"/>
    <w:basedOn w:val="CommentText"/>
    <w:next w:val="CommentText"/>
    <w:link w:val="CommentSubjectChar"/>
    <w:rsid w:val="00606251"/>
    <w:rPr>
      <w:b/>
      <w:bCs/>
    </w:rPr>
  </w:style>
  <w:style w:type="character" w:customStyle="1" w:styleId="CommentSubjectChar">
    <w:name w:val="Comment Subject Char"/>
    <w:basedOn w:val="CommentTextChar"/>
    <w:link w:val="CommentSubject"/>
    <w:rsid w:val="00606251"/>
    <w:rPr>
      <w:b/>
      <w:bCs/>
    </w:rPr>
  </w:style>
  <w:style w:type="paragraph" w:styleId="Bibliography">
    <w:name w:val="Bibliography"/>
    <w:basedOn w:val="Normal"/>
    <w:next w:val="Normal"/>
    <w:uiPriority w:val="37"/>
    <w:semiHidden/>
    <w:unhideWhenUsed/>
    <w:rsid w:val="00606251"/>
  </w:style>
  <w:style w:type="paragraph" w:styleId="Closing">
    <w:name w:val="Closing"/>
    <w:basedOn w:val="Normal"/>
    <w:link w:val="ClosingChar"/>
    <w:rsid w:val="00606251"/>
    <w:pPr>
      <w:ind w:left="4252"/>
    </w:pPr>
  </w:style>
  <w:style w:type="character" w:customStyle="1" w:styleId="ClosingChar">
    <w:name w:val="Closing Char"/>
    <w:basedOn w:val="DefaultParagraphFont"/>
    <w:link w:val="Closing"/>
    <w:rsid w:val="00606251"/>
    <w:rPr>
      <w:sz w:val="24"/>
      <w:szCs w:val="24"/>
    </w:rPr>
  </w:style>
  <w:style w:type="paragraph" w:styleId="Quote">
    <w:name w:val="Quote"/>
    <w:basedOn w:val="Normal"/>
    <w:next w:val="Normal"/>
    <w:link w:val="QuoteChar"/>
    <w:uiPriority w:val="29"/>
    <w:qFormat/>
    <w:rsid w:val="00606251"/>
    <w:rPr>
      <w:i/>
      <w:iCs/>
      <w:color w:val="000000"/>
    </w:rPr>
  </w:style>
  <w:style w:type="character" w:customStyle="1" w:styleId="QuoteChar">
    <w:name w:val="Quote Char"/>
    <w:basedOn w:val="DefaultParagraphFont"/>
    <w:link w:val="Quote"/>
    <w:uiPriority w:val="29"/>
    <w:rsid w:val="00606251"/>
    <w:rPr>
      <w:i/>
      <w:iCs/>
      <w:color w:val="000000"/>
      <w:sz w:val="24"/>
      <w:szCs w:val="24"/>
    </w:rPr>
  </w:style>
  <w:style w:type="paragraph" w:styleId="IntenseQuote">
    <w:name w:val="Intense Quote"/>
    <w:basedOn w:val="Normal"/>
    <w:next w:val="Normal"/>
    <w:link w:val="IntenseQuoteChar"/>
    <w:uiPriority w:val="30"/>
    <w:qFormat/>
    <w:rsid w:val="00606251"/>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606251"/>
    <w:rPr>
      <w:b/>
      <w:bCs/>
      <w:i/>
      <w:iCs/>
      <w:color w:val="4F81BD"/>
      <w:sz w:val="24"/>
      <w:szCs w:val="24"/>
    </w:rPr>
  </w:style>
  <w:style w:type="paragraph" w:styleId="ListContinue">
    <w:name w:val="List Continue"/>
    <w:basedOn w:val="Normal"/>
    <w:rsid w:val="00606251"/>
    <w:pPr>
      <w:spacing w:after="120"/>
      <w:ind w:left="283"/>
      <w:contextualSpacing/>
    </w:pPr>
  </w:style>
  <w:style w:type="paragraph" w:styleId="ListContinue2">
    <w:name w:val="List Continue 2"/>
    <w:basedOn w:val="Normal"/>
    <w:rsid w:val="00606251"/>
    <w:pPr>
      <w:spacing w:after="120"/>
      <w:ind w:left="566"/>
      <w:contextualSpacing/>
    </w:pPr>
  </w:style>
  <w:style w:type="paragraph" w:styleId="ListContinue3">
    <w:name w:val="List Continue 3"/>
    <w:basedOn w:val="Normal"/>
    <w:rsid w:val="00606251"/>
    <w:pPr>
      <w:spacing w:after="120"/>
      <w:ind w:left="849"/>
      <w:contextualSpacing/>
    </w:pPr>
  </w:style>
  <w:style w:type="paragraph" w:styleId="ListContinue4">
    <w:name w:val="List Continue 4"/>
    <w:basedOn w:val="Normal"/>
    <w:rsid w:val="00606251"/>
    <w:pPr>
      <w:spacing w:after="120"/>
      <w:ind w:left="1132"/>
      <w:contextualSpacing/>
    </w:pPr>
  </w:style>
  <w:style w:type="paragraph" w:styleId="ListContinue5">
    <w:name w:val="List Continue 5"/>
    <w:basedOn w:val="Normal"/>
    <w:rsid w:val="00606251"/>
    <w:pPr>
      <w:spacing w:after="120"/>
      <w:ind w:left="1415"/>
      <w:contextualSpacing/>
    </w:pPr>
  </w:style>
  <w:style w:type="paragraph" w:styleId="HTMLAddress">
    <w:name w:val="HTML Address"/>
    <w:basedOn w:val="Normal"/>
    <w:link w:val="HTMLAddressChar"/>
    <w:rsid w:val="00606251"/>
    <w:rPr>
      <w:i/>
      <w:iCs/>
    </w:rPr>
  </w:style>
  <w:style w:type="character" w:customStyle="1" w:styleId="HTMLAddressChar">
    <w:name w:val="HTML Address Char"/>
    <w:basedOn w:val="DefaultParagraphFont"/>
    <w:link w:val="HTMLAddress"/>
    <w:rsid w:val="00606251"/>
    <w:rPr>
      <w:i/>
      <w:iCs/>
      <w:sz w:val="24"/>
      <w:szCs w:val="24"/>
    </w:rPr>
  </w:style>
  <w:style w:type="paragraph" w:styleId="EnvelopeAddress">
    <w:name w:val="envelope address"/>
    <w:basedOn w:val="Normal"/>
    <w:rsid w:val="00606251"/>
    <w:pPr>
      <w:framePr w:w="7920" w:h="1980" w:hRule="exact" w:hSpace="141" w:wrap="auto" w:hAnchor="page" w:xAlign="center" w:yAlign="bottom"/>
      <w:ind w:left="2880"/>
    </w:pPr>
    <w:rPr>
      <w:rFonts w:ascii="Cambria" w:hAnsi="Cambria"/>
    </w:rPr>
  </w:style>
  <w:style w:type="paragraph" w:styleId="TOAHeading">
    <w:name w:val="toa heading"/>
    <w:basedOn w:val="Normal"/>
    <w:next w:val="Normal"/>
    <w:rsid w:val="00606251"/>
    <w:pPr>
      <w:spacing w:before="120"/>
    </w:pPr>
    <w:rPr>
      <w:rFonts w:ascii="Cambria" w:hAnsi="Cambria"/>
      <w:b/>
      <w:bCs/>
    </w:rPr>
  </w:style>
  <w:style w:type="paragraph" w:styleId="MessageHeader">
    <w:name w:val="Message Header"/>
    <w:basedOn w:val="Normal"/>
    <w:link w:val="MessageHeaderChar"/>
    <w:rsid w:val="00606251"/>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rPr>
  </w:style>
  <w:style w:type="character" w:customStyle="1" w:styleId="MessageHeaderChar">
    <w:name w:val="Message Header Char"/>
    <w:basedOn w:val="DefaultParagraphFont"/>
    <w:link w:val="MessageHeader"/>
    <w:rsid w:val="00606251"/>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rsid w:val="00606251"/>
  </w:style>
  <w:style w:type="character" w:customStyle="1" w:styleId="NoteHeadingChar">
    <w:name w:val="Note Heading Char"/>
    <w:basedOn w:val="DefaultParagraphFont"/>
    <w:link w:val="NoteHeading"/>
    <w:rsid w:val="00606251"/>
    <w:rPr>
      <w:sz w:val="24"/>
      <w:szCs w:val="24"/>
    </w:rPr>
  </w:style>
  <w:style w:type="paragraph" w:styleId="Date">
    <w:name w:val="Date"/>
    <w:basedOn w:val="Normal"/>
    <w:next w:val="Normal"/>
    <w:link w:val="DateChar"/>
    <w:rsid w:val="00606251"/>
  </w:style>
  <w:style w:type="character" w:customStyle="1" w:styleId="DateChar">
    <w:name w:val="Date Char"/>
    <w:basedOn w:val="DefaultParagraphFont"/>
    <w:link w:val="Date"/>
    <w:rsid w:val="00606251"/>
    <w:rPr>
      <w:sz w:val="24"/>
      <w:szCs w:val="24"/>
    </w:rPr>
  </w:style>
  <w:style w:type="paragraph" w:styleId="Signature">
    <w:name w:val="Signature"/>
    <w:basedOn w:val="Normal"/>
    <w:link w:val="SignatureChar"/>
    <w:rsid w:val="00606251"/>
    <w:pPr>
      <w:ind w:left="4252"/>
    </w:pPr>
  </w:style>
  <w:style w:type="character" w:customStyle="1" w:styleId="SignatureChar">
    <w:name w:val="Signature Char"/>
    <w:basedOn w:val="DefaultParagraphFont"/>
    <w:link w:val="Signature"/>
    <w:rsid w:val="00606251"/>
    <w:rPr>
      <w:sz w:val="24"/>
      <w:szCs w:val="24"/>
    </w:rPr>
  </w:style>
  <w:style w:type="paragraph" w:styleId="E-mailSignature">
    <w:name w:val="E-mail Signature"/>
    <w:basedOn w:val="Normal"/>
    <w:link w:val="E-mailSignatureChar"/>
    <w:rsid w:val="00606251"/>
  </w:style>
  <w:style w:type="character" w:customStyle="1" w:styleId="E-mailSignatureChar">
    <w:name w:val="E-mail Signature Char"/>
    <w:basedOn w:val="DefaultParagraphFont"/>
    <w:link w:val="E-mailSignature"/>
    <w:rsid w:val="00606251"/>
    <w:rPr>
      <w:sz w:val="24"/>
      <w:szCs w:val="24"/>
    </w:rPr>
  </w:style>
  <w:style w:type="paragraph" w:styleId="HTMLPreformatted">
    <w:name w:val="HTML Preformatted"/>
    <w:basedOn w:val="Normal"/>
    <w:link w:val="HTMLPreformattedChar"/>
    <w:rsid w:val="00606251"/>
    <w:rPr>
      <w:rFonts w:ascii="Courier New" w:hAnsi="Courier New" w:cs="Courier New"/>
      <w:sz w:val="20"/>
      <w:szCs w:val="20"/>
    </w:rPr>
  </w:style>
  <w:style w:type="character" w:customStyle="1" w:styleId="HTMLPreformattedChar">
    <w:name w:val="HTML Preformatted Char"/>
    <w:basedOn w:val="DefaultParagraphFont"/>
    <w:link w:val="HTMLPreformatted"/>
    <w:rsid w:val="00606251"/>
    <w:rPr>
      <w:rFonts w:ascii="Courier New" w:hAnsi="Courier New" w:cs="Courier New"/>
    </w:rPr>
  </w:style>
  <w:style w:type="paragraph" w:styleId="Index1">
    <w:name w:val="index 1"/>
    <w:basedOn w:val="Normal"/>
    <w:next w:val="Normal"/>
    <w:autoRedefine/>
    <w:rsid w:val="00606251"/>
    <w:pPr>
      <w:ind w:left="240" w:hanging="240"/>
    </w:pPr>
  </w:style>
  <w:style w:type="paragraph" w:styleId="Index2">
    <w:name w:val="index 2"/>
    <w:basedOn w:val="Normal"/>
    <w:next w:val="Normal"/>
    <w:autoRedefine/>
    <w:rsid w:val="00606251"/>
    <w:pPr>
      <w:ind w:left="480" w:hanging="240"/>
    </w:pPr>
  </w:style>
  <w:style w:type="paragraph" w:styleId="Index3">
    <w:name w:val="index 3"/>
    <w:basedOn w:val="Normal"/>
    <w:next w:val="Normal"/>
    <w:autoRedefine/>
    <w:rsid w:val="00606251"/>
    <w:pPr>
      <w:ind w:left="720" w:hanging="240"/>
    </w:pPr>
  </w:style>
  <w:style w:type="paragraph" w:styleId="Index4">
    <w:name w:val="index 4"/>
    <w:basedOn w:val="Normal"/>
    <w:next w:val="Normal"/>
    <w:autoRedefine/>
    <w:rsid w:val="00606251"/>
    <w:pPr>
      <w:ind w:left="960" w:hanging="240"/>
    </w:pPr>
  </w:style>
  <w:style w:type="paragraph" w:styleId="Index5">
    <w:name w:val="index 5"/>
    <w:basedOn w:val="Normal"/>
    <w:next w:val="Normal"/>
    <w:autoRedefine/>
    <w:rsid w:val="00606251"/>
    <w:pPr>
      <w:ind w:left="1200" w:hanging="240"/>
    </w:pPr>
  </w:style>
  <w:style w:type="paragraph" w:styleId="Index6">
    <w:name w:val="index 6"/>
    <w:basedOn w:val="Normal"/>
    <w:next w:val="Normal"/>
    <w:autoRedefine/>
    <w:rsid w:val="00606251"/>
    <w:pPr>
      <w:ind w:left="1440" w:hanging="240"/>
    </w:pPr>
  </w:style>
  <w:style w:type="paragraph" w:styleId="Index7">
    <w:name w:val="index 7"/>
    <w:basedOn w:val="Normal"/>
    <w:next w:val="Normal"/>
    <w:autoRedefine/>
    <w:rsid w:val="00606251"/>
    <w:pPr>
      <w:ind w:left="1680" w:hanging="240"/>
    </w:pPr>
  </w:style>
  <w:style w:type="paragraph" w:styleId="Index8">
    <w:name w:val="index 8"/>
    <w:basedOn w:val="Normal"/>
    <w:next w:val="Normal"/>
    <w:autoRedefine/>
    <w:rsid w:val="00606251"/>
    <w:pPr>
      <w:ind w:left="1920" w:hanging="240"/>
    </w:pPr>
  </w:style>
  <w:style w:type="paragraph" w:styleId="Index9">
    <w:name w:val="index 9"/>
    <w:basedOn w:val="Normal"/>
    <w:next w:val="Normal"/>
    <w:autoRedefine/>
    <w:rsid w:val="00606251"/>
    <w:pPr>
      <w:ind w:left="2160" w:hanging="240"/>
    </w:pPr>
  </w:style>
  <w:style w:type="paragraph" w:styleId="List">
    <w:name w:val="List"/>
    <w:basedOn w:val="Normal"/>
    <w:rsid w:val="00606251"/>
    <w:pPr>
      <w:ind w:left="283" w:hanging="283"/>
      <w:contextualSpacing/>
    </w:pPr>
  </w:style>
  <w:style w:type="paragraph" w:styleId="List2">
    <w:name w:val="List 2"/>
    <w:basedOn w:val="Normal"/>
    <w:rsid w:val="00606251"/>
    <w:pPr>
      <w:ind w:left="566" w:hanging="283"/>
      <w:contextualSpacing/>
    </w:pPr>
  </w:style>
  <w:style w:type="paragraph" w:styleId="List3">
    <w:name w:val="List 3"/>
    <w:basedOn w:val="Normal"/>
    <w:rsid w:val="00606251"/>
    <w:pPr>
      <w:ind w:left="849" w:hanging="283"/>
      <w:contextualSpacing/>
    </w:pPr>
  </w:style>
  <w:style w:type="paragraph" w:styleId="List4">
    <w:name w:val="List 4"/>
    <w:basedOn w:val="Normal"/>
    <w:rsid w:val="00606251"/>
    <w:pPr>
      <w:ind w:left="1132" w:hanging="283"/>
      <w:contextualSpacing/>
    </w:pPr>
  </w:style>
  <w:style w:type="paragraph" w:styleId="List5">
    <w:name w:val="List 5"/>
    <w:basedOn w:val="Normal"/>
    <w:rsid w:val="00606251"/>
    <w:pPr>
      <w:ind w:left="1415" w:hanging="283"/>
      <w:contextualSpacing/>
    </w:pPr>
  </w:style>
  <w:style w:type="paragraph" w:styleId="ListNumber">
    <w:name w:val="List Number"/>
    <w:basedOn w:val="Normal"/>
    <w:rsid w:val="00606251"/>
    <w:pPr>
      <w:numPr>
        <w:numId w:val="2"/>
      </w:numPr>
      <w:contextualSpacing/>
    </w:pPr>
  </w:style>
  <w:style w:type="paragraph" w:styleId="ListNumber2">
    <w:name w:val="List Number 2"/>
    <w:basedOn w:val="Normal"/>
    <w:rsid w:val="00606251"/>
    <w:pPr>
      <w:numPr>
        <w:numId w:val="3"/>
      </w:numPr>
      <w:contextualSpacing/>
    </w:pPr>
  </w:style>
  <w:style w:type="paragraph" w:styleId="ListNumber3">
    <w:name w:val="List Number 3"/>
    <w:basedOn w:val="Normal"/>
    <w:rsid w:val="00606251"/>
    <w:pPr>
      <w:numPr>
        <w:numId w:val="4"/>
      </w:numPr>
      <w:contextualSpacing/>
    </w:pPr>
  </w:style>
  <w:style w:type="paragraph" w:styleId="ListNumber4">
    <w:name w:val="List Number 4"/>
    <w:basedOn w:val="Normal"/>
    <w:rsid w:val="00606251"/>
    <w:pPr>
      <w:numPr>
        <w:numId w:val="5"/>
      </w:numPr>
      <w:contextualSpacing/>
    </w:pPr>
  </w:style>
  <w:style w:type="paragraph" w:styleId="ListNumber5">
    <w:name w:val="List Number 5"/>
    <w:basedOn w:val="Normal"/>
    <w:rsid w:val="00606251"/>
    <w:pPr>
      <w:numPr>
        <w:numId w:val="6"/>
      </w:numPr>
      <w:contextualSpacing/>
    </w:pPr>
  </w:style>
  <w:style w:type="paragraph" w:styleId="ListBullet">
    <w:name w:val="List Bullet"/>
    <w:basedOn w:val="Normal"/>
    <w:rsid w:val="00606251"/>
    <w:pPr>
      <w:numPr>
        <w:numId w:val="7"/>
      </w:numPr>
      <w:contextualSpacing/>
    </w:pPr>
  </w:style>
  <w:style w:type="paragraph" w:styleId="ListBullet2">
    <w:name w:val="List Bullet 2"/>
    <w:basedOn w:val="Normal"/>
    <w:rsid w:val="00606251"/>
    <w:pPr>
      <w:numPr>
        <w:numId w:val="8"/>
      </w:numPr>
      <w:contextualSpacing/>
    </w:pPr>
  </w:style>
  <w:style w:type="paragraph" w:styleId="ListBullet3">
    <w:name w:val="List Bullet 3"/>
    <w:basedOn w:val="Normal"/>
    <w:rsid w:val="00606251"/>
    <w:pPr>
      <w:numPr>
        <w:numId w:val="9"/>
      </w:numPr>
      <w:contextualSpacing/>
    </w:pPr>
  </w:style>
  <w:style w:type="paragraph" w:styleId="ListBullet4">
    <w:name w:val="List Bullet 4"/>
    <w:basedOn w:val="Normal"/>
    <w:rsid w:val="00606251"/>
    <w:pPr>
      <w:numPr>
        <w:numId w:val="10"/>
      </w:numPr>
      <w:contextualSpacing/>
    </w:pPr>
  </w:style>
  <w:style w:type="paragraph" w:styleId="ListBullet5">
    <w:name w:val="List Bullet 5"/>
    <w:basedOn w:val="Normal"/>
    <w:rsid w:val="00606251"/>
    <w:pPr>
      <w:numPr>
        <w:numId w:val="11"/>
      </w:numPr>
      <w:contextualSpacing/>
    </w:pPr>
  </w:style>
  <w:style w:type="paragraph" w:styleId="DocumentMap">
    <w:name w:val="Document Map"/>
    <w:basedOn w:val="Normal"/>
    <w:link w:val="DocumentMapChar"/>
    <w:rsid w:val="00606251"/>
    <w:rPr>
      <w:rFonts w:ascii="Tahoma" w:hAnsi="Tahoma" w:cs="Tahoma"/>
      <w:sz w:val="16"/>
      <w:szCs w:val="16"/>
    </w:rPr>
  </w:style>
  <w:style w:type="character" w:customStyle="1" w:styleId="DocumentMapChar">
    <w:name w:val="Document Map Char"/>
    <w:basedOn w:val="DefaultParagraphFont"/>
    <w:link w:val="DocumentMap"/>
    <w:rsid w:val="00606251"/>
    <w:rPr>
      <w:rFonts w:ascii="Tahoma" w:hAnsi="Tahoma" w:cs="Tahoma"/>
      <w:sz w:val="16"/>
      <w:szCs w:val="16"/>
    </w:rPr>
  </w:style>
  <w:style w:type="paragraph" w:styleId="NormalWeb">
    <w:name w:val="Normal (Web)"/>
    <w:basedOn w:val="Normal"/>
    <w:uiPriority w:val="99"/>
    <w:rsid w:val="00606251"/>
  </w:style>
  <w:style w:type="paragraph" w:styleId="EnvelopeReturn">
    <w:name w:val="envelope return"/>
    <w:basedOn w:val="Normal"/>
    <w:rsid w:val="00606251"/>
    <w:rPr>
      <w:rFonts w:ascii="Cambria" w:hAnsi="Cambria"/>
      <w:sz w:val="20"/>
      <w:szCs w:val="20"/>
    </w:rPr>
  </w:style>
  <w:style w:type="paragraph" w:styleId="Salutation">
    <w:name w:val="Salutation"/>
    <w:basedOn w:val="Normal"/>
    <w:next w:val="Normal"/>
    <w:link w:val="SalutationChar"/>
    <w:rsid w:val="00606251"/>
  </w:style>
  <w:style w:type="character" w:customStyle="1" w:styleId="SalutationChar">
    <w:name w:val="Salutation Char"/>
    <w:basedOn w:val="DefaultParagraphFont"/>
    <w:link w:val="Salutation"/>
    <w:rsid w:val="00606251"/>
    <w:rPr>
      <w:sz w:val="24"/>
      <w:szCs w:val="24"/>
    </w:rPr>
  </w:style>
  <w:style w:type="paragraph" w:styleId="BodyTextIndent2">
    <w:name w:val="Body Text Indent 2"/>
    <w:basedOn w:val="Normal"/>
    <w:link w:val="BodyTextIndent2Char"/>
    <w:rsid w:val="00606251"/>
    <w:pPr>
      <w:spacing w:after="120" w:line="480" w:lineRule="auto"/>
      <w:ind w:left="283"/>
    </w:pPr>
  </w:style>
  <w:style w:type="character" w:customStyle="1" w:styleId="BodyTextIndent2Char">
    <w:name w:val="Body Text Indent 2 Char"/>
    <w:basedOn w:val="DefaultParagraphFont"/>
    <w:link w:val="BodyTextIndent2"/>
    <w:rsid w:val="00606251"/>
    <w:rPr>
      <w:sz w:val="24"/>
      <w:szCs w:val="24"/>
    </w:rPr>
  </w:style>
  <w:style w:type="paragraph" w:styleId="BodyTextIndent3">
    <w:name w:val="Body Text Indent 3"/>
    <w:basedOn w:val="Normal"/>
    <w:link w:val="BodyTextIndent3Char"/>
    <w:rsid w:val="00606251"/>
    <w:pPr>
      <w:spacing w:after="120"/>
      <w:ind w:left="283"/>
    </w:pPr>
    <w:rPr>
      <w:sz w:val="16"/>
      <w:szCs w:val="16"/>
    </w:rPr>
  </w:style>
  <w:style w:type="character" w:customStyle="1" w:styleId="BodyTextIndent3Char">
    <w:name w:val="Body Text Indent 3 Char"/>
    <w:basedOn w:val="DefaultParagraphFont"/>
    <w:link w:val="BodyTextIndent3"/>
    <w:rsid w:val="00606251"/>
    <w:rPr>
      <w:sz w:val="16"/>
      <w:szCs w:val="16"/>
    </w:rPr>
  </w:style>
  <w:style w:type="paragraph" w:styleId="BodyTextIndent">
    <w:name w:val="Body Text Indent"/>
    <w:basedOn w:val="Normal"/>
    <w:link w:val="BodyTextIndentChar"/>
    <w:rsid w:val="00606251"/>
    <w:pPr>
      <w:spacing w:after="120"/>
      <w:ind w:left="283"/>
    </w:pPr>
  </w:style>
  <w:style w:type="character" w:customStyle="1" w:styleId="BodyTextIndentChar">
    <w:name w:val="Body Text Indent Char"/>
    <w:basedOn w:val="DefaultParagraphFont"/>
    <w:link w:val="BodyTextIndent"/>
    <w:rsid w:val="00606251"/>
    <w:rPr>
      <w:sz w:val="24"/>
      <w:szCs w:val="24"/>
    </w:rPr>
  </w:style>
  <w:style w:type="paragraph" w:styleId="NormalIndent">
    <w:name w:val="Normal Indent"/>
    <w:basedOn w:val="Normal"/>
    <w:rsid w:val="00606251"/>
    <w:pPr>
      <w:ind w:left="708"/>
    </w:pPr>
  </w:style>
  <w:style w:type="paragraph" w:styleId="NoSpacing">
    <w:name w:val="No Spacing"/>
    <w:link w:val="NoSpacingChar"/>
    <w:uiPriority w:val="1"/>
    <w:qFormat/>
    <w:rsid w:val="00606251"/>
    <w:rPr>
      <w:sz w:val="24"/>
      <w:szCs w:val="24"/>
    </w:rPr>
  </w:style>
  <w:style w:type="paragraph" w:styleId="Subtitle">
    <w:name w:val="Subtitle"/>
    <w:basedOn w:val="Normal"/>
    <w:next w:val="Normal"/>
    <w:link w:val="SubtitleChar"/>
    <w:rsid w:val="00606251"/>
    <w:pPr>
      <w:spacing w:after="60"/>
      <w:jc w:val="center"/>
      <w:outlineLvl w:val="1"/>
    </w:pPr>
    <w:rPr>
      <w:rFonts w:ascii="Cambria" w:hAnsi="Cambria"/>
    </w:rPr>
  </w:style>
  <w:style w:type="character" w:customStyle="1" w:styleId="SubtitleChar">
    <w:name w:val="Subtitle Char"/>
    <w:basedOn w:val="DefaultParagraphFont"/>
    <w:link w:val="Subtitle"/>
    <w:rsid w:val="00606251"/>
    <w:rPr>
      <w:rFonts w:ascii="Cambria" w:eastAsia="Times New Roman" w:hAnsi="Cambria" w:cs="Times New Roman"/>
      <w:sz w:val="24"/>
      <w:szCs w:val="24"/>
    </w:rPr>
  </w:style>
  <w:style w:type="paragraph" w:styleId="TOC4">
    <w:name w:val="toc 4"/>
    <w:basedOn w:val="Normal"/>
    <w:next w:val="Normal"/>
    <w:autoRedefine/>
    <w:rsid w:val="00606251"/>
    <w:pPr>
      <w:ind w:left="720"/>
    </w:pPr>
  </w:style>
  <w:style w:type="paragraph" w:styleId="TOC5">
    <w:name w:val="toc 5"/>
    <w:basedOn w:val="Normal"/>
    <w:next w:val="Normal"/>
    <w:autoRedefine/>
    <w:rsid w:val="00606251"/>
    <w:pPr>
      <w:ind w:left="960"/>
    </w:pPr>
  </w:style>
  <w:style w:type="paragraph" w:styleId="TOC6">
    <w:name w:val="toc 6"/>
    <w:basedOn w:val="Normal"/>
    <w:next w:val="Normal"/>
    <w:autoRedefine/>
    <w:rsid w:val="00606251"/>
    <w:pPr>
      <w:ind w:left="1200"/>
    </w:pPr>
  </w:style>
  <w:style w:type="paragraph" w:styleId="TOC7">
    <w:name w:val="toc 7"/>
    <w:basedOn w:val="Normal"/>
    <w:next w:val="Normal"/>
    <w:autoRedefine/>
    <w:rsid w:val="00606251"/>
    <w:pPr>
      <w:ind w:left="1440"/>
    </w:pPr>
  </w:style>
  <w:style w:type="paragraph" w:styleId="TOC8">
    <w:name w:val="toc 8"/>
    <w:basedOn w:val="Normal"/>
    <w:next w:val="Normal"/>
    <w:autoRedefine/>
    <w:rsid w:val="00606251"/>
    <w:pPr>
      <w:ind w:left="1680"/>
    </w:pPr>
  </w:style>
  <w:style w:type="paragraph" w:styleId="TOC9">
    <w:name w:val="toc 9"/>
    <w:basedOn w:val="Normal"/>
    <w:next w:val="Normal"/>
    <w:autoRedefine/>
    <w:rsid w:val="00606251"/>
    <w:pPr>
      <w:ind w:left="1920"/>
    </w:pPr>
  </w:style>
  <w:style w:type="paragraph" w:styleId="TableofAuthorities">
    <w:name w:val="table of authorities"/>
    <w:basedOn w:val="Normal"/>
    <w:next w:val="Normal"/>
    <w:rsid w:val="00606251"/>
    <w:pPr>
      <w:ind w:left="240" w:hanging="240"/>
    </w:pPr>
  </w:style>
  <w:style w:type="paragraph" w:styleId="BlockText">
    <w:name w:val="Block Text"/>
    <w:basedOn w:val="Normal"/>
    <w:rsid w:val="00606251"/>
    <w:pPr>
      <w:spacing w:after="120"/>
      <w:ind w:left="1440" w:right="1440"/>
    </w:pPr>
  </w:style>
  <w:style w:type="paragraph" w:styleId="BodyText2">
    <w:name w:val="Body Text 2"/>
    <w:basedOn w:val="Normal"/>
    <w:link w:val="BodyText2Char"/>
    <w:rsid w:val="00606251"/>
    <w:pPr>
      <w:spacing w:after="120" w:line="480" w:lineRule="auto"/>
    </w:pPr>
  </w:style>
  <w:style w:type="character" w:customStyle="1" w:styleId="BodyText2Char">
    <w:name w:val="Body Text 2 Char"/>
    <w:basedOn w:val="DefaultParagraphFont"/>
    <w:link w:val="BodyText2"/>
    <w:rsid w:val="00606251"/>
    <w:rPr>
      <w:sz w:val="24"/>
      <w:szCs w:val="24"/>
    </w:rPr>
  </w:style>
  <w:style w:type="paragraph" w:styleId="BodyText3">
    <w:name w:val="Body Text 3"/>
    <w:basedOn w:val="Normal"/>
    <w:link w:val="BodyText3Char"/>
    <w:rsid w:val="00606251"/>
    <w:pPr>
      <w:spacing w:after="120"/>
    </w:pPr>
    <w:rPr>
      <w:sz w:val="16"/>
      <w:szCs w:val="16"/>
    </w:rPr>
  </w:style>
  <w:style w:type="character" w:customStyle="1" w:styleId="BodyText3Char">
    <w:name w:val="Body Text 3 Char"/>
    <w:basedOn w:val="DefaultParagraphFont"/>
    <w:link w:val="BodyText3"/>
    <w:rsid w:val="00606251"/>
    <w:rPr>
      <w:sz w:val="16"/>
      <w:szCs w:val="16"/>
    </w:rPr>
  </w:style>
  <w:style w:type="paragraph" w:styleId="BodyTextFirstIndent">
    <w:name w:val="Body Text First Indent"/>
    <w:basedOn w:val="BodyText"/>
    <w:link w:val="BodyTextFirstIndentChar"/>
    <w:rsid w:val="00606251"/>
    <w:pPr>
      <w:spacing w:after="120"/>
      <w:ind w:firstLine="210"/>
    </w:pPr>
    <w:rPr>
      <w:sz w:val="24"/>
      <w:szCs w:val="24"/>
    </w:rPr>
  </w:style>
  <w:style w:type="character" w:customStyle="1" w:styleId="BodyTextFirstIndentChar">
    <w:name w:val="Body Text First Indent Char"/>
    <w:basedOn w:val="BodyTextChar"/>
    <w:link w:val="BodyTextFirstIndent"/>
    <w:rsid w:val="00606251"/>
    <w:rPr>
      <w:sz w:val="24"/>
      <w:szCs w:val="24"/>
    </w:rPr>
  </w:style>
  <w:style w:type="paragraph" w:styleId="BodyTextFirstIndent2">
    <w:name w:val="Body Text First Indent 2"/>
    <w:basedOn w:val="BodyTextIndent"/>
    <w:link w:val="BodyTextFirstIndent2Char"/>
    <w:rsid w:val="00606251"/>
    <w:pPr>
      <w:ind w:firstLine="210"/>
    </w:pPr>
  </w:style>
  <w:style w:type="character" w:customStyle="1" w:styleId="BodyTextFirstIndent2Char">
    <w:name w:val="Body Text First Indent 2 Char"/>
    <w:basedOn w:val="BodyTextIndentChar"/>
    <w:link w:val="BodyTextFirstIndent2"/>
    <w:rsid w:val="00606251"/>
    <w:rPr>
      <w:sz w:val="24"/>
      <w:szCs w:val="24"/>
    </w:rPr>
  </w:style>
  <w:style w:type="paragraph" w:styleId="MacroText">
    <w:name w:val="macro"/>
    <w:link w:val="MacroTextChar"/>
    <w:rsid w:val="006062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rsid w:val="00606251"/>
    <w:rPr>
      <w:rFonts w:ascii="Courier New" w:hAnsi="Courier New" w:cs="Courier New"/>
      <w:lang w:val="es-ES" w:eastAsia="es-ES" w:bidi="ar-SA"/>
    </w:rPr>
  </w:style>
  <w:style w:type="paragraph" w:styleId="EndnoteText">
    <w:name w:val="endnote text"/>
    <w:basedOn w:val="Normal"/>
    <w:link w:val="EndnoteTextChar"/>
    <w:rsid w:val="00606251"/>
    <w:rPr>
      <w:sz w:val="20"/>
      <w:szCs w:val="20"/>
    </w:rPr>
  </w:style>
  <w:style w:type="character" w:customStyle="1" w:styleId="EndnoteTextChar">
    <w:name w:val="Endnote Text Char"/>
    <w:basedOn w:val="DefaultParagraphFont"/>
    <w:link w:val="EndnoteText"/>
    <w:rsid w:val="00606251"/>
  </w:style>
  <w:style w:type="paragraph" w:styleId="PlainText">
    <w:name w:val="Plain Text"/>
    <w:basedOn w:val="Normal"/>
    <w:link w:val="PlainTextChar"/>
    <w:rsid w:val="00606251"/>
    <w:rPr>
      <w:rFonts w:ascii="Courier New" w:hAnsi="Courier New" w:cs="Courier New"/>
      <w:sz w:val="20"/>
      <w:szCs w:val="20"/>
    </w:rPr>
  </w:style>
  <w:style w:type="character" w:customStyle="1" w:styleId="PlainTextChar">
    <w:name w:val="Plain Text Char"/>
    <w:basedOn w:val="DefaultParagraphFont"/>
    <w:link w:val="PlainText"/>
    <w:rsid w:val="00606251"/>
    <w:rPr>
      <w:rFonts w:ascii="Courier New" w:hAnsi="Courier New" w:cs="Courier New"/>
    </w:rPr>
  </w:style>
  <w:style w:type="character" w:customStyle="1" w:styleId="Heading4Char">
    <w:name w:val="Heading 4 Char"/>
    <w:basedOn w:val="DefaultParagraphFont"/>
    <w:link w:val="Heading4"/>
    <w:semiHidden/>
    <w:rsid w:val="00606251"/>
    <w:rPr>
      <w:rFonts w:ascii="Calibri" w:hAnsi="Calibri"/>
      <w:b/>
      <w:bCs/>
      <w:sz w:val="28"/>
      <w:szCs w:val="28"/>
    </w:rPr>
  </w:style>
  <w:style w:type="character" w:customStyle="1" w:styleId="Heading5Char">
    <w:name w:val="Heading 5 Char"/>
    <w:basedOn w:val="DefaultParagraphFont"/>
    <w:link w:val="Heading5"/>
    <w:semiHidden/>
    <w:rsid w:val="00606251"/>
    <w:rPr>
      <w:rFonts w:ascii="Calibri" w:hAnsi="Calibri"/>
      <w:b/>
      <w:bCs/>
      <w:i/>
      <w:iCs/>
      <w:sz w:val="26"/>
      <w:szCs w:val="26"/>
    </w:rPr>
  </w:style>
  <w:style w:type="character" w:customStyle="1" w:styleId="Heading6Char">
    <w:name w:val="Heading 6 Char"/>
    <w:basedOn w:val="DefaultParagraphFont"/>
    <w:link w:val="Heading6"/>
    <w:semiHidden/>
    <w:rsid w:val="00606251"/>
    <w:rPr>
      <w:rFonts w:ascii="Calibri" w:hAnsi="Calibri"/>
      <w:b/>
      <w:bCs/>
      <w:sz w:val="24"/>
      <w:szCs w:val="24"/>
    </w:rPr>
  </w:style>
  <w:style w:type="character" w:customStyle="1" w:styleId="Heading7Char">
    <w:name w:val="Heading 7 Char"/>
    <w:basedOn w:val="DefaultParagraphFont"/>
    <w:link w:val="Heading7"/>
    <w:semiHidden/>
    <w:rsid w:val="00606251"/>
    <w:rPr>
      <w:rFonts w:ascii="Calibri" w:hAnsi="Calibri"/>
      <w:sz w:val="24"/>
      <w:szCs w:val="24"/>
    </w:rPr>
  </w:style>
  <w:style w:type="character" w:customStyle="1" w:styleId="Heading8Char">
    <w:name w:val="Heading 8 Char"/>
    <w:basedOn w:val="DefaultParagraphFont"/>
    <w:link w:val="Heading8"/>
    <w:semiHidden/>
    <w:rsid w:val="00606251"/>
    <w:rPr>
      <w:rFonts w:ascii="Calibri" w:hAnsi="Calibri"/>
      <w:i/>
      <w:iCs/>
      <w:sz w:val="24"/>
      <w:szCs w:val="24"/>
    </w:rPr>
  </w:style>
  <w:style w:type="character" w:customStyle="1" w:styleId="Heading9Char">
    <w:name w:val="Heading 9 Char"/>
    <w:basedOn w:val="DefaultParagraphFont"/>
    <w:link w:val="Heading9"/>
    <w:semiHidden/>
    <w:rsid w:val="00606251"/>
    <w:rPr>
      <w:rFonts w:ascii="Cambria" w:hAnsi="Cambria"/>
      <w:sz w:val="24"/>
      <w:szCs w:val="24"/>
    </w:rPr>
  </w:style>
  <w:style w:type="paragraph" w:styleId="IndexHeading">
    <w:name w:val="index heading"/>
    <w:basedOn w:val="Normal"/>
    <w:next w:val="Index1"/>
    <w:rsid w:val="00606251"/>
    <w:rPr>
      <w:rFonts w:ascii="Cambria" w:hAnsi="Cambria"/>
      <w:b/>
      <w:bCs/>
    </w:rPr>
  </w:style>
  <w:style w:type="paragraph" w:customStyle="1" w:styleId="Chapter">
    <w:name w:val="Chapter"/>
    <w:basedOn w:val="Normal"/>
    <w:next w:val="Normal"/>
    <w:rsid w:val="00C03FA8"/>
    <w:pPr>
      <w:numPr>
        <w:numId w:val="13"/>
      </w:numPr>
      <w:tabs>
        <w:tab w:val="left" w:pos="1440"/>
      </w:tabs>
      <w:spacing w:after="240"/>
      <w:jc w:val="center"/>
    </w:pPr>
    <w:rPr>
      <w:b/>
      <w:smallCaps/>
      <w:szCs w:val="20"/>
      <w:lang w:eastAsia="en-US"/>
    </w:rPr>
  </w:style>
  <w:style w:type="paragraph" w:customStyle="1" w:styleId="Newpage">
    <w:name w:val="Newpage"/>
    <w:basedOn w:val="Chapter"/>
    <w:rsid w:val="00C03FA8"/>
    <w:pPr>
      <w:numPr>
        <w:numId w:val="0"/>
      </w:numPr>
      <w:tabs>
        <w:tab w:val="clear" w:pos="1440"/>
        <w:tab w:val="left" w:pos="3060"/>
      </w:tabs>
      <w:spacing w:after="0"/>
    </w:pPr>
  </w:style>
  <w:style w:type="paragraph" w:customStyle="1" w:styleId="Paragraph">
    <w:name w:val="Paragraph"/>
    <w:aliases w:val="paragraph,p,PARAGRAPH,PG,pa,at"/>
    <w:basedOn w:val="BodyTextIndent"/>
    <w:link w:val="ParagraphChar"/>
    <w:rsid w:val="00C03FA8"/>
    <w:pPr>
      <w:numPr>
        <w:ilvl w:val="1"/>
        <w:numId w:val="13"/>
      </w:numPr>
      <w:spacing w:before="120"/>
      <w:outlineLvl w:val="1"/>
    </w:pPr>
    <w:rPr>
      <w:szCs w:val="20"/>
      <w:lang w:eastAsia="en-US"/>
    </w:rPr>
  </w:style>
  <w:style w:type="paragraph" w:customStyle="1" w:styleId="RegheadTab">
    <w:name w:val="RegheadTab"/>
    <w:basedOn w:val="Normal"/>
    <w:rsid w:val="00C03FA8"/>
    <w:pPr>
      <w:keepNext/>
      <w:tabs>
        <w:tab w:val="left" w:pos="0"/>
        <w:tab w:val="left" w:pos="90"/>
        <w:tab w:val="num" w:pos="504"/>
      </w:tabs>
      <w:spacing w:before="120"/>
      <w:ind w:left="504" w:hanging="504"/>
      <w:jc w:val="center"/>
    </w:pPr>
    <w:rPr>
      <w:b/>
      <w:szCs w:val="20"/>
      <w:lang w:eastAsia="en-US"/>
    </w:rPr>
  </w:style>
  <w:style w:type="paragraph" w:customStyle="1" w:styleId="subpar">
    <w:name w:val="subpar"/>
    <w:basedOn w:val="BodyTextIndent3"/>
    <w:rsid w:val="00C03FA8"/>
    <w:pPr>
      <w:numPr>
        <w:ilvl w:val="2"/>
        <w:numId w:val="13"/>
      </w:numPr>
      <w:spacing w:before="120"/>
      <w:outlineLvl w:val="2"/>
    </w:pPr>
    <w:rPr>
      <w:sz w:val="24"/>
      <w:szCs w:val="20"/>
      <w:lang w:val="es-ES_tradnl" w:eastAsia="en-US"/>
    </w:rPr>
  </w:style>
  <w:style w:type="paragraph" w:customStyle="1" w:styleId="SubSubPar">
    <w:name w:val="SubSubPar"/>
    <w:basedOn w:val="subpar"/>
    <w:rsid w:val="00C03FA8"/>
    <w:pPr>
      <w:numPr>
        <w:ilvl w:val="3"/>
      </w:numPr>
      <w:tabs>
        <w:tab w:val="left" w:pos="0"/>
      </w:tabs>
    </w:pPr>
  </w:style>
  <w:style w:type="character" w:styleId="PlaceholderText">
    <w:name w:val="Placeholder Text"/>
    <w:basedOn w:val="DefaultParagraphFont"/>
    <w:uiPriority w:val="99"/>
    <w:semiHidden/>
    <w:rsid w:val="00C83003"/>
    <w:rPr>
      <w:color w:val="808080"/>
    </w:rPr>
  </w:style>
  <w:style w:type="character" w:styleId="BookTitle">
    <w:name w:val="Book Title"/>
    <w:basedOn w:val="DefaultParagraphFont"/>
    <w:uiPriority w:val="33"/>
    <w:qFormat/>
    <w:rsid w:val="006D5597"/>
    <w:rPr>
      <w:rFonts w:cs="Times New Roman"/>
      <w:b/>
      <w:smallCaps/>
      <w:spacing w:val="5"/>
    </w:rPr>
  </w:style>
  <w:style w:type="character" w:customStyle="1" w:styleId="NoSpacingChar">
    <w:name w:val="No Spacing Char"/>
    <w:basedOn w:val="DefaultParagraphFont"/>
    <w:link w:val="NoSpacing"/>
    <w:uiPriority w:val="1"/>
    <w:rsid w:val="00661854"/>
    <w:rPr>
      <w:sz w:val="24"/>
      <w:szCs w:val="24"/>
    </w:rPr>
  </w:style>
  <w:style w:type="paragraph" w:styleId="Revision">
    <w:name w:val="Revision"/>
    <w:hidden/>
    <w:uiPriority w:val="99"/>
    <w:semiHidden/>
    <w:rsid w:val="002B3067"/>
    <w:rPr>
      <w:sz w:val="22"/>
      <w:szCs w:val="22"/>
    </w:rPr>
  </w:style>
  <w:style w:type="character" w:customStyle="1" w:styleId="FooterChar">
    <w:name w:val="Footer Char"/>
    <w:link w:val="Footer"/>
    <w:uiPriority w:val="99"/>
    <w:rsid w:val="00BC22F6"/>
    <w:rPr>
      <w:sz w:val="22"/>
      <w:szCs w:val="22"/>
    </w:rPr>
  </w:style>
  <w:style w:type="character" w:customStyle="1" w:styleId="ParagraphChar">
    <w:name w:val="Paragraph Char"/>
    <w:link w:val="Paragraph"/>
    <w:rsid w:val="00FF21D8"/>
    <w:rPr>
      <w:sz w:val="24"/>
      <w:lang w:eastAsia="en-US"/>
    </w:rPr>
  </w:style>
  <w:style w:type="character" w:customStyle="1" w:styleId="FootnoteTextChar">
    <w:name w:val="Footnote Text Char"/>
    <w:basedOn w:val="DefaultParagraphFont"/>
    <w:link w:val="FootnoteText"/>
    <w:uiPriority w:val="99"/>
    <w:semiHidden/>
    <w:rsid w:val="00FF21D8"/>
  </w:style>
  <w:style w:type="paragraph" w:customStyle="1" w:styleId="SecHeading">
    <w:name w:val="SecHeading"/>
    <w:basedOn w:val="Normal"/>
    <w:next w:val="Paragraph"/>
    <w:rsid w:val="0027073B"/>
    <w:pPr>
      <w:keepNext/>
      <w:tabs>
        <w:tab w:val="num" w:pos="1584"/>
      </w:tabs>
      <w:spacing w:before="120" w:after="120"/>
      <w:ind w:left="1584" w:hanging="288"/>
    </w:pPr>
    <w:rPr>
      <w:b/>
      <w:bCs/>
      <w:lang w:val="es-ES_tradnl"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080">
      <w:bodyDiv w:val="1"/>
      <w:marLeft w:val="0"/>
      <w:marRight w:val="0"/>
      <w:marTop w:val="0"/>
      <w:marBottom w:val="0"/>
      <w:divBdr>
        <w:top w:val="none" w:sz="0" w:space="0" w:color="auto"/>
        <w:left w:val="none" w:sz="0" w:space="0" w:color="auto"/>
        <w:bottom w:val="none" w:sz="0" w:space="0" w:color="auto"/>
        <w:right w:val="none" w:sz="0" w:space="0" w:color="auto"/>
      </w:divBdr>
    </w:div>
    <w:div w:id="5718952">
      <w:bodyDiv w:val="1"/>
      <w:marLeft w:val="0"/>
      <w:marRight w:val="0"/>
      <w:marTop w:val="0"/>
      <w:marBottom w:val="0"/>
      <w:divBdr>
        <w:top w:val="none" w:sz="0" w:space="0" w:color="auto"/>
        <w:left w:val="none" w:sz="0" w:space="0" w:color="auto"/>
        <w:bottom w:val="none" w:sz="0" w:space="0" w:color="auto"/>
        <w:right w:val="none" w:sz="0" w:space="0" w:color="auto"/>
      </w:divBdr>
    </w:div>
    <w:div w:id="20054997">
      <w:bodyDiv w:val="1"/>
      <w:marLeft w:val="0"/>
      <w:marRight w:val="0"/>
      <w:marTop w:val="0"/>
      <w:marBottom w:val="0"/>
      <w:divBdr>
        <w:top w:val="none" w:sz="0" w:space="0" w:color="auto"/>
        <w:left w:val="none" w:sz="0" w:space="0" w:color="auto"/>
        <w:bottom w:val="none" w:sz="0" w:space="0" w:color="auto"/>
        <w:right w:val="none" w:sz="0" w:space="0" w:color="auto"/>
      </w:divBdr>
    </w:div>
    <w:div w:id="21134538">
      <w:bodyDiv w:val="1"/>
      <w:marLeft w:val="0"/>
      <w:marRight w:val="0"/>
      <w:marTop w:val="0"/>
      <w:marBottom w:val="0"/>
      <w:divBdr>
        <w:top w:val="none" w:sz="0" w:space="0" w:color="auto"/>
        <w:left w:val="none" w:sz="0" w:space="0" w:color="auto"/>
        <w:bottom w:val="none" w:sz="0" w:space="0" w:color="auto"/>
        <w:right w:val="none" w:sz="0" w:space="0" w:color="auto"/>
      </w:divBdr>
    </w:div>
    <w:div w:id="26224532">
      <w:bodyDiv w:val="1"/>
      <w:marLeft w:val="0"/>
      <w:marRight w:val="0"/>
      <w:marTop w:val="0"/>
      <w:marBottom w:val="0"/>
      <w:divBdr>
        <w:top w:val="none" w:sz="0" w:space="0" w:color="auto"/>
        <w:left w:val="none" w:sz="0" w:space="0" w:color="auto"/>
        <w:bottom w:val="none" w:sz="0" w:space="0" w:color="auto"/>
        <w:right w:val="none" w:sz="0" w:space="0" w:color="auto"/>
      </w:divBdr>
    </w:div>
    <w:div w:id="28335356">
      <w:bodyDiv w:val="1"/>
      <w:marLeft w:val="0"/>
      <w:marRight w:val="0"/>
      <w:marTop w:val="0"/>
      <w:marBottom w:val="0"/>
      <w:divBdr>
        <w:top w:val="none" w:sz="0" w:space="0" w:color="auto"/>
        <w:left w:val="none" w:sz="0" w:space="0" w:color="auto"/>
        <w:bottom w:val="none" w:sz="0" w:space="0" w:color="auto"/>
        <w:right w:val="none" w:sz="0" w:space="0" w:color="auto"/>
      </w:divBdr>
    </w:div>
    <w:div w:id="46148509">
      <w:bodyDiv w:val="1"/>
      <w:marLeft w:val="0"/>
      <w:marRight w:val="0"/>
      <w:marTop w:val="0"/>
      <w:marBottom w:val="0"/>
      <w:divBdr>
        <w:top w:val="none" w:sz="0" w:space="0" w:color="auto"/>
        <w:left w:val="none" w:sz="0" w:space="0" w:color="auto"/>
        <w:bottom w:val="none" w:sz="0" w:space="0" w:color="auto"/>
        <w:right w:val="none" w:sz="0" w:space="0" w:color="auto"/>
      </w:divBdr>
    </w:div>
    <w:div w:id="69278885">
      <w:bodyDiv w:val="1"/>
      <w:marLeft w:val="0"/>
      <w:marRight w:val="0"/>
      <w:marTop w:val="0"/>
      <w:marBottom w:val="0"/>
      <w:divBdr>
        <w:top w:val="none" w:sz="0" w:space="0" w:color="auto"/>
        <w:left w:val="none" w:sz="0" w:space="0" w:color="auto"/>
        <w:bottom w:val="none" w:sz="0" w:space="0" w:color="auto"/>
        <w:right w:val="none" w:sz="0" w:space="0" w:color="auto"/>
      </w:divBdr>
      <w:divsChild>
        <w:div w:id="982854659">
          <w:marLeft w:val="576"/>
          <w:marRight w:val="0"/>
          <w:marTop w:val="60"/>
          <w:marBottom w:val="0"/>
          <w:divBdr>
            <w:top w:val="none" w:sz="0" w:space="0" w:color="auto"/>
            <w:left w:val="none" w:sz="0" w:space="0" w:color="auto"/>
            <w:bottom w:val="none" w:sz="0" w:space="0" w:color="auto"/>
            <w:right w:val="none" w:sz="0" w:space="0" w:color="auto"/>
          </w:divBdr>
        </w:div>
      </w:divsChild>
    </w:div>
    <w:div w:id="108471966">
      <w:bodyDiv w:val="1"/>
      <w:marLeft w:val="0"/>
      <w:marRight w:val="0"/>
      <w:marTop w:val="0"/>
      <w:marBottom w:val="0"/>
      <w:divBdr>
        <w:top w:val="none" w:sz="0" w:space="0" w:color="auto"/>
        <w:left w:val="none" w:sz="0" w:space="0" w:color="auto"/>
        <w:bottom w:val="none" w:sz="0" w:space="0" w:color="auto"/>
        <w:right w:val="none" w:sz="0" w:space="0" w:color="auto"/>
      </w:divBdr>
    </w:div>
    <w:div w:id="120731136">
      <w:bodyDiv w:val="1"/>
      <w:marLeft w:val="0"/>
      <w:marRight w:val="0"/>
      <w:marTop w:val="0"/>
      <w:marBottom w:val="0"/>
      <w:divBdr>
        <w:top w:val="none" w:sz="0" w:space="0" w:color="auto"/>
        <w:left w:val="none" w:sz="0" w:space="0" w:color="auto"/>
        <w:bottom w:val="none" w:sz="0" w:space="0" w:color="auto"/>
        <w:right w:val="none" w:sz="0" w:space="0" w:color="auto"/>
      </w:divBdr>
    </w:div>
    <w:div w:id="151289532">
      <w:bodyDiv w:val="1"/>
      <w:marLeft w:val="0"/>
      <w:marRight w:val="0"/>
      <w:marTop w:val="0"/>
      <w:marBottom w:val="0"/>
      <w:divBdr>
        <w:top w:val="none" w:sz="0" w:space="0" w:color="auto"/>
        <w:left w:val="none" w:sz="0" w:space="0" w:color="auto"/>
        <w:bottom w:val="none" w:sz="0" w:space="0" w:color="auto"/>
        <w:right w:val="none" w:sz="0" w:space="0" w:color="auto"/>
      </w:divBdr>
    </w:div>
    <w:div w:id="157618416">
      <w:bodyDiv w:val="1"/>
      <w:marLeft w:val="0"/>
      <w:marRight w:val="0"/>
      <w:marTop w:val="0"/>
      <w:marBottom w:val="0"/>
      <w:divBdr>
        <w:top w:val="none" w:sz="0" w:space="0" w:color="auto"/>
        <w:left w:val="none" w:sz="0" w:space="0" w:color="auto"/>
        <w:bottom w:val="none" w:sz="0" w:space="0" w:color="auto"/>
        <w:right w:val="none" w:sz="0" w:space="0" w:color="auto"/>
      </w:divBdr>
    </w:div>
    <w:div w:id="168563512">
      <w:bodyDiv w:val="1"/>
      <w:marLeft w:val="0"/>
      <w:marRight w:val="0"/>
      <w:marTop w:val="0"/>
      <w:marBottom w:val="0"/>
      <w:divBdr>
        <w:top w:val="none" w:sz="0" w:space="0" w:color="auto"/>
        <w:left w:val="none" w:sz="0" w:space="0" w:color="auto"/>
        <w:bottom w:val="none" w:sz="0" w:space="0" w:color="auto"/>
        <w:right w:val="none" w:sz="0" w:space="0" w:color="auto"/>
      </w:divBdr>
    </w:div>
    <w:div w:id="177044434">
      <w:bodyDiv w:val="1"/>
      <w:marLeft w:val="0"/>
      <w:marRight w:val="0"/>
      <w:marTop w:val="0"/>
      <w:marBottom w:val="0"/>
      <w:divBdr>
        <w:top w:val="none" w:sz="0" w:space="0" w:color="auto"/>
        <w:left w:val="none" w:sz="0" w:space="0" w:color="auto"/>
        <w:bottom w:val="none" w:sz="0" w:space="0" w:color="auto"/>
        <w:right w:val="none" w:sz="0" w:space="0" w:color="auto"/>
      </w:divBdr>
    </w:div>
    <w:div w:id="177819937">
      <w:bodyDiv w:val="1"/>
      <w:marLeft w:val="0"/>
      <w:marRight w:val="0"/>
      <w:marTop w:val="0"/>
      <w:marBottom w:val="0"/>
      <w:divBdr>
        <w:top w:val="none" w:sz="0" w:space="0" w:color="auto"/>
        <w:left w:val="none" w:sz="0" w:space="0" w:color="auto"/>
        <w:bottom w:val="none" w:sz="0" w:space="0" w:color="auto"/>
        <w:right w:val="none" w:sz="0" w:space="0" w:color="auto"/>
      </w:divBdr>
    </w:div>
    <w:div w:id="245725788">
      <w:bodyDiv w:val="1"/>
      <w:marLeft w:val="0"/>
      <w:marRight w:val="0"/>
      <w:marTop w:val="0"/>
      <w:marBottom w:val="0"/>
      <w:divBdr>
        <w:top w:val="none" w:sz="0" w:space="0" w:color="auto"/>
        <w:left w:val="none" w:sz="0" w:space="0" w:color="auto"/>
        <w:bottom w:val="none" w:sz="0" w:space="0" w:color="auto"/>
        <w:right w:val="none" w:sz="0" w:space="0" w:color="auto"/>
      </w:divBdr>
    </w:div>
    <w:div w:id="298733992">
      <w:bodyDiv w:val="1"/>
      <w:marLeft w:val="0"/>
      <w:marRight w:val="0"/>
      <w:marTop w:val="0"/>
      <w:marBottom w:val="0"/>
      <w:divBdr>
        <w:top w:val="none" w:sz="0" w:space="0" w:color="auto"/>
        <w:left w:val="none" w:sz="0" w:space="0" w:color="auto"/>
        <w:bottom w:val="none" w:sz="0" w:space="0" w:color="auto"/>
        <w:right w:val="none" w:sz="0" w:space="0" w:color="auto"/>
      </w:divBdr>
    </w:div>
    <w:div w:id="301276638">
      <w:bodyDiv w:val="1"/>
      <w:marLeft w:val="0"/>
      <w:marRight w:val="0"/>
      <w:marTop w:val="0"/>
      <w:marBottom w:val="0"/>
      <w:divBdr>
        <w:top w:val="none" w:sz="0" w:space="0" w:color="auto"/>
        <w:left w:val="none" w:sz="0" w:space="0" w:color="auto"/>
        <w:bottom w:val="none" w:sz="0" w:space="0" w:color="auto"/>
        <w:right w:val="none" w:sz="0" w:space="0" w:color="auto"/>
      </w:divBdr>
    </w:div>
    <w:div w:id="327101535">
      <w:bodyDiv w:val="1"/>
      <w:marLeft w:val="0"/>
      <w:marRight w:val="0"/>
      <w:marTop w:val="0"/>
      <w:marBottom w:val="0"/>
      <w:divBdr>
        <w:top w:val="none" w:sz="0" w:space="0" w:color="auto"/>
        <w:left w:val="none" w:sz="0" w:space="0" w:color="auto"/>
        <w:bottom w:val="none" w:sz="0" w:space="0" w:color="auto"/>
        <w:right w:val="none" w:sz="0" w:space="0" w:color="auto"/>
      </w:divBdr>
    </w:div>
    <w:div w:id="328874608">
      <w:bodyDiv w:val="1"/>
      <w:marLeft w:val="0"/>
      <w:marRight w:val="0"/>
      <w:marTop w:val="0"/>
      <w:marBottom w:val="0"/>
      <w:divBdr>
        <w:top w:val="none" w:sz="0" w:space="0" w:color="auto"/>
        <w:left w:val="none" w:sz="0" w:space="0" w:color="auto"/>
        <w:bottom w:val="none" w:sz="0" w:space="0" w:color="auto"/>
        <w:right w:val="none" w:sz="0" w:space="0" w:color="auto"/>
      </w:divBdr>
    </w:div>
    <w:div w:id="341132178">
      <w:bodyDiv w:val="1"/>
      <w:marLeft w:val="0"/>
      <w:marRight w:val="0"/>
      <w:marTop w:val="0"/>
      <w:marBottom w:val="0"/>
      <w:divBdr>
        <w:top w:val="none" w:sz="0" w:space="0" w:color="auto"/>
        <w:left w:val="none" w:sz="0" w:space="0" w:color="auto"/>
        <w:bottom w:val="none" w:sz="0" w:space="0" w:color="auto"/>
        <w:right w:val="none" w:sz="0" w:space="0" w:color="auto"/>
      </w:divBdr>
    </w:div>
    <w:div w:id="349071900">
      <w:bodyDiv w:val="1"/>
      <w:marLeft w:val="0"/>
      <w:marRight w:val="0"/>
      <w:marTop w:val="0"/>
      <w:marBottom w:val="0"/>
      <w:divBdr>
        <w:top w:val="none" w:sz="0" w:space="0" w:color="auto"/>
        <w:left w:val="none" w:sz="0" w:space="0" w:color="auto"/>
        <w:bottom w:val="none" w:sz="0" w:space="0" w:color="auto"/>
        <w:right w:val="none" w:sz="0" w:space="0" w:color="auto"/>
      </w:divBdr>
    </w:div>
    <w:div w:id="361175204">
      <w:bodyDiv w:val="1"/>
      <w:marLeft w:val="0"/>
      <w:marRight w:val="0"/>
      <w:marTop w:val="0"/>
      <w:marBottom w:val="0"/>
      <w:divBdr>
        <w:top w:val="none" w:sz="0" w:space="0" w:color="auto"/>
        <w:left w:val="none" w:sz="0" w:space="0" w:color="auto"/>
        <w:bottom w:val="none" w:sz="0" w:space="0" w:color="auto"/>
        <w:right w:val="none" w:sz="0" w:space="0" w:color="auto"/>
      </w:divBdr>
    </w:div>
    <w:div w:id="365377395">
      <w:bodyDiv w:val="1"/>
      <w:marLeft w:val="0"/>
      <w:marRight w:val="0"/>
      <w:marTop w:val="0"/>
      <w:marBottom w:val="0"/>
      <w:divBdr>
        <w:top w:val="none" w:sz="0" w:space="0" w:color="auto"/>
        <w:left w:val="none" w:sz="0" w:space="0" w:color="auto"/>
        <w:bottom w:val="none" w:sz="0" w:space="0" w:color="auto"/>
        <w:right w:val="none" w:sz="0" w:space="0" w:color="auto"/>
      </w:divBdr>
    </w:div>
    <w:div w:id="380598880">
      <w:bodyDiv w:val="1"/>
      <w:marLeft w:val="0"/>
      <w:marRight w:val="0"/>
      <w:marTop w:val="0"/>
      <w:marBottom w:val="0"/>
      <w:divBdr>
        <w:top w:val="none" w:sz="0" w:space="0" w:color="auto"/>
        <w:left w:val="none" w:sz="0" w:space="0" w:color="auto"/>
        <w:bottom w:val="none" w:sz="0" w:space="0" w:color="auto"/>
        <w:right w:val="none" w:sz="0" w:space="0" w:color="auto"/>
      </w:divBdr>
    </w:div>
    <w:div w:id="388918579">
      <w:bodyDiv w:val="1"/>
      <w:marLeft w:val="0"/>
      <w:marRight w:val="0"/>
      <w:marTop w:val="0"/>
      <w:marBottom w:val="0"/>
      <w:divBdr>
        <w:top w:val="none" w:sz="0" w:space="0" w:color="auto"/>
        <w:left w:val="none" w:sz="0" w:space="0" w:color="auto"/>
        <w:bottom w:val="none" w:sz="0" w:space="0" w:color="auto"/>
        <w:right w:val="none" w:sz="0" w:space="0" w:color="auto"/>
      </w:divBdr>
    </w:div>
    <w:div w:id="457266055">
      <w:bodyDiv w:val="1"/>
      <w:marLeft w:val="0"/>
      <w:marRight w:val="0"/>
      <w:marTop w:val="0"/>
      <w:marBottom w:val="0"/>
      <w:divBdr>
        <w:top w:val="none" w:sz="0" w:space="0" w:color="auto"/>
        <w:left w:val="none" w:sz="0" w:space="0" w:color="auto"/>
        <w:bottom w:val="none" w:sz="0" w:space="0" w:color="auto"/>
        <w:right w:val="none" w:sz="0" w:space="0" w:color="auto"/>
      </w:divBdr>
    </w:div>
    <w:div w:id="486097428">
      <w:bodyDiv w:val="1"/>
      <w:marLeft w:val="0"/>
      <w:marRight w:val="0"/>
      <w:marTop w:val="0"/>
      <w:marBottom w:val="0"/>
      <w:divBdr>
        <w:top w:val="none" w:sz="0" w:space="0" w:color="auto"/>
        <w:left w:val="none" w:sz="0" w:space="0" w:color="auto"/>
        <w:bottom w:val="none" w:sz="0" w:space="0" w:color="auto"/>
        <w:right w:val="none" w:sz="0" w:space="0" w:color="auto"/>
      </w:divBdr>
    </w:div>
    <w:div w:id="495725489">
      <w:bodyDiv w:val="1"/>
      <w:marLeft w:val="0"/>
      <w:marRight w:val="0"/>
      <w:marTop w:val="0"/>
      <w:marBottom w:val="0"/>
      <w:divBdr>
        <w:top w:val="none" w:sz="0" w:space="0" w:color="auto"/>
        <w:left w:val="none" w:sz="0" w:space="0" w:color="auto"/>
        <w:bottom w:val="none" w:sz="0" w:space="0" w:color="auto"/>
        <w:right w:val="none" w:sz="0" w:space="0" w:color="auto"/>
      </w:divBdr>
    </w:div>
    <w:div w:id="496698618">
      <w:bodyDiv w:val="1"/>
      <w:marLeft w:val="0"/>
      <w:marRight w:val="0"/>
      <w:marTop w:val="0"/>
      <w:marBottom w:val="0"/>
      <w:divBdr>
        <w:top w:val="none" w:sz="0" w:space="0" w:color="auto"/>
        <w:left w:val="none" w:sz="0" w:space="0" w:color="auto"/>
        <w:bottom w:val="none" w:sz="0" w:space="0" w:color="auto"/>
        <w:right w:val="none" w:sz="0" w:space="0" w:color="auto"/>
      </w:divBdr>
    </w:div>
    <w:div w:id="530845423">
      <w:bodyDiv w:val="1"/>
      <w:marLeft w:val="0"/>
      <w:marRight w:val="0"/>
      <w:marTop w:val="0"/>
      <w:marBottom w:val="0"/>
      <w:divBdr>
        <w:top w:val="none" w:sz="0" w:space="0" w:color="auto"/>
        <w:left w:val="none" w:sz="0" w:space="0" w:color="auto"/>
        <w:bottom w:val="none" w:sz="0" w:space="0" w:color="auto"/>
        <w:right w:val="none" w:sz="0" w:space="0" w:color="auto"/>
      </w:divBdr>
    </w:div>
    <w:div w:id="575091358">
      <w:bodyDiv w:val="1"/>
      <w:marLeft w:val="0"/>
      <w:marRight w:val="0"/>
      <w:marTop w:val="0"/>
      <w:marBottom w:val="0"/>
      <w:divBdr>
        <w:top w:val="none" w:sz="0" w:space="0" w:color="auto"/>
        <w:left w:val="none" w:sz="0" w:space="0" w:color="auto"/>
        <w:bottom w:val="none" w:sz="0" w:space="0" w:color="auto"/>
        <w:right w:val="none" w:sz="0" w:space="0" w:color="auto"/>
      </w:divBdr>
    </w:div>
    <w:div w:id="579289232">
      <w:bodyDiv w:val="1"/>
      <w:marLeft w:val="0"/>
      <w:marRight w:val="0"/>
      <w:marTop w:val="0"/>
      <w:marBottom w:val="0"/>
      <w:divBdr>
        <w:top w:val="none" w:sz="0" w:space="0" w:color="auto"/>
        <w:left w:val="none" w:sz="0" w:space="0" w:color="auto"/>
        <w:bottom w:val="none" w:sz="0" w:space="0" w:color="auto"/>
        <w:right w:val="none" w:sz="0" w:space="0" w:color="auto"/>
      </w:divBdr>
    </w:div>
    <w:div w:id="580987838">
      <w:bodyDiv w:val="1"/>
      <w:marLeft w:val="0"/>
      <w:marRight w:val="0"/>
      <w:marTop w:val="0"/>
      <w:marBottom w:val="0"/>
      <w:divBdr>
        <w:top w:val="none" w:sz="0" w:space="0" w:color="auto"/>
        <w:left w:val="none" w:sz="0" w:space="0" w:color="auto"/>
        <w:bottom w:val="none" w:sz="0" w:space="0" w:color="auto"/>
        <w:right w:val="none" w:sz="0" w:space="0" w:color="auto"/>
      </w:divBdr>
    </w:div>
    <w:div w:id="610431138">
      <w:bodyDiv w:val="1"/>
      <w:marLeft w:val="0"/>
      <w:marRight w:val="0"/>
      <w:marTop w:val="0"/>
      <w:marBottom w:val="0"/>
      <w:divBdr>
        <w:top w:val="none" w:sz="0" w:space="0" w:color="auto"/>
        <w:left w:val="none" w:sz="0" w:space="0" w:color="auto"/>
        <w:bottom w:val="none" w:sz="0" w:space="0" w:color="auto"/>
        <w:right w:val="none" w:sz="0" w:space="0" w:color="auto"/>
      </w:divBdr>
    </w:div>
    <w:div w:id="656688039">
      <w:bodyDiv w:val="1"/>
      <w:marLeft w:val="0"/>
      <w:marRight w:val="0"/>
      <w:marTop w:val="0"/>
      <w:marBottom w:val="0"/>
      <w:divBdr>
        <w:top w:val="none" w:sz="0" w:space="0" w:color="auto"/>
        <w:left w:val="none" w:sz="0" w:space="0" w:color="auto"/>
        <w:bottom w:val="none" w:sz="0" w:space="0" w:color="auto"/>
        <w:right w:val="none" w:sz="0" w:space="0" w:color="auto"/>
      </w:divBdr>
    </w:div>
    <w:div w:id="659387032">
      <w:bodyDiv w:val="1"/>
      <w:marLeft w:val="0"/>
      <w:marRight w:val="0"/>
      <w:marTop w:val="0"/>
      <w:marBottom w:val="0"/>
      <w:divBdr>
        <w:top w:val="none" w:sz="0" w:space="0" w:color="auto"/>
        <w:left w:val="none" w:sz="0" w:space="0" w:color="auto"/>
        <w:bottom w:val="none" w:sz="0" w:space="0" w:color="auto"/>
        <w:right w:val="none" w:sz="0" w:space="0" w:color="auto"/>
      </w:divBdr>
    </w:div>
    <w:div w:id="682702232">
      <w:bodyDiv w:val="1"/>
      <w:marLeft w:val="0"/>
      <w:marRight w:val="0"/>
      <w:marTop w:val="0"/>
      <w:marBottom w:val="0"/>
      <w:divBdr>
        <w:top w:val="none" w:sz="0" w:space="0" w:color="auto"/>
        <w:left w:val="none" w:sz="0" w:space="0" w:color="auto"/>
        <w:bottom w:val="none" w:sz="0" w:space="0" w:color="auto"/>
        <w:right w:val="none" w:sz="0" w:space="0" w:color="auto"/>
      </w:divBdr>
      <w:divsChild>
        <w:div w:id="528491180">
          <w:marLeft w:val="576"/>
          <w:marRight w:val="0"/>
          <w:marTop w:val="60"/>
          <w:marBottom w:val="0"/>
          <w:divBdr>
            <w:top w:val="none" w:sz="0" w:space="0" w:color="auto"/>
            <w:left w:val="none" w:sz="0" w:space="0" w:color="auto"/>
            <w:bottom w:val="none" w:sz="0" w:space="0" w:color="auto"/>
            <w:right w:val="none" w:sz="0" w:space="0" w:color="auto"/>
          </w:divBdr>
        </w:div>
        <w:div w:id="1789229660">
          <w:marLeft w:val="576"/>
          <w:marRight w:val="0"/>
          <w:marTop w:val="60"/>
          <w:marBottom w:val="0"/>
          <w:divBdr>
            <w:top w:val="none" w:sz="0" w:space="0" w:color="auto"/>
            <w:left w:val="none" w:sz="0" w:space="0" w:color="auto"/>
            <w:bottom w:val="none" w:sz="0" w:space="0" w:color="auto"/>
            <w:right w:val="none" w:sz="0" w:space="0" w:color="auto"/>
          </w:divBdr>
        </w:div>
      </w:divsChild>
    </w:div>
    <w:div w:id="703135907">
      <w:bodyDiv w:val="1"/>
      <w:marLeft w:val="0"/>
      <w:marRight w:val="0"/>
      <w:marTop w:val="0"/>
      <w:marBottom w:val="0"/>
      <w:divBdr>
        <w:top w:val="none" w:sz="0" w:space="0" w:color="auto"/>
        <w:left w:val="none" w:sz="0" w:space="0" w:color="auto"/>
        <w:bottom w:val="none" w:sz="0" w:space="0" w:color="auto"/>
        <w:right w:val="none" w:sz="0" w:space="0" w:color="auto"/>
      </w:divBdr>
    </w:div>
    <w:div w:id="716853183">
      <w:bodyDiv w:val="1"/>
      <w:marLeft w:val="0"/>
      <w:marRight w:val="0"/>
      <w:marTop w:val="0"/>
      <w:marBottom w:val="0"/>
      <w:divBdr>
        <w:top w:val="none" w:sz="0" w:space="0" w:color="auto"/>
        <w:left w:val="none" w:sz="0" w:space="0" w:color="auto"/>
        <w:bottom w:val="none" w:sz="0" w:space="0" w:color="auto"/>
        <w:right w:val="none" w:sz="0" w:space="0" w:color="auto"/>
      </w:divBdr>
    </w:div>
    <w:div w:id="726412792">
      <w:bodyDiv w:val="1"/>
      <w:marLeft w:val="0"/>
      <w:marRight w:val="0"/>
      <w:marTop w:val="0"/>
      <w:marBottom w:val="0"/>
      <w:divBdr>
        <w:top w:val="none" w:sz="0" w:space="0" w:color="auto"/>
        <w:left w:val="none" w:sz="0" w:space="0" w:color="auto"/>
        <w:bottom w:val="none" w:sz="0" w:space="0" w:color="auto"/>
        <w:right w:val="none" w:sz="0" w:space="0" w:color="auto"/>
      </w:divBdr>
      <w:divsChild>
        <w:div w:id="1015693434">
          <w:marLeft w:val="576"/>
          <w:marRight w:val="0"/>
          <w:marTop w:val="60"/>
          <w:marBottom w:val="0"/>
          <w:divBdr>
            <w:top w:val="none" w:sz="0" w:space="0" w:color="auto"/>
            <w:left w:val="none" w:sz="0" w:space="0" w:color="auto"/>
            <w:bottom w:val="none" w:sz="0" w:space="0" w:color="auto"/>
            <w:right w:val="none" w:sz="0" w:space="0" w:color="auto"/>
          </w:divBdr>
        </w:div>
        <w:div w:id="1086538202">
          <w:marLeft w:val="576"/>
          <w:marRight w:val="0"/>
          <w:marTop w:val="60"/>
          <w:marBottom w:val="0"/>
          <w:divBdr>
            <w:top w:val="none" w:sz="0" w:space="0" w:color="auto"/>
            <w:left w:val="none" w:sz="0" w:space="0" w:color="auto"/>
            <w:bottom w:val="none" w:sz="0" w:space="0" w:color="auto"/>
            <w:right w:val="none" w:sz="0" w:space="0" w:color="auto"/>
          </w:divBdr>
        </w:div>
        <w:div w:id="1191144299">
          <w:marLeft w:val="576"/>
          <w:marRight w:val="0"/>
          <w:marTop w:val="60"/>
          <w:marBottom w:val="0"/>
          <w:divBdr>
            <w:top w:val="none" w:sz="0" w:space="0" w:color="auto"/>
            <w:left w:val="none" w:sz="0" w:space="0" w:color="auto"/>
            <w:bottom w:val="none" w:sz="0" w:space="0" w:color="auto"/>
            <w:right w:val="none" w:sz="0" w:space="0" w:color="auto"/>
          </w:divBdr>
        </w:div>
        <w:div w:id="1381902267">
          <w:marLeft w:val="576"/>
          <w:marRight w:val="0"/>
          <w:marTop w:val="60"/>
          <w:marBottom w:val="0"/>
          <w:divBdr>
            <w:top w:val="none" w:sz="0" w:space="0" w:color="auto"/>
            <w:left w:val="none" w:sz="0" w:space="0" w:color="auto"/>
            <w:bottom w:val="none" w:sz="0" w:space="0" w:color="auto"/>
            <w:right w:val="none" w:sz="0" w:space="0" w:color="auto"/>
          </w:divBdr>
        </w:div>
      </w:divsChild>
    </w:div>
    <w:div w:id="778063785">
      <w:bodyDiv w:val="1"/>
      <w:marLeft w:val="0"/>
      <w:marRight w:val="0"/>
      <w:marTop w:val="0"/>
      <w:marBottom w:val="0"/>
      <w:divBdr>
        <w:top w:val="none" w:sz="0" w:space="0" w:color="auto"/>
        <w:left w:val="none" w:sz="0" w:space="0" w:color="auto"/>
        <w:bottom w:val="none" w:sz="0" w:space="0" w:color="auto"/>
        <w:right w:val="none" w:sz="0" w:space="0" w:color="auto"/>
      </w:divBdr>
    </w:div>
    <w:div w:id="811672299">
      <w:bodyDiv w:val="1"/>
      <w:marLeft w:val="0"/>
      <w:marRight w:val="0"/>
      <w:marTop w:val="0"/>
      <w:marBottom w:val="0"/>
      <w:divBdr>
        <w:top w:val="none" w:sz="0" w:space="0" w:color="auto"/>
        <w:left w:val="none" w:sz="0" w:space="0" w:color="auto"/>
        <w:bottom w:val="none" w:sz="0" w:space="0" w:color="auto"/>
        <w:right w:val="none" w:sz="0" w:space="0" w:color="auto"/>
      </w:divBdr>
    </w:div>
    <w:div w:id="812603060">
      <w:bodyDiv w:val="1"/>
      <w:marLeft w:val="0"/>
      <w:marRight w:val="0"/>
      <w:marTop w:val="0"/>
      <w:marBottom w:val="0"/>
      <w:divBdr>
        <w:top w:val="none" w:sz="0" w:space="0" w:color="auto"/>
        <w:left w:val="none" w:sz="0" w:space="0" w:color="auto"/>
        <w:bottom w:val="none" w:sz="0" w:space="0" w:color="auto"/>
        <w:right w:val="none" w:sz="0" w:space="0" w:color="auto"/>
      </w:divBdr>
    </w:div>
    <w:div w:id="834420287">
      <w:bodyDiv w:val="1"/>
      <w:marLeft w:val="0"/>
      <w:marRight w:val="0"/>
      <w:marTop w:val="0"/>
      <w:marBottom w:val="0"/>
      <w:divBdr>
        <w:top w:val="none" w:sz="0" w:space="0" w:color="auto"/>
        <w:left w:val="none" w:sz="0" w:space="0" w:color="auto"/>
        <w:bottom w:val="none" w:sz="0" w:space="0" w:color="auto"/>
        <w:right w:val="none" w:sz="0" w:space="0" w:color="auto"/>
      </w:divBdr>
      <w:divsChild>
        <w:div w:id="1568884675">
          <w:marLeft w:val="576"/>
          <w:marRight w:val="0"/>
          <w:marTop w:val="60"/>
          <w:marBottom w:val="0"/>
          <w:divBdr>
            <w:top w:val="none" w:sz="0" w:space="0" w:color="auto"/>
            <w:left w:val="none" w:sz="0" w:space="0" w:color="auto"/>
            <w:bottom w:val="none" w:sz="0" w:space="0" w:color="auto"/>
            <w:right w:val="none" w:sz="0" w:space="0" w:color="auto"/>
          </w:divBdr>
        </w:div>
        <w:div w:id="2081705216">
          <w:marLeft w:val="576"/>
          <w:marRight w:val="0"/>
          <w:marTop w:val="60"/>
          <w:marBottom w:val="0"/>
          <w:divBdr>
            <w:top w:val="none" w:sz="0" w:space="0" w:color="auto"/>
            <w:left w:val="none" w:sz="0" w:space="0" w:color="auto"/>
            <w:bottom w:val="none" w:sz="0" w:space="0" w:color="auto"/>
            <w:right w:val="none" w:sz="0" w:space="0" w:color="auto"/>
          </w:divBdr>
        </w:div>
      </w:divsChild>
    </w:div>
    <w:div w:id="864251762">
      <w:bodyDiv w:val="1"/>
      <w:marLeft w:val="0"/>
      <w:marRight w:val="0"/>
      <w:marTop w:val="0"/>
      <w:marBottom w:val="0"/>
      <w:divBdr>
        <w:top w:val="none" w:sz="0" w:space="0" w:color="auto"/>
        <w:left w:val="none" w:sz="0" w:space="0" w:color="auto"/>
        <w:bottom w:val="none" w:sz="0" w:space="0" w:color="auto"/>
        <w:right w:val="none" w:sz="0" w:space="0" w:color="auto"/>
      </w:divBdr>
    </w:div>
    <w:div w:id="922644056">
      <w:bodyDiv w:val="1"/>
      <w:marLeft w:val="0"/>
      <w:marRight w:val="0"/>
      <w:marTop w:val="0"/>
      <w:marBottom w:val="0"/>
      <w:divBdr>
        <w:top w:val="none" w:sz="0" w:space="0" w:color="auto"/>
        <w:left w:val="none" w:sz="0" w:space="0" w:color="auto"/>
        <w:bottom w:val="none" w:sz="0" w:space="0" w:color="auto"/>
        <w:right w:val="none" w:sz="0" w:space="0" w:color="auto"/>
      </w:divBdr>
    </w:div>
    <w:div w:id="928201985">
      <w:bodyDiv w:val="1"/>
      <w:marLeft w:val="0"/>
      <w:marRight w:val="0"/>
      <w:marTop w:val="0"/>
      <w:marBottom w:val="0"/>
      <w:divBdr>
        <w:top w:val="none" w:sz="0" w:space="0" w:color="auto"/>
        <w:left w:val="none" w:sz="0" w:space="0" w:color="auto"/>
        <w:bottom w:val="none" w:sz="0" w:space="0" w:color="auto"/>
        <w:right w:val="none" w:sz="0" w:space="0" w:color="auto"/>
      </w:divBdr>
    </w:div>
    <w:div w:id="957032794">
      <w:bodyDiv w:val="1"/>
      <w:marLeft w:val="0"/>
      <w:marRight w:val="0"/>
      <w:marTop w:val="0"/>
      <w:marBottom w:val="0"/>
      <w:divBdr>
        <w:top w:val="none" w:sz="0" w:space="0" w:color="auto"/>
        <w:left w:val="none" w:sz="0" w:space="0" w:color="auto"/>
        <w:bottom w:val="none" w:sz="0" w:space="0" w:color="auto"/>
        <w:right w:val="none" w:sz="0" w:space="0" w:color="auto"/>
      </w:divBdr>
    </w:div>
    <w:div w:id="986083581">
      <w:bodyDiv w:val="1"/>
      <w:marLeft w:val="0"/>
      <w:marRight w:val="0"/>
      <w:marTop w:val="0"/>
      <w:marBottom w:val="0"/>
      <w:divBdr>
        <w:top w:val="none" w:sz="0" w:space="0" w:color="auto"/>
        <w:left w:val="none" w:sz="0" w:space="0" w:color="auto"/>
        <w:bottom w:val="none" w:sz="0" w:space="0" w:color="auto"/>
        <w:right w:val="none" w:sz="0" w:space="0" w:color="auto"/>
      </w:divBdr>
    </w:div>
    <w:div w:id="1016423463">
      <w:bodyDiv w:val="1"/>
      <w:marLeft w:val="0"/>
      <w:marRight w:val="0"/>
      <w:marTop w:val="0"/>
      <w:marBottom w:val="0"/>
      <w:divBdr>
        <w:top w:val="none" w:sz="0" w:space="0" w:color="auto"/>
        <w:left w:val="none" w:sz="0" w:space="0" w:color="auto"/>
        <w:bottom w:val="none" w:sz="0" w:space="0" w:color="auto"/>
        <w:right w:val="none" w:sz="0" w:space="0" w:color="auto"/>
      </w:divBdr>
    </w:div>
    <w:div w:id="1027482252">
      <w:bodyDiv w:val="1"/>
      <w:marLeft w:val="0"/>
      <w:marRight w:val="0"/>
      <w:marTop w:val="0"/>
      <w:marBottom w:val="0"/>
      <w:divBdr>
        <w:top w:val="none" w:sz="0" w:space="0" w:color="auto"/>
        <w:left w:val="none" w:sz="0" w:space="0" w:color="auto"/>
        <w:bottom w:val="none" w:sz="0" w:space="0" w:color="auto"/>
        <w:right w:val="none" w:sz="0" w:space="0" w:color="auto"/>
      </w:divBdr>
    </w:div>
    <w:div w:id="1056314334">
      <w:bodyDiv w:val="1"/>
      <w:marLeft w:val="0"/>
      <w:marRight w:val="0"/>
      <w:marTop w:val="0"/>
      <w:marBottom w:val="0"/>
      <w:divBdr>
        <w:top w:val="none" w:sz="0" w:space="0" w:color="auto"/>
        <w:left w:val="none" w:sz="0" w:space="0" w:color="auto"/>
        <w:bottom w:val="none" w:sz="0" w:space="0" w:color="auto"/>
        <w:right w:val="none" w:sz="0" w:space="0" w:color="auto"/>
      </w:divBdr>
    </w:div>
    <w:div w:id="1099519458">
      <w:bodyDiv w:val="1"/>
      <w:marLeft w:val="0"/>
      <w:marRight w:val="0"/>
      <w:marTop w:val="0"/>
      <w:marBottom w:val="0"/>
      <w:divBdr>
        <w:top w:val="none" w:sz="0" w:space="0" w:color="auto"/>
        <w:left w:val="none" w:sz="0" w:space="0" w:color="auto"/>
        <w:bottom w:val="none" w:sz="0" w:space="0" w:color="auto"/>
        <w:right w:val="none" w:sz="0" w:space="0" w:color="auto"/>
      </w:divBdr>
    </w:div>
    <w:div w:id="1138567345">
      <w:bodyDiv w:val="1"/>
      <w:marLeft w:val="0"/>
      <w:marRight w:val="0"/>
      <w:marTop w:val="0"/>
      <w:marBottom w:val="0"/>
      <w:divBdr>
        <w:top w:val="none" w:sz="0" w:space="0" w:color="auto"/>
        <w:left w:val="none" w:sz="0" w:space="0" w:color="auto"/>
        <w:bottom w:val="none" w:sz="0" w:space="0" w:color="auto"/>
        <w:right w:val="none" w:sz="0" w:space="0" w:color="auto"/>
      </w:divBdr>
    </w:div>
    <w:div w:id="1165435791">
      <w:bodyDiv w:val="1"/>
      <w:marLeft w:val="0"/>
      <w:marRight w:val="0"/>
      <w:marTop w:val="0"/>
      <w:marBottom w:val="0"/>
      <w:divBdr>
        <w:top w:val="none" w:sz="0" w:space="0" w:color="auto"/>
        <w:left w:val="none" w:sz="0" w:space="0" w:color="auto"/>
        <w:bottom w:val="none" w:sz="0" w:space="0" w:color="auto"/>
        <w:right w:val="none" w:sz="0" w:space="0" w:color="auto"/>
      </w:divBdr>
    </w:div>
    <w:div w:id="1185942443">
      <w:bodyDiv w:val="1"/>
      <w:marLeft w:val="0"/>
      <w:marRight w:val="0"/>
      <w:marTop w:val="0"/>
      <w:marBottom w:val="0"/>
      <w:divBdr>
        <w:top w:val="none" w:sz="0" w:space="0" w:color="auto"/>
        <w:left w:val="none" w:sz="0" w:space="0" w:color="auto"/>
        <w:bottom w:val="none" w:sz="0" w:space="0" w:color="auto"/>
        <w:right w:val="none" w:sz="0" w:space="0" w:color="auto"/>
      </w:divBdr>
    </w:div>
    <w:div w:id="1242986960">
      <w:bodyDiv w:val="1"/>
      <w:marLeft w:val="0"/>
      <w:marRight w:val="0"/>
      <w:marTop w:val="0"/>
      <w:marBottom w:val="0"/>
      <w:divBdr>
        <w:top w:val="none" w:sz="0" w:space="0" w:color="auto"/>
        <w:left w:val="none" w:sz="0" w:space="0" w:color="auto"/>
        <w:bottom w:val="none" w:sz="0" w:space="0" w:color="auto"/>
        <w:right w:val="none" w:sz="0" w:space="0" w:color="auto"/>
      </w:divBdr>
    </w:div>
    <w:div w:id="1250848187">
      <w:bodyDiv w:val="1"/>
      <w:marLeft w:val="0"/>
      <w:marRight w:val="0"/>
      <w:marTop w:val="0"/>
      <w:marBottom w:val="0"/>
      <w:divBdr>
        <w:top w:val="none" w:sz="0" w:space="0" w:color="auto"/>
        <w:left w:val="none" w:sz="0" w:space="0" w:color="auto"/>
        <w:bottom w:val="none" w:sz="0" w:space="0" w:color="auto"/>
        <w:right w:val="none" w:sz="0" w:space="0" w:color="auto"/>
      </w:divBdr>
    </w:div>
    <w:div w:id="1268662226">
      <w:bodyDiv w:val="1"/>
      <w:marLeft w:val="0"/>
      <w:marRight w:val="0"/>
      <w:marTop w:val="0"/>
      <w:marBottom w:val="0"/>
      <w:divBdr>
        <w:top w:val="none" w:sz="0" w:space="0" w:color="auto"/>
        <w:left w:val="none" w:sz="0" w:space="0" w:color="auto"/>
        <w:bottom w:val="none" w:sz="0" w:space="0" w:color="auto"/>
        <w:right w:val="none" w:sz="0" w:space="0" w:color="auto"/>
      </w:divBdr>
    </w:div>
    <w:div w:id="1306350608">
      <w:bodyDiv w:val="1"/>
      <w:marLeft w:val="0"/>
      <w:marRight w:val="0"/>
      <w:marTop w:val="0"/>
      <w:marBottom w:val="0"/>
      <w:divBdr>
        <w:top w:val="none" w:sz="0" w:space="0" w:color="auto"/>
        <w:left w:val="none" w:sz="0" w:space="0" w:color="auto"/>
        <w:bottom w:val="none" w:sz="0" w:space="0" w:color="auto"/>
        <w:right w:val="none" w:sz="0" w:space="0" w:color="auto"/>
      </w:divBdr>
    </w:div>
    <w:div w:id="1310019646">
      <w:bodyDiv w:val="1"/>
      <w:marLeft w:val="0"/>
      <w:marRight w:val="0"/>
      <w:marTop w:val="0"/>
      <w:marBottom w:val="0"/>
      <w:divBdr>
        <w:top w:val="none" w:sz="0" w:space="0" w:color="auto"/>
        <w:left w:val="none" w:sz="0" w:space="0" w:color="auto"/>
        <w:bottom w:val="none" w:sz="0" w:space="0" w:color="auto"/>
        <w:right w:val="none" w:sz="0" w:space="0" w:color="auto"/>
      </w:divBdr>
      <w:divsChild>
        <w:div w:id="74253190">
          <w:marLeft w:val="576"/>
          <w:marRight w:val="0"/>
          <w:marTop w:val="60"/>
          <w:marBottom w:val="0"/>
          <w:divBdr>
            <w:top w:val="none" w:sz="0" w:space="0" w:color="auto"/>
            <w:left w:val="none" w:sz="0" w:space="0" w:color="auto"/>
            <w:bottom w:val="none" w:sz="0" w:space="0" w:color="auto"/>
            <w:right w:val="none" w:sz="0" w:space="0" w:color="auto"/>
          </w:divBdr>
        </w:div>
        <w:div w:id="914752050">
          <w:marLeft w:val="576"/>
          <w:marRight w:val="0"/>
          <w:marTop w:val="60"/>
          <w:marBottom w:val="0"/>
          <w:divBdr>
            <w:top w:val="none" w:sz="0" w:space="0" w:color="auto"/>
            <w:left w:val="none" w:sz="0" w:space="0" w:color="auto"/>
            <w:bottom w:val="none" w:sz="0" w:space="0" w:color="auto"/>
            <w:right w:val="none" w:sz="0" w:space="0" w:color="auto"/>
          </w:divBdr>
        </w:div>
        <w:div w:id="1069499526">
          <w:marLeft w:val="576"/>
          <w:marRight w:val="0"/>
          <w:marTop w:val="60"/>
          <w:marBottom w:val="0"/>
          <w:divBdr>
            <w:top w:val="none" w:sz="0" w:space="0" w:color="auto"/>
            <w:left w:val="none" w:sz="0" w:space="0" w:color="auto"/>
            <w:bottom w:val="none" w:sz="0" w:space="0" w:color="auto"/>
            <w:right w:val="none" w:sz="0" w:space="0" w:color="auto"/>
          </w:divBdr>
        </w:div>
      </w:divsChild>
    </w:div>
    <w:div w:id="1310407199">
      <w:bodyDiv w:val="1"/>
      <w:marLeft w:val="0"/>
      <w:marRight w:val="0"/>
      <w:marTop w:val="0"/>
      <w:marBottom w:val="0"/>
      <w:divBdr>
        <w:top w:val="none" w:sz="0" w:space="0" w:color="auto"/>
        <w:left w:val="none" w:sz="0" w:space="0" w:color="auto"/>
        <w:bottom w:val="none" w:sz="0" w:space="0" w:color="auto"/>
        <w:right w:val="none" w:sz="0" w:space="0" w:color="auto"/>
      </w:divBdr>
    </w:div>
    <w:div w:id="1320768352">
      <w:bodyDiv w:val="1"/>
      <w:marLeft w:val="0"/>
      <w:marRight w:val="0"/>
      <w:marTop w:val="0"/>
      <w:marBottom w:val="0"/>
      <w:divBdr>
        <w:top w:val="none" w:sz="0" w:space="0" w:color="auto"/>
        <w:left w:val="none" w:sz="0" w:space="0" w:color="auto"/>
        <w:bottom w:val="none" w:sz="0" w:space="0" w:color="auto"/>
        <w:right w:val="none" w:sz="0" w:space="0" w:color="auto"/>
      </w:divBdr>
    </w:div>
    <w:div w:id="1330258409">
      <w:bodyDiv w:val="1"/>
      <w:marLeft w:val="0"/>
      <w:marRight w:val="0"/>
      <w:marTop w:val="0"/>
      <w:marBottom w:val="0"/>
      <w:divBdr>
        <w:top w:val="none" w:sz="0" w:space="0" w:color="auto"/>
        <w:left w:val="none" w:sz="0" w:space="0" w:color="auto"/>
        <w:bottom w:val="none" w:sz="0" w:space="0" w:color="auto"/>
        <w:right w:val="none" w:sz="0" w:space="0" w:color="auto"/>
      </w:divBdr>
    </w:div>
    <w:div w:id="1361784754">
      <w:bodyDiv w:val="1"/>
      <w:marLeft w:val="0"/>
      <w:marRight w:val="0"/>
      <w:marTop w:val="0"/>
      <w:marBottom w:val="0"/>
      <w:divBdr>
        <w:top w:val="none" w:sz="0" w:space="0" w:color="auto"/>
        <w:left w:val="none" w:sz="0" w:space="0" w:color="auto"/>
        <w:bottom w:val="none" w:sz="0" w:space="0" w:color="auto"/>
        <w:right w:val="none" w:sz="0" w:space="0" w:color="auto"/>
      </w:divBdr>
    </w:div>
    <w:div w:id="1377392641">
      <w:bodyDiv w:val="1"/>
      <w:marLeft w:val="0"/>
      <w:marRight w:val="0"/>
      <w:marTop w:val="0"/>
      <w:marBottom w:val="0"/>
      <w:divBdr>
        <w:top w:val="none" w:sz="0" w:space="0" w:color="auto"/>
        <w:left w:val="none" w:sz="0" w:space="0" w:color="auto"/>
        <w:bottom w:val="none" w:sz="0" w:space="0" w:color="auto"/>
        <w:right w:val="none" w:sz="0" w:space="0" w:color="auto"/>
      </w:divBdr>
    </w:div>
    <w:div w:id="1402942981">
      <w:bodyDiv w:val="1"/>
      <w:marLeft w:val="0"/>
      <w:marRight w:val="0"/>
      <w:marTop w:val="0"/>
      <w:marBottom w:val="0"/>
      <w:divBdr>
        <w:top w:val="none" w:sz="0" w:space="0" w:color="auto"/>
        <w:left w:val="none" w:sz="0" w:space="0" w:color="auto"/>
        <w:bottom w:val="none" w:sz="0" w:space="0" w:color="auto"/>
        <w:right w:val="none" w:sz="0" w:space="0" w:color="auto"/>
      </w:divBdr>
    </w:div>
    <w:div w:id="1433864443">
      <w:bodyDiv w:val="1"/>
      <w:marLeft w:val="0"/>
      <w:marRight w:val="0"/>
      <w:marTop w:val="0"/>
      <w:marBottom w:val="0"/>
      <w:divBdr>
        <w:top w:val="none" w:sz="0" w:space="0" w:color="auto"/>
        <w:left w:val="none" w:sz="0" w:space="0" w:color="auto"/>
        <w:bottom w:val="none" w:sz="0" w:space="0" w:color="auto"/>
        <w:right w:val="none" w:sz="0" w:space="0" w:color="auto"/>
      </w:divBdr>
    </w:div>
    <w:div w:id="1445543407">
      <w:bodyDiv w:val="1"/>
      <w:marLeft w:val="0"/>
      <w:marRight w:val="0"/>
      <w:marTop w:val="0"/>
      <w:marBottom w:val="0"/>
      <w:divBdr>
        <w:top w:val="none" w:sz="0" w:space="0" w:color="auto"/>
        <w:left w:val="none" w:sz="0" w:space="0" w:color="auto"/>
        <w:bottom w:val="none" w:sz="0" w:space="0" w:color="auto"/>
        <w:right w:val="none" w:sz="0" w:space="0" w:color="auto"/>
      </w:divBdr>
    </w:div>
    <w:div w:id="1449465772">
      <w:bodyDiv w:val="1"/>
      <w:marLeft w:val="0"/>
      <w:marRight w:val="0"/>
      <w:marTop w:val="0"/>
      <w:marBottom w:val="0"/>
      <w:divBdr>
        <w:top w:val="none" w:sz="0" w:space="0" w:color="auto"/>
        <w:left w:val="none" w:sz="0" w:space="0" w:color="auto"/>
        <w:bottom w:val="none" w:sz="0" w:space="0" w:color="auto"/>
        <w:right w:val="none" w:sz="0" w:space="0" w:color="auto"/>
      </w:divBdr>
    </w:div>
    <w:div w:id="1453598803">
      <w:bodyDiv w:val="1"/>
      <w:marLeft w:val="0"/>
      <w:marRight w:val="0"/>
      <w:marTop w:val="0"/>
      <w:marBottom w:val="0"/>
      <w:divBdr>
        <w:top w:val="none" w:sz="0" w:space="0" w:color="auto"/>
        <w:left w:val="none" w:sz="0" w:space="0" w:color="auto"/>
        <w:bottom w:val="none" w:sz="0" w:space="0" w:color="auto"/>
        <w:right w:val="none" w:sz="0" w:space="0" w:color="auto"/>
      </w:divBdr>
    </w:div>
    <w:div w:id="1457022423">
      <w:bodyDiv w:val="1"/>
      <w:marLeft w:val="0"/>
      <w:marRight w:val="0"/>
      <w:marTop w:val="0"/>
      <w:marBottom w:val="0"/>
      <w:divBdr>
        <w:top w:val="none" w:sz="0" w:space="0" w:color="auto"/>
        <w:left w:val="none" w:sz="0" w:space="0" w:color="auto"/>
        <w:bottom w:val="none" w:sz="0" w:space="0" w:color="auto"/>
        <w:right w:val="none" w:sz="0" w:space="0" w:color="auto"/>
      </w:divBdr>
    </w:div>
    <w:div w:id="1529827548">
      <w:bodyDiv w:val="1"/>
      <w:marLeft w:val="0"/>
      <w:marRight w:val="0"/>
      <w:marTop w:val="0"/>
      <w:marBottom w:val="0"/>
      <w:divBdr>
        <w:top w:val="none" w:sz="0" w:space="0" w:color="auto"/>
        <w:left w:val="none" w:sz="0" w:space="0" w:color="auto"/>
        <w:bottom w:val="none" w:sz="0" w:space="0" w:color="auto"/>
        <w:right w:val="none" w:sz="0" w:space="0" w:color="auto"/>
      </w:divBdr>
    </w:div>
    <w:div w:id="1539780891">
      <w:bodyDiv w:val="1"/>
      <w:marLeft w:val="0"/>
      <w:marRight w:val="0"/>
      <w:marTop w:val="0"/>
      <w:marBottom w:val="0"/>
      <w:divBdr>
        <w:top w:val="none" w:sz="0" w:space="0" w:color="auto"/>
        <w:left w:val="none" w:sz="0" w:space="0" w:color="auto"/>
        <w:bottom w:val="none" w:sz="0" w:space="0" w:color="auto"/>
        <w:right w:val="none" w:sz="0" w:space="0" w:color="auto"/>
      </w:divBdr>
    </w:div>
    <w:div w:id="1562978271">
      <w:bodyDiv w:val="1"/>
      <w:marLeft w:val="0"/>
      <w:marRight w:val="0"/>
      <w:marTop w:val="0"/>
      <w:marBottom w:val="0"/>
      <w:divBdr>
        <w:top w:val="none" w:sz="0" w:space="0" w:color="auto"/>
        <w:left w:val="none" w:sz="0" w:space="0" w:color="auto"/>
        <w:bottom w:val="none" w:sz="0" w:space="0" w:color="auto"/>
        <w:right w:val="none" w:sz="0" w:space="0" w:color="auto"/>
      </w:divBdr>
    </w:div>
    <w:div w:id="1565293609">
      <w:bodyDiv w:val="1"/>
      <w:marLeft w:val="0"/>
      <w:marRight w:val="0"/>
      <w:marTop w:val="0"/>
      <w:marBottom w:val="0"/>
      <w:divBdr>
        <w:top w:val="none" w:sz="0" w:space="0" w:color="auto"/>
        <w:left w:val="none" w:sz="0" w:space="0" w:color="auto"/>
        <w:bottom w:val="none" w:sz="0" w:space="0" w:color="auto"/>
        <w:right w:val="none" w:sz="0" w:space="0" w:color="auto"/>
      </w:divBdr>
    </w:div>
    <w:div w:id="1644382928">
      <w:bodyDiv w:val="1"/>
      <w:marLeft w:val="0"/>
      <w:marRight w:val="0"/>
      <w:marTop w:val="0"/>
      <w:marBottom w:val="0"/>
      <w:divBdr>
        <w:top w:val="none" w:sz="0" w:space="0" w:color="auto"/>
        <w:left w:val="none" w:sz="0" w:space="0" w:color="auto"/>
        <w:bottom w:val="none" w:sz="0" w:space="0" w:color="auto"/>
        <w:right w:val="none" w:sz="0" w:space="0" w:color="auto"/>
      </w:divBdr>
    </w:div>
    <w:div w:id="1646083364">
      <w:bodyDiv w:val="1"/>
      <w:marLeft w:val="0"/>
      <w:marRight w:val="0"/>
      <w:marTop w:val="0"/>
      <w:marBottom w:val="0"/>
      <w:divBdr>
        <w:top w:val="none" w:sz="0" w:space="0" w:color="auto"/>
        <w:left w:val="none" w:sz="0" w:space="0" w:color="auto"/>
        <w:bottom w:val="none" w:sz="0" w:space="0" w:color="auto"/>
        <w:right w:val="none" w:sz="0" w:space="0" w:color="auto"/>
      </w:divBdr>
    </w:div>
    <w:div w:id="1667325054">
      <w:bodyDiv w:val="1"/>
      <w:marLeft w:val="0"/>
      <w:marRight w:val="0"/>
      <w:marTop w:val="0"/>
      <w:marBottom w:val="0"/>
      <w:divBdr>
        <w:top w:val="none" w:sz="0" w:space="0" w:color="auto"/>
        <w:left w:val="none" w:sz="0" w:space="0" w:color="auto"/>
        <w:bottom w:val="none" w:sz="0" w:space="0" w:color="auto"/>
        <w:right w:val="none" w:sz="0" w:space="0" w:color="auto"/>
      </w:divBdr>
    </w:div>
    <w:div w:id="1685859069">
      <w:bodyDiv w:val="1"/>
      <w:marLeft w:val="0"/>
      <w:marRight w:val="0"/>
      <w:marTop w:val="0"/>
      <w:marBottom w:val="0"/>
      <w:divBdr>
        <w:top w:val="none" w:sz="0" w:space="0" w:color="auto"/>
        <w:left w:val="none" w:sz="0" w:space="0" w:color="auto"/>
        <w:bottom w:val="none" w:sz="0" w:space="0" w:color="auto"/>
        <w:right w:val="none" w:sz="0" w:space="0" w:color="auto"/>
      </w:divBdr>
    </w:div>
    <w:div w:id="1689211393">
      <w:bodyDiv w:val="1"/>
      <w:marLeft w:val="0"/>
      <w:marRight w:val="0"/>
      <w:marTop w:val="0"/>
      <w:marBottom w:val="0"/>
      <w:divBdr>
        <w:top w:val="none" w:sz="0" w:space="0" w:color="auto"/>
        <w:left w:val="none" w:sz="0" w:space="0" w:color="auto"/>
        <w:bottom w:val="none" w:sz="0" w:space="0" w:color="auto"/>
        <w:right w:val="none" w:sz="0" w:space="0" w:color="auto"/>
      </w:divBdr>
    </w:div>
    <w:div w:id="1722749619">
      <w:bodyDiv w:val="1"/>
      <w:marLeft w:val="0"/>
      <w:marRight w:val="0"/>
      <w:marTop w:val="0"/>
      <w:marBottom w:val="0"/>
      <w:divBdr>
        <w:top w:val="none" w:sz="0" w:space="0" w:color="auto"/>
        <w:left w:val="none" w:sz="0" w:space="0" w:color="auto"/>
        <w:bottom w:val="none" w:sz="0" w:space="0" w:color="auto"/>
        <w:right w:val="none" w:sz="0" w:space="0" w:color="auto"/>
      </w:divBdr>
    </w:div>
    <w:div w:id="1727558761">
      <w:bodyDiv w:val="1"/>
      <w:marLeft w:val="0"/>
      <w:marRight w:val="0"/>
      <w:marTop w:val="0"/>
      <w:marBottom w:val="0"/>
      <w:divBdr>
        <w:top w:val="none" w:sz="0" w:space="0" w:color="auto"/>
        <w:left w:val="none" w:sz="0" w:space="0" w:color="auto"/>
        <w:bottom w:val="none" w:sz="0" w:space="0" w:color="auto"/>
        <w:right w:val="none" w:sz="0" w:space="0" w:color="auto"/>
      </w:divBdr>
    </w:div>
    <w:div w:id="1742756735">
      <w:bodyDiv w:val="1"/>
      <w:marLeft w:val="0"/>
      <w:marRight w:val="0"/>
      <w:marTop w:val="0"/>
      <w:marBottom w:val="0"/>
      <w:divBdr>
        <w:top w:val="none" w:sz="0" w:space="0" w:color="auto"/>
        <w:left w:val="none" w:sz="0" w:space="0" w:color="auto"/>
        <w:bottom w:val="none" w:sz="0" w:space="0" w:color="auto"/>
        <w:right w:val="none" w:sz="0" w:space="0" w:color="auto"/>
      </w:divBdr>
    </w:div>
    <w:div w:id="1763603141">
      <w:bodyDiv w:val="1"/>
      <w:marLeft w:val="0"/>
      <w:marRight w:val="0"/>
      <w:marTop w:val="0"/>
      <w:marBottom w:val="0"/>
      <w:divBdr>
        <w:top w:val="none" w:sz="0" w:space="0" w:color="auto"/>
        <w:left w:val="none" w:sz="0" w:space="0" w:color="auto"/>
        <w:bottom w:val="none" w:sz="0" w:space="0" w:color="auto"/>
        <w:right w:val="none" w:sz="0" w:space="0" w:color="auto"/>
      </w:divBdr>
    </w:div>
    <w:div w:id="1788811926">
      <w:bodyDiv w:val="1"/>
      <w:marLeft w:val="0"/>
      <w:marRight w:val="0"/>
      <w:marTop w:val="0"/>
      <w:marBottom w:val="0"/>
      <w:divBdr>
        <w:top w:val="none" w:sz="0" w:space="0" w:color="auto"/>
        <w:left w:val="none" w:sz="0" w:space="0" w:color="auto"/>
        <w:bottom w:val="none" w:sz="0" w:space="0" w:color="auto"/>
        <w:right w:val="none" w:sz="0" w:space="0" w:color="auto"/>
      </w:divBdr>
    </w:div>
    <w:div w:id="1797259337">
      <w:bodyDiv w:val="1"/>
      <w:marLeft w:val="0"/>
      <w:marRight w:val="0"/>
      <w:marTop w:val="0"/>
      <w:marBottom w:val="0"/>
      <w:divBdr>
        <w:top w:val="none" w:sz="0" w:space="0" w:color="auto"/>
        <w:left w:val="none" w:sz="0" w:space="0" w:color="auto"/>
        <w:bottom w:val="none" w:sz="0" w:space="0" w:color="auto"/>
        <w:right w:val="none" w:sz="0" w:space="0" w:color="auto"/>
      </w:divBdr>
    </w:div>
    <w:div w:id="1797330613">
      <w:bodyDiv w:val="1"/>
      <w:marLeft w:val="0"/>
      <w:marRight w:val="0"/>
      <w:marTop w:val="0"/>
      <w:marBottom w:val="0"/>
      <w:divBdr>
        <w:top w:val="none" w:sz="0" w:space="0" w:color="auto"/>
        <w:left w:val="none" w:sz="0" w:space="0" w:color="auto"/>
        <w:bottom w:val="none" w:sz="0" w:space="0" w:color="auto"/>
        <w:right w:val="none" w:sz="0" w:space="0" w:color="auto"/>
      </w:divBdr>
    </w:div>
    <w:div w:id="1823698616">
      <w:bodyDiv w:val="1"/>
      <w:marLeft w:val="0"/>
      <w:marRight w:val="0"/>
      <w:marTop w:val="0"/>
      <w:marBottom w:val="0"/>
      <w:divBdr>
        <w:top w:val="none" w:sz="0" w:space="0" w:color="auto"/>
        <w:left w:val="none" w:sz="0" w:space="0" w:color="auto"/>
        <w:bottom w:val="none" w:sz="0" w:space="0" w:color="auto"/>
        <w:right w:val="none" w:sz="0" w:space="0" w:color="auto"/>
      </w:divBdr>
    </w:div>
    <w:div w:id="1836070664">
      <w:bodyDiv w:val="1"/>
      <w:marLeft w:val="0"/>
      <w:marRight w:val="0"/>
      <w:marTop w:val="0"/>
      <w:marBottom w:val="0"/>
      <w:divBdr>
        <w:top w:val="none" w:sz="0" w:space="0" w:color="auto"/>
        <w:left w:val="none" w:sz="0" w:space="0" w:color="auto"/>
        <w:bottom w:val="none" w:sz="0" w:space="0" w:color="auto"/>
        <w:right w:val="none" w:sz="0" w:space="0" w:color="auto"/>
      </w:divBdr>
    </w:div>
    <w:div w:id="1854487986">
      <w:bodyDiv w:val="1"/>
      <w:marLeft w:val="0"/>
      <w:marRight w:val="0"/>
      <w:marTop w:val="0"/>
      <w:marBottom w:val="0"/>
      <w:divBdr>
        <w:top w:val="none" w:sz="0" w:space="0" w:color="auto"/>
        <w:left w:val="none" w:sz="0" w:space="0" w:color="auto"/>
        <w:bottom w:val="none" w:sz="0" w:space="0" w:color="auto"/>
        <w:right w:val="none" w:sz="0" w:space="0" w:color="auto"/>
      </w:divBdr>
    </w:div>
    <w:div w:id="1911185861">
      <w:bodyDiv w:val="1"/>
      <w:marLeft w:val="0"/>
      <w:marRight w:val="0"/>
      <w:marTop w:val="0"/>
      <w:marBottom w:val="0"/>
      <w:divBdr>
        <w:top w:val="none" w:sz="0" w:space="0" w:color="auto"/>
        <w:left w:val="none" w:sz="0" w:space="0" w:color="auto"/>
        <w:bottom w:val="none" w:sz="0" w:space="0" w:color="auto"/>
        <w:right w:val="none" w:sz="0" w:space="0" w:color="auto"/>
      </w:divBdr>
    </w:div>
    <w:div w:id="1917745871">
      <w:bodyDiv w:val="1"/>
      <w:marLeft w:val="0"/>
      <w:marRight w:val="0"/>
      <w:marTop w:val="0"/>
      <w:marBottom w:val="0"/>
      <w:divBdr>
        <w:top w:val="none" w:sz="0" w:space="0" w:color="auto"/>
        <w:left w:val="none" w:sz="0" w:space="0" w:color="auto"/>
        <w:bottom w:val="none" w:sz="0" w:space="0" w:color="auto"/>
        <w:right w:val="none" w:sz="0" w:space="0" w:color="auto"/>
      </w:divBdr>
    </w:div>
    <w:div w:id="1921719308">
      <w:bodyDiv w:val="1"/>
      <w:marLeft w:val="0"/>
      <w:marRight w:val="0"/>
      <w:marTop w:val="0"/>
      <w:marBottom w:val="0"/>
      <w:divBdr>
        <w:top w:val="none" w:sz="0" w:space="0" w:color="auto"/>
        <w:left w:val="none" w:sz="0" w:space="0" w:color="auto"/>
        <w:bottom w:val="none" w:sz="0" w:space="0" w:color="auto"/>
        <w:right w:val="none" w:sz="0" w:space="0" w:color="auto"/>
      </w:divBdr>
    </w:div>
    <w:div w:id="1922525715">
      <w:bodyDiv w:val="1"/>
      <w:marLeft w:val="0"/>
      <w:marRight w:val="0"/>
      <w:marTop w:val="0"/>
      <w:marBottom w:val="0"/>
      <w:divBdr>
        <w:top w:val="none" w:sz="0" w:space="0" w:color="auto"/>
        <w:left w:val="none" w:sz="0" w:space="0" w:color="auto"/>
        <w:bottom w:val="none" w:sz="0" w:space="0" w:color="auto"/>
        <w:right w:val="none" w:sz="0" w:space="0" w:color="auto"/>
      </w:divBdr>
    </w:div>
    <w:div w:id="1962298420">
      <w:bodyDiv w:val="1"/>
      <w:marLeft w:val="0"/>
      <w:marRight w:val="0"/>
      <w:marTop w:val="0"/>
      <w:marBottom w:val="0"/>
      <w:divBdr>
        <w:top w:val="none" w:sz="0" w:space="0" w:color="auto"/>
        <w:left w:val="none" w:sz="0" w:space="0" w:color="auto"/>
        <w:bottom w:val="none" w:sz="0" w:space="0" w:color="auto"/>
        <w:right w:val="none" w:sz="0" w:space="0" w:color="auto"/>
      </w:divBdr>
    </w:div>
    <w:div w:id="1976595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customXml" Target="../customXml/item4.xml"/><Relationship Id="rId3" Type="http://schemas.openxmlformats.org/officeDocument/2006/relationships/numbering" Target="numbering.xml"/><Relationship Id="rId21" Type="http://schemas.openxmlformats.org/officeDocument/2006/relationships/customXml" Target="../customXml/item7.xml"/><Relationship Id="rId7" Type="http://schemas.openxmlformats.org/officeDocument/2006/relationships/webSettings" Target="webSettings.xml"/><Relationship Id="rId12" Type="http://schemas.openxmlformats.org/officeDocument/2006/relationships/image" Target="media/image2.emf"/><Relationship Id="rId17" Type="http://schemas.openxmlformats.org/officeDocument/2006/relationships/customXml" Target="../customXml/item3.xml"/><Relationship Id="rId2" Type="http://schemas.openxmlformats.org/officeDocument/2006/relationships/customXml" Target="../customXml/item2.xml"/><Relationship Id="rId16" Type="http://schemas.openxmlformats.org/officeDocument/2006/relationships/theme" Target="theme/theme1.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emf"/><Relationship Id="rId5" Type="http://schemas.microsoft.com/office/2007/relationships/stylesWithEffects" Target="stylesWithEffect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aysps.gsu.edu/publications/2006/index.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erdi\AppData\Roaming\Microsoft\Plantillas\Normal%20Informe%20TNR%20A4.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46CF21643EE8D14686A648AA6DAD089200DDA5B04776AE4C40A7394D7ED834F7DE" ma:contentTypeVersion="0" ma:contentTypeDescription="A content type to manage public (operations) IDB documents" ma:contentTypeScope="" ma:versionID="a95b453d5e428ee19ea87b8b899e7c79">
  <xsd:schema xmlns:xsd="http://www.w3.org/2001/XMLSchema" xmlns:xs="http://www.w3.org/2001/XMLSchema" xmlns:p="http://schemas.microsoft.com/office/2006/metadata/properties" xmlns:ns2="9c571b2f-e523-4ab2-ba2e-09e151a03ef4" targetNamespace="http://schemas.microsoft.com/office/2006/metadata/properties" ma:root="true" ma:fieldsID="fca353a57030c8e3f0c4df7811ea3665" ns2:_="">
    <xsd:import namespace="9c571b2f-e523-4ab2-ba2e-09e151a03ef4"/>
    <xsd:element name="properties">
      <xsd:complexType>
        <xsd:sequence>
          <xsd:element name="documentManagement">
            <xsd:complexType>
              <xsd:all>
                <xsd:element ref="ns2:_dlc_DocId" minOccurs="0"/>
                <xsd:element ref="ns2:_dlc_DocIdUrl" minOccurs="0"/>
                <xsd:element ref="ns2:_dlc_DocIdPersistId" minOccurs="0"/>
                <xsd:element ref="ns2:fd0e48b6a66848a9885f717e5bbf40c4" minOccurs="0"/>
                <xsd:element ref="ns2:TaxCatchAll" minOccurs="0"/>
                <xsd:element ref="ns2:TaxCatchAllLabel" minOccurs="0"/>
                <xsd:element ref="ns2:Access_x0020_to_x0020_Information_x00a0_Policy"/>
                <xsd:element ref="ns2:o5138a91267540169645e33d09c9ddc6"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m555d3814edf4817b4410a4e57f94ce9" minOccurs="0"/>
                <xsd:element ref="ns2:e559ffcc31d34167856647188be35015" minOccurs="0"/>
                <xsd:element ref="ns2:c456731dbc904a5fb605ec556c33e883" minOccurs="0"/>
                <xsd:element ref="ns2:Document_x0020_Language_x0020_IDB"/>
                <xsd:element ref="ns2:Division_x0020_or_x0020_Unit"/>
                <xsd:element ref="ns2:Identifier" minOccurs="0"/>
                <xsd:element ref="ns2:j8b96605ee2f4c4e988849e658583fee"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571b2f-e523-4ab2-ba2e-09e151a03ef4"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fd0e48b6a66848a9885f717e5bbf40c4" ma:index="11" nillable="true" ma:taxonomy="true" ma:internalName="fd0e48b6a66848a9885f717e5bbf40c4" ma:taxonomyFieldName="Function_x0020_Operations_x0020_IDB" ma:displayName="Function Operations IDB" ma:default="" ma:fieldId="{fd0e48b6-a668-48a9-885f-717e5bbf40c4}" ma:sspId="cf0be0ad-272c-4e7f-a157-3f0abda6cde5" ma:termSetId="5afbb5f0-73fa-45d3-a56a-b084af06f56a"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8280a35e-b938-40a4-87f4-c822ed063427}" ma:internalName="TaxCatchAll" ma:showField="CatchAllData"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8280a35e-b938-40a4-87f4-c822ed063427}" ma:internalName="TaxCatchAllLabel" ma:readOnly="true" ma:showField="CatchAllDataLabel" ma:web="69dee779-4b5f-41e8-86c4-0ae5d8a27b62">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20 years"/>
          <xsd:enumeration value="Disclosed Over Time – 10 years"/>
          <xsd:enumeration value="Public"/>
          <xsd:enumeration value="Public - Simultaneous Disclosure"/>
        </xsd:restriction>
      </xsd:simpleType>
    </xsd:element>
    <xsd:element name="o5138a91267540169645e33d09c9ddc6" ma:index="16" ma:taxonomy="true" ma:internalName="o5138a91267540169645e33d09c9ddc6" ma:taxonomyFieldName="Series_x0020_Operations_x0020_IDB" ma:displayName="Series Operations IDB" ma:readOnly="false" ma:default="" ma:fieldId="{85138a91-2675-4016-9645-e33d09c9ddc6}" ma:sspId="cf0be0ad-272c-4e7f-a157-3f0abda6cde5" ma:termSetId="3bc5da7b-2b03-4315-921b-8aab7897c505"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description="Entered by the user or default value pulled from project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m555d3814edf4817b4410a4e57f94ce9" ma:index="24" nillable="true" ma:taxonomy="true" ma:internalName="m555d3814edf4817b4410a4e57f94ce9" ma:taxonomyFieldName="Fund_x0020_IDB" ma:displayName="Fund IDB" ma:default="" ma:fieldId="{6555d381-4edf-4817-b441-0a4e57f94ce9}" ma:taxonomyMulti="true" ma:sspId="cf0be0ad-272c-4e7f-a157-3f0abda6cde5" ma:termSetId="932037b2-42e9-4373-86b7-1f7fc55d6c47" ma:anchorId="00000000-0000-0000-0000-000000000000" ma:open="false" ma:isKeyword="false">
      <xsd:complexType>
        <xsd:sequence>
          <xsd:element ref="pc:Terms" minOccurs="0" maxOccurs="1"/>
        </xsd:sequence>
      </xsd:complexType>
    </xsd:element>
    <xsd:element name="e559ffcc31d34167856647188be35015" ma:index="26" nillable="true" ma:taxonomy="true" ma:internalName="e559ffcc31d34167856647188be35015" ma:taxonomyFieldName="Sector_x0020_IDB" ma:displayName="Sector IDB" ma:default="" ma:fieldId="{e559ffcc-31d3-4167-8566-47188be35015}" ma:taxonomyMulti="true" ma:sspId="cf0be0ad-272c-4e7f-a157-3f0abda6cde5" ma:termSetId="2d74a730-652b-4815-b74c-000791e0ddfc" ma:anchorId="00000000-0000-0000-0000-000000000000" ma:open="true" ma:isKeyword="false">
      <xsd:complexType>
        <xsd:sequence>
          <xsd:element ref="pc:Terms" minOccurs="0" maxOccurs="1"/>
        </xsd:sequence>
      </xsd:complexType>
    </xsd:element>
    <xsd:element name="c456731dbc904a5fb605ec556c33e883" ma:index="28" nillable="true" ma:taxonomy="true" ma:internalName="c456731dbc904a5fb605ec556c33e883" ma:taxonomyFieldName="Sub_x002d_Sector" ma:displayName="Sub-Sector" ma:default="" ma:fieldId="{c456731d-bc90-4a5f-b605-ec556c33e883}" ma:sspId="cf0be0ad-272c-4e7f-a157-3f0abda6cde5" ma:termSetId="b6d60bd7-2da3-4fd7-a377-d114adc2f2db"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j8b96605ee2f4c4e988849e658583fee" ma:index="33" nillable="true" ma:taxonomy="true" ma:internalName="j8b96605ee2f4c4e988849e658583fee" ma:taxonomyFieldName="Country" ma:displayName="Country" ma:default="" ma:fieldId="{38b96605-ee2f-4c4e-9888-49e658583fee}" ma:taxonomyMulti="true" ma:sspId="cf0be0ad-272c-4e7f-a157-3f0abda6cde5" ma:termSetId="2a7cd356-0181-422a-926d-b928cc73465d" ma:anchorId="00000000-0000-0000-0000-000000000000" ma:open="false" ma:isKeyword="false">
      <xsd:complexType>
        <xsd:sequence>
          <xsd:element ref="pc:Terms" minOccurs="0" maxOccurs="1"/>
        </xsd:sequence>
      </xsd:complexType>
    </xsd:element>
    <xsd:element name="Operation_x0020_Type" ma:index="35" nillable="true" ma:displayName="Operation Type" ma:internalName="Operation_x0020_Type">
      <xsd:simpleType>
        <xsd:restriction base="dms:Text">
          <xsd:maxLength value="255"/>
        </xsd:restriction>
      </xsd:simpleType>
    </xsd:element>
    <xsd:element name="Package_x0020_Code" ma:index="36" nillable="true" ma:displayName="Package Code" ma:internalName="Package_x0020_Code">
      <xsd:simpleType>
        <xsd:restriction base="dms:Text">
          <xsd:maxLength value="255"/>
        </xsd:restriction>
      </xsd:simpleType>
    </xsd:element>
    <xsd:element name="Phase" ma:index="37" nillable="true" ma:displayName="Phase" ma:internalName="Phase">
      <xsd:simpleType>
        <xsd:restriction base="dms:Text">
          <xsd:maxLength value="255"/>
        </xsd:restriction>
      </xsd:simpleType>
    </xsd:element>
    <xsd:element name="Business_x0020_Area" ma:index="38" nillable="true" ma:displayName="Business Area" ma:internalName="Business_x0020_Area">
      <xsd:simpleType>
        <xsd:restriction base="dms:Text">
          <xsd:maxLength value="255"/>
        </xsd:restriction>
      </xsd:simpleType>
    </xsd:element>
    <xsd:element name="Key_x0020_Document" ma:index="39" nillable="true" ma:displayName="Key Document" ma:default="0" ma:internalName="Key_x0020_Document">
      <xsd:simpleType>
        <xsd:restriction base="dms:Boolean"/>
      </xsd:simpleType>
    </xsd:element>
    <xsd:element name="Project_x0020_Document_x0020_Type" ma:index="40" nillable="true" ma:displayName="Project Document Type" ma:internalName="Project_x0020_Document_x0020_Type">
      <xsd:simpleType>
        <xsd:restriction base="dms:Text">
          <xsd:maxLength value="255"/>
        </xsd:restriction>
      </xsd:simpleType>
    </xsd:element>
    <xsd:element name="Abstract" ma:index="41" nillable="true" ma:displayName="Abstract" ma:internalName="Abstract">
      <xsd:simpleType>
        <xsd:restriction base="dms:Note">
          <xsd:maxLength value="255"/>
        </xsd:restriction>
      </xsd:simpleType>
    </xsd:element>
    <xsd:element name="Migration_x0020_Info" ma:index="42" nillable="true" ma:displayName="Migration Info" ma:internalName="Migration_x0020_Info">
      <xsd:simpleType>
        <xsd:restriction base="dms:Note"/>
      </xsd:simpleType>
    </xsd:element>
    <xsd:element name="SISCOR_x0020_Number" ma:index="43" nillable="true" ma:displayName="SISCOR Number" ma:internalName="SISCOR_x0020_Number">
      <xsd:simpleType>
        <xsd:restriction base="dms:Text">
          <xsd:maxLength value="255"/>
        </xsd:restriction>
      </xsd:simpleType>
    </xsd:element>
    <xsd:element name="IDBDocs_x0020_Number" ma:index="44" nillable="true" ma:displayName="IDBDocs Number" ma:description="Brought over as part of Migration" ma:internalName="IDBDocs_x0020_Number">
      <xsd:simpleType>
        <xsd:restriction base="dms:Text">
          <xsd:maxLength value="255"/>
        </xsd:restriction>
      </xsd:simpleType>
    </xsd:element>
    <xsd:element name="Editor1" ma:index="45" nillable="true" ma:displayName="Editor" ma:internalName="Editor1">
      <xsd:simpleType>
        <xsd:restriction base="dms:Text">
          <xsd:maxLength value="255"/>
        </xsd:restriction>
      </xsd:simpleType>
    </xsd:element>
    <xsd:element name="Issue_x0020_Date" ma:index="46" nillable="true" ma:displayName="Issue Date" ma:format="DateOnly" ma:internalName="Issue_x0020_Date">
      <xsd:simpleType>
        <xsd:restriction base="dms:DateTime"/>
      </xsd:simpleType>
    </xsd:element>
    <xsd:element name="Publishing_x0020_House" ma:index="47" nillable="true" ma:displayName="Publishing House" ma:internalName="Publishing_x0020_House">
      <xsd:simpleType>
        <xsd:restriction base="dms:Text">
          <xsd:maxLength value="255"/>
        </xsd:restriction>
      </xsd:simpleType>
    </xsd:element>
    <xsd:element name="KP_x0020_Topics" ma:index="48" nillable="true" ma:displayName="KP Topics" ma:internalName="KP_x0020_Topics">
      <xsd:simpleType>
        <xsd:restriction base="dms:Text">
          <xsd:maxLength value="255"/>
        </xsd:restriction>
      </xsd:simpleType>
    </xsd:element>
    <xsd:element name="Region" ma:index="49" nillable="true" ma:displayName="Region" ma:internalName="Region">
      <xsd:simpleType>
        <xsd:restriction base="dms:Text">
          <xsd:maxLength value="255"/>
        </xsd:restriction>
      </xsd:simpleType>
    </xsd:element>
    <xsd:element name="Publication_x0020_Type" ma:index="50" nillable="true" ma:displayName="Publication Type" ma:internalName="Publication_x0020_Type">
      <xsd:simpleType>
        <xsd:restriction base="dms:Text">
          <xsd:maxLength value="255"/>
        </xsd:restriction>
      </xsd:simpleType>
    </xsd:element>
    <xsd:element name="Fiscal_x0020_Year_x0020_IDB" ma:index="51" nillable="true" ma:displayName="Fiscal Year IDB" ma:default="=TEXT(TODAY(),&quot;yyyy&quot;)" ma:internalName="Fiscal_x0020_Year_x0020_IDB">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file>

<file path=customXml/item3.xml><?xml version="1.0" encoding="utf-8"?>
<CoverPageProperties xmlns="http://schemas.microsoft.com/office/2006/coverPageProps">
  <PublishDate>2016-07-15T00:00:00</PublishDate>
  <Abstract/>
  <CompanyAddress/>
  <CompanyPhone/>
  <CompanyFax/>
  <CompanyEmail/>
</CoverPage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cf0be0ad-272c-4e7f-a157-3f0abda6cde5" ContentTypeId="0x01010046CF21643EE8D14686A648AA6DAD0892" PreviousValue="false"/>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c456731dbc904a5fb605ec556c33e883 xmlns="9c571b2f-e523-4ab2-ba2e-09e151a03ef4">
      <Terms xmlns="http://schemas.microsoft.com/office/infopath/2007/PartnerControls"/>
    </c456731dbc904a5fb605ec556c33e883>
    <Project_x0020_Document_x0020_Type xmlns="9c571b2f-e523-4ab2-ba2e-09e151a03ef4" xsi:nil="true"/>
    <Business_x0020_Area xmlns="9c571b2f-e523-4ab2-ba2e-09e151a03ef4" xsi:nil="true"/>
    <IDBDocs_x0020_Number xmlns="9c571b2f-e523-4ab2-ba2e-09e151a03ef4">40414365</IDBDocs_x0020_Number>
    <TaxCatchAll xmlns="9c571b2f-e523-4ab2-ba2e-09e151a03ef4">
      <Value>5</Value>
      <Value>6</Value>
    </TaxCatchAll>
    <Phase xmlns="9c571b2f-e523-4ab2-ba2e-09e151a03ef4" xsi:nil="true"/>
    <SISCOR_x0020_Number xmlns="9c571b2f-e523-4ab2-ba2e-09e151a03ef4" xsi:nil="true"/>
    <Division_x0020_or_x0020_Unit xmlns="9c571b2f-e523-4ab2-ba2e-09e151a03ef4">IFD/FMM</Division_x0020_or_x0020_Unit>
    <o5138a91267540169645e33d09c9ddc6 xmlns="9c571b2f-e523-4ab2-ba2e-09e151a03ef4">
      <Terms xmlns="http://schemas.microsoft.com/office/infopath/2007/PartnerControls">
        <TermInfo xmlns="http://schemas.microsoft.com/office/infopath/2007/PartnerControls">
          <TermName xmlns="http://schemas.microsoft.com/office/infopath/2007/PartnerControls">Unclassified</TermName>
          <TermId xmlns="http://schemas.microsoft.com/office/infopath/2007/PartnerControls">a6dff32e-d477-44cd-a56b-85efe9e0a56c</TermId>
        </TermInfo>
      </Terms>
    </o5138a91267540169645e33d09c9ddc6>
    <Approval_x0020_Number xmlns="9c571b2f-e523-4ab2-ba2e-09e151a03ef4" xsi:nil="true"/>
    <Document_x0020_Author xmlns="9c571b2f-e523-4ab2-ba2e-09e151a03ef4">Pineda Ayerbe, Emilio Inigo</Document_x0020_Author>
    <e559ffcc31d34167856647188be35015 xmlns="9c571b2f-e523-4ab2-ba2e-09e151a03ef4">
      <Terms xmlns="http://schemas.microsoft.com/office/infopath/2007/PartnerControls"/>
    </e559ffcc31d34167856647188be35015>
    <Fiscal_x0020_Year_x0020_IDB xmlns="9c571b2f-e523-4ab2-ba2e-09e151a03ef4">2016</Fiscal_x0020_Year_x0020_IDB>
    <Other_x0020_Author xmlns="9c571b2f-e523-4ab2-ba2e-09e151a03ef4" xsi:nil="true"/>
    <fd0e48b6a66848a9885f717e5bbf40c4 xmlns="9c571b2f-e523-4ab2-ba2e-09e151a03ef4">
      <Terms xmlns="http://schemas.microsoft.com/office/infopath/2007/PartnerControls">
        <TermInfo xmlns="http://schemas.microsoft.com/office/infopath/2007/PartnerControls">
          <TermName xmlns="http://schemas.microsoft.com/office/infopath/2007/PartnerControls">IDBDocs</TermName>
          <TermId xmlns="http://schemas.microsoft.com/office/infopath/2007/PartnerControls">cca77002-e150-4b2d-ab1f-1d7a7cdcae16</TermId>
        </TermInfo>
      </Terms>
    </fd0e48b6a66848a9885f717e5bbf40c4>
    <Project_x0020_Number xmlns="9c571b2f-e523-4ab2-ba2e-09e151a03ef4">UR-L1111</Project_x0020_Number>
    <Access_x0020_to_x0020_Information_x00a0_Policy xmlns="9c571b2f-e523-4ab2-ba2e-09e151a03ef4">Public</Access_x0020_to_x0020_Information_x00a0_Policy>
    <Package_x0020_Code xmlns="9c571b2f-e523-4ab2-ba2e-09e151a03ef4" xsi:nil="true"/>
    <m555d3814edf4817b4410a4e57f94ce9 xmlns="9c571b2f-e523-4ab2-ba2e-09e151a03ef4">
      <Terms xmlns="http://schemas.microsoft.com/office/infopath/2007/PartnerControls"/>
    </m555d3814edf4817b4410a4e57f94ce9>
    <Key_x0020_Document xmlns="9c571b2f-e523-4ab2-ba2e-09e151a03ef4">false</Key_x0020_Document>
    <j8b96605ee2f4c4e988849e658583fee xmlns="9c571b2f-e523-4ab2-ba2e-09e151a03ef4">
      <Terms xmlns="http://schemas.microsoft.com/office/infopath/2007/PartnerControls"/>
    </j8b96605ee2f4c4e988849e658583fee>
    <Migration_x0020_Info xmlns="9c571b2f-e523-4ab2-ba2e-09e151a03ef4">&lt;Data&gt;&lt;APPLICATION&gt;MS WORD&lt;/APPLICATION&gt;&lt;USER_STAGE&gt;Loan Proposal&lt;/USER_STAGE&gt;&lt;PD_OBJ_TYPE&gt;0&lt;/PD_OBJ_TYPE&gt;&lt;MAKERECORD&gt;N&lt;/MAKERECORD&gt;&lt;/Data&gt;</Migration_x0020_Info>
    <Operation_x0020_Type xmlns="9c571b2f-e523-4ab2-ba2e-09e151a03ef4" xsi:nil="true"/>
    <Document_x0020_Language_x0020_IDB xmlns="9c571b2f-e523-4ab2-ba2e-09e151a03ef4">Spanish</Document_x0020_Language_x0020_IDB>
    <Identifier xmlns="9c571b2f-e523-4ab2-ba2e-09e151a03ef4"> TECFILE</Identifier>
    <Disclosure_x0020_Activity xmlns="9c571b2f-e523-4ab2-ba2e-09e151a03ef4">Loan Proposal</Disclosure_x0020_Activity>
    <Webtopic xmlns="9c571b2f-e523-4ab2-ba2e-09e151a03ef4">RM-FIS</Webtopic>
    <Issue_x0020_Date xmlns="9c571b2f-e523-4ab2-ba2e-09e151a03ef4" xsi:nil="true"/>
    <Publication_x0020_Type xmlns="9c571b2f-e523-4ab2-ba2e-09e151a03ef4" xsi:nil="true"/>
    <Abstract xmlns="9c571b2f-e523-4ab2-ba2e-09e151a03ef4" xsi:nil="true"/>
    <KP_x0020_Topics xmlns="9c571b2f-e523-4ab2-ba2e-09e151a03ef4" xsi:nil="true"/>
    <Editor1 xmlns="9c571b2f-e523-4ab2-ba2e-09e151a03ef4" xsi:nil="true"/>
    <Region xmlns="9c571b2f-e523-4ab2-ba2e-09e151a03ef4" xsi:nil="true"/>
    <Publishing_x0020_House xmlns="9c571b2f-e523-4ab2-ba2e-09e151a03ef4" xsi:nil="true"/>
  </documentManagement>
</p:properties>
</file>

<file path=customXml/itemProps1.xml><?xml version="1.0" encoding="utf-8"?>
<ds:datastoreItem xmlns:ds="http://schemas.openxmlformats.org/officeDocument/2006/customXml" ds:itemID="{8EE5C02A-74A4-4979-A149-66261FAC8366}"/>
</file>

<file path=customXml/itemProps2.xml><?xml version="1.0" encoding="utf-8"?>
<ds:datastoreItem xmlns:ds="http://schemas.openxmlformats.org/officeDocument/2006/customXml" ds:itemID="{A5EBFA9F-1C6D-44D7-8DF0-FC140B09CC4D}"/>
</file>

<file path=customXml/itemProps3.xml><?xml version="1.0" encoding="utf-8"?>
<ds:datastoreItem xmlns:ds="http://schemas.openxmlformats.org/officeDocument/2006/customXml" ds:itemID="{55AF091B-3C7A-41E3-B477-F2FDAA23CFDA}"/>
</file>

<file path=customXml/itemProps4.xml><?xml version="1.0" encoding="utf-8"?>
<ds:datastoreItem xmlns:ds="http://schemas.openxmlformats.org/officeDocument/2006/customXml" ds:itemID="{95EBDD30-B21B-4C37-8E4F-E8E6A153C4A5}"/>
</file>

<file path=customXml/itemProps5.xml><?xml version="1.0" encoding="utf-8"?>
<ds:datastoreItem xmlns:ds="http://schemas.openxmlformats.org/officeDocument/2006/customXml" ds:itemID="{F29E81DA-BF8B-4CEA-924C-46FB2F1D327D}"/>
</file>

<file path=customXml/itemProps6.xml><?xml version="1.0" encoding="utf-8"?>
<ds:datastoreItem xmlns:ds="http://schemas.openxmlformats.org/officeDocument/2006/customXml" ds:itemID="{44D1BFCB-F2D0-420D-8D71-29C6C3B45860}"/>
</file>

<file path=customXml/itemProps7.xml><?xml version="1.0" encoding="utf-8"?>
<ds:datastoreItem xmlns:ds="http://schemas.openxmlformats.org/officeDocument/2006/customXml" ds:itemID="{BEB39F03-743B-48F6-BDF9-5A3DB192F403}"/>
</file>

<file path=docProps/app.xml><?xml version="1.0" encoding="utf-8"?>
<Properties xmlns="http://schemas.openxmlformats.org/officeDocument/2006/extended-properties" xmlns:vt="http://schemas.openxmlformats.org/officeDocument/2006/docPropsVTypes">
  <Template>Normal Informe TNR A4.dotm</Template>
  <TotalTime>41</TotalTime>
  <Pages>25</Pages>
  <Words>8208</Words>
  <Characters>47817</Characters>
  <Application>Microsoft Office Word</Application>
  <DocSecurity>0</DocSecurity>
  <Lines>398</Lines>
  <Paragraphs>111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PROGRAMA DE DESARROLLO Y FORTALECIMIENTO DE LA GESTIÓN FISCAL Y DE SERVICIOS SUBNACIONAL</vt:lpstr>
      <vt:lpstr>PROGRAMA DE DESARROLLO Y FORTALECIMIENTO DE LA GESTIÓN FISCAL Y DE SERVICIOS SUBNACIONAL</vt:lpstr>
    </vt:vector>
  </TitlesOfParts>
  <Company>Inter-American Development Bank</Company>
  <LinksUpToDate>false</LinksUpToDate>
  <CharactersWithSpaces>55914</CharactersWithSpaces>
  <SharedDoc>false</SharedDoc>
  <HLinks>
    <vt:vector size="78" baseType="variant">
      <vt:variant>
        <vt:i4>1572915</vt:i4>
      </vt:variant>
      <vt:variant>
        <vt:i4>74</vt:i4>
      </vt:variant>
      <vt:variant>
        <vt:i4>0</vt:i4>
      </vt:variant>
      <vt:variant>
        <vt:i4>5</vt:i4>
      </vt:variant>
      <vt:variant>
        <vt:lpwstr/>
      </vt:variant>
      <vt:variant>
        <vt:lpwstr>_Toc185956280</vt:lpwstr>
      </vt:variant>
      <vt:variant>
        <vt:i4>1507379</vt:i4>
      </vt:variant>
      <vt:variant>
        <vt:i4>68</vt:i4>
      </vt:variant>
      <vt:variant>
        <vt:i4>0</vt:i4>
      </vt:variant>
      <vt:variant>
        <vt:i4>5</vt:i4>
      </vt:variant>
      <vt:variant>
        <vt:lpwstr/>
      </vt:variant>
      <vt:variant>
        <vt:lpwstr>_Toc185956279</vt:lpwstr>
      </vt:variant>
      <vt:variant>
        <vt:i4>1507379</vt:i4>
      </vt:variant>
      <vt:variant>
        <vt:i4>62</vt:i4>
      </vt:variant>
      <vt:variant>
        <vt:i4>0</vt:i4>
      </vt:variant>
      <vt:variant>
        <vt:i4>5</vt:i4>
      </vt:variant>
      <vt:variant>
        <vt:lpwstr/>
      </vt:variant>
      <vt:variant>
        <vt:lpwstr>_Toc185956278</vt:lpwstr>
      </vt:variant>
      <vt:variant>
        <vt:i4>1507379</vt:i4>
      </vt:variant>
      <vt:variant>
        <vt:i4>56</vt:i4>
      </vt:variant>
      <vt:variant>
        <vt:i4>0</vt:i4>
      </vt:variant>
      <vt:variant>
        <vt:i4>5</vt:i4>
      </vt:variant>
      <vt:variant>
        <vt:lpwstr/>
      </vt:variant>
      <vt:variant>
        <vt:lpwstr>_Toc185956277</vt:lpwstr>
      </vt:variant>
      <vt:variant>
        <vt:i4>1507379</vt:i4>
      </vt:variant>
      <vt:variant>
        <vt:i4>50</vt:i4>
      </vt:variant>
      <vt:variant>
        <vt:i4>0</vt:i4>
      </vt:variant>
      <vt:variant>
        <vt:i4>5</vt:i4>
      </vt:variant>
      <vt:variant>
        <vt:lpwstr/>
      </vt:variant>
      <vt:variant>
        <vt:lpwstr>_Toc185956276</vt:lpwstr>
      </vt:variant>
      <vt:variant>
        <vt:i4>1507379</vt:i4>
      </vt:variant>
      <vt:variant>
        <vt:i4>44</vt:i4>
      </vt:variant>
      <vt:variant>
        <vt:i4>0</vt:i4>
      </vt:variant>
      <vt:variant>
        <vt:i4>5</vt:i4>
      </vt:variant>
      <vt:variant>
        <vt:lpwstr/>
      </vt:variant>
      <vt:variant>
        <vt:lpwstr>_Toc185956275</vt:lpwstr>
      </vt:variant>
      <vt:variant>
        <vt:i4>1507379</vt:i4>
      </vt:variant>
      <vt:variant>
        <vt:i4>38</vt:i4>
      </vt:variant>
      <vt:variant>
        <vt:i4>0</vt:i4>
      </vt:variant>
      <vt:variant>
        <vt:i4>5</vt:i4>
      </vt:variant>
      <vt:variant>
        <vt:lpwstr/>
      </vt:variant>
      <vt:variant>
        <vt:lpwstr>_Toc185956274</vt:lpwstr>
      </vt:variant>
      <vt:variant>
        <vt:i4>1507379</vt:i4>
      </vt:variant>
      <vt:variant>
        <vt:i4>32</vt:i4>
      </vt:variant>
      <vt:variant>
        <vt:i4>0</vt:i4>
      </vt:variant>
      <vt:variant>
        <vt:i4>5</vt:i4>
      </vt:variant>
      <vt:variant>
        <vt:lpwstr/>
      </vt:variant>
      <vt:variant>
        <vt:lpwstr>_Toc185956273</vt:lpwstr>
      </vt:variant>
      <vt:variant>
        <vt:i4>1507379</vt:i4>
      </vt:variant>
      <vt:variant>
        <vt:i4>26</vt:i4>
      </vt:variant>
      <vt:variant>
        <vt:i4>0</vt:i4>
      </vt:variant>
      <vt:variant>
        <vt:i4>5</vt:i4>
      </vt:variant>
      <vt:variant>
        <vt:lpwstr/>
      </vt:variant>
      <vt:variant>
        <vt:lpwstr>_Toc185956272</vt:lpwstr>
      </vt:variant>
      <vt:variant>
        <vt:i4>1507379</vt:i4>
      </vt:variant>
      <vt:variant>
        <vt:i4>20</vt:i4>
      </vt:variant>
      <vt:variant>
        <vt:i4>0</vt:i4>
      </vt:variant>
      <vt:variant>
        <vt:i4>5</vt:i4>
      </vt:variant>
      <vt:variant>
        <vt:lpwstr/>
      </vt:variant>
      <vt:variant>
        <vt:lpwstr>_Toc185956271</vt:lpwstr>
      </vt:variant>
      <vt:variant>
        <vt:i4>1507379</vt:i4>
      </vt:variant>
      <vt:variant>
        <vt:i4>14</vt:i4>
      </vt:variant>
      <vt:variant>
        <vt:i4>0</vt:i4>
      </vt:variant>
      <vt:variant>
        <vt:i4>5</vt:i4>
      </vt:variant>
      <vt:variant>
        <vt:lpwstr/>
      </vt:variant>
      <vt:variant>
        <vt:lpwstr>_Toc185956270</vt:lpwstr>
      </vt:variant>
      <vt:variant>
        <vt:i4>1441843</vt:i4>
      </vt:variant>
      <vt:variant>
        <vt:i4>8</vt:i4>
      </vt:variant>
      <vt:variant>
        <vt:i4>0</vt:i4>
      </vt:variant>
      <vt:variant>
        <vt:i4>5</vt:i4>
      </vt:variant>
      <vt:variant>
        <vt:lpwstr/>
      </vt:variant>
      <vt:variant>
        <vt:lpwstr>_Toc185956269</vt:lpwstr>
      </vt:variant>
      <vt:variant>
        <vt:i4>1441843</vt:i4>
      </vt:variant>
      <vt:variant>
        <vt:i4>2</vt:i4>
      </vt:variant>
      <vt:variant>
        <vt:i4>0</vt:i4>
      </vt:variant>
      <vt:variant>
        <vt:i4>5</vt:i4>
      </vt:variant>
      <vt:variant>
        <vt:lpwstr/>
      </vt:variant>
      <vt:variant>
        <vt:lpwstr>_Toc185956268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Económico del Proyecto (UR-L1111)</dc:title>
  <dc:subject>Versión borrador</dc:subject>
  <dc:creator>Fernando Grafe</dc:creator>
  <cp:lastModifiedBy>Marianac</cp:lastModifiedBy>
  <cp:revision>10</cp:revision>
  <cp:lastPrinted>2011-07-09T18:08:00Z</cp:lastPrinted>
  <dcterms:created xsi:type="dcterms:W3CDTF">2016-07-15T13:53:00Z</dcterms:created>
  <dcterms:modified xsi:type="dcterms:W3CDTF">2016-09-19T22:31:00Z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0x01010046CF21643EE8D14686A648AA6DAD089200DDA5B04776AE4C40A7394D7ED834F7DE</vt:lpwstr>
  </property>
  <property fmtid="{D5CDD505-2E9C-101B-9397-08002B2CF9AE}" pid="3" name="TaxKeyword">
    <vt:lpwstr/>
  </property>
  <property fmtid="{D5CDD505-2E9C-101B-9397-08002B2CF9AE}" pid="4" name="Function Operations IDB">
    <vt:lpwstr>6;#IDBDocs|cca77002-e150-4b2d-ab1f-1d7a7cdcae16</vt:lpwstr>
  </property>
  <property fmtid="{D5CDD505-2E9C-101B-9397-08002B2CF9AE}" pid="5" name="Sub_x002d_Sector">
    <vt:lpwstr/>
  </property>
  <property fmtid="{D5CDD505-2E9C-101B-9397-08002B2CF9AE}" pid="6" name="TaxKeywordTaxHTField">
    <vt:lpwstr/>
  </property>
  <property fmtid="{D5CDD505-2E9C-101B-9397-08002B2CF9AE}" pid="7" name="Series Operations IDB">
    <vt:lpwstr>5;#Unclassified|a6dff32e-d477-44cd-a56b-85efe9e0a56c</vt:lpwstr>
  </property>
  <property fmtid="{D5CDD505-2E9C-101B-9397-08002B2CF9AE}" pid="9" name="Country">
    <vt:lpwstr/>
  </property>
  <property fmtid="{D5CDD505-2E9C-101B-9397-08002B2CF9AE}" pid="10" name="Fund IDB">
    <vt:lpwstr/>
  </property>
  <property fmtid="{D5CDD505-2E9C-101B-9397-08002B2CF9AE}" pid="11" name="Series_x0020_Operations_x0020_IDB">
    <vt:lpwstr>5;#Unclassified|a6dff32e-d477-44cd-a56b-85efe9e0a56c</vt:lpwstr>
  </property>
  <property fmtid="{D5CDD505-2E9C-101B-9397-08002B2CF9AE}" pid="12" name="To:">
    <vt:lpwstr/>
  </property>
  <property fmtid="{D5CDD505-2E9C-101B-9397-08002B2CF9AE}" pid="13" name="From:">
    <vt:lpwstr/>
  </property>
  <property fmtid="{D5CDD505-2E9C-101B-9397-08002B2CF9AE}" pid="14" name="Sector IDB">
    <vt:lpwstr/>
  </property>
  <property fmtid="{D5CDD505-2E9C-101B-9397-08002B2CF9AE}" pid="15" name="Sub-Sector">
    <vt:lpwstr/>
  </property>
</Properties>
</file>