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C2F73" w14:textId="77777777" w:rsidR="007552B4" w:rsidRPr="00046E14" w:rsidRDefault="007552B4" w:rsidP="007552B4">
      <w:pPr>
        <w:tabs>
          <w:tab w:val="left" w:pos="1440"/>
          <w:tab w:val="left" w:pos="3060"/>
        </w:tabs>
        <w:spacing w:line="240" w:lineRule="auto"/>
        <w:jc w:val="center"/>
        <w:rPr>
          <w:rFonts w:ascii="Arial" w:hAnsi="Arial" w:cs="Arial"/>
          <w:b/>
          <w:smallCaps/>
          <w:sz w:val="28"/>
          <w:szCs w:val="28"/>
        </w:rPr>
      </w:pPr>
      <w:r>
        <w:rPr>
          <w:rFonts w:ascii="Arial" w:hAnsi="Arial" w:cs="Arial"/>
          <w:b/>
          <w:smallCaps/>
          <w:sz w:val="28"/>
          <w:szCs w:val="28"/>
        </w:rPr>
        <w:t>México</w:t>
      </w:r>
    </w:p>
    <w:p w14:paraId="6A85258B" w14:textId="4C37C5A2" w:rsidR="007552B4" w:rsidRDefault="007552B4" w:rsidP="007552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Programa Global de Crédito para la Defensa del Tejido Productivo y el Empleo </w:t>
      </w:r>
      <w:r w:rsidR="00676F80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del Sector Agroindustrial</w:t>
      </w:r>
    </w:p>
    <w:p w14:paraId="10FE2C60" w14:textId="77777777" w:rsidR="007552B4" w:rsidRDefault="007552B4" w:rsidP="007552B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b/>
          <w:bCs/>
          <w:smallCaps/>
          <w:sz w:val="22"/>
          <w:szCs w:val="22"/>
        </w:rPr>
      </w:pPr>
    </w:p>
    <w:p w14:paraId="01F9216A" w14:textId="77777777" w:rsidR="007552B4" w:rsidRDefault="007552B4" w:rsidP="007552B4">
      <w:pPr>
        <w:spacing w:line="240" w:lineRule="auto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(ME-L1301)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07E14A91" w:rsid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</w:t>
      </w:r>
      <w:r w:rsidR="00FA065A" w:rsidRPr="00FA065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EFERENCIAS BIBLIOGRÁFICAS</w:t>
      </w:r>
    </w:p>
    <w:p w14:paraId="2E3DA990" w14:textId="7777777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851"/>
      </w:tblGrid>
      <w:tr w:rsidR="004F2C7D" w:rsidRPr="00676F80" w14:paraId="7A76DB0F" w14:textId="77777777" w:rsidTr="592264BC">
        <w:tc>
          <w:tcPr>
            <w:tcW w:w="1165" w:type="dxa"/>
            <w:vAlign w:val="center"/>
          </w:tcPr>
          <w:p w14:paraId="197241ED" w14:textId="089DCC0B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791309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F57E847" w14:textId="1D01030A" w:rsidR="004F2C7D" w:rsidRPr="00791309" w:rsidRDefault="00791309" w:rsidP="004458FE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 xml:space="preserve">orld 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 xml:space="preserve">ealth 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>rganization</w:t>
            </w:r>
            <w:r w:rsidR="009A1D92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="00C86C1B" w:rsidRPr="003B003D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Coronavirus Disease</w:t>
              </w:r>
              <w:r w:rsidR="00C86C1B" w:rsidRPr="003B003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 (</w:t>
              </w:r>
              <w:r w:rsidRPr="003B003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COVID-19</w:t>
              </w:r>
              <w:r w:rsidR="00C86C1B" w:rsidRPr="003B003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) </w:t>
              </w:r>
              <w:r w:rsidRPr="003B003D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Dashboard</w:t>
              </w:r>
            </w:hyperlink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0809D3" w:rsidRPr="004F2C7D" w14:paraId="50B9C998" w14:textId="77777777" w:rsidTr="592264BC">
        <w:tc>
          <w:tcPr>
            <w:tcW w:w="1165" w:type="dxa"/>
            <w:vAlign w:val="center"/>
          </w:tcPr>
          <w:p w14:paraId="7D1A37C1" w14:textId="28A96849" w:rsidR="000809D3" w:rsidRPr="004F2C7D" w:rsidRDefault="000809D3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3F6A8F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2</w:t>
            </w:r>
            <w:r w:rsidRPr="7491CD83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71D9EF2F" w14:textId="01B5F173" w:rsidR="00CE2655" w:rsidRPr="005C4B18" w:rsidRDefault="00676F80" w:rsidP="004458FE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208B2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COVID-19 </w:t>
              </w:r>
              <w:r w:rsidR="002208B2" w:rsidRPr="00883C9F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Situation in the Region of the Americas</w:t>
              </w:r>
              <w:r w:rsidR="002208B2" w:rsidRPr="00883C9F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 xml:space="preserve">. </w:t>
              </w:r>
            </w:hyperlink>
            <w:proofErr w:type="spellStart"/>
            <w:r w:rsidR="002208B2" w:rsidRPr="00883C9F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>Reporte</w:t>
            </w:r>
            <w:proofErr w:type="spellEnd"/>
            <w:r w:rsidR="002208B2" w:rsidRPr="00883C9F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 xml:space="preserve"> de Pan American Health Organization (PAHO)</w:t>
            </w:r>
            <w:r w:rsidR="002208B2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>.</w:t>
            </w:r>
          </w:p>
        </w:tc>
      </w:tr>
      <w:tr w:rsidR="004F2C7D" w:rsidRPr="00676F80" w14:paraId="30AD41C2" w14:textId="77777777" w:rsidTr="592264BC">
        <w:tc>
          <w:tcPr>
            <w:tcW w:w="1165" w:type="dxa"/>
            <w:vAlign w:val="center"/>
          </w:tcPr>
          <w:p w14:paraId="3CBEC489" w14:textId="06128B65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1A29AA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3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7D869FCC" w14:textId="15C0A03C" w:rsidR="004F2C7D" w:rsidRPr="00853231" w:rsidRDefault="00F11947" w:rsidP="004458FE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WHO COVID-19 </w:t>
            </w:r>
            <w:r w:rsidRPr="000D0FA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Country Preparedness and Response Status for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COVID-19.</w:t>
            </w:r>
          </w:p>
        </w:tc>
      </w:tr>
      <w:tr w:rsidR="004F2C7D" w:rsidRPr="001A3199" w14:paraId="27B6F6FE" w14:textId="77777777" w:rsidTr="592264BC">
        <w:tc>
          <w:tcPr>
            <w:tcW w:w="1165" w:type="dxa"/>
            <w:vAlign w:val="center"/>
          </w:tcPr>
          <w:p w14:paraId="31C7491D" w14:textId="107A5120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DB0B45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4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54CA085" w14:textId="75629D1F" w:rsidR="000809D3" w:rsidRPr="00853231" w:rsidRDefault="00676F80" w:rsidP="004458FE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hyperlink r:id="rId14" w:history="1">
              <w:r w:rsidR="00DB0B45" w:rsidRPr="00B634AE">
                <w:rPr>
                  <w:rStyle w:val="Hyperlink"/>
                  <w:rFonts w:ascii="Arial" w:hAnsi="Arial" w:cs="Arial"/>
                  <w:sz w:val="18"/>
                  <w:szCs w:val="18"/>
                </w:rPr>
                <w:t>Comunicado de CEPAL</w:t>
              </w:r>
            </w:hyperlink>
            <w:r w:rsidR="00DB0B45" w:rsidRPr="00B634AE">
              <w:rPr>
                <w:rFonts w:ascii="Arial" w:hAnsi="Arial" w:cs="Arial"/>
                <w:sz w:val="18"/>
                <w:szCs w:val="18"/>
              </w:rPr>
              <w:t xml:space="preserve"> (19 de marzo 2020)</w:t>
            </w:r>
            <w:r w:rsidR="00DB0B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B0B45" w:rsidRPr="001A3199" w14:paraId="3251DE96" w14:textId="77777777" w:rsidTr="592264BC">
        <w:tc>
          <w:tcPr>
            <w:tcW w:w="1165" w:type="dxa"/>
            <w:vAlign w:val="center"/>
          </w:tcPr>
          <w:p w14:paraId="4E60AA1B" w14:textId="3F86EB47" w:rsidR="00DB0B45" w:rsidRPr="7491CD83" w:rsidRDefault="00DB0B45" w:rsidP="00DB0B45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5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6D6AB941" w14:textId="4AA79458" w:rsidR="00DB0B45" w:rsidRDefault="00723033" w:rsidP="00DB0B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</w:pPr>
            <w:r w:rsidRPr="00D933B1">
              <w:rPr>
                <w:rFonts w:ascii="Arial" w:hAnsi="Arial" w:cs="Arial"/>
                <w:sz w:val="18"/>
                <w:szCs w:val="18"/>
              </w:rPr>
              <w:t xml:space="preserve">FMI, </w:t>
            </w:r>
            <w:proofErr w:type="spellStart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>World</w:t>
            </w:r>
            <w:proofErr w:type="spellEnd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>Economic</w:t>
            </w:r>
            <w:proofErr w:type="spellEnd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Outlook</w:t>
            </w:r>
            <w:r w:rsidRPr="00D933B1">
              <w:rPr>
                <w:rFonts w:ascii="Arial" w:hAnsi="Arial" w:cs="Arial"/>
                <w:sz w:val="18"/>
                <w:szCs w:val="18"/>
              </w:rPr>
              <w:t xml:space="preserve"> 2020. Para fines comparativos, en 2009, por ejemplo, el PIB de México disminuyó en 5%.</w:t>
            </w:r>
          </w:p>
        </w:tc>
      </w:tr>
      <w:tr w:rsidR="00DB0B45" w:rsidRPr="001A3199" w14:paraId="21039765" w14:textId="77777777" w:rsidTr="592264BC">
        <w:tc>
          <w:tcPr>
            <w:tcW w:w="1165" w:type="dxa"/>
            <w:vAlign w:val="center"/>
          </w:tcPr>
          <w:p w14:paraId="46F16901" w14:textId="35FCD48A" w:rsidR="00DB0B45" w:rsidRPr="7491CD83" w:rsidRDefault="00DB0B45" w:rsidP="00DB0B45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6</w:t>
            </w:r>
            <w:r w:rsidRPr="7491CD83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36561F82" w14:textId="6E1BD21E" w:rsidR="00DB0B45" w:rsidRDefault="00DC662A" w:rsidP="00DB0B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</w:pPr>
            <w:r>
              <w:rPr>
                <w:rFonts w:ascii="Arial" w:hAnsi="Arial" w:cs="Arial"/>
                <w:sz w:val="18"/>
                <w:szCs w:val="18"/>
              </w:rPr>
              <w:t>BID</w:t>
            </w:r>
            <w:r w:rsidR="004D2C63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2020</w:t>
            </w:r>
            <w:r w:rsidR="004D2C63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hyperlink r:id="rId1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El impacto del COVID-19 en las economías de la región (Centroamérica)</w:t>
              </w:r>
            </w:hyperlink>
            <w:r w:rsidRPr="00DC662A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>.</w:t>
            </w:r>
          </w:p>
        </w:tc>
      </w:tr>
      <w:tr w:rsidR="00D456DA" w:rsidRPr="004F2C7D" w14:paraId="3C68B3FE" w14:textId="77777777" w:rsidTr="592264BC">
        <w:tc>
          <w:tcPr>
            <w:tcW w:w="9016" w:type="dxa"/>
            <w:gridSpan w:val="2"/>
            <w:vAlign w:val="center"/>
          </w:tcPr>
          <w:p w14:paraId="490E15D7" w14:textId="2B1833C3" w:rsidR="00D456DA" w:rsidRPr="009E5387" w:rsidDel="00B24164" w:rsidRDefault="00FC6039" w:rsidP="009E5387">
            <w:pPr>
              <w:spacing w:before="120" w:after="120"/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</w:pPr>
            <w:r w:rsidRPr="406F3B22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 xml:space="preserve">Referencias </w:t>
            </w:r>
            <w:r w:rsidR="00D456DA" w:rsidRPr="406F3B22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>de</w:t>
            </w:r>
            <w:r w:rsidRPr="406F3B22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 xml:space="preserve"> Experiencia del Banco y </w:t>
            </w:r>
            <w:r w:rsidR="00D456DA" w:rsidRPr="406F3B22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>Lecciones Aprendidas</w:t>
            </w:r>
          </w:p>
        </w:tc>
      </w:tr>
      <w:tr w:rsidR="00D456DA" w:rsidRPr="004F2C7D" w14:paraId="379E7C7B" w14:textId="77777777" w:rsidTr="592264BC">
        <w:tc>
          <w:tcPr>
            <w:tcW w:w="1165" w:type="dxa"/>
            <w:vAlign w:val="center"/>
          </w:tcPr>
          <w:p w14:paraId="00CCF8DB" w14:textId="3893A398" w:rsidR="00D456DA" w:rsidRDefault="00D456DA" w:rsidP="00D456DA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AF150F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7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10C32A1" w14:textId="52B3308E" w:rsidR="00D456DA" w:rsidRPr="009F66E0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(2010). Impact Evaluation of the IDB's Liquidity Program for Growth Sustainability, Capital Markets and Financial Institutions Division, Washington, D.C.: BID. </w:t>
            </w:r>
          </w:p>
          <w:p w14:paraId="429E4267" w14:textId="1DEE62D1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 (2013).  Evaluación Corporativa: Instrumentos de </w:t>
            </w:r>
            <w:r w:rsidR="00DC6102" w:rsidRPr="005C4B18">
              <w:rPr>
                <w:rFonts w:ascii="Arial" w:hAnsi="Arial" w:cs="Arial"/>
                <w:sz w:val="20"/>
                <w:szCs w:val="20"/>
              </w:rPr>
              <w:t>Préstamo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Contingente”, Oficina de Evaluación y Supervisión, Washington, D.C.: BID.</w:t>
            </w:r>
          </w:p>
          <w:p w14:paraId="52739817" w14:textId="46D83AEB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 (2016). “Evaluación del trabajo del Grupo BID a través de intermediarios financieros”, Oficina de Evaluación y Supervisión, Washington, D.C.: BID.</w:t>
            </w:r>
          </w:p>
        </w:tc>
      </w:tr>
      <w:tr w:rsidR="00D456DA" w:rsidRPr="007552B4" w14:paraId="7F8B3824" w14:textId="77777777" w:rsidTr="592264BC">
        <w:tc>
          <w:tcPr>
            <w:tcW w:w="1165" w:type="dxa"/>
            <w:vAlign w:val="center"/>
          </w:tcPr>
          <w:p w14:paraId="75A0EFE5" w14:textId="498764DA" w:rsidR="00D456DA" w:rsidRDefault="00D456DA" w:rsidP="00D456DA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AF150F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8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B501F07" w14:textId="5B0B18F1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“Second - tier Government Banks and Firm Performance.”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IDB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Series No. IDB - WP - 294.</w:t>
            </w:r>
          </w:p>
          <w:p w14:paraId="07524EDA" w14:textId="55EFA11E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(2014). “Análisis comparativo de las modalidades de apoyo del BID a la PYME: Evaluación de los Resultados en el Sector de la Manufactura en Brasil”, Oficina de Evaluación y Supervisión, Washington D.C.: BID.</w:t>
            </w:r>
          </w:p>
          <w:p w14:paraId="6504CE05" w14:textId="098D65BB" w:rsidR="00D456DA" w:rsidRPr="009F66E0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Mills K.G. (2018) Small Businesses and Their Banks: The Impact of the Great Recession. In: Fintech, Small Business &amp; the American Dream. Palgrave Macmillan, Cham.</w:t>
            </w:r>
          </w:p>
          <w:p w14:paraId="10846192" w14:textId="2248374F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Gramigna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 (2012) The Great Recession of 2008–2009, Conventional and Non-conventional U.S. Federal Government Responses and Their Impact on U.S. Small Businesses. In: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Calcagnini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G.,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Favaretto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I. (eds) Small Businesses in the Aftermath of the Crisis.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Contributions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Economics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Physica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Heidelberg</w:t>
            </w:r>
          </w:p>
          <w:p w14:paraId="477E8DA4" w14:textId="03475C74" w:rsidR="00D456DA" w:rsidRPr="001A3199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Chen, Hanson and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Stei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. 2017. “The Decline of Big-Bank Lending to Small Business: Dynamic Impacts on Local Credit and Labor Markets”. </w:t>
            </w:r>
            <w:r w:rsidRPr="001A3199">
              <w:rPr>
                <w:rFonts w:ascii="Arial" w:hAnsi="Arial" w:cs="Arial"/>
                <w:sz w:val="20"/>
                <w:szCs w:val="20"/>
                <w:lang w:val="en-US"/>
              </w:rPr>
              <w:t>NBER Working Paper No. 23843, September 2017.</w:t>
            </w:r>
          </w:p>
          <w:p w14:paraId="3A202DD6" w14:textId="3E78571E" w:rsidR="00D456DA" w:rsidRPr="001A3199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lastRenderedPageBreak/>
              <w:t>Asdrubali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y Signore. 2015. “</w:t>
            </w:r>
            <w:proofErr w:type="gram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The  Economic</w:t>
            </w:r>
            <w:proofErr w:type="gram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 Impact  of  EU  Guarantees  on Credit to SMEs: Evidence from CESEE Countries”. </w:t>
            </w:r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European Economy Discussion Papers, European </w:t>
            </w:r>
            <w:proofErr w:type="spellStart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Comission</w:t>
            </w:r>
            <w:proofErr w:type="spellEnd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.</w:t>
            </w:r>
          </w:p>
        </w:tc>
      </w:tr>
      <w:tr w:rsidR="00D456DA" w:rsidRPr="00676F80" w14:paraId="5523C5AB" w14:textId="77777777" w:rsidTr="592264BC">
        <w:tc>
          <w:tcPr>
            <w:tcW w:w="1165" w:type="dxa"/>
            <w:vAlign w:val="center"/>
          </w:tcPr>
          <w:p w14:paraId="60789466" w14:textId="0B038297" w:rsidR="00D456DA" w:rsidRDefault="00D456DA" w:rsidP="00D456DA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</w:t>
            </w:r>
            <w:r w:rsidR="00AF150F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9</w:t>
            </w:r>
            <w:r w:rsidRPr="7491CD8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5A7AAAF3" w14:textId="0168F58A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BID. (2005). Desencadenar el Crédito: cómo ampliar y estabilizar la banca, Washington, D.C.: BID.  </w:t>
            </w:r>
          </w:p>
          <w:p w14:paraId="40640A95" w14:textId="5967E27F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(2013). “Bancos públicos de desarrollo: ¿Hacia un nuevo paradigma?” Fernando de Olloqui (ed.). Washington, DC: BID.</w:t>
            </w:r>
          </w:p>
          <w:p w14:paraId="0E75BBB4" w14:textId="51545CAC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Smallridge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y otros. (2013). “El rol de los Bancos Nacionales de Desarrollo en catalizar el financiamiento climático internacional”. Washington, DC: BID. </w:t>
            </w:r>
          </w:p>
          <w:p w14:paraId="08D897C7" w14:textId="61F01C4B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Bueso-Merriam, J., Demichelis, F., Fernández Diez, M. C.,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Giuliodori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David, Rodríguez, Alejandro y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Stucchi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R. (2016). ‘El impacto del Programa de Crédito para el Desarrollo de la Producción y el Empleo en la Provincia de San Juan’,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14:paraId="718A908F" w14:textId="46EA0CAF" w:rsidR="00D456DA" w:rsidRPr="005C4B18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Bonilla, C. &amp;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Cancino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C. (2011). 'El impacto del Programa de Capital Semilla del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Sercotecen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Chile',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 Financieras, Washington D.C.: Banco Interamericano de Desarrollo.</w:t>
            </w:r>
          </w:p>
          <w:p w14:paraId="0CE1FFEC" w14:textId="63674118" w:rsidR="00D456DA" w:rsidRPr="009F66E0" w:rsidRDefault="00D456DA" w:rsidP="00D456D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'Second-tier Government Banks and Access to Credit: Micro-Evidence from Colombia', Working Paper No. 308, Washington D.C.; Banco Interamericano de Desarrollo.</w:t>
            </w:r>
          </w:p>
        </w:tc>
      </w:tr>
    </w:tbl>
    <w:p w14:paraId="0576BDA4" w14:textId="77777777" w:rsidR="00FA065A" w:rsidRPr="009F66E0" w:rsidRDefault="00FA065A" w:rsidP="00F92D82">
      <w:pP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n-US" w:eastAsia="es-ES"/>
        </w:rPr>
      </w:pPr>
    </w:p>
    <w:sectPr w:rsidR="00FA065A" w:rsidRPr="009F66E0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4E49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0F5A4A"/>
    <w:rsid w:val="00122C6A"/>
    <w:rsid w:val="00152162"/>
    <w:rsid w:val="00154F26"/>
    <w:rsid w:val="00155D7A"/>
    <w:rsid w:val="00170258"/>
    <w:rsid w:val="001752EE"/>
    <w:rsid w:val="001A29AA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208B2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B003D"/>
    <w:rsid w:val="003C34BC"/>
    <w:rsid w:val="003F6A8F"/>
    <w:rsid w:val="0040380B"/>
    <w:rsid w:val="00410395"/>
    <w:rsid w:val="004363F9"/>
    <w:rsid w:val="004458FE"/>
    <w:rsid w:val="00467C24"/>
    <w:rsid w:val="00471072"/>
    <w:rsid w:val="004A4A6C"/>
    <w:rsid w:val="004D1485"/>
    <w:rsid w:val="004D2C63"/>
    <w:rsid w:val="004E2256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62403A"/>
    <w:rsid w:val="00632C35"/>
    <w:rsid w:val="0066045E"/>
    <w:rsid w:val="00661320"/>
    <w:rsid w:val="00676F80"/>
    <w:rsid w:val="00723033"/>
    <w:rsid w:val="00754D9D"/>
    <w:rsid w:val="007552B4"/>
    <w:rsid w:val="00762195"/>
    <w:rsid w:val="0078215A"/>
    <w:rsid w:val="007906BD"/>
    <w:rsid w:val="00791309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C0004"/>
    <w:rsid w:val="008C1998"/>
    <w:rsid w:val="00900237"/>
    <w:rsid w:val="00914E91"/>
    <w:rsid w:val="00933B04"/>
    <w:rsid w:val="00940866"/>
    <w:rsid w:val="00943C78"/>
    <w:rsid w:val="0094767C"/>
    <w:rsid w:val="00971D00"/>
    <w:rsid w:val="00981217"/>
    <w:rsid w:val="009A1D92"/>
    <w:rsid w:val="009A43B3"/>
    <w:rsid w:val="009C233D"/>
    <w:rsid w:val="009E5387"/>
    <w:rsid w:val="009F66E0"/>
    <w:rsid w:val="00A32A0B"/>
    <w:rsid w:val="00A63C89"/>
    <w:rsid w:val="00A770AB"/>
    <w:rsid w:val="00A829D6"/>
    <w:rsid w:val="00A9550E"/>
    <w:rsid w:val="00AF150F"/>
    <w:rsid w:val="00AF5C1D"/>
    <w:rsid w:val="00B24164"/>
    <w:rsid w:val="00B24715"/>
    <w:rsid w:val="00B661A7"/>
    <w:rsid w:val="00BB69F0"/>
    <w:rsid w:val="00BC3329"/>
    <w:rsid w:val="00BE274D"/>
    <w:rsid w:val="00C00593"/>
    <w:rsid w:val="00C06D22"/>
    <w:rsid w:val="00C16EB1"/>
    <w:rsid w:val="00C202F6"/>
    <w:rsid w:val="00C32579"/>
    <w:rsid w:val="00C473A3"/>
    <w:rsid w:val="00C64C88"/>
    <w:rsid w:val="00C82FF4"/>
    <w:rsid w:val="00C8469F"/>
    <w:rsid w:val="00C86C1B"/>
    <w:rsid w:val="00C90F2B"/>
    <w:rsid w:val="00C97DC1"/>
    <w:rsid w:val="00CB0154"/>
    <w:rsid w:val="00CE0EC9"/>
    <w:rsid w:val="00CE2655"/>
    <w:rsid w:val="00D066F7"/>
    <w:rsid w:val="00D3138E"/>
    <w:rsid w:val="00D32110"/>
    <w:rsid w:val="00D456DA"/>
    <w:rsid w:val="00D96916"/>
    <w:rsid w:val="00D973C6"/>
    <w:rsid w:val="00DB0B45"/>
    <w:rsid w:val="00DC2816"/>
    <w:rsid w:val="00DC6102"/>
    <w:rsid w:val="00DC662A"/>
    <w:rsid w:val="00DD60A4"/>
    <w:rsid w:val="00DE0E45"/>
    <w:rsid w:val="00E0656D"/>
    <w:rsid w:val="00E13CC7"/>
    <w:rsid w:val="00E344A4"/>
    <w:rsid w:val="00E37CA6"/>
    <w:rsid w:val="00E4013F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1947"/>
    <w:rsid w:val="00F17D4E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C6039"/>
    <w:rsid w:val="00FC6514"/>
    <w:rsid w:val="0275021C"/>
    <w:rsid w:val="10B87DA6"/>
    <w:rsid w:val="123F1313"/>
    <w:rsid w:val="12FED722"/>
    <w:rsid w:val="1D1AE19D"/>
    <w:rsid w:val="2C206A43"/>
    <w:rsid w:val="3AD6111D"/>
    <w:rsid w:val="3C4DA12C"/>
    <w:rsid w:val="406F3B22"/>
    <w:rsid w:val="4FFD16CA"/>
    <w:rsid w:val="544F9323"/>
    <w:rsid w:val="592264BC"/>
    <w:rsid w:val="5BA11EA0"/>
    <w:rsid w:val="5D736DEF"/>
    <w:rsid w:val="71E623F1"/>
    <w:rsid w:val="7491C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character" w:styleId="Hyperlink">
    <w:name w:val="Hyperlink"/>
    <w:basedOn w:val="DefaultParagraphFont"/>
    <w:rsid w:val="007913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13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hyperlink" Target="https://www.paho.org/en/topics/coronavirus-infections/coronavirus-disease-covid-19" TargetMode="Externa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hyperlink" Target="https://covid19.who.in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publications.iadb.org/es/el-impacto-del-covid-19-en-las-economias-de-la-region-centroamerica" TargetMode="Externa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www.cepal.org/es/comunicados/covid-19-tendra-graves-efectos-la-economia-mundial-impactara-paises-america-lati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5063/OC-ME;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INCLUSION</TermName>
          <TermId xmlns="http://schemas.microsoft.com/office/infopath/2007/PartnerControls">c2f14676-e4fa-4804-b3fb-fa0bd62b66c7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10</Value>
      <Value>44</Value>
      <Value>43</Value>
      <Value>24</Value>
      <Value>19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ME-L1301;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EZSHARE-2009723676-15</_dlc_DocId>
    <_dlc_DocIdUrl xmlns="cdc7663a-08f0-4737-9e8c-148ce897a09c">
      <Url>https://idbg.sharepoint.com/teams/EZ-ME-LON/ME-L1301/_layouts/15/DocIdRedir.aspx?ID=EZSHARE-2009723676-15</Url>
      <Description>EZSHARE-2009723676-15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2AC7A57F8CE2C4F8CEC93F19E0452E6" ma:contentTypeVersion="0" ma:contentTypeDescription="A content type to manage public (operations) IDB documents" ma:contentTypeScope="" ma:versionID="52a10ce0a246bee3a66b425c74c5121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15CF-A9CA-4287-9DD9-7BE62EDA09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2E9DAB-5474-4C45-B255-F1BD42EADF0A}"/>
</file>

<file path=customXml/itemProps3.xml><?xml version="1.0" encoding="utf-8"?>
<ds:datastoreItem xmlns:ds="http://schemas.openxmlformats.org/officeDocument/2006/customXml" ds:itemID="{04A58DEF-0737-492D-982A-9359C89BBE6B}"/>
</file>

<file path=customXml/itemProps4.xml><?xml version="1.0" encoding="utf-8"?>
<ds:datastoreItem xmlns:ds="http://schemas.openxmlformats.org/officeDocument/2006/customXml" ds:itemID="{4204525A-7AA4-402E-A2CE-82992BA51801}"/>
</file>

<file path=customXml/itemProps5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DA6EA58-69D8-41A5-A0AA-8C04B4BBD69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D2A5187B-4D1C-497D-B427-1C1DD194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Porras Herrera, Fanny Eliana</cp:lastModifiedBy>
  <cp:revision>5</cp:revision>
  <dcterms:created xsi:type="dcterms:W3CDTF">2020-05-19T22:31:00Z</dcterms:created>
  <dcterms:modified xsi:type="dcterms:W3CDTF">2020-06-16T14:27:00Z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10;#Loan Proposal|6ee86b6f-6e46-485b-8bfb-87a1f44622ac</vt:lpwstr>
  </property>
  <property fmtid="{D5CDD505-2E9C-101B-9397-08002B2CF9AE}" pid="6" name="Sub-Sector">
    <vt:lpwstr>44;#FINANCIAL INCLUSION|c2f14676-e4fa-4804-b3fb-fa0bd62b66c7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43;#FINANCIAL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ba49b992-967c-4000-8f7c-765081d3be8d</vt:lpwstr>
  </property>
  <property fmtid="{D5CDD505-2E9C-101B-9397-08002B2CF9AE}" pid="12" name="ContentTypeId">
    <vt:lpwstr>0x0101001A458A224826124E8B45B1D613300CFC0052AC7A57F8CE2C4F8CEC93F19E0452E6</vt:lpwstr>
  </property>
  <property fmtid="{D5CDD505-2E9C-101B-9397-08002B2CF9AE}" pid="14" name="From:">
    <vt:lpwstr>IFD/CMF</vt:lpwstr>
  </property>
</Properties>
</file>