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0CACD8" w14:textId="02D50235" w:rsidR="004B2BA4" w:rsidRPr="001F731F" w:rsidRDefault="004B2BA4" w:rsidP="004B2BA4">
      <w:pPr>
        <w:pStyle w:val="SubSubPar"/>
        <w:numPr>
          <w:ilvl w:val="0"/>
          <w:numId w:val="0"/>
        </w:numPr>
        <w:spacing w:after="0"/>
        <w:jc w:val="center"/>
        <w:rPr>
          <w:rFonts w:ascii="Arial" w:hAnsi="Arial" w:cs="Arial"/>
          <w:smallCaps/>
          <w:sz w:val="22"/>
          <w:szCs w:val="22"/>
          <w:lang w:val="es-ES_tradnl"/>
        </w:rPr>
      </w:pPr>
      <w:bookmarkStart w:id="0" w:name="_Toc388249744"/>
      <w:r w:rsidRPr="001F731F">
        <w:rPr>
          <w:rFonts w:ascii="Arial" w:hAnsi="Arial" w:cs="Arial"/>
          <w:smallCaps/>
          <w:sz w:val="22"/>
          <w:szCs w:val="22"/>
          <w:lang w:val="es-ES_tradnl"/>
        </w:rPr>
        <w:t>Documento del Banco Interameric</w:t>
      </w:r>
      <w:r w:rsidR="00591DBC">
        <w:rPr>
          <w:rFonts w:ascii="Arial" w:hAnsi="Arial" w:cs="Arial"/>
          <w:smallCaps/>
          <w:sz w:val="22"/>
          <w:szCs w:val="22"/>
          <w:lang w:val="es-ES_tradnl"/>
        </w:rPr>
        <w:t>a</w:t>
      </w:r>
      <w:r w:rsidR="0098771D">
        <w:rPr>
          <w:rFonts w:ascii="Arial" w:hAnsi="Arial" w:cs="Arial"/>
          <w:smallCaps/>
          <w:sz w:val="22"/>
          <w:szCs w:val="22"/>
          <w:lang w:val="es-ES_tradnl"/>
        </w:rPr>
        <w:t>n</w:t>
      </w:r>
      <w:r w:rsidR="00591DBC">
        <w:rPr>
          <w:rFonts w:ascii="Arial" w:hAnsi="Arial" w:cs="Arial"/>
          <w:smallCaps/>
          <w:sz w:val="22"/>
          <w:szCs w:val="22"/>
          <w:lang w:val="es-ES_tradnl"/>
        </w:rPr>
        <w:t>o</w:t>
      </w:r>
      <w:r w:rsidRPr="001F731F">
        <w:rPr>
          <w:rFonts w:ascii="Arial" w:hAnsi="Arial" w:cs="Arial"/>
          <w:smallCaps/>
          <w:sz w:val="22"/>
          <w:szCs w:val="22"/>
          <w:lang w:val="es-ES_tradnl"/>
        </w:rPr>
        <w:t xml:space="preserve"> De Desarrollo</w:t>
      </w:r>
      <w:bookmarkEnd w:id="0"/>
    </w:p>
    <w:p w14:paraId="4C4FBB0D" w14:textId="77777777" w:rsidR="004B2BA4" w:rsidRPr="001F731F" w:rsidRDefault="004B2BA4" w:rsidP="004B2BA4">
      <w:pPr>
        <w:spacing w:before="120" w:after="120" w:line="240" w:lineRule="auto"/>
        <w:jc w:val="center"/>
        <w:rPr>
          <w:rFonts w:ascii="Arial" w:hAnsi="Arial" w:cs="Arial"/>
          <w:lang w:val="es-ES_tradnl"/>
        </w:rPr>
      </w:pPr>
    </w:p>
    <w:p w14:paraId="29C7C0BC" w14:textId="77777777" w:rsidR="004B2BA4" w:rsidRPr="001F731F" w:rsidRDefault="004B2BA4" w:rsidP="004B2BA4">
      <w:pPr>
        <w:spacing w:before="120" w:after="120" w:line="240" w:lineRule="auto"/>
        <w:jc w:val="center"/>
        <w:rPr>
          <w:rFonts w:ascii="Arial" w:hAnsi="Arial" w:cs="Arial"/>
          <w:lang w:val="es-ES_tradnl"/>
        </w:rPr>
      </w:pPr>
    </w:p>
    <w:p w14:paraId="6F39AC0F" w14:textId="77777777" w:rsidR="004B2BA4" w:rsidRPr="001F731F" w:rsidRDefault="004B2BA4" w:rsidP="004B2BA4">
      <w:pPr>
        <w:spacing w:before="120" w:after="120" w:line="240" w:lineRule="auto"/>
        <w:jc w:val="center"/>
        <w:rPr>
          <w:rFonts w:ascii="Arial" w:hAnsi="Arial" w:cs="Arial"/>
          <w:lang w:val="es-ES_tradnl"/>
        </w:rPr>
      </w:pPr>
    </w:p>
    <w:p w14:paraId="128AAB65" w14:textId="77777777" w:rsidR="004B2BA4" w:rsidRPr="001F731F" w:rsidRDefault="004B2BA4" w:rsidP="004B2BA4">
      <w:pPr>
        <w:spacing w:before="120" w:after="120" w:line="240" w:lineRule="auto"/>
        <w:jc w:val="center"/>
        <w:rPr>
          <w:rFonts w:ascii="Arial" w:hAnsi="Arial" w:cs="Arial"/>
          <w:lang w:val="es-ES_tradnl"/>
        </w:rPr>
      </w:pPr>
    </w:p>
    <w:p w14:paraId="6CDE038D" w14:textId="2FE8BFCD" w:rsidR="004B2BA4" w:rsidRPr="001F731F" w:rsidRDefault="00694CF5" w:rsidP="004B2BA4">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México</w:t>
      </w:r>
    </w:p>
    <w:p w14:paraId="1C3B2B77" w14:textId="77777777" w:rsidR="004B2BA4" w:rsidRPr="001F731F" w:rsidRDefault="004B2BA4" w:rsidP="004B2BA4">
      <w:pPr>
        <w:tabs>
          <w:tab w:val="left" w:pos="1440"/>
          <w:tab w:val="left" w:pos="3060"/>
        </w:tabs>
        <w:jc w:val="center"/>
        <w:rPr>
          <w:rFonts w:ascii="Arial" w:hAnsi="Arial" w:cs="Arial"/>
          <w:smallCaps/>
          <w:lang w:val="es-ES_tradnl"/>
        </w:rPr>
      </w:pPr>
    </w:p>
    <w:p w14:paraId="6DBF841C" w14:textId="77777777" w:rsidR="004B2BA4" w:rsidRPr="001F731F" w:rsidRDefault="004B2BA4" w:rsidP="004B2BA4">
      <w:pPr>
        <w:tabs>
          <w:tab w:val="left" w:pos="1440"/>
          <w:tab w:val="left" w:pos="3060"/>
        </w:tabs>
        <w:jc w:val="center"/>
        <w:rPr>
          <w:rFonts w:ascii="Arial" w:hAnsi="Arial" w:cs="Arial"/>
          <w:smallCaps/>
          <w:lang w:val="es-ES_tradnl"/>
        </w:rPr>
      </w:pPr>
    </w:p>
    <w:p w14:paraId="08685056" w14:textId="77777777" w:rsidR="004B2BA4" w:rsidRPr="001F731F" w:rsidRDefault="004B2BA4" w:rsidP="004B2BA4">
      <w:pPr>
        <w:tabs>
          <w:tab w:val="left" w:pos="1440"/>
          <w:tab w:val="left" w:pos="3060"/>
        </w:tabs>
        <w:jc w:val="center"/>
        <w:rPr>
          <w:rFonts w:ascii="Arial" w:hAnsi="Arial" w:cs="Arial"/>
          <w:smallCaps/>
          <w:lang w:val="es-ES_tradnl"/>
        </w:rPr>
      </w:pPr>
    </w:p>
    <w:p w14:paraId="24DE95B6" w14:textId="77777777" w:rsidR="004B2BA4" w:rsidRPr="001F731F" w:rsidRDefault="004B2BA4" w:rsidP="004B2BA4">
      <w:pPr>
        <w:tabs>
          <w:tab w:val="left" w:pos="1440"/>
          <w:tab w:val="left" w:pos="3060"/>
        </w:tabs>
        <w:jc w:val="center"/>
        <w:rPr>
          <w:rFonts w:ascii="Arial" w:hAnsi="Arial" w:cs="Arial"/>
          <w:smallCaps/>
          <w:lang w:val="es-ES_tradnl"/>
        </w:rPr>
      </w:pPr>
    </w:p>
    <w:p w14:paraId="0A222FE0" w14:textId="122E6982" w:rsidR="004B2BA4" w:rsidRPr="001F731F" w:rsidRDefault="004B2BA4" w:rsidP="004B2BA4">
      <w:pPr>
        <w:pStyle w:val="Newpage"/>
        <w:rPr>
          <w:rFonts w:ascii="Arial" w:hAnsi="Arial" w:cs="Arial"/>
          <w:sz w:val="28"/>
          <w:szCs w:val="28"/>
          <w:lang w:val="es-ES_tradnl"/>
        </w:rPr>
      </w:pPr>
      <w:r w:rsidRPr="001F731F">
        <w:rPr>
          <w:rFonts w:ascii="Arial" w:hAnsi="Arial" w:cs="Arial"/>
          <w:sz w:val="28"/>
          <w:szCs w:val="28"/>
          <w:lang w:val="es-ES_tradnl"/>
        </w:rPr>
        <w:t xml:space="preserve">Programa </w:t>
      </w:r>
      <w:r>
        <w:rPr>
          <w:rFonts w:ascii="Arial" w:hAnsi="Arial" w:cs="Arial"/>
          <w:sz w:val="28"/>
          <w:szCs w:val="28"/>
          <w:lang w:val="es-ES_tradnl"/>
        </w:rPr>
        <w:t xml:space="preserve">Global de Crédito para la Defensa del Tejido Productivo y el Empleo </w:t>
      </w:r>
      <w:r w:rsidR="008579AE">
        <w:rPr>
          <w:rFonts w:ascii="Arial" w:hAnsi="Arial" w:cs="Arial"/>
          <w:sz w:val="28"/>
          <w:szCs w:val="28"/>
          <w:lang w:val="es-ES_tradnl"/>
        </w:rPr>
        <w:t>del Sector Agroindustrial</w:t>
      </w:r>
    </w:p>
    <w:p w14:paraId="5C936629" w14:textId="77777777" w:rsidR="004B2BA4" w:rsidRPr="001F731F" w:rsidRDefault="004B2BA4" w:rsidP="004B2BA4">
      <w:pPr>
        <w:pStyle w:val="Newpage"/>
        <w:rPr>
          <w:rFonts w:ascii="Arial" w:hAnsi="Arial" w:cs="Arial"/>
          <w:b w:val="0"/>
          <w:caps/>
          <w:smallCaps w:val="0"/>
          <w:sz w:val="22"/>
          <w:szCs w:val="22"/>
          <w:lang w:val="es-ES_tradnl"/>
        </w:rPr>
      </w:pPr>
    </w:p>
    <w:p w14:paraId="1DC31F2B" w14:textId="77777777" w:rsidR="004B2BA4" w:rsidRPr="001F731F" w:rsidRDefault="004B2BA4" w:rsidP="004B2BA4">
      <w:pPr>
        <w:pStyle w:val="Newpage"/>
        <w:rPr>
          <w:rFonts w:ascii="Arial" w:hAnsi="Arial" w:cs="Arial"/>
          <w:b w:val="0"/>
          <w:caps/>
          <w:smallCaps w:val="0"/>
          <w:sz w:val="22"/>
          <w:szCs w:val="22"/>
          <w:lang w:val="es-ES_tradnl"/>
        </w:rPr>
      </w:pPr>
    </w:p>
    <w:p w14:paraId="618F7A27" w14:textId="4B87ADBA" w:rsidR="004B2BA4" w:rsidRPr="001F731F" w:rsidRDefault="00460738" w:rsidP="004B2BA4">
      <w:pPr>
        <w:tabs>
          <w:tab w:val="left" w:pos="1440"/>
          <w:tab w:val="left" w:pos="3060"/>
        </w:tabs>
        <w:jc w:val="center"/>
        <w:rPr>
          <w:rFonts w:ascii="Arial" w:hAnsi="Arial" w:cs="Arial"/>
          <w:b/>
          <w:smallCaps/>
          <w:lang w:val="es-ES_tradnl"/>
        </w:rPr>
      </w:pPr>
      <w:r>
        <w:rPr>
          <w:rFonts w:ascii="Arial" w:hAnsi="Arial" w:cs="Arial"/>
          <w:b/>
          <w:smallCaps/>
          <w:lang w:val="es-ES_tradnl"/>
        </w:rPr>
        <w:t>ME-L1301</w:t>
      </w:r>
    </w:p>
    <w:p w14:paraId="584E1996" w14:textId="77777777" w:rsidR="004B2BA4" w:rsidRPr="001F731F" w:rsidRDefault="004B2BA4" w:rsidP="004B2BA4">
      <w:pPr>
        <w:jc w:val="center"/>
        <w:outlineLvl w:val="0"/>
        <w:rPr>
          <w:rFonts w:ascii="Arial" w:hAnsi="Arial" w:cs="Arial"/>
          <w:b/>
          <w:bCs/>
          <w:smallCaps/>
          <w:sz w:val="24"/>
          <w:szCs w:val="24"/>
          <w:lang w:val="es-ES_tradnl"/>
        </w:rPr>
      </w:pPr>
    </w:p>
    <w:p w14:paraId="47386D27" w14:textId="77777777" w:rsidR="004B2BA4" w:rsidRPr="001F731F" w:rsidRDefault="004B2BA4" w:rsidP="004B2BA4">
      <w:pPr>
        <w:tabs>
          <w:tab w:val="left" w:pos="1440"/>
          <w:tab w:val="left" w:pos="3060"/>
        </w:tabs>
        <w:jc w:val="center"/>
        <w:outlineLvl w:val="0"/>
        <w:rPr>
          <w:rFonts w:ascii="Arial" w:hAnsi="Arial" w:cs="Arial"/>
          <w:b/>
          <w:smallCaps/>
          <w:sz w:val="24"/>
          <w:lang w:val="es-ES_tradnl"/>
        </w:rPr>
      </w:pPr>
    </w:p>
    <w:p w14:paraId="5AC04CF4" w14:textId="7F06FFA1" w:rsidR="004B2BA4" w:rsidRPr="001F731F" w:rsidRDefault="004B2BA4" w:rsidP="004B2BA4">
      <w:pPr>
        <w:tabs>
          <w:tab w:val="left" w:pos="1440"/>
          <w:tab w:val="left" w:pos="3060"/>
        </w:tabs>
        <w:jc w:val="center"/>
        <w:outlineLvl w:val="0"/>
        <w:rPr>
          <w:rFonts w:ascii="Arial" w:hAnsi="Arial" w:cs="Arial"/>
          <w:b/>
          <w:smallCaps/>
          <w:sz w:val="24"/>
          <w:lang w:val="es-ES_tradnl"/>
        </w:rPr>
      </w:pPr>
      <w:r>
        <w:rPr>
          <w:rFonts w:ascii="Arial" w:hAnsi="Arial" w:cs="Arial"/>
          <w:b/>
          <w:smallCaps/>
          <w:sz w:val="24"/>
          <w:lang w:val="es-ES_tradnl"/>
        </w:rPr>
        <w:t>Análisis Económico</w:t>
      </w:r>
    </w:p>
    <w:p w14:paraId="1E551A0A" w14:textId="77777777" w:rsidR="004B2BA4" w:rsidRPr="001F731F" w:rsidRDefault="004B2BA4" w:rsidP="004B2BA4">
      <w:pPr>
        <w:spacing w:after="100" w:afterAutospacing="1" w:line="240" w:lineRule="auto"/>
        <w:jc w:val="center"/>
        <w:rPr>
          <w:rFonts w:ascii="Arial" w:hAnsi="Arial" w:cs="Arial"/>
          <w:b/>
          <w:lang w:val="es-ES_tradnl"/>
        </w:rPr>
      </w:pPr>
    </w:p>
    <w:p w14:paraId="41D4AC9A" w14:textId="77777777" w:rsidR="004B2BA4" w:rsidRPr="001F731F" w:rsidRDefault="004B2BA4" w:rsidP="004B2BA4">
      <w:pPr>
        <w:pStyle w:val="TOC3"/>
        <w:rPr>
          <w:rFonts w:ascii="Arial" w:hAnsi="Arial" w:cs="Arial"/>
          <w:sz w:val="22"/>
          <w:lang w:val="es-ES_tradnl"/>
        </w:rPr>
      </w:pPr>
    </w:p>
    <w:p w14:paraId="16EE67EA" w14:textId="77777777" w:rsidR="004B2BA4" w:rsidRPr="001F731F" w:rsidRDefault="004B2BA4" w:rsidP="004B2BA4">
      <w:pPr>
        <w:rPr>
          <w:rFonts w:ascii="Arial" w:hAnsi="Arial" w:cs="Arial"/>
          <w:lang w:val="es-ES_tradnl"/>
        </w:rPr>
      </w:pPr>
    </w:p>
    <w:p w14:paraId="531538EC" w14:textId="77777777" w:rsidR="004B2BA4" w:rsidRPr="001F731F" w:rsidRDefault="004B2BA4" w:rsidP="004B2BA4">
      <w:pPr>
        <w:rPr>
          <w:rFonts w:ascii="Arial" w:hAnsi="Arial" w:cs="Arial"/>
          <w:b/>
          <w:lang w:val="es-ES_tradnl"/>
        </w:rPr>
      </w:pPr>
      <w:r w:rsidRPr="001F731F">
        <w:rPr>
          <w:rFonts w:ascii="Arial" w:hAnsi="Arial" w:cs="Arial"/>
          <w:noProof/>
          <w:lang w:val="es-ES_tradnl" w:eastAsia="es-ES"/>
        </w:rPr>
        <mc:AlternateContent>
          <mc:Choice Requires="wps">
            <w:drawing>
              <wp:anchor distT="0" distB="0" distL="114300" distR="114300" simplePos="0" relativeHeight="251658240" behindDoc="0" locked="0" layoutInCell="1" allowOverlap="1" wp14:anchorId="4DB90A78" wp14:editId="326D1589">
                <wp:simplePos x="0" y="0"/>
                <wp:positionH relativeFrom="column">
                  <wp:posOffset>-212743</wp:posOffset>
                </wp:positionH>
                <wp:positionV relativeFrom="paragraph">
                  <wp:posOffset>272794</wp:posOffset>
                </wp:positionV>
                <wp:extent cx="5734050" cy="280134"/>
                <wp:effectExtent l="0" t="0" r="19050" b="2476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280134"/>
                        </a:xfrm>
                        <a:prstGeom prst="rect">
                          <a:avLst/>
                        </a:prstGeom>
                        <a:solidFill>
                          <a:srgbClr val="FFFFFF"/>
                        </a:solidFill>
                        <a:ln w="9525">
                          <a:solidFill>
                            <a:srgbClr val="000000"/>
                          </a:solidFill>
                          <a:miter lim="800000"/>
                          <a:headEnd/>
                          <a:tailEnd/>
                        </a:ln>
                      </wps:spPr>
                      <wps:txbx>
                        <w:txbxContent>
                          <w:p w14:paraId="1F761E60" w14:textId="1DDFEF21" w:rsidR="006D33D3" w:rsidRPr="00486549" w:rsidRDefault="006D33D3" w:rsidP="00EB0360">
                            <w:pPr>
                              <w:spacing w:after="0" w:line="240" w:lineRule="auto"/>
                              <w:jc w:val="center"/>
                              <w:rPr>
                                <w:rFonts w:ascii="Arial" w:hAnsi="Arial" w:cs="Arial"/>
                                <w:sz w:val="20"/>
                                <w:lang w:val="es-ES_tradnl"/>
                              </w:rPr>
                            </w:pPr>
                            <w:bookmarkStart w:id="1" w:name="_Hlk20177833"/>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sidR="00EB0360">
                              <w:rPr>
                                <w:rFonts w:ascii="Arial" w:hAnsi="Arial" w:cs="Arial"/>
                                <w:szCs w:val="24"/>
                                <w:lang w:val="es-419"/>
                              </w:rPr>
                              <w:t>Isabel Haro</w:t>
                            </w:r>
                            <w:bookmarkStart w:id="2" w:name="_Hlk17983986"/>
                            <w:bookmarkEnd w:id="1"/>
                            <w:bookmarkEnd w:id="2"/>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DB90A78" id="_x0000_t202" coordsize="21600,21600" o:spt="202" path="m,l,21600r21600,l21600,xe">
                <v:stroke joinstyle="miter"/>
                <v:path gradientshapeok="t" o:connecttype="rect"/>
              </v:shapetype>
              <v:shape id="Text Box 1" o:spid="_x0000_s1026" type="#_x0000_t202" style="position:absolute;margin-left:-16.75pt;margin-top:21.5pt;width:451.5pt;height:2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">
                <v:textbox>
                  <w:txbxContent>
                    <w:p w14:paraId="1F761E60" w14:textId="1DDFEF21" w:rsidR="006D33D3" w:rsidRPr="00486549" w:rsidRDefault="006D33D3" w:rsidP="00EB0360">
                      <w:pPr>
                        <w:spacing w:after="0" w:line="240" w:lineRule="auto"/>
                        <w:jc w:val="center"/>
                        <w:rPr>
                          <w:rFonts w:ascii="Arial" w:hAnsi="Arial" w:cs="Arial"/>
                          <w:sz w:val="20"/>
                          <w:lang w:val="es-ES_tradnl"/>
                        </w:rPr>
                      </w:pPr>
                      <w:bookmarkStart w:id="3" w:name="_Hlk20177833"/>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sidR="00EB0360">
                        <w:rPr>
                          <w:rFonts w:ascii="Arial" w:hAnsi="Arial" w:cs="Arial"/>
                          <w:szCs w:val="24"/>
                          <w:lang w:val="es-419"/>
                        </w:rPr>
                        <w:t>Isabel Haro</w:t>
                      </w:r>
                      <w:bookmarkStart w:id="4" w:name="_Hlk17983986"/>
                      <w:bookmarkEnd w:id="3"/>
                      <w:bookmarkEnd w:id="4"/>
                    </w:p>
                  </w:txbxContent>
                </v:textbox>
              </v:shape>
            </w:pict>
          </mc:Fallback>
        </mc:AlternateContent>
      </w:r>
    </w:p>
    <w:p w14:paraId="7035A96C" w14:textId="77777777" w:rsidR="004B2BA4" w:rsidRPr="001F731F" w:rsidRDefault="004B2BA4" w:rsidP="004B2BA4">
      <w:pPr>
        <w:rPr>
          <w:rFonts w:ascii="Arial" w:hAnsi="Arial" w:cs="Arial"/>
          <w:b/>
          <w:lang w:val="es-ES_tradnl"/>
        </w:rPr>
      </w:pPr>
    </w:p>
    <w:p w14:paraId="55B17F75" w14:textId="77777777" w:rsidR="004B2BA4" w:rsidRPr="001F731F" w:rsidRDefault="004B2BA4" w:rsidP="004B2BA4">
      <w:pPr>
        <w:rPr>
          <w:rFonts w:ascii="Arial" w:hAnsi="Arial" w:cs="Arial"/>
          <w:b/>
          <w:lang w:val="es-ES_tradnl"/>
        </w:rPr>
      </w:pPr>
    </w:p>
    <w:p w14:paraId="157382A6" w14:textId="77777777" w:rsidR="004B2BA4" w:rsidRPr="001F731F" w:rsidRDefault="004B2BA4" w:rsidP="004B2BA4">
      <w:pPr>
        <w:rPr>
          <w:rFonts w:ascii="Arial" w:hAnsi="Arial" w:cs="Arial"/>
          <w:b/>
          <w:lang w:val="es-ES_tradnl"/>
        </w:rPr>
        <w:sectPr w:rsidR="004B2BA4" w:rsidRPr="001F731F" w:rsidSect="00311442">
          <w:footerReference w:type="default" r:id="rId14"/>
          <w:pgSz w:w="12240" w:h="15840"/>
          <w:pgMar w:top="1440" w:right="1800" w:bottom="1440" w:left="1800" w:header="720" w:footer="720" w:gutter="0"/>
          <w:cols w:space="720"/>
          <w:titlePg/>
          <w:docGrid w:linePitch="360"/>
        </w:sectPr>
      </w:pPr>
    </w:p>
    <w:p w14:paraId="0B67D74D" w14:textId="77777777" w:rsidR="004B2BA4" w:rsidRPr="001F731F" w:rsidRDefault="004B2BA4" w:rsidP="004B2BA4">
      <w:pPr>
        <w:jc w:val="center"/>
        <w:rPr>
          <w:rFonts w:ascii="Arial" w:hAnsi="Arial" w:cs="Arial"/>
          <w:b/>
          <w:bCs/>
          <w:smallCaps/>
          <w:spacing w:val="5"/>
          <w:lang w:val="es-ES_tradnl"/>
        </w:rPr>
      </w:pPr>
      <w:r w:rsidRPr="001F731F">
        <w:rPr>
          <w:rStyle w:val="BookTitle"/>
          <w:rFonts w:ascii="Arial" w:hAnsi="Arial" w:cs="Arial"/>
          <w:lang w:val="es-ES_tradnl"/>
        </w:rPr>
        <w:lastRenderedPageBreak/>
        <w:t>CONTENIDO</w:t>
      </w:r>
    </w:p>
    <w:p w14:paraId="1158E2D6" w14:textId="46C7206B" w:rsidR="002E53F4" w:rsidRPr="00541B42" w:rsidRDefault="004B2BA4">
      <w:pPr>
        <w:pStyle w:val="TOC1"/>
        <w:rPr>
          <w:rFonts w:ascii="Arial" w:hAnsi="Arial" w:cs="Arial"/>
          <w:b w:val="0"/>
          <w:smallCaps w:val="0"/>
          <w:sz w:val="22"/>
          <w:lang w:val="es-PE" w:eastAsia="en-US"/>
        </w:rPr>
      </w:pPr>
      <w:r w:rsidRPr="00541B42">
        <w:rPr>
          <w:rFonts w:ascii="Arial" w:hAnsi="Arial" w:cs="Arial"/>
          <w:b w:val="0"/>
          <w:noProof w:val="0"/>
          <w:sz w:val="22"/>
          <w:lang w:val="es-ES_tradnl"/>
        </w:rPr>
        <w:fldChar w:fldCharType="begin"/>
      </w:r>
      <w:r w:rsidRPr="00541B42">
        <w:rPr>
          <w:rFonts w:ascii="Arial" w:hAnsi="Arial" w:cs="Arial"/>
          <w:b w:val="0"/>
          <w:noProof w:val="0"/>
          <w:sz w:val="22"/>
          <w:lang w:val="es-ES_tradnl"/>
        </w:rPr>
        <w:instrText xml:space="preserve"> TOC \f \t "Chapter,1,FirstHeading,2,SecHeading,3" </w:instrText>
      </w:r>
      <w:r w:rsidRPr="00541B42">
        <w:rPr>
          <w:rFonts w:ascii="Arial" w:hAnsi="Arial" w:cs="Arial"/>
          <w:b w:val="0"/>
          <w:noProof w:val="0"/>
          <w:sz w:val="22"/>
          <w:lang w:val="es-ES_tradnl"/>
        </w:rPr>
        <w:fldChar w:fldCharType="separate"/>
      </w:r>
      <w:r w:rsidR="002E53F4" w:rsidRPr="00541B42">
        <w:rPr>
          <w:rFonts w:ascii="Arial" w:hAnsi="Arial" w:cs="Arial"/>
          <w:sz w:val="22"/>
          <w:lang w:val="es-ES_tradnl"/>
        </w:rPr>
        <w:t>I.</w:t>
      </w:r>
      <w:r w:rsidR="002E53F4" w:rsidRPr="00541B42">
        <w:rPr>
          <w:rFonts w:ascii="Arial" w:hAnsi="Arial" w:cs="Arial"/>
          <w:b w:val="0"/>
          <w:smallCaps w:val="0"/>
          <w:sz w:val="22"/>
          <w:lang w:val="es-PE" w:eastAsia="en-US"/>
        </w:rPr>
        <w:tab/>
      </w:r>
      <w:r w:rsidR="002E53F4" w:rsidRPr="00541B42">
        <w:rPr>
          <w:rFonts w:ascii="Arial" w:hAnsi="Arial" w:cs="Arial"/>
          <w:sz w:val="22"/>
          <w:lang w:val="es-ES_tradnl"/>
        </w:rPr>
        <w:t>Introducción</w:t>
      </w:r>
      <w:r w:rsidR="002E53F4" w:rsidRPr="00541B42">
        <w:rPr>
          <w:rFonts w:ascii="Arial" w:hAnsi="Arial" w:cs="Arial"/>
          <w:sz w:val="22"/>
          <w:lang w:val="es-PE"/>
        </w:rPr>
        <w:tab/>
      </w:r>
      <w:r w:rsidR="002E53F4" w:rsidRPr="00541B42">
        <w:rPr>
          <w:rFonts w:ascii="Arial" w:hAnsi="Arial" w:cs="Arial"/>
          <w:sz w:val="22"/>
        </w:rPr>
        <w:fldChar w:fldCharType="begin"/>
      </w:r>
      <w:r w:rsidR="002E53F4" w:rsidRPr="00541B42">
        <w:rPr>
          <w:rFonts w:ascii="Arial" w:hAnsi="Arial" w:cs="Arial"/>
          <w:sz w:val="22"/>
          <w:lang w:val="es-PE"/>
        </w:rPr>
        <w:instrText xml:space="preserve"> PAGEREF _Toc38625752 \h </w:instrText>
      </w:r>
      <w:r w:rsidR="002E53F4" w:rsidRPr="00541B42">
        <w:rPr>
          <w:rFonts w:ascii="Arial" w:hAnsi="Arial" w:cs="Arial"/>
          <w:sz w:val="22"/>
        </w:rPr>
      </w:r>
      <w:r w:rsidR="002E53F4" w:rsidRPr="00541B42">
        <w:rPr>
          <w:rFonts w:ascii="Arial" w:hAnsi="Arial" w:cs="Arial"/>
          <w:sz w:val="22"/>
        </w:rPr>
        <w:fldChar w:fldCharType="separate"/>
      </w:r>
      <w:r w:rsidR="005A0251">
        <w:rPr>
          <w:rFonts w:ascii="Arial" w:hAnsi="Arial" w:cs="Arial"/>
          <w:sz w:val="22"/>
          <w:lang w:val="es-PE"/>
        </w:rPr>
        <w:t>1</w:t>
      </w:r>
      <w:r w:rsidR="002E53F4" w:rsidRPr="00541B42">
        <w:rPr>
          <w:rFonts w:ascii="Arial" w:hAnsi="Arial" w:cs="Arial"/>
          <w:sz w:val="22"/>
        </w:rPr>
        <w:fldChar w:fldCharType="end"/>
      </w:r>
    </w:p>
    <w:p w14:paraId="1A02E930" w14:textId="33D10A4A" w:rsidR="002E53F4" w:rsidRPr="00541B42" w:rsidRDefault="002E53F4">
      <w:pPr>
        <w:pStyle w:val="TOC1"/>
        <w:rPr>
          <w:rFonts w:ascii="Arial" w:hAnsi="Arial" w:cs="Arial"/>
          <w:b w:val="0"/>
          <w:smallCaps w:val="0"/>
          <w:sz w:val="22"/>
          <w:lang w:val="es-PE" w:eastAsia="en-US"/>
        </w:rPr>
      </w:pPr>
      <w:r w:rsidRPr="00541B42">
        <w:rPr>
          <w:rFonts w:ascii="Arial" w:hAnsi="Arial" w:cs="Arial"/>
          <w:sz w:val="22"/>
          <w:lang w:val="es-ES_tradnl"/>
        </w:rPr>
        <w:t>II.</w:t>
      </w:r>
      <w:r w:rsidRPr="00541B42">
        <w:rPr>
          <w:rFonts w:ascii="Arial" w:hAnsi="Arial" w:cs="Arial"/>
          <w:b w:val="0"/>
          <w:smallCaps w:val="0"/>
          <w:sz w:val="22"/>
          <w:lang w:val="es-PE" w:eastAsia="en-US"/>
        </w:rPr>
        <w:tab/>
      </w:r>
      <w:r w:rsidRPr="00541B42">
        <w:rPr>
          <w:rFonts w:ascii="Arial" w:hAnsi="Arial" w:cs="Arial"/>
          <w:sz w:val="22"/>
          <w:lang w:val="es-ES_tradnl"/>
        </w:rPr>
        <w:t>Metodología y Supuestos</w:t>
      </w:r>
      <w:r w:rsidRPr="00541B42">
        <w:rPr>
          <w:rFonts w:ascii="Arial" w:hAnsi="Arial" w:cs="Arial"/>
          <w:sz w:val="22"/>
          <w:lang w:val="es-PE"/>
        </w:rPr>
        <w:tab/>
      </w:r>
      <w:r w:rsidRPr="00541B42">
        <w:rPr>
          <w:rFonts w:ascii="Arial" w:hAnsi="Arial" w:cs="Arial"/>
          <w:sz w:val="22"/>
        </w:rPr>
        <w:fldChar w:fldCharType="begin"/>
      </w:r>
      <w:r w:rsidRPr="00541B42">
        <w:rPr>
          <w:rFonts w:ascii="Arial" w:hAnsi="Arial" w:cs="Arial"/>
          <w:sz w:val="22"/>
          <w:lang w:val="es-PE"/>
        </w:rPr>
        <w:instrText xml:space="preserve"> PAGEREF _Toc38625753 \h </w:instrText>
      </w:r>
      <w:r w:rsidRPr="00541B42">
        <w:rPr>
          <w:rFonts w:ascii="Arial" w:hAnsi="Arial" w:cs="Arial"/>
          <w:sz w:val="22"/>
        </w:rPr>
      </w:r>
      <w:r w:rsidRPr="00541B42">
        <w:rPr>
          <w:rFonts w:ascii="Arial" w:hAnsi="Arial" w:cs="Arial"/>
          <w:sz w:val="22"/>
        </w:rPr>
        <w:fldChar w:fldCharType="separate"/>
      </w:r>
      <w:r w:rsidR="005A0251">
        <w:rPr>
          <w:rFonts w:ascii="Arial" w:hAnsi="Arial" w:cs="Arial"/>
          <w:sz w:val="22"/>
          <w:lang w:val="es-PE"/>
        </w:rPr>
        <w:t>6</w:t>
      </w:r>
      <w:r w:rsidRPr="00541B42">
        <w:rPr>
          <w:rFonts w:ascii="Arial" w:hAnsi="Arial" w:cs="Arial"/>
          <w:sz w:val="22"/>
        </w:rPr>
        <w:fldChar w:fldCharType="end"/>
      </w:r>
    </w:p>
    <w:p w14:paraId="7CB887D0" w14:textId="789924EA" w:rsidR="002E53F4" w:rsidRPr="00541B42" w:rsidRDefault="002E53F4">
      <w:pPr>
        <w:pStyle w:val="TOC1"/>
        <w:rPr>
          <w:rFonts w:ascii="Arial" w:hAnsi="Arial" w:cs="Arial"/>
          <w:b w:val="0"/>
          <w:smallCaps w:val="0"/>
          <w:sz w:val="22"/>
          <w:lang w:val="es-PE" w:eastAsia="en-US"/>
        </w:rPr>
      </w:pPr>
      <w:r w:rsidRPr="00541B42">
        <w:rPr>
          <w:rFonts w:ascii="Arial" w:hAnsi="Arial" w:cs="Arial"/>
          <w:sz w:val="22"/>
          <w:lang w:val="es-ES_tradnl"/>
        </w:rPr>
        <w:t>III.</w:t>
      </w:r>
      <w:r w:rsidRPr="00541B42">
        <w:rPr>
          <w:rFonts w:ascii="Arial" w:hAnsi="Arial" w:cs="Arial"/>
          <w:b w:val="0"/>
          <w:smallCaps w:val="0"/>
          <w:sz w:val="22"/>
          <w:lang w:val="es-PE" w:eastAsia="en-US"/>
        </w:rPr>
        <w:tab/>
      </w:r>
      <w:r w:rsidRPr="00541B42">
        <w:rPr>
          <w:rFonts w:ascii="Arial" w:hAnsi="Arial" w:cs="Arial"/>
          <w:sz w:val="22"/>
          <w:lang w:val="es-ES_tradnl"/>
        </w:rPr>
        <w:t>Valoración del Beneficio Económico</w:t>
      </w:r>
      <w:r w:rsidRPr="00541B42">
        <w:rPr>
          <w:rFonts w:ascii="Arial" w:hAnsi="Arial" w:cs="Arial"/>
          <w:sz w:val="22"/>
          <w:lang w:val="es-PE"/>
        </w:rPr>
        <w:tab/>
      </w:r>
      <w:r w:rsidRPr="00541B42">
        <w:rPr>
          <w:rFonts w:ascii="Arial" w:hAnsi="Arial" w:cs="Arial"/>
          <w:sz w:val="22"/>
        </w:rPr>
        <w:fldChar w:fldCharType="begin"/>
      </w:r>
      <w:r w:rsidRPr="00541B42">
        <w:rPr>
          <w:rFonts w:ascii="Arial" w:hAnsi="Arial" w:cs="Arial"/>
          <w:sz w:val="22"/>
          <w:lang w:val="es-PE"/>
        </w:rPr>
        <w:instrText xml:space="preserve"> PAGEREF _Toc38625754 \h </w:instrText>
      </w:r>
      <w:r w:rsidRPr="00541B42">
        <w:rPr>
          <w:rFonts w:ascii="Arial" w:hAnsi="Arial" w:cs="Arial"/>
          <w:sz w:val="22"/>
        </w:rPr>
      </w:r>
      <w:r w:rsidRPr="00541B42">
        <w:rPr>
          <w:rFonts w:ascii="Arial" w:hAnsi="Arial" w:cs="Arial"/>
          <w:sz w:val="22"/>
        </w:rPr>
        <w:fldChar w:fldCharType="separate"/>
      </w:r>
      <w:r w:rsidR="005A0251">
        <w:rPr>
          <w:rFonts w:ascii="Arial" w:hAnsi="Arial" w:cs="Arial"/>
          <w:sz w:val="22"/>
          <w:lang w:val="es-PE"/>
        </w:rPr>
        <w:t>16</w:t>
      </w:r>
      <w:r w:rsidRPr="00541B42">
        <w:rPr>
          <w:rFonts w:ascii="Arial" w:hAnsi="Arial" w:cs="Arial"/>
          <w:sz w:val="22"/>
        </w:rPr>
        <w:fldChar w:fldCharType="end"/>
      </w:r>
    </w:p>
    <w:p w14:paraId="4E3F2B4D" w14:textId="35EE87E3" w:rsidR="002E53F4" w:rsidRPr="00541B42" w:rsidRDefault="002E53F4">
      <w:pPr>
        <w:pStyle w:val="TOC1"/>
        <w:rPr>
          <w:rFonts w:ascii="Arial" w:hAnsi="Arial" w:cs="Arial"/>
          <w:b w:val="0"/>
          <w:smallCaps w:val="0"/>
          <w:sz w:val="22"/>
          <w:lang w:val="es-PE" w:eastAsia="en-US"/>
        </w:rPr>
      </w:pPr>
      <w:r w:rsidRPr="00541B42">
        <w:rPr>
          <w:rFonts w:ascii="Arial" w:hAnsi="Arial" w:cs="Arial"/>
          <w:sz w:val="22"/>
          <w:lang w:val="es-ES_tradnl"/>
        </w:rPr>
        <w:t>IV.</w:t>
      </w:r>
      <w:r w:rsidRPr="00541B42">
        <w:rPr>
          <w:rFonts w:ascii="Arial" w:hAnsi="Arial" w:cs="Arial"/>
          <w:b w:val="0"/>
          <w:smallCaps w:val="0"/>
          <w:sz w:val="22"/>
          <w:lang w:val="es-PE" w:eastAsia="en-US"/>
        </w:rPr>
        <w:tab/>
      </w:r>
      <w:r w:rsidRPr="00541B42">
        <w:rPr>
          <w:rFonts w:ascii="Arial" w:hAnsi="Arial" w:cs="Arial"/>
          <w:sz w:val="22"/>
          <w:lang w:val="es-ES_tradnl"/>
        </w:rPr>
        <w:t>Análisis de Sensibilidad</w:t>
      </w:r>
      <w:r w:rsidRPr="00541B42">
        <w:rPr>
          <w:rFonts w:ascii="Arial" w:hAnsi="Arial" w:cs="Arial"/>
          <w:sz w:val="22"/>
          <w:lang w:val="es-PE"/>
        </w:rPr>
        <w:tab/>
      </w:r>
      <w:r w:rsidRPr="00541B42">
        <w:rPr>
          <w:rFonts w:ascii="Arial" w:hAnsi="Arial" w:cs="Arial"/>
          <w:sz w:val="22"/>
        </w:rPr>
        <w:fldChar w:fldCharType="begin"/>
      </w:r>
      <w:r w:rsidRPr="00541B42">
        <w:rPr>
          <w:rFonts w:ascii="Arial" w:hAnsi="Arial" w:cs="Arial"/>
          <w:sz w:val="22"/>
          <w:lang w:val="es-PE"/>
        </w:rPr>
        <w:instrText xml:space="preserve"> PAGEREF _Toc38625755 \h </w:instrText>
      </w:r>
      <w:r w:rsidRPr="00541B42">
        <w:rPr>
          <w:rFonts w:ascii="Arial" w:hAnsi="Arial" w:cs="Arial"/>
          <w:sz w:val="22"/>
        </w:rPr>
      </w:r>
      <w:r w:rsidRPr="00541B42">
        <w:rPr>
          <w:rFonts w:ascii="Arial" w:hAnsi="Arial" w:cs="Arial"/>
          <w:sz w:val="22"/>
        </w:rPr>
        <w:fldChar w:fldCharType="separate"/>
      </w:r>
      <w:r w:rsidR="005A0251">
        <w:rPr>
          <w:rFonts w:ascii="Arial" w:hAnsi="Arial" w:cs="Arial"/>
          <w:sz w:val="22"/>
          <w:lang w:val="es-PE"/>
        </w:rPr>
        <w:t>19</w:t>
      </w:r>
      <w:r w:rsidRPr="00541B42">
        <w:rPr>
          <w:rFonts w:ascii="Arial" w:hAnsi="Arial" w:cs="Arial"/>
          <w:sz w:val="22"/>
        </w:rPr>
        <w:fldChar w:fldCharType="end"/>
      </w:r>
    </w:p>
    <w:p w14:paraId="686D02CF" w14:textId="1AEC482D" w:rsidR="002E53F4" w:rsidRPr="00541B42" w:rsidRDefault="002E53F4">
      <w:pPr>
        <w:pStyle w:val="TOC1"/>
        <w:rPr>
          <w:rFonts w:ascii="Arial" w:hAnsi="Arial" w:cs="Arial"/>
          <w:b w:val="0"/>
          <w:smallCaps w:val="0"/>
          <w:sz w:val="22"/>
          <w:lang w:val="es-PE" w:eastAsia="en-US"/>
        </w:rPr>
      </w:pPr>
      <w:r w:rsidRPr="00541B42">
        <w:rPr>
          <w:rFonts w:ascii="Arial" w:hAnsi="Arial" w:cs="Arial"/>
          <w:sz w:val="22"/>
          <w:lang w:val="es-ES_tradnl"/>
        </w:rPr>
        <w:t>V.</w:t>
      </w:r>
      <w:r w:rsidRPr="00541B42">
        <w:rPr>
          <w:rFonts w:ascii="Arial" w:hAnsi="Arial" w:cs="Arial"/>
          <w:b w:val="0"/>
          <w:smallCaps w:val="0"/>
          <w:sz w:val="22"/>
          <w:lang w:val="es-PE" w:eastAsia="en-US"/>
        </w:rPr>
        <w:tab/>
      </w:r>
      <w:r w:rsidRPr="00541B42">
        <w:rPr>
          <w:rFonts w:ascii="Arial" w:hAnsi="Arial" w:cs="Arial"/>
          <w:sz w:val="22"/>
          <w:lang w:val="es-ES_tradnl"/>
        </w:rPr>
        <w:t>Conclusiones</w:t>
      </w:r>
      <w:r w:rsidRPr="00541B42">
        <w:rPr>
          <w:rFonts w:ascii="Arial" w:hAnsi="Arial" w:cs="Arial"/>
          <w:sz w:val="22"/>
          <w:lang w:val="es-PE"/>
        </w:rPr>
        <w:tab/>
      </w:r>
      <w:r w:rsidRPr="00541B42">
        <w:rPr>
          <w:rFonts w:ascii="Arial" w:hAnsi="Arial" w:cs="Arial"/>
          <w:sz w:val="22"/>
        </w:rPr>
        <w:fldChar w:fldCharType="begin"/>
      </w:r>
      <w:r w:rsidRPr="00541B42">
        <w:rPr>
          <w:rFonts w:ascii="Arial" w:hAnsi="Arial" w:cs="Arial"/>
          <w:sz w:val="22"/>
          <w:lang w:val="es-PE"/>
        </w:rPr>
        <w:instrText xml:space="preserve"> PAGEREF _Toc38625756 \h </w:instrText>
      </w:r>
      <w:r w:rsidRPr="00541B42">
        <w:rPr>
          <w:rFonts w:ascii="Arial" w:hAnsi="Arial" w:cs="Arial"/>
          <w:sz w:val="22"/>
        </w:rPr>
      </w:r>
      <w:r w:rsidRPr="00541B42">
        <w:rPr>
          <w:rFonts w:ascii="Arial" w:hAnsi="Arial" w:cs="Arial"/>
          <w:sz w:val="22"/>
        </w:rPr>
        <w:fldChar w:fldCharType="separate"/>
      </w:r>
      <w:r w:rsidR="005A0251">
        <w:rPr>
          <w:rFonts w:ascii="Arial" w:hAnsi="Arial" w:cs="Arial"/>
          <w:sz w:val="22"/>
          <w:lang w:val="es-PE"/>
        </w:rPr>
        <w:t>20</w:t>
      </w:r>
      <w:r w:rsidRPr="00541B42">
        <w:rPr>
          <w:rFonts w:ascii="Arial" w:hAnsi="Arial" w:cs="Arial"/>
          <w:sz w:val="22"/>
        </w:rPr>
        <w:fldChar w:fldCharType="end"/>
      </w:r>
    </w:p>
    <w:p w14:paraId="0891EF9C" w14:textId="3911B73C" w:rsidR="004B2BA4" w:rsidRPr="001F731F" w:rsidRDefault="004B2BA4" w:rsidP="004B2BA4">
      <w:pPr>
        <w:pStyle w:val="TOC3"/>
        <w:rPr>
          <w:rFonts w:ascii="Arial" w:hAnsi="Arial" w:cs="Arial"/>
          <w:sz w:val="22"/>
          <w:lang w:val="es-ES_tradnl"/>
        </w:rPr>
      </w:pPr>
      <w:r w:rsidRPr="00541B42">
        <w:rPr>
          <w:rFonts w:ascii="Arial" w:hAnsi="Arial" w:cs="Arial"/>
          <w:sz w:val="22"/>
          <w:lang w:val="es-ES_tradnl"/>
        </w:rPr>
        <w:fldChar w:fldCharType="end"/>
      </w:r>
    </w:p>
    <w:p w14:paraId="61A1DFA7" w14:textId="77777777" w:rsidR="004B2BA4" w:rsidRPr="001F731F" w:rsidRDefault="004B2BA4" w:rsidP="004B2BA4">
      <w:pPr>
        <w:rPr>
          <w:rFonts w:ascii="Arial" w:hAnsi="Arial" w:cs="Arial"/>
          <w:lang w:val="es-ES_tradnl"/>
        </w:rPr>
      </w:pPr>
    </w:p>
    <w:p w14:paraId="1A0DFB69" w14:textId="77777777" w:rsidR="004B2BA4" w:rsidRPr="001F731F" w:rsidRDefault="004B2BA4" w:rsidP="004B2BA4">
      <w:pPr>
        <w:rPr>
          <w:rFonts w:ascii="Arial" w:hAnsi="Arial" w:cs="Arial"/>
          <w:lang w:val="es-ES_tradnl"/>
        </w:rPr>
      </w:pPr>
    </w:p>
    <w:p w14:paraId="2572BAA5" w14:textId="77777777" w:rsidR="004B2BA4" w:rsidRPr="001F731F" w:rsidRDefault="004B2BA4" w:rsidP="004B2BA4">
      <w:pPr>
        <w:rPr>
          <w:rFonts w:ascii="Arial" w:hAnsi="Arial" w:cs="Arial"/>
          <w:lang w:val="es-ES_tradnl"/>
        </w:rPr>
        <w:sectPr w:rsidR="004B2BA4" w:rsidRPr="001F731F" w:rsidSect="00311442">
          <w:footerReference w:type="default" r:id="rId15"/>
          <w:pgSz w:w="12240" w:h="15840"/>
          <w:pgMar w:top="1440" w:right="1800" w:bottom="1440" w:left="1800" w:header="720" w:footer="720" w:gutter="0"/>
          <w:pgNumType w:start="0"/>
          <w:cols w:space="720"/>
          <w:titlePg/>
          <w:docGrid w:linePitch="360"/>
        </w:sectPr>
      </w:pPr>
      <w:r w:rsidRPr="001F731F">
        <w:rPr>
          <w:rFonts w:ascii="Arial" w:hAnsi="Arial" w:cs="Arial"/>
          <w:lang w:val="es-ES_tradnl"/>
        </w:rPr>
        <w:br w:type="page"/>
      </w:r>
    </w:p>
    <w:p w14:paraId="3D6F1B11" w14:textId="1432DE0F" w:rsidR="004B2BA4" w:rsidRPr="000F0F47" w:rsidRDefault="000F0F47" w:rsidP="006A77B8">
      <w:pPr>
        <w:pStyle w:val="Chapter"/>
        <w:tabs>
          <w:tab w:val="clear" w:pos="1440"/>
          <w:tab w:val="left" w:pos="90"/>
        </w:tabs>
        <w:spacing w:before="0"/>
        <w:ind w:hanging="1440"/>
        <w:rPr>
          <w:rFonts w:ascii="Arial" w:hAnsi="Arial" w:cs="Arial"/>
          <w:szCs w:val="24"/>
          <w:lang w:val="es-ES_tradnl"/>
        </w:rPr>
      </w:pPr>
      <w:bookmarkStart w:id="5" w:name="_Toc352756751"/>
      <w:bookmarkStart w:id="6" w:name="_Toc38625752"/>
      <w:r w:rsidRPr="000F0F47">
        <w:rPr>
          <w:rFonts w:ascii="Arial" w:hAnsi="Arial" w:cs="Arial"/>
          <w:szCs w:val="24"/>
          <w:lang w:val="es-ES_tradnl"/>
        </w:rPr>
        <w:lastRenderedPageBreak/>
        <w:t xml:space="preserve"> </w:t>
      </w:r>
      <w:r w:rsidR="004B2BA4" w:rsidRPr="000F0F47">
        <w:rPr>
          <w:rFonts w:ascii="Arial" w:hAnsi="Arial" w:cs="Arial"/>
          <w:szCs w:val="24"/>
          <w:lang w:val="es-ES_tradnl"/>
        </w:rPr>
        <w:t>Introducción</w:t>
      </w:r>
      <w:bookmarkEnd w:id="5"/>
      <w:bookmarkEnd w:id="6"/>
    </w:p>
    <w:p w14:paraId="695F7C10" w14:textId="3F099898" w:rsidR="008622C8" w:rsidRPr="00A8655B" w:rsidRDefault="008622C8" w:rsidP="007B74F1">
      <w:pPr>
        <w:pStyle w:val="Paragraph"/>
        <w:numPr>
          <w:ilvl w:val="1"/>
          <w:numId w:val="2"/>
        </w:numPr>
        <w:ind w:left="630" w:hanging="630"/>
        <w:rPr>
          <w:rFonts w:ascii="Arial" w:hAnsi="Arial" w:cs="Arial"/>
          <w:sz w:val="22"/>
          <w:szCs w:val="22"/>
          <w:lang w:val="es-ES_tradnl"/>
        </w:rPr>
      </w:pPr>
      <w:r w:rsidRPr="00454CB5">
        <w:rPr>
          <w:rFonts w:ascii="Arial" w:hAnsi="Arial" w:cs="Arial"/>
          <w:b/>
          <w:bCs/>
          <w:sz w:val="22"/>
          <w:szCs w:val="22"/>
          <w:lang w:val="es-ES_tradnl"/>
        </w:rPr>
        <w:t xml:space="preserve">Antecedentes de la intervención. </w:t>
      </w:r>
      <w:r w:rsidR="00CC3828" w:rsidRPr="00C32624">
        <w:rPr>
          <w:rFonts w:ascii="Arial" w:hAnsi="Arial" w:cs="Arial"/>
          <w:sz w:val="22"/>
          <w:szCs w:val="22"/>
          <w:lang w:val="es-ES"/>
        </w:rPr>
        <w:t>El 11 de marzo de 2020, la Organización Mundial de la Salud (OMS) caracterizó como una pandemia a la enfermedad COVID-19, causada por el virus que afecta las vías respiratorias, novel</w:t>
      </w:r>
      <w:r w:rsidR="007B74F1">
        <w:rPr>
          <w:rFonts w:ascii="Arial" w:hAnsi="Arial" w:cs="Arial"/>
          <w:sz w:val="22"/>
          <w:szCs w:val="22"/>
          <w:lang w:val="es-ES"/>
        </w:rPr>
        <w:noBreakHyphen/>
      </w:r>
      <w:r w:rsidR="00CC3828" w:rsidRPr="00C32624">
        <w:rPr>
          <w:rFonts w:ascii="Arial" w:hAnsi="Arial" w:cs="Arial"/>
          <w:sz w:val="22"/>
          <w:szCs w:val="22"/>
          <w:lang w:val="es-ES"/>
        </w:rPr>
        <w:t xml:space="preserve">Coronavirus o nCoV2019. Al 1 de </w:t>
      </w:r>
      <w:r w:rsidR="00CC3828">
        <w:rPr>
          <w:rFonts w:ascii="Arial" w:hAnsi="Arial" w:cs="Arial"/>
          <w:sz w:val="22"/>
          <w:szCs w:val="22"/>
          <w:lang w:val="es-ES"/>
        </w:rPr>
        <w:t>junio</w:t>
      </w:r>
      <w:r w:rsidR="00CC3828" w:rsidRPr="00C32624">
        <w:rPr>
          <w:rFonts w:ascii="Arial" w:hAnsi="Arial" w:cs="Arial"/>
          <w:sz w:val="22"/>
          <w:szCs w:val="22"/>
          <w:lang w:val="es-ES"/>
        </w:rPr>
        <w:t xml:space="preserve">, según la OMS, se registran más de </w:t>
      </w:r>
      <w:r w:rsidR="00CC3828">
        <w:rPr>
          <w:rFonts w:ascii="Arial" w:hAnsi="Arial" w:cs="Arial"/>
          <w:sz w:val="22"/>
          <w:szCs w:val="22"/>
          <w:lang w:val="es-ES"/>
        </w:rPr>
        <w:t>6</w:t>
      </w:r>
      <w:r w:rsidR="00CC3828" w:rsidRPr="00C32624">
        <w:rPr>
          <w:rFonts w:ascii="Arial" w:hAnsi="Arial" w:cs="Arial"/>
          <w:sz w:val="22"/>
          <w:szCs w:val="22"/>
          <w:lang w:val="es-ES"/>
        </w:rPr>
        <w:t xml:space="preserve"> millones casos confirmados de COVID-19, que han resultado en más de </w:t>
      </w:r>
      <w:r w:rsidR="00CC3828">
        <w:rPr>
          <w:rFonts w:ascii="Arial" w:hAnsi="Arial" w:cs="Arial"/>
          <w:sz w:val="22"/>
          <w:szCs w:val="22"/>
          <w:lang w:val="es-ES"/>
        </w:rPr>
        <w:t>373</w:t>
      </w:r>
      <w:r w:rsidR="00CC3828" w:rsidRPr="00C32624">
        <w:rPr>
          <w:rFonts w:ascii="Arial" w:hAnsi="Arial" w:cs="Arial"/>
          <w:sz w:val="22"/>
          <w:szCs w:val="22"/>
          <w:lang w:val="es-ES"/>
        </w:rPr>
        <w:t>.000</w:t>
      </w:r>
      <w:r w:rsidR="00CC3828" w:rsidRPr="00C32624">
        <w:rPr>
          <w:rFonts w:ascii="Arial" w:hAnsi="Arial" w:cs="Arial"/>
          <w:sz w:val="22"/>
          <w:szCs w:val="22"/>
          <w:vertAlign w:val="superscript"/>
          <w:lang w:val="es-ES"/>
        </w:rPr>
        <w:footnoteReference w:id="2"/>
      </w:r>
      <w:r w:rsidR="00CC3828" w:rsidRPr="00C32624">
        <w:rPr>
          <w:rFonts w:ascii="Arial" w:hAnsi="Arial" w:cs="Arial"/>
          <w:sz w:val="22"/>
          <w:szCs w:val="22"/>
          <w:lang w:val="es-ES"/>
        </w:rPr>
        <w:t xml:space="preserve"> muertes. En América Latina y el Caribe (ALC) se han reportado cerca de </w:t>
      </w:r>
      <w:r w:rsidR="00CC3828">
        <w:rPr>
          <w:rFonts w:ascii="Arial" w:hAnsi="Arial" w:cs="Arial"/>
          <w:sz w:val="22"/>
          <w:szCs w:val="22"/>
          <w:lang w:val="es-ES"/>
        </w:rPr>
        <w:t xml:space="preserve">1 millón de </w:t>
      </w:r>
      <w:r w:rsidR="00CC3828" w:rsidRPr="00C32624">
        <w:rPr>
          <w:rFonts w:ascii="Arial" w:hAnsi="Arial" w:cs="Arial"/>
          <w:sz w:val="22"/>
          <w:szCs w:val="22"/>
          <w:lang w:val="es-ES"/>
        </w:rPr>
        <w:t>casos</w:t>
      </w:r>
      <w:r w:rsidR="00CC3828" w:rsidRPr="00C32624" w:rsidDel="009F5E4E">
        <w:rPr>
          <w:rFonts w:ascii="Arial" w:hAnsi="Arial" w:cs="Arial"/>
          <w:sz w:val="22"/>
          <w:szCs w:val="22"/>
          <w:lang w:val="es-ES"/>
        </w:rPr>
        <w:t xml:space="preserve"> </w:t>
      </w:r>
      <w:r w:rsidR="00CC3828" w:rsidRPr="00C32624">
        <w:rPr>
          <w:rFonts w:ascii="Arial" w:hAnsi="Arial" w:cs="Arial"/>
          <w:sz w:val="22"/>
          <w:szCs w:val="22"/>
          <w:lang w:val="es-ES"/>
        </w:rPr>
        <w:t xml:space="preserve">y </w:t>
      </w:r>
      <w:r w:rsidR="00CC3828">
        <w:rPr>
          <w:rFonts w:ascii="Arial" w:hAnsi="Arial" w:cs="Arial"/>
          <w:sz w:val="22"/>
          <w:szCs w:val="22"/>
          <w:lang w:val="es-ES"/>
        </w:rPr>
        <w:t>50</w:t>
      </w:r>
      <w:r w:rsidR="00CC3828" w:rsidRPr="00C32624">
        <w:rPr>
          <w:rFonts w:ascii="Arial" w:hAnsi="Arial" w:cs="Arial"/>
          <w:sz w:val="22"/>
          <w:szCs w:val="22"/>
          <w:lang w:val="es-ES"/>
        </w:rPr>
        <w:t>.000 fallecidos</w:t>
      </w:r>
      <w:r w:rsidR="00CC3828" w:rsidRPr="00C32624">
        <w:rPr>
          <w:rFonts w:ascii="Arial" w:hAnsi="Arial" w:cs="Arial"/>
          <w:sz w:val="22"/>
          <w:szCs w:val="22"/>
          <w:vertAlign w:val="superscript"/>
          <w:lang w:val="es-ES"/>
        </w:rPr>
        <w:footnoteReference w:id="3"/>
      </w:r>
      <w:r w:rsidR="00CC3828" w:rsidRPr="00C32624">
        <w:rPr>
          <w:rFonts w:ascii="Arial" w:hAnsi="Arial" w:cs="Arial"/>
          <w:sz w:val="22"/>
          <w:szCs w:val="22"/>
          <w:lang w:val="es-ES"/>
        </w:rPr>
        <w:t xml:space="preserve">, mientras que en México estas cifras suman </w:t>
      </w:r>
      <w:r w:rsidR="00CC3828">
        <w:rPr>
          <w:rFonts w:ascii="Arial" w:hAnsi="Arial" w:cs="Arial"/>
          <w:sz w:val="22"/>
          <w:szCs w:val="22"/>
          <w:lang w:val="es-ES"/>
        </w:rPr>
        <w:t>90</w:t>
      </w:r>
      <w:r w:rsidR="00CC3828" w:rsidRPr="00C32624">
        <w:rPr>
          <w:rFonts w:ascii="Arial" w:hAnsi="Arial" w:cs="Arial"/>
          <w:sz w:val="22"/>
          <w:szCs w:val="22"/>
          <w:lang w:val="es-ES"/>
        </w:rPr>
        <w:t>.000</w:t>
      </w:r>
      <w:r w:rsidR="007B74F1">
        <w:rPr>
          <w:rFonts w:ascii="Arial" w:hAnsi="Arial" w:cs="Arial"/>
          <w:sz w:val="22"/>
          <w:szCs w:val="22"/>
          <w:lang w:val="es-ES"/>
        </w:rPr>
        <w:t> </w:t>
      </w:r>
      <w:r w:rsidR="00CC3828" w:rsidRPr="00C32624">
        <w:rPr>
          <w:rFonts w:ascii="Arial" w:hAnsi="Arial" w:cs="Arial"/>
          <w:sz w:val="22"/>
          <w:szCs w:val="22"/>
          <w:lang w:val="es-ES"/>
        </w:rPr>
        <w:t xml:space="preserve">y </w:t>
      </w:r>
      <w:r w:rsidR="00CC3828">
        <w:rPr>
          <w:rFonts w:ascii="Arial" w:hAnsi="Arial" w:cs="Arial"/>
          <w:sz w:val="22"/>
          <w:szCs w:val="22"/>
          <w:lang w:val="es-ES"/>
        </w:rPr>
        <w:t>cerca de 10</w:t>
      </w:r>
      <w:r w:rsidR="00CC3828" w:rsidRPr="00C32624">
        <w:rPr>
          <w:rFonts w:ascii="Arial" w:hAnsi="Arial" w:cs="Arial"/>
          <w:sz w:val="22"/>
          <w:szCs w:val="22"/>
          <w:lang w:val="es-ES"/>
        </w:rPr>
        <w:t>.</w:t>
      </w:r>
      <w:r w:rsidR="00CC3828">
        <w:rPr>
          <w:rFonts w:ascii="Arial" w:hAnsi="Arial" w:cs="Arial"/>
          <w:sz w:val="22"/>
          <w:szCs w:val="22"/>
          <w:lang w:val="es-ES"/>
        </w:rPr>
        <w:t>000</w:t>
      </w:r>
      <w:r w:rsidR="00CC3828" w:rsidRPr="00C32624">
        <w:rPr>
          <w:rFonts w:ascii="Arial" w:hAnsi="Arial" w:cs="Arial"/>
          <w:sz w:val="22"/>
          <w:szCs w:val="22"/>
          <w:lang w:val="es-ES"/>
        </w:rPr>
        <w:t>, respectivamente. Se espera que el número de casos y de muertes en este</w:t>
      </w:r>
      <w:r w:rsidR="00CC3828" w:rsidRPr="00421C6B">
        <w:rPr>
          <w:rFonts w:ascii="Arial" w:hAnsi="Arial" w:cs="Arial"/>
          <w:sz w:val="22"/>
          <w:szCs w:val="22"/>
          <w:lang w:val="es-CO"/>
        </w:rPr>
        <w:t xml:space="preserve"> país siga aumentando al situarse en la fase 3 de máxima transmisión. Según la OMS, México se encuentra en el Nivel 4 en cuanto a su nivel de preparación y capacidad para manejar eventos de salud pública</w:t>
      </w:r>
      <w:r w:rsidR="00CC3828" w:rsidRPr="00C32624">
        <w:rPr>
          <w:rStyle w:val="FootnoteReference"/>
          <w:rFonts w:ascii="Arial" w:hAnsi="Arial" w:cs="Arial"/>
          <w:sz w:val="22"/>
          <w:szCs w:val="22"/>
        </w:rPr>
        <w:footnoteReference w:id="4"/>
      </w:r>
      <w:r>
        <w:rPr>
          <w:rFonts w:ascii="Arial" w:hAnsi="Arial" w:cs="Arial"/>
          <w:sz w:val="22"/>
          <w:szCs w:val="22"/>
          <w:lang w:val="es-ES"/>
        </w:rPr>
        <w:t xml:space="preserve">. </w:t>
      </w:r>
    </w:p>
    <w:p w14:paraId="4B41E579" w14:textId="77777777" w:rsidR="00421C6B" w:rsidRPr="00C32624" w:rsidRDefault="00421C6B" w:rsidP="00C84670">
      <w:pPr>
        <w:pStyle w:val="Paragraph"/>
        <w:numPr>
          <w:ilvl w:val="1"/>
          <w:numId w:val="2"/>
        </w:numPr>
        <w:ind w:left="630" w:hanging="630"/>
        <w:rPr>
          <w:rFonts w:ascii="Arial" w:hAnsi="Arial" w:cs="Arial"/>
          <w:sz w:val="22"/>
          <w:szCs w:val="22"/>
        </w:rPr>
      </w:pPr>
      <w:r w:rsidRPr="00C32624">
        <w:rPr>
          <w:rFonts w:ascii="Arial" w:hAnsi="Arial" w:cs="Arial"/>
          <w:b/>
          <w:bCs/>
          <w:sz w:val="22"/>
          <w:szCs w:val="22"/>
        </w:rPr>
        <w:t>Contexto macroeconómico y/o social.</w:t>
      </w:r>
      <w:r w:rsidRPr="00C32624">
        <w:rPr>
          <w:rFonts w:ascii="Arial" w:hAnsi="Arial" w:cs="Arial"/>
          <w:sz w:val="22"/>
          <w:szCs w:val="22"/>
        </w:rPr>
        <w:t xml:space="preserve"> Los impactos económicos del COVID</w:t>
      </w:r>
      <w:r w:rsidRPr="00C32624">
        <w:rPr>
          <w:rFonts w:ascii="Arial" w:hAnsi="Arial" w:cs="Arial"/>
          <w:sz w:val="22"/>
          <w:szCs w:val="22"/>
        </w:rPr>
        <w:noBreakHyphen/>
        <w:t xml:space="preserve">19 se presentarán por varios canales y en distintos momentos. Primero, y asociado con la prioridad de salvar vidas en el muy corto plazo, están los costos directos, relacionados con la respuesta del sector salud. En segundo lugar, se encuentran los costos asociados con los cambios en el comportamiento de las personas, necesarios para “aplanar la curva” de progresión de COVID-19 y contribuir así a salvar vidas. Estos comportamientos pueden deberse a mandatos gubernamentales (cierre de escuelas, cancelación de eventos públicos, etc.), a decisiones de las empresas y otras instituciones (establecer teletrabajo, ajustar niveles de producción, etc.) y decisiones de consumidores (resultado de reducir el contacto social). </w:t>
      </w:r>
    </w:p>
    <w:p w14:paraId="3A0D24DB" w14:textId="77777777" w:rsidR="00421C6B" w:rsidRPr="00C32624" w:rsidRDefault="00421C6B" w:rsidP="00C84670">
      <w:pPr>
        <w:pStyle w:val="Paragraph"/>
        <w:numPr>
          <w:ilvl w:val="1"/>
          <w:numId w:val="2"/>
        </w:numPr>
        <w:ind w:left="630" w:hanging="630"/>
        <w:rPr>
          <w:rFonts w:ascii="Arial" w:hAnsi="Arial" w:cs="Arial"/>
          <w:sz w:val="22"/>
          <w:szCs w:val="22"/>
        </w:rPr>
      </w:pPr>
      <w:bookmarkStart w:id="7" w:name="_Ref36309684"/>
      <w:r>
        <w:rPr>
          <w:rFonts w:ascii="Arial" w:hAnsi="Arial" w:cs="Arial"/>
          <w:sz w:val="22"/>
          <w:szCs w:val="22"/>
        </w:rPr>
        <w:t>Las políticas públicas y los</w:t>
      </w:r>
      <w:r w:rsidRPr="00C32624" w:rsidDel="00F93D2E">
        <w:rPr>
          <w:rFonts w:ascii="Arial" w:hAnsi="Arial" w:cs="Arial"/>
          <w:sz w:val="22"/>
          <w:szCs w:val="22"/>
        </w:rPr>
        <w:t xml:space="preserve"> </w:t>
      </w:r>
      <w:r w:rsidRPr="00C32624">
        <w:rPr>
          <w:rFonts w:ascii="Arial" w:hAnsi="Arial" w:cs="Arial"/>
          <w:sz w:val="22"/>
          <w:szCs w:val="22"/>
        </w:rPr>
        <w:t>cambios de comportamiento están llevando a una contracción económica muy significativa, con manifestaciones inmediatas y efectos que se mantendrán por un plazo mayor, incluso cuando la emergencia sanitaria haya pasado. En esta línea, desde una perspectiva macroeconómica, además de la contracción de la demanda interna, la Comisión Económica para América Latina y el Caribe (CEPAL) considera que hay al menos cinco canales de transmisión para los impactos de la crisis en la economía de la región</w:t>
      </w:r>
      <w:r w:rsidRPr="00C32624">
        <w:rPr>
          <w:rFonts w:ascii="Arial" w:hAnsi="Arial" w:cs="Arial"/>
          <w:sz w:val="22"/>
          <w:szCs w:val="22"/>
          <w:vertAlign w:val="superscript"/>
        </w:rPr>
        <w:footnoteReference w:id="5"/>
      </w:r>
      <w:r w:rsidRPr="00C32624">
        <w:rPr>
          <w:rFonts w:ascii="Arial" w:hAnsi="Arial" w:cs="Arial"/>
          <w:sz w:val="22"/>
          <w:szCs w:val="22"/>
        </w:rPr>
        <w:t>:</w:t>
      </w:r>
      <w:r>
        <w:rPr>
          <w:rFonts w:ascii="Arial" w:hAnsi="Arial" w:cs="Arial"/>
          <w:sz w:val="22"/>
          <w:szCs w:val="22"/>
        </w:rPr>
        <w:t> </w:t>
      </w:r>
      <w:r w:rsidRPr="00C32624">
        <w:rPr>
          <w:rFonts w:ascii="Arial" w:hAnsi="Arial" w:cs="Arial"/>
          <w:sz w:val="22"/>
          <w:szCs w:val="22"/>
        </w:rPr>
        <w:t>(i) disminución de la actividad económica de los principales socios comerciales que impactará las demanda por exportaciones; (ii) caída en la demanda por servicios de turismo; (iii) interrupción de las cadenas globales de valor; (iv) caída en precios de productos básicos; y (v) empeoramiento de las condiciones financieras.</w:t>
      </w:r>
      <w:bookmarkEnd w:id="7"/>
      <w:r w:rsidRPr="00C32624">
        <w:rPr>
          <w:rFonts w:ascii="Arial" w:hAnsi="Arial" w:cs="Arial"/>
          <w:sz w:val="22"/>
          <w:szCs w:val="22"/>
        </w:rPr>
        <w:t xml:space="preserve"> Para los aspectos generales de la intervención, ver </w:t>
      </w:r>
      <w:hyperlink r:id="rId16" w:history="1">
        <w:hyperlink r:id="rId17" w:history="1">
          <w:r w:rsidRPr="00C32624">
            <w:rPr>
              <w:rStyle w:val="Hyperlink"/>
              <w:rFonts w:ascii="Arial" w:hAnsi="Arial" w:cs="Arial"/>
              <w:sz w:val="22"/>
              <w:szCs w:val="22"/>
            </w:rPr>
            <w:t>EEO#2</w:t>
          </w:r>
        </w:hyperlink>
      </w:hyperlink>
      <w:r w:rsidRPr="00C32624">
        <w:rPr>
          <w:rFonts w:ascii="Arial" w:hAnsi="Arial" w:cs="Arial"/>
          <w:sz w:val="22"/>
          <w:szCs w:val="22"/>
        </w:rPr>
        <w:t>.</w:t>
      </w:r>
    </w:p>
    <w:p w14:paraId="254BAD7E" w14:textId="77777777" w:rsidR="00421C6B" w:rsidRPr="00C32624" w:rsidRDefault="00421C6B" w:rsidP="00C84670">
      <w:pPr>
        <w:pStyle w:val="Paragraph"/>
        <w:numPr>
          <w:ilvl w:val="1"/>
          <w:numId w:val="2"/>
        </w:numPr>
        <w:ind w:left="630" w:hanging="630"/>
        <w:rPr>
          <w:rFonts w:ascii="Arial" w:hAnsi="Arial" w:cs="Arial"/>
          <w:sz w:val="22"/>
          <w:szCs w:val="22"/>
        </w:rPr>
      </w:pPr>
      <w:r w:rsidRPr="00C32624">
        <w:rPr>
          <w:rFonts w:ascii="Arial" w:hAnsi="Arial" w:cs="Arial"/>
          <w:sz w:val="22"/>
          <w:szCs w:val="22"/>
        </w:rPr>
        <w:t>En México, cálculos del Fondo Monetario Internacional (FMI) indican una posible contracción del Producto Interno Bruto (PIB) para 2020 de hasta 6,6%, mayor a la caída de 5,2% estimada para ALC</w:t>
      </w:r>
      <w:r w:rsidRPr="00C32624">
        <w:rPr>
          <w:rStyle w:val="FootnoteReference"/>
          <w:rFonts w:ascii="Arial" w:hAnsi="Arial" w:cs="Arial"/>
          <w:sz w:val="22"/>
          <w:szCs w:val="22"/>
        </w:rPr>
        <w:footnoteReference w:id="6"/>
      </w:r>
      <w:r w:rsidRPr="00C32624">
        <w:rPr>
          <w:rFonts w:ascii="Arial" w:hAnsi="Arial" w:cs="Arial"/>
          <w:sz w:val="22"/>
          <w:szCs w:val="22"/>
        </w:rPr>
        <w:t xml:space="preserve">. Sin embargo, estimaciones más recientes del sector privado llegan a estimar una disminución de hasta 8,9%, ante la fuerte baja del consumo privado, la contracción en las exportaciones por la reducción en la demanda de los Estados Unidos y la retracción en la actividad industrial, </w:t>
      </w:r>
      <w:r w:rsidRPr="00C32624">
        <w:rPr>
          <w:rFonts w:ascii="Arial" w:hAnsi="Arial" w:cs="Arial"/>
          <w:sz w:val="22"/>
          <w:szCs w:val="22"/>
        </w:rPr>
        <w:lastRenderedPageBreak/>
        <w:t>particularmente la manufactura y la construcción, que venía descendiendo desde 2019</w:t>
      </w:r>
      <w:r w:rsidRPr="00C32624">
        <w:rPr>
          <w:rStyle w:val="FootnoteReference"/>
          <w:rFonts w:ascii="Arial" w:hAnsi="Arial" w:cs="Arial"/>
          <w:sz w:val="22"/>
          <w:szCs w:val="22"/>
        </w:rPr>
        <w:footnoteReference w:id="7"/>
      </w:r>
      <w:r w:rsidRPr="00C32624">
        <w:rPr>
          <w:rFonts w:ascii="Arial" w:hAnsi="Arial" w:cs="Arial"/>
          <w:sz w:val="22"/>
          <w:szCs w:val="22"/>
        </w:rPr>
        <w:t xml:space="preserve">. Los efectos han </w:t>
      </w:r>
      <w:r>
        <w:rPr>
          <w:rFonts w:ascii="Arial" w:hAnsi="Arial" w:cs="Arial"/>
          <w:sz w:val="22"/>
          <w:szCs w:val="22"/>
        </w:rPr>
        <w:t>comenzado</w:t>
      </w:r>
      <w:r w:rsidRPr="00C32624">
        <w:rPr>
          <w:rFonts w:ascii="Arial" w:hAnsi="Arial" w:cs="Arial"/>
          <w:sz w:val="22"/>
          <w:szCs w:val="22"/>
        </w:rPr>
        <w:t xml:space="preserve"> a reflejarse en el primer trimestre de este año, habiendo una contracción de 1,6% del PIB frente al trimestre anterior. Por otra parte, la caída reciente en el precio de petróleo tendrá un impacto negativo en las finanzas públicas a través de la recaudación fiscal y de la fragilidad financiera de Petróleos Mexicanos (PEMEX).</w:t>
      </w:r>
    </w:p>
    <w:p w14:paraId="634B7CA2" w14:textId="77777777" w:rsidR="00421C6B" w:rsidRPr="00467693" w:rsidRDefault="00421C6B" w:rsidP="00C84670">
      <w:pPr>
        <w:pStyle w:val="Paragraph"/>
        <w:numPr>
          <w:ilvl w:val="1"/>
          <w:numId w:val="2"/>
        </w:numPr>
        <w:ind w:left="630" w:hanging="630"/>
        <w:rPr>
          <w:rFonts w:ascii="Arial" w:hAnsi="Arial" w:cs="Arial"/>
          <w:sz w:val="22"/>
          <w:szCs w:val="22"/>
        </w:rPr>
      </w:pPr>
      <w:r>
        <w:rPr>
          <w:rFonts w:ascii="Arial" w:eastAsia="Arial" w:hAnsi="Arial" w:cs="Arial"/>
          <w:b/>
          <w:bCs/>
          <w:sz w:val="22"/>
          <w:szCs w:val="22"/>
        </w:rPr>
        <w:t xml:space="preserve">Diagnóstico de la </w:t>
      </w:r>
      <w:r w:rsidRPr="00C32624">
        <w:rPr>
          <w:rFonts w:ascii="Arial" w:eastAsia="Arial" w:hAnsi="Arial" w:cs="Arial"/>
          <w:b/>
          <w:bCs/>
          <w:sz w:val="22"/>
          <w:szCs w:val="22"/>
        </w:rPr>
        <w:t>MiPyME</w:t>
      </w:r>
      <w:r>
        <w:rPr>
          <w:rFonts w:ascii="Arial" w:eastAsia="Arial" w:hAnsi="Arial" w:cs="Arial"/>
          <w:b/>
          <w:bCs/>
          <w:sz w:val="22"/>
          <w:szCs w:val="22"/>
        </w:rPr>
        <w:t xml:space="preserve"> del sector agroindustrial</w:t>
      </w:r>
      <w:r w:rsidRPr="00C32624">
        <w:rPr>
          <w:rFonts w:ascii="Arial" w:eastAsia="Arial" w:hAnsi="Arial" w:cs="Arial"/>
          <w:b/>
          <w:bCs/>
          <w:sz w:val="22"/>
          <w:szCs w:val="22"/>
        </w:rPr>
        <w:t xml:space="preserve">. </w:t>
      </w:r>
      <w:r w:rsidRPr="00C32624">
        <w:rPr>
          <w:rFonts w:ascii="Arial" w:hAnsi="Arial" w:cs="Arial"/>
          <w:sz w:val="22"/>
          <w:szCs w:val="22"/>
          <w:lang w:val="es-ES"/>
        </w:rPr>
        <w:t>En México existen 4,1</w:t>
      </w:r>
      <w:r>
        <w:rPr>
          <w:rFonts w:ascii="Arial" w:hAnsi="Arial" w:cs="Arial"/>
          <w:sz w:val="22"/>
          <w:szCs w:val="22"/>
          <w:lang w:val="es-ES"/>
        </w:rPr>
        <w:t> </w:t>
      </w:r>
      <w:r w:rsidRPr="00C32624">
        <w:rPr>
          <w:rFonts w:ascii="Arial" w:hAnsi="Arial" w:cs="Arial"/>
          <w:sz w:val="22"/>
          <w:szCs w:val="22"/>
          <w:lang w:val="es-ES"/>
        </w:rPr>
        <w:t xml:space="preserve">millones de </w:t>
      </w:r>
      <w:r w:rsidRPr="00C32624">
        <w:rPr>
          <w:rFonts w:ascii="Arial" w:hAnsi="Arial" w:cs="Arial"/>
          <w:sz w:val="22"/>
          <w:szCs w:val="22"/>
          <w:lang w:val="es-MX"/>
        </w:rPr>
        <w:t>MiPyME</w:t>
      </w:r>
      <w:r w:rsidRPr="00C32624">
        <w:rPr>
          <w:rStyle w:val="FootnoteReference"/>
          <w:rFonts w:ascii="Arial" w:hAnsi="Arial" w:cs="Arial"/>
          <w:sz w:val="22"/>
          <w:szCs w:val="22"/>
          <w:lang w:val="es-ES"/>
        </w:rPr>
        <w:footnoteReference w:id="8"/>
      </w:r>
      <w:r w:rsidRPr="00C32624">
        <w:rPr>
          <w:rFonts w:ascii="Arial" w:hAnsi="Arial" w:cs="Arial"/>
          <w:sz w:val="22"/>
          <w:szCs w:val="22"/>
          <w:lang w:val="es-ES"/>
        </w:rPr>
        <w:t xml:space="preserve">, de las cuales más del 97% son microempresas. Gran parte de la actividad económica (52%) y el empleo (79%) está estrechamente ligado a ellas. </w:t>
      </w:r>
      <w:r w:rsidRPr="00C32624">
        <w:rPr>
          <w:rFonts w:ascii="Arial" w:hAnsi="Arial" w:cs="Arial"/>
          <w:sz w:val="22"/>
          <w:szCs w:val="22"/>
          <w:lang w:val="es-MX"/>
        </w:rPr>
        <w:t xml:space="preserve">El sistema financiero mexicano presenta bajos niveles de penetración, lo que se ve reflejado en las condiciones de financiamiento, particularmente </w:t>
      </w:r>
      <w:r>
        <w:rPr>
          <w:rFonts w:ascii="Arial" w:hAnsi="Arial" w:cs="Arial"/>
          <w:sz w:val="22"/>
          <w:szCs w:val="22"/>
          <w:lang w:val="es-MX"/>
        </w:rPr>
        <w:t xml:space="preserve">de las </w:t>
      </w:r>
      <w:r w:rsidRPr="00C32624">
        <w:rPr>
          <w:rFonts w:ascii="Arial" w:hAnsi="Arial" w:cs="Arial"/>
          <w:sz w:val="22"/>
          <w:szCs w:val="22"/>
          <w:lang w:val="es-MX"/>
        </w:rPr>
        <w:t>MiPyME</w:t>
      </w:r>
      <w:r w:rsidRPr="00C32624">
        <w:rPr>
          <w:rFonts w:ascii="Arial" w:hAnsi="Arial" w:cs="Arial"/>
          <w:sz w:val="22"/>
          <w:szCs w:val="22"/>
        </w:rPr>
        <w:t xml:space="preserve">. </w:t>
      </w:r>
      <w:r w:rsidRPr="00C32624">
        <w:rPr>
          <w:rFonts w:ascii="Arial" w:hAnsi="Arial" w:cs="Arial"/>
          <w:sz w:val="22"/>
          <w:szCs w:val="22"/>
          <w:lang w:val="es-MX"/>
        </w:rPr>
        <w:t>El crédito doméstico al sector privado en México es de 36% del PIB, comparado a 49% en ALC y 90% en l</w:t>
      </w:r>
      <w:r w:rsidRPr="00C32624">
        <w:rPr>
          <w:rFonts w:ascii="Arial" w:hAnsi="Arial" w:cs="Arial"/>
          <w:sz w:val="22"/>
          <w:szCs w:val="22"/>
        </w:rPr>
        <w:t>a Organización para la Cooperación y el Desarrollo Económicos</w:t>
      </w:r>
      <w:r w:rsidRPr="00C32624">
        <w:rPr>
          <w:rFonts w:ascii="Arial" w:hAnsi="Arial" w:cs="Arial"/>
          <w:sz w:val="22"/>
          <w:szCs w:val="22"/>
          <w:lang w:val="es-MX"/>
        </w:rPr>
        <w:t xml:space="preserve"> (OCDE</w:t>
      </w:r>
      <w:r w:rsidRPr="00C32624">
        <w:rPr>
          <w:rStyle w:val="FootnoteReference"/>
          <w:rFonts w:ascii="Arial" w:hAnsi="Arial" w:cs="Arial"/>
          <w:sz w:val="22"/>
          <w:szCs w:val="22"/>
          <w:lang w:val="es-MX"/>
        </w:rPr>
        <w:footnoteReference w:id="9"/>
      </w:r>
      <w:r w:rsidRPr="00C32624">
        <w:rPr>
          <w:rFonts w:ascii="Arial" w:hAnsi="Arial" w:cs="Arial"/>
          <w:sz w:val="22"/>
          <w:szCs w:val="22"/>
          <w:lang w:val="es-MX"/>
        </w:rPr>
        <w:t>). L</w:t>
      </w:r>
      <w:r w:rsidRPr="00C32624">
        <w:rPr>
          <w:rFonts w:ascii="Arial" w:hAnsi="Arial" w:cs="Arial"/>
          <w:sz w:val="22"/>
          <w:szCs w:val="22"/>
        </w:rPr>
        <w:t xml:space="preserve">a participación del crédito a </w:t>
      </w:r>
      <w:r w:rsidRPr="00C32624">
        <w:rPr>
          <w:rFonts w:ascii="Arial" w:hAnsi="Arial" w:cs="Arial"/>
          <w:sz w:val="22"/>
          <w:szCs w:val="22"/>
          <w:lang w:val="es-MX"/>
        </w:rPr>
        <w:t xml:space="preserve">las </w:t>
      </w:r>
      <w:r w:rsidRPr="00C32624">
        <w:rPr>
          <w:rFonts w:ascii="Arial" w:hAnsi="Arial" w:cs="Arial"/>
          <w:sz w:val="22"/>
          <w:szCs w:val="22"/>
        </w:rPr>
        <w:t>Pequeñas y Medianas Empresas (PyME) dentro del financiamiento al sector privado no financiero fue de 11,8%, significativamente menor a la que tuvo el crédito al consumo (26,3%) y el crédito a la vivienda (20,2%), y la cartera de crédito a PyME representó el 23,7% del crédito a empresas</w:t>
      </w:r>
      <w:r w:rsidRPr="00C32624">
        <w:rPr>
          <w:rStyle w:val="FootnoteReference"/>
          <w:rFonts w:ascii="Arial" w:hAnsi="Arial" w:cs="Arial"/>
          <w:sz w:val="22"/>
          <w:szCs w:val="22"/>
        </w:rPr>
        <w:footnoteReference w:id="10"/>
      </w:r>
      <w:r w:rsidRPr="00C32624">
        <w:rPr>
          <w:rFonts w:ascii="Arial" w:hAnsi="Arial" w:cs="Arial"/>
          <w:sz w:val="22"/>
          <w:szCs w:val="22"/>
          <w:lang w:val="es-MX"/>
        </w:rPr>
        <w:t xml:space="preserve">. </w:t>
      </w:r>
      <w:r>
        <w:rPr>
          <w:rFonts w:ascii="Arial" w:hAnsi="Arial" w:cs="Arial"/>
          <w:sz w:val="22"/>
          <w:szCs w:val="22"/>
          <w:lang w:val="es-MX"/>
        </w:rPr>
        <w:t>Por otra parte, una encuesta revela</w:t>
      </w:r>
      <w:r w:rsidRPr="00C32624" w:rsidDel="006B1E1E">
        <w:rPr>
          <w:rFonts w:ascii="Arial" w:hAnsi="Arial" w:cs="Arial"/>
          <w:sz w:val="22"/>
          <w:szCs w:val="22"/>
          <w:lang w:val="es-MX"/>
        </w:rPr>
        <w:t xml:space="preserve"> </w:t>
      </w:r>
      <w:r w:rsidRPr="00C32624">
        <w:rPr>
          <w:rFonts w:ascii="Arial" w:hAnsi="Arial" w:cs="Arial"/>
          <w:sz w:val="22"/>
          <w:szCs w:val="22"/>
          <w:lang w:val="es-MX"/>
        </w:rPr>
        <w:t>que solamente un 23% de las MiPyME han tenido financiamiento de la banca comercial</w:t>
      </w:r>
      <w:r w:rsidRPr="00C32624">
        <w:rPr>
          <w:rStyle w:val="FootnoteReference"/>
          <w:rFonts w:ascii="Arial" w:hAnsi="Arial" w:cs="Arial"/>
          <w:sz w:val="22"/>
          <w:szCs w:val="22"/>
          <w:lang w:val="es-MX"/>
        </w:rPr>
        <w:footnoteReference w:id="11"/>
      </w:r>
      <w:r w:rsidRPr="00C32624">
        <w:rPr>
          <w:rFonts w:ascii="Arial" w:hAnsi="Arial" w:cs="Arial"/>
          <w:sz w:val="22"/>
          <w:szCs w:val="22"/>
          <w:lang w:val="es-AR"/>
        </w:rPr>
        <w:t xml:space="preserve">. </w:t>
      </w:r>
    </w:p>
    <w:p w14:paraId="61F94617" w14:textId="77777777" w:rsidR="00421C6B" w:rsidRPr="00C32624" w:rsidRDefault="00421C6B" w:rsidP="00C84670">
      <w:pPr>
        <w:pStyle w:val="Paragraph"/>
        <w:numPr>
          <w:ilvl w:val="1"/>
          <w:numId w:val="2"/>
        </w:numPr>
        <w:ind w:left="630" w:hanging="630"/>
        <w:rPr>
          <w:rFonts w:ascii="Arial" w:hAnsi="Arial" w:cs="Arial"/>
          <w:sz w:val="22"/>
          <w:szCs w:val="22"/>
        </w:rPr>
      </w:pPr>
      <w:r w:rsidRPr="00C32624">
        <w:rPr>
          <w:rFonts w:ascii="Arial" w:hAnsi="Arial" w:cs="Arial"/>
          <w:sz w:val="22"/>
        </w:rPr>
        <w:t>El sector agroindustrial presenta obstáculos particulares</w:t>
      </w:r>
      <w:r w:rsidRPr="00C32624">
        <w:rPr>
          <w:rFonts w:ascii="Arial" w:hAnsi="Arial" w:cs="Arial"/>
          <w:bCs/>
          <w:sz w:val="22"/>
        </w:rPr>
        <w:t xml:space="preserve"> frente a otros sectores que restringen la oferta de servicios financieros o conllevan a que la oferta sea en condiciones menos ventajosas en precio y/o plazo, especialmente hacia las </w:t>
      </w:r>
      <w:r w:rsidRPr="00C32624">
        <w:rPr>
          <w:rFonts w:ascii="Arial" w:hAnsi="Arial" w:cs="Arial"/>
          <w:sz w:val="22"/>
          <w:szCs w:val="22"/>
          <w:lang w:val="es-MX"/>
        </w:rPr>
        <w:t>MiPyME</w:t>
      </w:r>
      <w:r w:rsidRPr="00C32624">
        <w:rPr>
          <w:rStyle w:val="FootnoteReference"/>
          <w:rFonts w:ascii="Arial" w:hAnsi="Arial" w:cs="Arial"/>
          <w:sz w:val="22"/>
          <w:szCs w:val="22"/>
          <w:lang w:val="es-MX"/>
        </w:rPr>
        <w:footnoteReference w:id="12"/>
      </w:r>
      <w:r w:rsidRPr="00C32624">
        <w:rPr>
          <w:rFonts w:ascii="Arial" w:hAnsi="Arial" w:cs="Arial"/>
          <w:sz w:val="22"/>
          <w:lang w:val="es-MX"/>
        </w:rPr>
        <w:t xml:space="preserve">. </w:t>
      </w:r>
      <w:r w:rsidRPr="00C32624">
        <w:rPr>
          <w:rFonts w:ascii="Arial" w:hAnsi="Arial" w:cs="Arial"/>
          <w:sz w:val="22"/>
        </w:rPr>
        <w:t>Estos obstáculos han llevado a que el sector financiero formal, y en especial el sector privado, presenten una baja penetración en la economía rural. Únicamente el 2,1% del financiamiento bancario total de la economía se canaliza al sector primario</w:t>
      </w:r>
      <w:r w:rsidRPr="00C32624">
        <w:rPr>
          <w:rStyle w:val="FootnoteReference"/>
          <w:rFonts w:ascii="Arial" w:hAnsi="Arial" w:cs="Arial"/>
          <w:sz w:val="22"/>
        </w:rPr>
        <w:footnoteReference w:id="13"/>
      </w:r>
      <w:r w:rsidRPr="00C32624">
        <w:rPr>
          <w:rFonts w:ascii="Arial" w:hAnsi="Arial" w:cs="Arial"/>
          <w:sz w:val="22"/>
        </w:rPr>
        <w:t xml:space="preserve"> y el valor del financiamiento total al sector al cierre de 2016</w:t>
      </w:r>
      <w:r>
        <w:rPr>
          <w:rFonts w:ascii="Arial" w:hAnsi="Arial" w:cs="Arial"/>
          <w:sz w:val="22"/>
        </w:rPr>
        <w:t> </w:t>
      </w:r>
      <w:r w:rsidRPr="00C32624">
        <w:rPr>
          <w:rFonts w:ascii="Arial" w:hAnsi="Arial" w:cs="Arial"/>
          <w:sz w:val="22"/>
        </w:rPr>
        <w:t xml:space="preserve">fue, en términos reales, similar al valor de 2000, cubriendo alrededor de </w:t>
      </w:r>
      <w:r w:rsidRPr="00C32624">
        <w:rPr>
          <w:rFonts w:ascii="Arial" w:hAnsi="Arial" w:cs="Arial"/>
          <w:color w:val="000000"/>
          <w:sz w:val="22"/>
          <w:lang w:val="es-MX"/>
        </w:rPr>
        <w:t>23,7%</w:t>
      </w:r>
      <w:r>
        <w:rPr>
          <w:rFonts w:ascii="Arial" w:hAnsi="Arial" w:cs="Arial"/>
          <w:color w:val="000000"/>
          <w:sz w:val="22"/>
          <w:lang w:val="es-MX"/>
        </w:rPr>
        <w:t> </w:t>
      </w:r>
      <w:r w:rsidRPr="00C32624">
        <w:rPr>
          <w:rFonts w:ascii="Arial" w:hAnsi="Arial" w:cs="Arial"/>
          <w:color w:val="000000"/>
          <w:sz w:val="22"/>
          <w:lang w:val="es-MX"/>
        </w:rPr>
        <w:t>del PIB primario</w:t>
      </w:r>
      <w:r w:rsidRPr="00C32624">
        <w:rPr>
          <w:rStyle w:val="FootnoteReference"/>
          <w:rFonts w:ascii="Arial" w:hAnsi="Arial" w:cs="Arial"/>
          <w:sz w:val="22"/>
        </w:rPr>
        <w:footnoteReference w:id="14"/>
      </w:r>
      <w:r w:rsidRPr="00C32624">
        <w:rPr>
          <w:rFonts w:ascii="Arial" w:hAnsi="Arial" w:cs="Arial"/>
          <w:color w:val="000000"/>
          <w:sz w:val="22"/>
          <w:lang w:val="es-MX"/>
        </w:rPr>
        <w:t xml:space="preserve">. Al incluir el sector agroindustrial, el </w:t>
      </w:r>
      <w:r w:rsidRPr="00C32624">
        <w:rPr>
          <w:rFonts w:ascii="Arial" w:hAnsi="Arial" w:cs="Arial"/>
          <w:sz w:val="22"/>
        </w:rPr>
        <w:t>financiamiento</w:t>
      </w:r>
      <w:r w:rsidRPr="00C32624">
        <w:rPr>
          <w:rFonts w:ascii="Arial" w:hAnsi="Arial" w:cs="Arial"/>
          <w:color w:val="000000"/>
          <w:sz w:val="22"/>
          <w:lang w:val="es-MX"/>
        </w:rPr>
        <w:t xml:space="preserve"> suma solo el 11,3% del PIB de este</w:t>
      </w:r>
      <w:r w:rsidRPr="00C32624">
        <w:rPr>
          <w:rStyle w:val="FootnoteReference"/>
          <w:rFonts w:ascii="Arial" w:hAnsi="Arial" w:cs="Arial"/>
          <w:sz w:val="22"/>
        </w:rPr>
        <w:footnoteReference w:id="15"/>
      </w:r>
      <w:r w:rsidRPr="00C32624">
        <w:rPr>
          <w:rFonts w:ascii="Arial" w:hAnsi="Arial" w:cs="Arial"/>
          <w:sz w:val="22"/>
        </w:rPr>
        <w:t xml:space="preserve">. Asimismo, tan solo el 16% de las MiPyME del sector agroalimentario reportaba tener acceso a financiamiento (frente al 46% de las MiPyME en la industria de la confección, al 50% en la industria petroquímica y al </w:t>
      </w:r>
      <w:r w:rsidRPr="00C32624">
        <w:rPr>
          <w:rFonts w:ascii="Arial" w:hAnsi="Arial" w:cs="Arial"/>
          <w:sz w:val="22"/>
        </w:rPr>
        <w:lastRenderedPageBreak/>
        <w:t>78% en la industria metalmecánica)</w:t>
      </w:r>
      <w:r w:rsidRPr="00C32624">
        <w:rPr>
          <w:rStyle w:val="FootnoteReference"/>
          <w:rFonts w:ascii="Arial" w:hAnsi="Arial" w:cs="Arial"/>
          <w:sz w:val="22"/>
        </w:rPr>
        <w:footnoteReference w:id="16"/>
      </w:r>
      <w:r w:rsidRPr="00C32624">
        <w:rPr>
          <w:rFonts w:ascii="Arial" w:hAnsi="Arial" w:cs="Arial"/>
          <w:sz w:val="22"/>
        </w:rPr>
        <w:t>. El 70% de las MiPyME agroalimentarias utilizaban recursos internos para financiar inversiones</w:t>
      </w:r>
      <w:r w:rsidRPr="00C32624">
        <w:rPr>
          <w:rStyle w:val="FootnoteReference"/>
          <w:rFonts w:ascii="Arial" w:hAnsi="Arial" w:cs="Arial"/>
          <w:sz w:val="22"/>
        </w:rPr>
        <w:footnoteReference w:id="17"/>
      </w:r>
      <w:r w:rsidRPr="00C32624">
        <w:rPr>
          <w:rFonts w:ascii="Arial" w:hAnsi="Arial" w:cs="Arial"/>
          <w:sz w:val="22"/>
        </w:rPr>
        <w:t xml:space="preserve">. </w:t>
      </w:r>
    </w:p>
    <w:p w14:paraId="3252A4B5" w14:textId="3302C822" w:rsidR="00E15278" w:rsidRPr="00347E22" w:rsidRDefault="00421C6B" w:rsidP="00421C6B">
      <w:pPr>
        <w:pStyle w:val="Paragraph"/>
        <w:numPr>
          <w:ilvl w:val="1"/>
          <w:numId w:val="2"/>
        </w:numPr>
        <w:ind w:left="630" w:hanging="630"/>
        <w:rPr>
          <w:rFonts w:ascii="Arial" w:hAnsi="Arial" w:cs="Arial"/>
          <w:sz w:val="22"/>
          <w:szCs w:val="22"/>
          <w:lang w:val="es-ES_tradnl"/>
        </w:rPr>
      </w:pPr>
      <w:r w:rsidRPr="00421C6B">
        <w:rPr>
          <w:rFonts w:ascii="Arial" w:hAnsi="Arial" w:cs="Arial"/>
          <w:sz w:val="22"/>
          <w:szCs w:val="22"/>
          <w:lang w:val="es-CO"/>
        </w:rPr>
        <w:t xml:space="preserve">El sector financiero sufre una serie de limitaciones para aportar todo el financiamiento que la </w:t>
      </w:r>
      <w:r w:rsidRPr="00C32624">
        <w:rPr>
          <w:rFonts w:ascii="Arial" w:hAnsi="Arial" w:cs="Arial"/>
          <w:sz w:val="22"/>
          <w:szCs w:val="22"/>
          <w:lang w:val="es-MX"/>
        </w:rPr>
        <w:t>MiPyME</w:t>
      </w:r>
      <w:r w:rsidRPr="00421C6B">
        <w:rPr>
          <w:rFonts w:ascii="Arial" w:hAnsi="Arial" w:cs="Arial"/>
          <w:sz w:val="22"/>
          <w:szCs w:val="22"/>
          <w:lang w:val="es-CO"/>
        </w:rPr>
        <w:t xml:space="preserve"> va a necesitar durante esta crisis, tanto a corto plazo, para asegurar la supervivencia inmediata de las </w:t>
      </w:r>
      <w:r w:rsidRPr="00C32624">
        <w:rPr>
          <w:rFonts w:ascii="Arial" w:hAnsi="Arial" w:cs="Arial"/>
          <w:sz w:val="22"/>
          <w:szCs w:val="22"/>
          <w:lang w:val="es-MX"/>
        </w:rPr>
        <w:t>MiPyME</w:t>
      </w:r>
      <w:r w:rsidRPr="00421C6B">
        <w:rPr>
          <w:rFonts w:ascii="Arial" w:hAnsi="Arial" w:cs="Arial"/>
          <w:sz w:val="22"/>
          <w:szCs w:val="22"/>
          <w:lang w:val="es-CO"/>
        </w:rPr>
        <w:t xml:space="preserve">, como a mediano plazo, para estimular la rápida recuperación económica y del empleo en el país. </w:t>
      </w:r>
      <w:r w:rsidRPr="006B59E8">
        <w:rPr>
          <w:rFonts w:ascii="Arial" w:hAnsi="Arial" w:cs="Arial"/>
          <w:sz w:val="22"/>
          <w:szCs w:val="22"/>
          <w:lang w:val="es-CO"/>
        </w:rPr>
        <w:t>Considerando la crisis anterior de 2009, el crédito a las empresas disminuyó significativamente, al caer el porcentaje de empresas que utilizan crédito bancario de niveles de 30% a finales de 2008 a 20% a finales de 2009</w:t>
      </w:r>
      <w:r w:rsidRPr="00C32624">
        <w:rPr>
          <w:rStyle w:val="FootnoteReference"/>
          <w:rFonts w:ascii="Arial" w:hAnsi="Arial" w:cs="Arial"/>
          <w:sz w:val="22"/>
          <w:szCs w:val="22"/>
        </w:rPr>
        <w:footnoteReference w:id="18"/>
      </w:r>
      <w:r w:rsidRPr="006B59E8">
        <w:rPr>
          <w:rFonts w:ascii="Arial" w:hAnsi="Arial" w:cs="Arial"/>
          <w:sz w:val="22"/>
          <w:szCs w:val="22"/>
          <w:lang w:val="es-CO"/>
        </w:rPr>
        <w:t xml:space="preserve">. La intervención propuesta se centra en apoyar mecanismos financieros para estimular la oferta de liquidez de corto plazo de los intermediarios financieros a las </w:t>
      </w:r>
      <w:r w:rsidRPr="00C32624">
        <w:rPr>
          <w:rFonts w:ascii="Arial" w:hAnsi="Arial" w:cs="Arial"/>
          <w:sz w:val="22"/>
          <w:szCs w:val="22"/>
          <w:lang w:val="es-MX"/>
        </w:rPr>
        <w:t>MiPyME,</w:t>
      </w:r>
      <w:r w:rsidRPr="006B59E8">
        <w:rPr>
          <w:rFonts w:ascii="Arial" w:hAnsi="Arial" w:cs="Arial"/>
          <w:sz w:val="22"/>
          <w:szCs w:val="22"/>
          <w:lang w:val="es-CO"/>
        </w:rPr>
        <w:t xml:space="preserve"> a través de un Programa Global de Crédito, enfocándose en un sector (el agroindustrial) que es tanto vulnerable a la crisis como estratégico por ser medular para el funcionamiento de las cadenas alimenticias. El programa busca aminorar las restricciones de acceso a crédito que enfrentan las </w:t>
      </w:r>
      <w:r w:rsidRPr="00C32624">
        <w:rPr>
          <w:rFonts w:ascii="Arial" w:hAnsi="Arial" w:cs="Arial"/>
          <w:sz w:val="22"/>
          <w:szCs w:val="22"/>
          <w:lang w:val="es-MX"/>
        </w:rPr>
        <w:t>MiPyME </w:t>
      </w:r>
      <w:r w:rsidRPr="006B59E8">
        <w:rPr>
          <w:rFonts w:ascii="Arial" w:hAnsi="Arial" w:cs="Arial"/>
          <w:sz w:val="22"/>
          <w:szCs w:val="22"/>
          <w:lang w:val="es-CO"/>
        </w:rPr>
        <w:t xml:space="preserve">afectadas en este sector por la crisis del COVID-19 para apoyar la supervivencia de las </w:t>
      </w:r>
      <w:r w:rsidRPr="00C32624">
        <w:rPr>
          <w:rFonts w:ascii="Arial" w:hAnsi="Arial" w:cs="Arial"/>
          <w:sz w:val="22"/>
          <w:szCs w:val="22"/>
          <w:lang w:val="es-MX"/>
        </w:rPr>
        <w:t>MiPyME</w:t>
      </w:r>
      <w:r w:rsidRPr="006B59E8">
        <w:rPr>
          <w:rFonts w:ascii="Arial" w:hAnsi="Arial" w:cs="Arial"/>
          <w:sz w:val="22"/>
          <w:szCs w:val="22"/>
          <w:lang w:val="es-CO"/>
        </w:rPr>
        <w:t xml:space="preserve"> y la preservación de su empleo, lo que a su vez minimizará la carga sobre los sistemas de protección social y maximizará la velocidad de recuperación económica una vez superada la emergencia sanitaria</w:t>
      </w:r>
      <w:r w:rsidR="00107E93" w:rsidRPr="00107E93">
        <w:rPr>
          <w:rFonts w:ascii="Arial" w:hAnsi="Arial" w:cs="Arial"/>
          <w:sz w:val="22"/>
          <w:szCs w:val="22"/>
          <w:lang w:val="es-CO"/>
        </w:rPr>
        <w:t>.</w:t>
      </w:r>
    </w:p>
    <w:p w14:paraId="352EDFFC" w14:textId="77777777" w:rsidR="006B59E8" w:rsidRPr="00C32624" w:rsidRDefault="006B59E8" w:rsidP="00C84670">
      <w:pPr>
        <w:pStyle w:val="Paragraph"/>
        <w:numPr>
          <w:ilvl w:val="1"/>
          <w:numId w:val="2"/>
        </w:numPr>
        <w:ind w:left="630" w:hanging="630"/>
        <w:rPr>
          <w:rFonts w:ascii="Arial" w:hAnsi="Arial" w:cs="Arial"/>
          <w:sz w:val="22"/>
          <w:szCs w:val="22"/>
        </w:rPr>
      </w:pPr>
      <w:r w:rsidRPr="00C32624">
        <w:rPr>
          <w:rFonts w:ascii="Arial" w:hAnsi="Arial" w:cs="Arial"/>
          <w:b/>
          <w:bCs/>
          <w:sz w:val="22"/>
          <w:szCs w:val="22"/>
          <w:lang w:val="es-ES"/>
        </w:rPr>
        <w:t>Retos y avances.</w:t>
      </w:r>
      <w:r w:rsidRPr="00C32624">
        <w:rPr>
          <w:rFonts w:ascii="Arial" w:hAnsi="Arial" w:cs="Arial"/>
          <w:sz w:val="22"/>
          <w:szCs w:val="22"/>
          <w:lang w:val="es-ES"/>
        </w:rPr>
        <w:t xml:space="preserve"> </w:t>
      </w:r>
      <w:r w:rsidRPr="00C32624">
        <w:rPr>
          <w:rFonts w:ascii="Arial" w:hAnsi="Arial" w:cs="Arial"/>
          <w:sz w:val="22"/>
          <w:szCs w:val="22"/>
        </w:rPr>
        <w:t xml:space="preserve">El desafío, para defender el tejido productivo afectado por las dificultades económicas asociadas a la crisis del COVID-19, es mantener operando al mayor número posible de </w:t>
      </w:r>
      <w:r w:rsidRPr="00C32624">
        <w:rPr>
          <w:rFonts w:ascii="Arial" w:hAnsi="Arial" w:cs="Arial"/>
          <w:sz w:val="22"/>
          <w:szCs w:val="22"/>
          <w:lang w:val="es-MX"/>
        </w:rPr>
        <w:t>MiPyME</w:t>
      </w:r>
      <w:r w:rsidRPr="00C32624">
        <w:rPr>
          <w:rFonts w:ascii="Arial" w:hAnsi="Arial" w:cs="Arial"/>
          <w:sz w:val="22"/>
          <w:szCs w:val="22"/>
        </w:rPr>
        <w:t xml:space="preserve">, que eran comercialmente viables precrisis, así como apoyar a las cadenas de valor donde se integran un gran número de estas </w:t>
      </w:r>
      <w:r w:rsidRPr="00C32624">
        <w:rPr>
          <w:rFonts w:ascii="Arial" w:hAnsi="Arial" w:cs="Arial"/>
          <w:sz w:val="22"/>
          <w:szCs w:val="22"/>
          <w:lang w:val="es-MX"/>
        </w:rPr>
        <w:t>MiPyME</w:t>
      </w:r>
      <w:r w:rsidRPr="00C32624">
        <w:rPr>
          <w:rFonts w:ascii="Arial" w:hAnsi="Arial" w:cs="Arial"/>
          <w:sz w:val="22"/>
          <w:szCs w:val="22"/>
        </w:rPr>
        <w:t>, para que puedan seguir funcionando con normalidad.</w:t>
      </w:r>
    </w:p>
    <w:p w14:paraId="6253A6AE" w14:textId="77777777" w:rsidR="006B59E8" w:rsidRPr="00C32624" w:rsidRDefault="006B59E8" w:rsidP="00C84670">
      <w:pPr>
        <w:pStyle w:val="Paragraph"/>
        <w:numPr>
          <w:ilvl w:val="1"/>
          <w:numId w:val="2"/>
        </w:numPr>
        <w:ind w:left="630" w:hanging="630"/>
        <w:rPr>
          <w:rFonts w:ascii="Arial" w:eastAsiaTheme="minorEastAsia" w:hAnsi="Arial" w:cs="Arial"/>
          <w:sz w:val="22"/>
          <w:szCs w:val="22"/>
        </w:rPr>
      </w:pPr>
      <w:r w:rsidRPr="00C32624">
        <w:rPr>
          <w:rFonts w:ascii="Arial" w:hAnsi="Arial" w:cs="Arial"/>
          <w:sz w:val="22"/>
          <w:szCs w:val="22"/>
        </w:rPr>
        <w:t>El país ha venido apoyándose en l</w:t>
      </w:r>
      <w:r>
        <w:rPr>
          <w:rFonts w:ascii="Arial" w:hAnsi="Arial" w:cs="Arial"/>
          <w:sz w:val="22"/>
          <w:szCs w:val="22"/>
        </w:rPr>
        <w:t>os</w:t>
      </w:r>
      <w:r w:rsidRPr="00C32624">
        <w:rPr>
          <w:rFonts w:ascii="Arial" w:hAnsi="Arial" w:cs="Arial"/>
          <w:sz w:val="22"/>
          <w:szCs w:val="22"/>
        </w:rPr>
        <w:t xml:space="preserve"> </w:t>
      </w:r>
      <w:r w:rsidRPr="00C32624">
        <w:rPr>
          <w:rFonts w:ascii="Arial" w:eastAsia="Arial" w:hAnsi="Arial" w:cs="Arial"/>
          <w:sz w:val="22"/>
          <w:szCs w:val="22"/>
        </w:rPr>
        <w:t>Banc</w:t>
      </w:r>
      <w:r>
        <w:rPr>
          <w:rFonts w:ascii="Arial" w:eastAsia="Arial" w:hAnsi="Arial" w:cs="Arial"/>
          <w:sz w:val="22"/>
          <w:szCs w:val="22"/>
        </w:rPr>
        <w:t>os</w:t>
      </w:r>
      <w:r w:rsidRPr="00C32624">
        <w:rPr>
          <w:rFonts w:ascii="Arial" w:eastAsia="Arial" w:hAnsi="Arial" w:cs="Arial"/>
          <w:sz w:val="22"/>
          <w:szCs w:val="22"/>
        </w:rPr>
        <w:t xml:space="preserve"> Públic</w:t>
      </w:r>
      <w:r>
        <w:rPr>
          <w:rFonts w:ascii="Arial" w:eastAsia="Arial" w:hAnsi="Arial" w:cs="Arial"/>
          <w:sz w:val="22"/>
          <w:szCs w:val="22"/>
        </w:rPr>
        <w:t>os</w:t>
      </w:r>
      <w:r w:rsidRPr="00C32624">
        <w:rPr>
          <w:rFonts w:ascii="Arial" w:eastAsia="Arial" w:hAnsi="Arial" w:cs="Arial"/>
          <w:sz w:val="22"/>
          <w:szCs w:val="22"/>
        </w:rPr>
        <w:t xml:space="preserve"> de Desarrollo (BPD) para dar</w:t>
      </w:r>
      <w:r w:rsidRPr="00C32624">
        <w:rPr>
          <w:rFonts w:ascii="Arial" w:hAnsi="Arial" w:cs="Arial"/>
          <w:sz w:val="22"/>
          <w:szCs w:val="22"/>
        </w:rPr>
        <w:t xml:space="preserve"> acceso a financiamiento a la </w:t>
      </w:r>
      <w:r w:rsidRPr="00C32624">
        <w:rPr>
          <w:rFonts w:ascii="Arial" w:hAnsi="Arial" w:cs="Arial"/>
          <w:sz w:val="22"/>
          <w:szCs w:val="22"/>
          <w:lang w:val="es-MX"/>
        </w:rPr>
        <w:t>MiPyME.</w:t>
      </w:r>
      <w:r w:rsidRPr="00C32624">
        <w:rPr>
          <w:rFonts w:ascii="Arial" w:hAnsi="Arial" w:cs="Arial"/>
          <w:sz w:val="22"/>
          <w:szCs w:val="22"/>
        </w:rPr>
        <w:t xml:space="preserve"> </w:t>
      </w:r>
      <w:r w:rsidRPr="00C32624">
        <w:rPr>
          <w:rFonts w:ascii="Arial" w:eastAsia="Arial" w:hAnsi="Arial" w:cs="Arial"/>
          <w:sz w:val="22"/>
          <w:szCs w:val="22"/>
        </w:rPr>
        <w:t>Las distintas entidades que conforman el sistema de BPD</w:t>
      </w:r>
      <w:r w:rsidRPr="00C32624">
        <w:rPr>
          <w:rStyle w:val="FootnoteReference"/>
          <w:rFonts w:ascii="Arial" w:eastAsia="Arial" w:hAnsi="Arial" w:cs="Arial"/>
          <w:sz w:val="22"/>
          <w:szCs w:val="22"/>
        </w:rPr>
        <w:footnoteReference w:id="19"/>
      </w:r>
      <w:r w:rsidRPr="00C32624">
        <w:rPr>
          <w:rFonts w:ascii="Arial" w:eastAsia="Arial" w:hAnsi="Arial" w:cs="Arial"/>
          <w:sz w:val="22"/>
          <w:szCs w:val="22"/>
        </w:rPr>
        <w:t xml:space="preserve"> atienden a estas empresas en función del sector económico que pertenecen, ya sea industrial, exportador, rural, construcción, etc. Se estima que el 65% de los créditos otorgados a PyME en México están respaldados por l</w:t>
      </w:r>
      <w:r>
        <w:rPr>
          <w:rFonts w:ascii="Arial" w:eastAsia="Arial" w:hAnsi="Arial" w:cs="Arial"/>
          <w:sz w:val="22"/>
          <w:szCs w:val="22"/>
        </w:rPr>
        <w:t>os</w:t>
      </w:r>
      <w:r w:rsidRPr="00C32624">
        <w:rPr>
          <w:rFonts w:ascii="Arial" w:eastAsia="Arial" w:hAnsi="Arial" w:cs="Arial"/>
          <w:sz w:val="22"/>
          <w:szCs w:val="22"/>
        </w:rPr>
        <w:t xml:space="preserve"> BPD.</w:t>
      </w:r>
      <w:r w:rsidRPr="00C32624" w:rsidDel="003B4917">
        <w:rPr>
          <w:rFonts w:ascii="Arial" w:eastAsia="Arial" w:hAnsi="Arial" w:cs="Arial"/>
          <w:sz w:val="22"/>
          <w:szCs w:val="22"/>
        </w:rPr>
        <w:t xml:space="preserve"> </w:t>
      </w:r>
    </w:p>
    <w:p w14:paraId="602E5629" w14:textId="3E2E3CC6" w:rsidR="000D4FE7" w:rsidRPr="00F72750" w:rsidRDefault="006B59E8" w:rsidP="006B59E8">
      <w:pPr>
        <w:pStyle w:val="Paragraph"/>
        <w:numPr>
          <w:ilvl w:val="1"/>
          <w:numId w:val="2"/>
        </w:numPr>
        <w:ind w:left="630" w:hanging="630"/>
        <w:rPr>
          <w:rFonts w:ascii="Arial" w:hAnsi="Arial" w:cs="Arial"/>
          <w:sz w:val="22"/>
          <w:szCs w:val="22"/>
          <w:lang w:val="es-CO"/>
        </w:rPr>
      </w:pPr>
      <w:r w:rsidRPr="006B59E8">
        <w:rPr>
          <w:rFonts w:ascii="Arial" w:eastAsia="Arial" w:hAnsi="Arial" w:cs="Arial"/>
          <w:sz w:val="22"/>
          <w:szCs w:val="22"/>
          <w:lang w:val="es-CO"/>
        </w:rPr>
        <w:t>A través de este programa, el gobierno busca fortalecer la respuesta de los  BPD para atender la presente crisis, en adición a las otras medidas que se han anunciado dentro del sector financiero, como son: (i) e</w:t>
      </w:r>
      <w:r w:rsidRPr="00C32624">
        <w:rPr>
          <w:rFonts w:ascii="Arial" w:eastAsia="Arial" w:hAnsi="Arial" w:cs="Arial"/>
          <w:sz w:val="22"/>
          <w:szCs w:val="22"/>
          <w:lang w:val="es-ES"/>
        </w:rPr>
        <w:t>l gobierno ha indicado que pondrá en marcha un programa de un millón de microcréditos de aproximadamente US$1.000 para micronegocios registrados en el padrón del censo del Bienestar del Gobierno Federal</w:t>
      </w:r>
      <w:r>
        <w:rPr>
          <w:rStyle w:val="FootnoteReference"/>
          <w:rFonts w:ascii="Arial" w:eastAsia="Arial" w:hAnsi="Arial" w:cs="Arial"/>
          <w:sz w:val="22"/>
          <w:szCs w:val="22"/>
          <w:lang w:val="es-ES"/>
        </w:rPr>
        <w:footnoteReference w:id="20"/>
      </w:r>
      <w:r>
        <w:rPr>
          <w:rFonts w:ascii="Arial" w:eastAsia="Arial" w:hAnsi="Arial" w:cs="Arial"/>
          <w:sz w:val="22"/>
          <w:szCs w:val="22"/>
          <w:lang w:val="es-ES"/>
        </w:rPr>
        <w:t xml:space="preserve">; (ii) </w:t>
      </w:r>
      <w:r w:rsidRPr="00C32624">
        <w:rPr>
          <w:rFonts w:ascii="Arial" w:eastAsia="Arial" w:hAnsi="Arial" w:cs="Arial"/>
          <w:sz w:val="22"/>
          <w:szCs w:val="22"/>
          <w:lang w:val="es-ES"/>
        </w:rPr>
        <w:t>e</w:t>
      </w:r>
      <w:r w:rsidRPr="00C32624">
        <w:rPr>
          <w:rFonts w:ascii="Arial" w:eastAsia="Arial" w:hAnsi="Arial" w:cs="Arial"/>
          <w:sz w:val="22"/>
          <w:szCs w:val="22"/>
          <w:lang w:val="es-MX"/>
        </w:rPr>
        <w:t xml:space="preserve">l Banco de México dio a conocer medidas que buscan garantizar liquidez para los bancos y corporativos que puedan requerir dólares estadounidenses ante el deterioro de las condiciones financieras mundiales, así como medidas </w:t>
      </w:r>
      <w:r w:rsidRPr="006B59E8">
        <w:rPr>
          <w:rFonts w:ascii="Arial" w:eastAsia="Arial" w:hAnsi="Arial" w:cs="Arial"/>
          <w:sz w:val="22"/>
          <w:szCs w:val="22"/>
          <w:lang w:val="es-CO"/>
        </w:rPr>
        <w:t xml:space="preserve">adicionales orientadas a proveer liquidez para mejorar el funcionamiento de los mercados internos y fortalecer los canales de otorgamiento de crédito en la economía, particularmente hacia las PyME y hogares que han visto </w:t>
      </w:r>
      <w:r w:rsidRPr="006B59E8">
        <w:rPr>
          <w:rFonts w:ascii="Arial" w:eastAsia="Arial" w:hAnsi="Arial" w:cs="Arial"/>
          <w:sz w:val="22"/>
          <w:szCs w:val="22"/>
          <w:lang w:val="es-CO"/>
        </w:rPr>
        <w:lastRenderedPageBreak/>
        <w:t xml:space="preserve">una reducción transitoria de sus fuentes de ingreso; y (iii) </w:t>
      </w:r>
      <w:r w:rsidRPr="00C32624">
        <w:rPr>
          <w:rFonts w:ascii="Arial" w:eastAsia="Arial" w:hAnsi="Arial" w:cs="Arial"/>
          <w:sz w:val="22"/>
          <w:szCs w:val="22"/>
          <w:lang w:val="es-MX"/>
        </w:rPr>
        <w:t>l</w:t>
      </w:r>
      <w:r w:rsidRPr="006B59E8">
        <w:rPr>
          <w:rFonts w:ascii="Arial" w:eastAsia="Arial" w:hAnsi="Arial" w:cs="Arial"/>
          <w:sz w:val="22"/>
          <w:szCs w:val="22"/>
          <w:lang w:val="es-CO"/>
        </w:rPr>
        <w:t>a Comisión Nacional Bancaria y de Valores (CNBV) emitió con carácter temporal, criterios contables especiales, aplicables a instituciones de crédito, respecto de los créditos al consumo, de vivienda y comerciales, para los clientes cuya fuente de pago se encuentre afectada por esta contingencia.</w:t>
      </w:r>
      <w:r w:rsidRPr="00C32624">
        <w:rPr>
          <w:rFonts w:ascii="Arial" w:eastAsia="Arial" w:hAnsi="Arial" w:cs="Arial"/>
          <w:sz w:val="22"/>
          <w:szCs w:val="22"/>
          <w:lang w:val="es-MX"/>
        </w:rPr>
        <w:t xml:space="preserve"> Así, los bancos podrán dar facilidades para pagar créditos, incluyendo la congelación de deudas</w:t>
      </w:r>
      <w:r w:rsidR="000D4FE7" w:rsidRPr="00C32624">
        <w:rPr>
          <w:rFonts w:ascii="Arial" w:eastAsia="Arial" w:hAnsi="Arial" w:cs="Arial"/>
          <w:sz w:val="22"/>
          <w:szCs w:val="22"/>
          <w:lang w:val="es-MX"/>
        </w:rPr>
        <w:t>.</w:t>
      </w:r>
    </w:p>
    <w:p w14:paraId="65C0C639" w14:textId="77777777" w:rsidR="00C84670" w:rsidRPr="00C32624" w:rsidRDefault="00C84670" w:rsidP="00C84670">
      <w:pPr>
        <w:pStyle w:val="Paragraph"/>
        <w:numPr>
          <w:ilvl w:val="1"/>
          <w:numId w:val="2"/>
        </w:numPr>
        <w:ind w:left="630" w:hanging="630"/>
        <w:rPr>
          <w:rFonts w:ascii="Arial" w:hAnsi="Arial" w:cs="Arial"/>
          <w:sz w:val="22"/>
          <w:szCs w:val="22"/>
        </w:rPr>
      </w:pPr>
      <w:bookmarkStart w:id="8" w:name="_Ref41560054"/>
      <w:r>
        <w:rPr>
          <w:rFonts w:ascii="Arial" w:hAnsi="Arial" w:cs="Arial"/>
          <w:b/>
          <w:bCs/>
          <w:sz w:val="22"/>
          <w:szCs w:val="22"/>
          <w:lang w:val="es-ES"/>
        </w:rPr>
        <w:t>Focalización del programa</w:t>
      </w:r>
      <w:r w:rsidRPr="00C32624">
        <w:rPr>
          <w:rFonts w:ascii="Arial" w:hAnsi="Arial" w:cs="Arial"/>
          <w:b/>
          <w:bCs/>
          <w:sz w:val="22"/>
          <w:szCs w:val="22"/>
          <w:lang w:val="es-ES"/>
        </w:rPr>
        <w:t xml:space="preserve">. </w:t>
      </w:r>
      <w:r>
        <w:rPr>
          <w:rFonts w:ascii="Arial" w:eastAsia="Calibri" w:hAnsi="Arial" w:cs="Arial"/>
          <w:sz w:val="22"/>
          <w:szCs w:val="22"/>
          <w:lang w:val="es-ES"/>
        </w:rPr>
        <w:t>E</w:t>
      </w:r>
      <w:r w:rsidRPr="00C32624">
        <w:rPr>
          <w:rFonts w:ascii="Arial" w:eastAsia="Calibri" w:hAnsi="Arial" w:cs="Arial"/>
          <w:sz w:val="22"/>
          <w:szCs w:val="22"/>
          <w:lang w:val="es-ES"/>
        </w:rPr>
        <w:t xml:space="preserve">l programa se centrará en proveer acceso a financiamiento a las </w:t>
      </w:r>
      <w:r w:rsidRPr="00C32624">
        <w:rPr>
          <w:rFonts w:ascii="Arial" w:hAnsi="Arial" w:cs="Arial"/>
          <w:sz w:val="22"/>
          <w:szCs w:val="22"/>
          <w:lang w:val="es-MX"/>
        </w:rPr>
        <w:t>MiPyME</w:t>
      </w:r>
      <w:r w:rsidRPr="00C32624">
        <w:rPr>
          <w:rFonts w:ascii="Arial" w:eastAsia="Calibri" w:hAnsi="Arial" w:cs="Arial"/>
          <w:sz w:val="22"/>
          <w:szCs w:val="22"/>
          <w:lang w:val="es-ES"/>
        </w:rPr>
        <w:t xml:space="preserve">, buscando priorizar uno de los sectores productivos </w:t>
      </w:r>
      <w:r>
        <w:rPr>
          <w:rFonts w:ascii="Arial" w:eastAsia="Calibri" w:hAnsi="Arial" w:cs="Arial"/>
          <w:sz w:val="22"/>
          <w:szCs w:val="22"/>
          <w:lang w:val="es-ES"/>
        </w:rPr>
        <w:t>vulnerables</w:t>
      </w:r>
      <w:r w:rsidRPr="00C32624">
        <w:rPr>
          <w:rFonts w:ascii="Arial" w:eastAsia="Calibri" w:hAnsi="Arial" w:cs="Arial"/>
          <w:sz w:val="22"/>
          <w:szCs w:val="22"/>
          <w:lang w:val="es-ES"/>
        </w:rPr>
        <w:t xml:space="preserve"> en la economía,</w:t>
      </w:r>
      <w:r>
        <w:rPr>
          <w:rFonts w:ascii="Arial" w:eastAsia="Calibri" w:hAnsi="Arial" w:cs="Arial"/>
          <w:sz w:val="22"/>
          <w:szCs w:val="22"/>
          <w:lang w:val="es-ES"/>
        </w:rPr>
        <w:t xml:space="preserve"> que presenta un alto nivel de empleo y que además es estratégico desde el punto de vista de seguridad alimentaria</w:t>
      </w:r>
      <w:r w:rsidRPr="00C32624">
        <w:rPr>
          <w:rFonts w:ascii="Arial" w:eastAsia="Calibri" w:hAnsi="Arial" w:cs="Arial"/>
          <w:sz w:val="22"/>
          <w:szCs w:val="22"/>
          <w:lang w:val="es-ES"/>
        </w:rPr>
        <w:t xml:space="preserve">, siendo </w:t>
      </w:r>
      <w:r w:rsidRPr="00C32624">
        <w:rPr>
          <w:rFonts w:ascii="Arial" w:hAnsi="Arial" w:cs="Arial"/>
          <w:sz w:val="22"/>
          <w:szCs w:val="22"/>
        </w:rPr>
        <w:t>el agroindustrial</w:t>
      </w:r>
      <w:r>
        <w:rPr>
          <w:rStyle w:val="FootnoteReference"/>
          <w:rFonts w:ascii="Arial" w:hAnsi="Arial" w:cs="Arial"/>
          <w:sz w:val="22"/>
          <w:szCs w:val="22"/>
        </w:rPr>
        <w:footnoteReference w:id="21"/>
      </w:r>
      <w:r>
        <w:rPr>
          <w:rFonts w:ascii="Arial" w:hAnsi="Arial" w:cs="Arial"/>
          <w:sz w:val="22"/>
          <w:szCs w:val="22"/>
        </w:rPr>
        <w:t>.</w:t>
      </w:r>
      <w:r w:rsidRPr="003A425C">
        <w:rPr>
          <w:rFonts w:ascii="Arial" w:hAnsi="Arial" w:cs="Arial"/>
          <w:sz w:val="22"/>
        </w:rPr>
        <w:t xml:space="preserve"> </w:t>
      </w:r>
      <w:r w:rsidRPr="00C32624">
        <w:rPr>
          <w:rFonts w:ascii="Arial" w:hAnsi="Arial" w:cs="Arial"/>
          <w:sz w:val="22"/>
        </w:rPr>
        <w:t>En México, la participación del sector primario dentro del PIB es alrededor del 3,0%</w:t>
      </w:r>
      <w:r w:rsidRPr="00C32624">
        <w:rPr>
          <w:rStyle w:val="FootnoteReference"/>
          <w:rFonts w:ascii="Arial" w:hAnsi="Arial" w:cs="Arial"/>
          <w:sz w:val="22"/>
        </w:rPr>
        <w:footnoteReference w:id="22"/>
      </w:r>
      <w:r>
        <w:rPr>
          <w:rFonts w:ascii="Arial" w:hAnsi="Arial" w:cs="Arial"/>
          <w:sz w:val="22"/>
        </w:rPr>
        <w:t xml:space="preserve"> y</w:t>
      </w:r>
      <w:r w:rsidRPr="00C32624">
        <w:rPr>
          <w:rFonts w:ascii="Arial" w:hAnsi="Arial" w:cs="Arial"/>
          <w:sz w:val="22"/>
        </w:rPr>
        <w:t xml:space="preserve"> sigue siendo relevante en términos de la generación de empleo, representando alrededor de un 12,7% de la Población Económicamente Activa (PEA</w:t>
      </w:r>
      <w:r w:rsidRPr="00C32624">
        <w:rPr>
          <w:rFonts w:ascii="Arial" w:hAnsi="Arial" w:cs="Arial"/>
          <w:sz w:val="2"/>
          <w:szCs w:val="2"/>
        </w:rPr>
        <w:t>4F</w:t>
      </w:r>
      <w:r w:rsidRPr="00C32624">
        <w:rPr>
          <w:rStyle w:val="FootnoteReference"/>
          <w:rFonts w:ascii="Arial" w:hAnsi="Arial" w:cs="Arial"/>
          <w:sz w:val="22"/>
        </w:rPr>
        <w:footnoteReference w:id="23"/>
      </w:r>
      <w:r w:rsidRPr="00C32624">
        <w:rPr>
          <w:rFonts w:ascii="Arial" w:hAnsi="Arial" w:cs="Arial"/>
          <w:sz w:val="22"/>
        </w:rPr>
        <w:t>). La actividad agroindustrial representa el 4,8%</w:t>
      </w:r>
      <w:r w:rsidRPr="00C32624">
        <w:rPr>
          <w:rStyle w:val="FootnoteReference"/>
          <w:rFonts w:ascii="Arial" w:hAnsi="Arial" w:cs="Arial"/>
          <w:sz w:val="22"/>
        </w:rPr>
        <w:footnoteReference w:id="24"/>
      </w:r>
      <w:r w:rsidRPr="00C32624">
        <w:rPr>
          <w:rFonts w:ascii="Arial" w:hAnsi="Arial" w:cs="Arial"/>
          <w:sz w:val="22"/>
        </w:rPr>
        <w:t xml:space="preserve"> del PIB y emplea aproximadamente un 20% adicional de la PEA. </w:t>
      </w:r>
      <w:r w:rsidRPr="00C32624">
        <w:rPr>
          <w:rFonts w:ascii="Arial" w:hAnsi="Arial" w:cs="Arial"/>
          <w:sz w:val="22"/>
          <w:szCs w:val="22"/>
        </w:rPr>
        <w:t xml:space="preserve">Cabe señalar que </w:t>
      </w:r>
      <w:r w:rsidRPr="00C32624">
        <w:rPr>
          <w:rFonts w:ascii="Arial" w:hAnsi="Arial" w:cs="Arial"/>
          <w:sz w:val="22"/>
          <w:szCs w:val="22"/>
          <w:lang w:val="es-MX"/>
        </w:rPr>
        <w:t>las MiPyME producen 23% de la producción total de la industria de alimentos y alrededor de 12% de la producción de bebidas y tabaco</w:t>
      </w:r>
      <w:r w:rsidRPr="00C32624">
        <w:rPr>
          <w:rStyle w:val="FootnoteReference"/>
          <w:rFonts w:ascii="Arial" w:hAnsi="Arial" w:cs="Arial"/>
          <w:sz w:val="22"/>
          <w:szCs w:val="22"/>
          <w:lang w:val="es-MX"/>
        </w:rPr>
        <w:footnoteReference w:id="25"/>
      </w:r>
      <w:r w:rsidRPr="00C32624">
        <w:rPr>
          <w:rFonts w:ascii="Arial" w:hAnsi="Arial" w:cs="Arial"/>
          <w:sz w:val="22"/>
          <w:szCs w:val="22"/>
          <w:lang w:val="es-MX"/>
        </w:rPr>
        <w:t>.</w:t>
      </w:r>
      <w:bookmarkEnd w:id="8"/>
      <w:r w:rsidRPr="00C32624">
        <w:rPr>
          <w:rFonts w:ascii="Arial" w:hAnsi="Arial" w:cs="Arial"/>
          <w:sz w:val="22"/>
          <w:szCs w:val="22"/>
          <w:lang w:val="es-MX"/>
        </w:rPr>
        <w:t xml:space="preserve"> </w:t>
      </w:r>
    </w:p>
    <w:p w14:paraId="2F81607C" w14:textId="77777777" w:rsidR="00C84670" w:rsidRPr="00C32624" w:rsidRDefault="00C84670" w:rsidP="00C84670">
      <w:pPr>
        <w:pStyle w:val="Paragraph"/>
        <w:numPr>
          <w:ilvl w:val="1"/>
          <w:numId w:val="2"/>
        </w:numPr>
        <w:ind w:left="630" w:hanging="630"/>
        <w:rPr>
          <w:rFonts w:ascii="Arial" w:hAnsi="Arial" w:cs="Arial"/>
          <w:sz w:val="22"/>
          <w:szCs w:val="22"/>
        </w:rPr>
      </w:pPr>
      <w:r>
        <w:rPr>
          <w:rFonts w:ascii="Arial" w:hAnsi="Arial" w:cs="Arial"/>
          <w:sz w:val="22"/>
          <w:szCs w:val="22"/>
        </w:rPr>
        <w:t>Las</w:t>
      </w:r>
      <w:r w:rsidRPr="00C32624">
        <w:rPr>
          <w:rFonts w:ascii="Arial" w:hAnsi="Arial" w:cs="Arial"/>
          <w:sz w:val="22"/>
          <w:szCs w:val="22"/>
        </w:rPr>
        <w:t xml:space="preserve"> </w:t>
      </w:r>
      <w:r w:rsidRPr="00C32624">
        <w:rPr>
          <w:rFonts w:ascii="Arial" w:hAnsi="Arial" w:cs="Arial"/>
          <w:sz w:val="22"/>
          <w:szCs w:val="22"/>
          <w:lang w:val="es-MX"/>
        </w:rPr>
        <w:t>MiPyME</w:t>
      </w:r>
      <w:r w:rsidRPr="00C32624">
        <w:rPr>
          <w:rFonts w:ascii="Arial" w:hAnsi="Arial" w:cs="Arial"/>
          <w:sz w:val="22"/>
          <w:szCs w:val="22"/>
        </w:rPr>
        <w:t xml:space="preserve"> </w:t>
      </w:r>
      <w:r>
        <w:rPr>
          <w:rFonts w:ascii="Arial" w:hAnsi="Arial" w:cs="Arial"/>
          <w:sz w:val="22"/>
          <w:szCs w:val="22"/>
        </w:rPr>
        <w:t xml:space="preserve">dentro del sector agroalimentario </w:t>
      </w:r>
      <w:r w:rsidRPr="00C32624">
        <w:rPr>
          <w:rFonts w:ascii="Arial" w:hAnsi="Arial" w:cs="Arial"/>
          <w:sz w:val="22"/>
          <w:szCs w:val="22"/>
        </w:rPr>
        <w:t>que sufrirán los mayores impactos de la emergencia sanitaria y que conllevará a comprometer su liquidez y la reactivación de la actividad de la empresa, son aquellas en actividades de industrialización</w:t>
      </w:r>
      <w:r w:rsidRPr="00C32624">
        <w:rPr>
          <w:rStyle w:val="FootnoteReference"/>
          <w:rFonts w:ascii="Arial" w:hAnsi="Arial" w:cs="Arial"/>
          <w:sz w:val="22"/>
          <w:szCs w:val="22"/>
        </w:rPr>
        <w:footnoteReference w:id="26"/>
      </w:r>
      <w:r w:rsidRPr="00C32624">
        <w:rPr>
          <w:rFonts w:ascii="Arial" w:hAnsi="Arial" w:cs="Arial"/>
          <w:sz w:val="22"/>
          <w:szCs w:val="22"/>
        </w:rPr>
        <w:t>. Estas empresas en particular requieren aligeramiento de carga y financiamiento adicional ya que sufrirán mayormente de problemas derivados de la movilidad de la mano de obra, la dificultad para obtener insumos de empaque (importados), problemas de logística de prov</w:t>
      </w:r>
      <w:r>
        <w:rPr>
          <w:rFonts w:ascii="Arial" w:hAnsi="Arial" w:cs="Arial"/>
          <w:sz w:val="22"/>
          <w:szCs w:val="22"/>
        </w:rPr>
        <w:t>isión</w:t>
      </w:r>
      <w:r w:rsidRPr="00C32624">
        <w:rPr>
          <w:rFonts w:ascii="Arial" w:hAnsi="Arial" w:cs="Arial"/>
          <w:sz w:val="22"/>
          <w:szCs w:val="22"/>
        </w:rPr>
        <w:t xml:space="preserve"> </w:t>
      </w:r>
      <w:r w:rsidRPr="00C32624">
        <w:rPr>
          <w:rFonts w:ascii="Arial" w:hAnsi="Arial" w:cs="Arial"/>
          <w:sz w:val="22"/>
          <w:szCs w:val="18"/>
        </w:rPr>
        <w:t>y</w:t>
      </w:r>
      <w:r w:rsidRPr="00C32624">
        <w:rPr>
          <w:rFonts w:ascii="Arial" w:hAnsi="Arial" w:cs="Arial"/>
        </w:rPr>
        <w:t xml:space="preserve"> </w:t>
      </w:r>
      <w:r w:rsidRPr="00C32624">
        <w:rPr>
          <w:rFonts w:ascii="Arial" w:hAnsi="Arial" w:cs="Arial"/>
          <w:sz w:val="22"/>
          <w:szCs w:val="22"/>
        </w:rPr>
        <w:t xml:space="preserve">problemas de suministro de materia prima. Así, la industria se afecta por el impacto que el tipo de cambio, la disponibilidad de mano de obra y el abastecimiento y precio de los insumos tengan a su vez sobre la actividad primaria y la comercialización. Ejemplos de las industrias afectadas son aquellas dedicadas a grano, el empaque de cultivos de alto valor, y el procesamiento pecuario. </w:t>
      </w:r>
      <w:r>
        <w:rPr>
          <w:rFonts w:ascii="Arial" w:hAnsi="Arial" w:cs="Arial"/>
          <w:sz w:val="22"/>
          <w:szCs w:val="22"/>
        </w:rPr>
        <w:t>Lo anterior s</w:t>
      </w:r>
      <w:r w:rsidRPr="00B96336">
        <w:rPr>
          <w:rFonts w:ascii="Arial" w:hAnsi="Arial" w:cs="Arial"/>
          <w:sz w:val="22"/>
          <w:szCs w:val="22"/>
        </w:rPr>
        <w:t xml:space="preserve">e complementa </w:t>
      </w:r>
      <w:r>
        <w:rPr>
          <w:rFonts w:ascii="Arial" w:hAnsi="Arial" w:cs="Arial"/>
          <w:sz w:val="22"/>
          <w:szCs w:val="22"/>
        </w:rPr>
        <w:t>en</w:t>
      </w:r>
      <w:r w:rsidRPr="00B96336">
        <w:rPr>
          <w:rFonts w:ascii="Arial" w:hAnsi="Arial" w:cs="Arial"/>
          <w:sz w:val="22"/>
          <w:szCs w:val="22"/>
        </w:rPr>
        <w:t xml:space="preserve"> el</w:t>
      </w:r>
      <w:r>
        <w:rPr>
          <w:rFonts w:ascii="Arial" w:hAnsi="Arial" w:cs="Arial"/>
          <w:sz w:val="22"/>
          <w:szCs w:val="22"/>
        </w:rPr>
        <w:t xml:space="preserve"> análisis de</w:t>
      </w:r>
      <w:r w:rsidRPr="00B96336">
        <w:rPr>
          <w:rFonts w:ascii="Arial" w:hAnsi="Arial" w:cs="Arial"/>
          <w:sz w:val="22"/>
          <w:szCs w:val="22"/>
        </w:rPr>
        <w:t xml:space="preserve"> </w:t>
      </w:r>
      <w:hyperlink r:id="rId18" w:history="1">
        <w:r>
          <w:rPr>
            <w:rStyle w:val="Hyperlink"/>
            <w:rFonts w:ascii="Arial" w:hAnsi="Arial" w:cs="Arial"/>
            <w:sz w:val="22"/>
            <w:szCs w:val="22"/>
          </w:rPr>
          <w:t>Vulnerabilidad de Sectores Productivos ante Expansión del COVID-19 en México</w:t>
        </w:r>
      </w:hyperlink>
      <w:r w:rsidRPr="00B96336">
        <w:rPr>
          <w:rFonts w:ascii="Arial" w:hAnsi="Arial" w:cs="Arial"/>
          <w:sz w:val="22"/>
          <w:szCs w:val="22"/>
        </w:rPr>
        <w:t xml:space="preserve"> </w:t>
      </w:r>
      <w:r w:rsidRPr="00B96336">
        <w:rPr>
          <w:rFonts w:ascii="Arial" w:hAnsi="Arial" w:cs="Arial"/>
          <w:sz w:val="22"/>
          <w:szCs w:val="22"/>
          <w:lang w:val="es-ES"/>
        </w:rPr>
        <w:t>realizado por el Banco</w:t>
      </w:r>
      <w:r>
        <w:rPr>
          <w:rFonts w:ascii="Arial" w:hAnsi="Arial" w:cs="Arial"/>
          <w:sz w:val="22"/>
          <w:szCs w:val="22"/>
          <w:lang w:val="es-ES"/>
        </w:rPr>
        <w:t xml:space="preserve">, que señala la vulnerabilidad del </w:t>
      </w:r>
      <w:r>
        <w:rPr>
          <w:rFonts w:ascii="Arial" w:hAnsi="Arial" w:cs="Arial"/>
          <w:sz w:val="22"/>
          <w:szCs w:val="22"/>
        </w:rPr>
        <w:t>s</w:t>
      </w:r>
      <w:r w:rsidRPr="00C32624">
        <w:rPr>
          <w:rFonts w:ascii="Arial" w:hAnsi="Arial" w:cs="Arial"/>
          <w:sz w:val="22"/>
          <w:szCs w:val="22"/>
        </w:rPr>
        <w:t>ector por factores de percepción de riesgo significativo en la demanda interna, la acumulación de pasivos (como alquileres)</w:t>
      </w:r>
      <w:r>
        <w:rPr>
          <w:rFonts w:ascii="Arial" w:hAnsi="Arial" w:cs="Arial"/>
          <w:sz w:val="22"/>
          <w:szCs w:val="22"/>
        </w:rPr>
        <w:t xml:space="preserve">, </w:t>
      </w:r>
      <w:r w:rsidRPr="00C32624">
        <w:rPr>
          <w:rFonts w:ascii="Arial" w:hAnsi="Arial" w:cs="Arial"/>
          <w:sz w:val="22"/>
          <w:szCs w:val="22"/>
        </w:rPr>
        <w:t>riesgos severos proveedores</w:t>
      </w:r>
      <w:r>
        <w:rPr>
          <w:rFonts w:ascii="Arial" w:hAnsi="Arial" w:cs="Arial"/>
          <w:sz w:val="22"/>
          <w:szCs w:val="22"/>
        </w:rPr>
        <w:t xml:space="preserve">, y </w:t>
      </w:r>
      <w:r w:rsidRPr="00C32624">
        <w:rPr>
          <w:rFonts w:ascii="Arial" w:hAnsi="Arial" w:cs="Arial"/>
          <w:sz w:val="22"/>
          <w:szCs w:val="22"/>
        </w:rPr>
        <w:t>la limitación de servicios de transporte y comunicaciones que afectan a la comercialización de productos</w:t>
      </w:r>
      <w:r w:rsidRPr="00B96336">
        <w:rPr>
          <w:rFonts w:ascii="Arial" w:hAnsi="Arial" w:cs="Arial"/>
          <w:sz w:val="22"/>
          <w:szCs w:val="22"/>
          <w:lang w:val="es-ES"/>
        </w:rPr>
        <w:t>.</w:t>
      </w:r>
    </w:p>
    <w:p w14:paraId="115F3E7B" w14:textId="77777777" w:rsidR="00C84670" w:rsidRPr="00C32624" w:rsidRDefault="00C84670" w:rsidP="00C84670">
      <w:pPr>
        <w:pStyle w:val="Paragraph"/>
        <w:numPr>
          <w:ilvl w:val="1"/>
          <w:numId w:val="2"/>
        </w:numPr>
        <w:ind w:left="630" w:hanging="630"/>
        <w:rPr>
          <w:rFonts w:ascii="Arial" w:hAnsi="Arial" w:cs="Arial"/>
          <w:sz w:val="22"/>
          <w:szCs w:val="22"/>
        </w:rPr>
      </w:pPr>
      <w:r>
        <w:rPr>
          <w:rFonts w:ascii="Arial" w:eastAsia="Arial" w:hAnsi="Arial" w:cs="Arial"/>
          <w:sz w:val="22"/>
          <w:szCs w:val="22"/>
        </w:rPr>
        <w:t>E</w:t>
      </w:r>
      <w:r w:rsidRPr="00C32624">
        <w:rPr>
          <w:rFonts w:ascii="Arial" w:eastAsia="Arial" w:hAnsi="Arial" w:cs="Arial"/>
          <w:sz w:val="22"/>
          <w:szCs w:val="22"/>
        </w:rPr>
        <w:t>n adición</w:t>
      </w:r>
      <w:r>
        <w:rPr>
          <w:rFonts w:ascii="Arial" w:eastAsia="Arial" w:hAnsi="Arial" w:cs="Arial"/>
          <w:sz w:val="22"/>
          <w:szCs w:val="22"/>
        </w:rPr>
        <w:t xml:space="preserve"> a su alta representación en el empleo y a su vulnerabilidad ante la presente crisis</w:t>
      </w:r>
      <w:r w:rsidRPr="00C32624">
        <w:rPr>
          <w:rFonts w:ascii="Arial" w:eastAsia="Arial" w:hAnsi="Arial" w:cs="Arial"/>
          <w:sz w:val="22"/>
          <w:szCs w:val="22"/>
        </w:rPr>
        <w:t xml:space="preserve">, el </w:t>
      </w:r>
      <w:r w:rsidRPr="00C32624">
        <w:rPr>
          <w:rFonts w:ascii="Arial" w:hAnsi="Arial" w:cs="Arial"/>
          <w:sz w:val="22"/>
          <w:szCs w:val="22"/>
          <w:lang w:val="es-ES"/>
        </w:rPr>
        <w:t xml:space="preserve">sector agroalimentario, incluyendo el agroindustrial, </w:t>
      </w:r>
      <w:r w:rsidRPr="00C32624">
        <w:rPr>
          <w:rFonts w:ascii="Arial" w:eastAsia="Arial" w:hAnsi="Arial" w:cs="Arial"/>
          <w:sz w:val="22"/>
          <w:szCs w:val="22"/>
        </w:rPr>
        <w:t xml:space="preserve">es clave en el contexto actual dada su función </w:t>
      </w:r>
      <w:r w:rsidRPr="00253A3B">
        <w:rPr>
          <w:rFonts w:ascii="Arial" w:eastAsia="Arial" w:hAnsi="Arial" w:cs="Arial"/>
          <w:sz w:val="22"/>
          <w:szCs w:val="22"/>
        </w:rPr>
        <w:t>en la seguridad alimentaria del país</w:t>
      </w:r>
      <w:r w:rsidRPr="00C32624">
        <w:rPr>
          <w:rFonts w:ascii="Arial" w:eastAsia="Arial" w:hAnsi="Arial" w:cs="Arial"/>
          <w:sz w:val="22"/>
          <w:szCs w:val="22"/>
        </w:rPr>
        <w:t xml:space="preserve">. </w:t>
      </w:r>
      <w:r w:rsidRPr="00C32624">
        <w:rPr>
          <w:rFonts w:ascii="Arial" w:hAnsi="Arial" w:cs="Arial"/>
          <w:sz w:val="22"/>
          <w:szCs w:val="22"/>
          <w:lang w:val="es-ES"/>
        </w:rPr>
        <w:t>L</w:t>
      </w:r>
      <w:r w:rsidRPr="00C32624">
        <w:rPr>
          <w:rFonts w:ascii="Arial" w:hAnsi="Arial" w:cs="Arial"/>
          <w:sz w:val="22"/>
          <w:szCs w:val="22"/>
        </w:rPr>
        <w:t>os cambios en el comportamiento de las personas están teniendo un efecto sobre la oferta laboral y la disrupción de cadenas de valor. La Organización de las Naciones Unidas para la Alimentación y Agricultura (FAO en inglés</w:t>
      </w:r>
      <w:r w:rsidRPr="00C32624">
        <w:rPr>
          <w:rStyle w:val="FootnoteReference"/>
          <w:rFonts w:ascii="Arial" w:hAnsi="Arial" w:cs="Arial"/>
          <w:sz w:val="22"/>
          <w:szCs w:val="22"/>
        </w:rPr>
        <w:footnoteReference w:id="27"/>
      </w:r>
      <w:r>
        <w:rPr>
          <w:rFonts w:ascii="Arial" w:hAnsi="Arial" w:cs="Arial"/>
          <w:sz w:val="22"/>
          <w:szCs w:val="22"/>
        </w:rPr>
        <w:t>)</w:t>
      </w:r>
      <w:r w:rsidRPr="00C32624">
        <w:rPr>
          <w:rFonts w:ascii="Arial" w:hAnsi="Arial" w:cs="Arial"/>
          <w:sz w:val="22"/>
          <w:szCs w:val="22"/>
        </w:rPr>
        <w:t xml:space="preserve"> ha sugerido que el </w:t>
      </w:r>
      <w:r w:rsidRPr="00C32624">
        <w:rPr>
          <w:rFonts w:ascii="Arial" w:hAnsi="Arial" w:cs="Arial"/>
          <w:sz w:val="22"/>
          <w:szCs w:val="22"/>
        </w:rPr>
        <w:lastRenderedPageBreak/>
        <w:t>mundo se enfrenta al riesgo de una crisis alimentaria a menos que se lleven a cabo medidas para mantener operativas las cadenas mundiales de suministro de alimentos y mitigar los impactos de la pandemia sobre el sistema alimentario. Los cierres de fronteras, las cuarentenas y las interrupciones de los mercados, la cadena de suministro y el comercio podrían limitar el acceso de las personas a fuentes de alimentos suficiente. En este sentido, las restricciones de movimiento, así como el comportamiento básico de aversión de los trabajadores, pueden dificultar el trabajo de los agricultores y que los procesadores -que manejan la gran mayoría de los productos agrícolas</w:t>
      </w:r>
      <w:r w:rsidRPr="00C32624">
        <w:rPr>
          <w:rFonts w:ascii="Arial" w:hAnsi="Arial" w:cs="Arial"/>
          <w:sz w:val="22"/>
          <w:szCs w:val="22"/>
        </w:rPr>
        <w:noBreakHyphen/>
        <w:t xml:space="preserve"> procesen alimentos. Se subraya la necesidad que los países mantengan la cadena de suministro nacional.</w:t>
      </w:r>
    </w:p>
    <w:p w14:paraId="00E1D93C" w14:textId="0DECA876" w:rsidR="00347E22" w:rsidRDefault="00C84670" w:rsidP="00C84670">
      <w:pPr>
        <w:pStyle w:val="Paragraph"/>
        <w:numPr>
          <w:ilvl w:val="1"/>
          <w:numId w:val="2"/>
        </w:numPr>
        <w:ind w:left="630" w:hanging="630"/>
        <w:rPr>
          <w:rFonts w:ascii="Arial" w:hAnsi="Arial" w:cs="Arial"/>
          <w:sz w:val="22"/>
          <w:szCs w:val="22"/>
          <w:lang w:val="es-ES_tradnl"/>
        </w:rPr>
      </w:pPr>
      <w:bookmarkStart w:id="9" w:name="_Ref42083559"/>
      <w:r w:rsidRPr="00C84670">
        <w:rPr>
          <w:rFonts w:ascii="Arial" w:hAnsi="Arial" w:cs="Arial"/>
          <w:sz w:val="22"/>
          <w:szCs w:val="22"/>
          <w:lang w:val="es-CO"/>
        </w:rPr>
        <w:t>Las consecuencias de la emergencia sanitaria,</w:t>
      </w:r>
      <w:r w:rsidRPr="00C84670">
        <w:rPr>
          <w:rFonts w:ascii="Arial" w:eastAsia="Arial" w:hAnsi="Arial" w:cs="Arial"/>
          <w:sz w:val="22"/>
          <w:szCs w:val="22"/>
          <w:lang w:val="es-CO"/>
        </w:rPr>
        <w:t xml:space="preserve"> incluyendo los problemas de logística y mano de obra que afectan la cadena de provisión,</w:t>
      </w:r>
      <w:r w:rsidRPr="00C84670">
        <w:rPr>
          <w:rFonts w:ascii="Arial" w:hAnsi="Arial" w:cs="Arial"/>
          <w:sz w:val="22"/>
          <w:szCs w:val="22"/>
          <w:lang w:val="es-CO"/>
        </w:rPr>
        <w:t xml:space="preserve"> implican un descenso en la actividad económica subyacente de las empresas e individuos del sector agroindustrial, que en circunstancias regulares presenta dificultades en acceder al financiamiento. Tal descenso implica no solo la necesidad de reducir la carga financiera de los acreditados existentes sino también la necesidad de éstos y otras empresas no financiadas actualmente en obtener apoyo financiero para mantener su operatividad y con ello el empleo que generan, a la vez de buscar conservar las cadenas alimenticias y la seguridad alimentaria. Es por ello por lo que la intervención propuesta busca otorgar el fondeo necesario para que, a través de líneas de crédito de los BPD a los intermediarios financieros, se fomente la oferta de crédito comercial de corto plazo a la </w:t>
      </w:r>
      <w:r w:rsidRPr="00C32624">
        <w:rPr>
          <w:rFonts w:ascii="Arial" w:hAnsi="Arial" w:cs="Arial"/>
          <w:sz w:val="22"/>
          <w:szCs w:val="22"/>
          <w:lang w:val="es-MX"/>
        </w:rPr>
        <w:t>MiPyME en el sector agroindustrial</w:t>
      </w:r>
      <w:r w:rsidRPr="00C84670">
        <w:rPr>
          <w:rFonts w:ascii="Arial" w:hAnsi="Arial" w:cs="Arial"/>
          <w:sz w:val="22"/>
          <w:szCs w:val="22"/>
          <w:lang w:val="es-CO"/>
        </w:rPr>
        <w:t>. A</w:t>
      </w:r>
      <w:r w:rsidRPr="00C84670">
        <w:rPr>
          <w:rFonts w:ascii="Arial" w:hAnsi="Arial" w:cs="Arial"/>
          <w:sz w:val="22"/>
          <w:lang w:val="es-CO"/>
        </w:rPr>
        <w:t xml:space="preserve">l beneficiar a la </w:t>
      </w:r>
      <w:r w:rsidRPr="00C32624">
        <w:rPr>
          <w:rFonts w:ascii="Arial" w:hAnsi="Arial" w:cs="Arial"/>
          <w:sz w:val="22"/>
          <w:szCs w:val="22"/>
          <w:lang w:val="es-MX"/>
        </w:rPr>
        <w:t>MiPyME</w:t>
      </w:r>
      <w:r w:rsidRPr="00C84670">
        <w:rPr>
          <w:rFonts w:ascii="Arial" w:hAnsi="Arial" w:cs="Arial"/>
          <w:sz w:val="22"/>
          <w:lang w:val="es-CO"/>
        </w:rPr>
        <w:t>, que tienden a sufrir mayores obstáculos en acceder a crédito durante una crisis, se está en efecto logrando mantener mayores cantidades de empleos en un sector con una muy alta participación en la PEA (20%). Es importante señalar que el 66% del financiamiento privado al sector proviene de fondeo y/o garantías de FIRA</w:t>
      </w:r>
      <w:r w:rsidRPr="00C32624">
        <w:rPr>
          <w:rStyle w:val="FootnoteReference"/>
          <w:rFonts w:ascii="Arial" w:hAnsi="Arial" w:cs="Arial"/>
          <w:sz w:val="22"/>
        </w:rPr>
        <w:footnoteReference w:id="28"/>
      </w:r>
      <w:r w:rsidRPr="00C84670">
        <w:rPr>
          <w:rFonts w:ascii="Arial" w:hAnsi="Arial" w:cs="Arial"/>
          <w:sz w:val="22"/>
          <w:lang w:val="es-CO"/>
        </w:rPr>
        <w:t>, lo que muestra la alta relevancia de esta institución para que el crédito del sector privado al sector continúe fluyendo.</w:t>
      </w:r>
      <w:bookmarkEnd w:id="9"/>
      <w:r w:rsidRPr="00C84670">
        <w:rPr>
          <w:rFonts w:ascii="Arial" w:hAnsi="Arial" w:cs="Arial"/>
          <w:sz w:val="22"/>
          <w:lang w:val="es-CO"/>
        </w:rPr>
        <w:t xml:space="preserve"> </w:t>
      </w:r>
      <w:r w:rsidRPr="00C84670">
        <w:rPr>
          <w:rFonts w:ascii="Arial" w:hAnsi="Arial" w:cs="Arial"/>
          <w:sz w:val="22"/>
          <w:szCs w:val="22"/>
          <w:lang w:val="es-CO"/>
        </w:rPr>
        <w:t>Incluso, la demanda de financiamiento entre marzo y mediados de mayo para el sector y beneficiarios elegibles supera los US$80 millones. Cabe señalar que FIRA anunció oficialmente un programa para enfrentar la contingencia desde el 15 de abril de 2020</w:t>
      </w:r>
      <w:r w:rsidRPr="00C32624">
        <w:rPr>
          <w:rStyle w:val="FootnoteReference"/>
          <w:rFonts w:ascii="Arial" w:hAnsi="Arial" w:cs="Arial"/>
          <w:sz w:val="22"/>
          <w:szCs w:val="22"/>
        </w:rPr>
        <w:footnoteReference w:id="29"/>
      </w:r>
      <w:r w:rsidR="000D4FE7">
        <w:rPr>
          <w:rFonts w:ascii="Arial" w:hAnsi="Arial" w:cs="Arial"/>
          <w:sz w:val="22"/>
          <w:lang w:val="es-CO"/>
        </w:rPr>
        <w:t>.</w:t>
      </w:r>
    </w:p>
    <w:p w14:paraId="2EF566CF" w14:textId="3D0A63A2" w:rsidR="004B2BA4" w:rsidRPr="00E13B80" w:rsidRDefault="00B4303E">
      <w:pPr>
        <w:pStyle w:val="Paragraph"/>
        <w:numPr>
          <w:ilvl w:val="1"/>
          <w:numId w:val="2"/>
        </w:numPr>
        <w:ind w:left="630" w:hanging="630"/>
        <w:rPr>
          <w:rFonts w:ascii="Arial" w:hAnsi="Arial" w:cs="Arial"/>
          <w:sz w:val="22"/>
          <w:szCs w:val="22"/>
          <w:lang w:val="es-ES_tradnl"/>
        </w:rPr>
      </w:pPr>
      <w:r w:rsidRPr="00E13B80">
        <w:rPr>
          <w:rFonts w:ascii="Arial" w:hAnsi="Arial" w:cs="Arial"/>
          <w:b/>
          <w:bCs/>
          <w:sz w:val="22"/>
          <w:szCs w:val="22"/>
          <w:lang w:val="es-ES_tradnl"/>
        </w:rPr>
        <w:t>Objetivos</w:t>
      </w:r>
      <w:r w:rsidR="000F3F85">
        <w:rPr>
          <w:rFonts w:ascii="Arial" w:hAnsi="Arial" w:cs="Arial"/>
          <w:b/>
          <w:bCs/>
          <w:sz w:val="22"/>
          <w:szCs w:val="22"/>
          <w:lang w:val="es-ES_tradnl"/>
        </w:rPr>
        <w:t xml:space="preserve"> </w:t>
      </w:r>
      <w:r w:rsidR="004B2BA4" w:rsidRPr="00E13B80">
        <w:rPr>
          <w:rFonts w:ascii="Arial" w:hAnsi="Arial" w:cs="Arial"/>
          <w:b/>
          <w:bCs/>
          <w:sz w:val="22"/>
          <w:szCs w:val="22"/>
          <w:lang w:val="es-ES_tradnl"/>
        </w:rPr>
        <w:t>del programa</w:t>
      </w:r>
      <w:r w:rsidR="004B2BA4" w:rsidRPr="000F0F47">
        <w:rPr>
          <w:rFonts w:ascii="Arial" w:hAnsi="Arial" w:cs="Arial"/>
          <w:b/>
          <w:bCs/>
          <w:sz w:val="22"/>
          <w:szCs w:val="22"/>
          <w:lang w:val="es-ES_tradnl"/>
        </w:rPr>
        <w:t>.</w:t>
      </w:r>
      <w:r w:rsidR="004B2BA4" w:rsidRPr="00E13B80">
        <w:rPr>
          <w:rFonts w:ascii="Arial" w:hAnsi="Arial" w:cs="Arial"/>
          <w:sz w:val="22"/>
          <w:szCs w:val="22"/>
          <w:lang w:val="es-ES_tradnl"/>
        </w:rPr>
        <w:t xml:space="preserve"> En respuesta a la crisis del COVID-19, el objetivo general de este Programa Global de Crédito para la Defensa del Tejido Productivo y el Empleo (</w:t>
      </w:r>
      <w:r w:rsidR="004A1EFB">
        <w:rPr>
          <w:rFonts w:ascii="Arial" w:hAnsi="Arial" w:cs="Arial"/>
          <w:sz w:val="22"/>
          <w:szCs w:val="22"/>
          <w:lang w:val="es-ES_tradnl"/>
        </w:rPr>
        <w:t>ME-L1301</w:t>
      </w:r>
      <w:r w:rsidR="004B2BA4" w:rsidRPr="00E13B80">
        <w:rPr>
          <w:rFonts w:ascii="Arial" w:hAnsi="Arial" w:cs="Arial"/>
          <w:sz w:val="22"/>
          <w:szCs w:val="22"/>
          <w:lang w:val="es-ES_tradnl"/>
        </w:rPr>
        <w:t xml:space="preserve">) es </w:t>
      </w:r>
      <w:r w:rsidR="004B2BA4" w:rsidRPr="00E13B80">
        <w:rPr>
          <w:rFonts w:ascii="Arial" w:hAnsi="Arial" w:cs="Arial"/>
          <w:sz w:val="22"/>
          <w:szCs w:val="22"/>
          <w:lang w:val="es-ES"/>
        </w:rPr>
        <w:t xml:space="preserve">apoyar la sostenibilidad frente a la crisis del COVID-19, de las </w:t>
      </w:r>
      <w:r w:rsidR="005A0251" w:rsidRPr="00C32624">
        <w:rPr>
          <w:rFonts w:ascii="Arial" w:hAnsi="Arial" w:cs="Arial"/>
          <w:sz w:val="22"/>
          <w:szCs w:val="22"/>
          <w:lang w:val="es-MX"/>
        </w:rPr>
        <w:t>MiPyME</w:t>
      </w:r>
      <w:r w:rsidR="004B2BA4" w:rsidRPr="00E13B80">
        <w:rPr>
          <w:rFonts w:ascii="Arial" w:hAnsi="Arial" w:cs="Arial"/>
          <w:sz w:val="22"/>
          <w:szCs w:val="22"/>
          <w:lang w:val="es-ES"/>
        </w:rPr>
        <w:t xml:space="preserve"> como sostén del empleo en </w:t>
      </w:r>
      <w:r w:rsidR="004A1EFB">
        <w:rPr>
          <w:rFonts w:ascii="Arial" w:hAnsi="Arial" w:cs="Arial"/>
          <w:sz w:val="22"/>
          <w:szCs w:val="22"/>
          <w:lang w:val="es-ES"/>
        </w:rPr>
        <w:t>México</w:t>
      </w:r>
      <w:r w:rsidR="004B2BA4" w:rsidRPr="00E13B80">
        <w:rPr>
          <w:rFonts w:ascii="Arial" w:hAnsi="Arial" w:cs="Arial"/>
          <w:sz w:val="22"/>
          <w:szCs w:val="22"/>
          <w:lang w:val="es-ES"/>
        </w:rPr>
        <w:t xml:space="preserve">. </w:t>
      </w:r>
      <w:r w:rsidR="004A1EFB">
        <w:rPr>
          <w:rFonts w:ascii="Arial" w:hAnsi="Arial" w:cs="Arial"/>
          <w:sz w:val="22"/>
          <w:szCs w:val="22"/>
          <w:lang w:val="es-ES"/>
        </w:rPr>
        <w:t>El</w:t>
      </w:r>
      <w:r w:rsidR="004A1EFB" w:rsidRPr="00E13B80">
        <w:rPr>
          <w:rFonts w:ascii="Arial" w:hAnsi="Arial" w:cs="Arial"/>
          <w:sz w:val="22"/>
          <w:szCs w:val="22"/>
          <w:lang w:val="es-ES"/>
        </w:rPr>
        <w:t xml:space="preserve"> </w:t>
      </w:r>
      <w:r w:rsidR="004B2BA4" w:rsidRPr="00E13B80">
        <w:rPr>
          <w:rFonts w:ascii="Arial" w:hAnsi="Arial" w:cs="Arial"/>
          <w:sz w:val="22"/>
          <w:szCs w:val="22"/>
          <w:lang w:val="es-ES"/>
        </w:rPr>
        <w:t xml:space="preserve">objetivo específico </w:t>
      </w:r>
      <w:r w:rsidR="004A1EFB">
        <w:rPr>
          <w:rFonts w:ascii="Arial" w:hAnsi="Arial" w:cs="Arial"/>
          <w:sz w:val="22"/>
          <w:szCs w:val="22"/>
          <w:lang w:val="es-ES"/>
        </w:rPr>
        <w:t>es</w:t>
      </w:r>
      <w:r w:rsidR="004B2BA4" w:rsidRPr="00E13B80">
        <w:rPr>
          <w:rFonts w:ascii="Arial" w:hAnsi="Arial" w:cs="Arial"/>
          <w:sz w:val="22"/>
          <w:szCs w:val="22"/>
          <w:lang w:val="es-ES"/>
        </w:rPr>
        <w:t xml:space="preserve"> apoyar la sostenibilidad financiera de corto plazo de las </w:t>
      </w:r>
      <w:r w:rsidR="005A0251" w:rsidRPr="00C32624">
        <w:rPr>
          <w:rFonts w:ascii="Arial" w:hAnsi="Arial" w:cs="Arial"/>
          <w:sz w:val="22"/>
          <w:szCs w:val="22"/>
          <w:lang w:val="es-MX"/>
        </w:rPr>
        <w:t>MiPyME</w:t>
      </w:r>
      <w:r w:rsidR="00223466">
        <w:rPr>
          <w:rFonts w:ascii="Arial" w:hAnsi="Arial" w:cs="Arial"/>
          <w:sz w:val="22"/>
          <w:szCs w:val="22"/>
          <w:lang w:val="es-ES"/>
        </w:rPr>
        <w:t xml:space="preserve"> del sector agroindustrial</w:t>
      </w:r>
      <w:r w:rsidR="004B2BA4" w:rsidRPr="00E13B80">
        <w:rPr>
          <w:rFonts w:ascii="Arial" w:hAnsi="Arial" w:cs="Arial"/>
          <w:sz w:val="22"/>
          <w:szCs w:val="22"/>
          <w:lang w:val="es-ES"/>
        </w:rPr>
        <w:t xml:space="preserve">. </w:t>
      </w:r>
    </w:p>
    <w:p w14:paraId="27C44778" w14:textId="6D0AB0D8" w:rsidR="00244B7E" w:rsidRPr="00D53C77" w:rsidRDefault="004B2BA4">
      <w:pPr>
        <w:pStyle w:val="Paragraph"/>
        <w:numPr>
          <w:ilvl w:val="1"/>
          <w:numId w:val="2"/>
        </w:numPr>
        <w:ind w:left="630" w:hanging="630"/>
        <w:rPr>
          <w:rFonts w:ascii="Arial" w:hAnsi="Arial" w:cs="Arial"/>
          <w:sz w:val="22"/>
          <w:szCs w:val="22"/>
          <w:lang w:val="es-ES_tradnl"/>
        </w:rPr>
      </w:pPr>
      <w:r>
        <w:rPr>
          <w:rFonts w:ascii="Arial" w:hAnsi="Arial" w:cs="Arial"/>
          <w:sz w:val="22"/>
          <w:szCs w:val="22"/>
          <w:lang w:val="es-ES"/>
        </w:rPr>
        <w:t xml:space="preserve">El programa busca beneficiar a una población de </w:t>
      </w:r>
      <w:r w:rsidR="004A1EFB">
        <w:rPr>
          <w:rFonts w:ascii="Arial" w:hAnsi="Arial" w:cs="Arial"/>
          <w:sz w:val="22"/>
          <w:szCs w:val="22"/>
          <w:lang w:val="es-ES"/>
        </w:rPr>
        <w:t>1,</w:t>
      </w:r>
      <w:r w:rsidR="00223466">
        <w:rPr>
          <w:rFonts w:ascii="Arial" w:hAnsi="Arial" w:cs="Arial"/>
          <w:sz w:val="22"/>
          <w:szCs w:val="22"/>
          <w:lang w:val="es-ES"/>
        </w:rPr>
        <w:t>1</w:t>
      </w:r>
      <w:r w:rsidR="00CD00D8">
        <w:rPr>
          <w:rFonts w:ascii="Arial" w:hAnsi="Arial" w:cs="Arial"/>
          <w:sz w:val="22"/>
          <w:szCs w:val="22"/>
          <w:lang w:val="es-ES"/>
        </w:rPr>
        <w:t>76</w:t>
      </w:r>
      <w:r w:rsidR="004A1EFB">
        <w:rPr>
          <w:rFonts w:ascii="Arial" w:hAnsi="Arial" w:cs="Arial"/>
          <w:sz w:val="22"/>
          <w:szCs w:val="22"/>
          <w:lang w:val="es-ES"/>
        </w:rPr>
        <w:t xml:space="preserve"> </w:t>
      </w:r>
      <w:r w:rsidR="005A0251" w:rsidRPr="00C32624">
        <w:rPr>
          <w:rFonts w:ascii="Arial" w:hAnsi="Arial" w:cs="Arial"/>
          <w:sz w:val="22"/>
          <w:szCs w:val="22"/>
          <w:lang w:val="es-MX"/>
        </w:rPr>
        <w:t>MiPyME</w:t>
      </w:r>
      <w:r>
        <w:rPr>
          <w:rFonts w:ascii="Arial" w:hAnsi="Arial" w:cs="Arial"/>
          <w:sz w:val="22"/>
          <w:szCs w:val="22"/>
          <w:lang w:val="es-ES"/>
        </w:rPr>
        <w:t xml:space="preserve"> en los sectores considerados como prioritarios en el programa.</w:t>
      </w:r>
    </w:p>
    <w:p w14:paraId="08D233FA" w14:textId="77777777" w:rsidR="00244B7E" w:rsidRPr="000F0F47" w:rsidRDefault="00244B7E" w:rsidP="000F0F47">
      <w:pPr>
        <w:pStyle w:val="Chapter"/>
        <w:tabs>
          <w:tab w:val="clear" w:pos="1440"/>
          <w:tab w:val="left" w:pos="90"/>
        </w:tabs>
        <w:ind w:left="540" w:hanging="540"/>
        <w:rPr>
          <w:rFonts w:ascii="Arial" w:hAnsi="Arial" w:cs="Arial"/>
          <w:szCs w:val="24"/>
          <w:lang w:val="es-ES_tradnl"/>
        </w:rPr>
      </w:pPr>
      <w:bookmarkStart w:id="10" w:name="_Toc38625753"/>
      <w:r w:rsidRPr="000F0F47">
        <w:rPr>
          <w:rFonts w:ascii="Arial" w:hAnsi="Arial" w:cs="Arial"/>
          <w:szCs w:val="24"/>
          <w:lang w:val="es-ES_tradnl"/>
        </w:rPr>
        <w:lastRenderedPageBreak/>
        <w:t>Metodología y Supuestos</w:t>
      </w:r>
      <w:bookmarkEnd w:id="10"/>
    </w:p>
    <w:p w14:paraId="0320AEAD" w14:textId="77777777" w:rsidR="00244B7E" w:rsidRPr="00B935F5" w:rsidRDefault="00244B7E" w:rsidP="00BF7FD8">
      <w:pPr>
        <w:pStyle w:val="ListParagraph"/>
        <w:numPr>
          <w:ilvl w:val="0"/>
          <w:numId w:val="4"/>
        </w:numPr>
        <w:spacing w:before="360" w:after="200" w:line="276" w:lineRule="auto"/>
        <w:ind w:left="630" w:hanging="630"/>
        <w:jc w:val="both"/>
        <w:rPr>
          <w:rFonts w:ascii="Arial" w:hAnsi="Arial" w:cs="Arial"/>
          <w:b/>
          <w:sz w:val="22"/>
          <w:szCs w:val="22"/>
          <w:lang w:val="es-MX"/>
        </w:rPr>
      </w:pPr>
      <w:r w:rsidRPr="00B935F5">
        <w:rPr>
          <w:rFonts w:ascii="Arial" w:hAnsi="Arial" w:cs="Arial"/>
          <w:b/>
          <w:sz w:val="22"/>
          <w:szCs w:val="22"/>
          <w:lang w:val="es-MX"/>
        </w:rPr>
        <w:t>Metodología</w:t>
      </w:r>
    </w:p>
    <w:p w14:paraId="64032626" w14:textId="77777777" w:rsidR="00B935F5" w:rsidRPr="00B935F5" w:rsidRDefault="00B935F5" w:rsidP="006A77B8">
      <w:pPr>
        <w:pStyle w:val="ListParagraph"/>
        <w:numPr>
          <w:ilvl w:val="0"/>
          <w:numId w:val="2"/>
        </w:numPr>
        <w:spacing w:before="120" w:after="120"/>
        <w:ind w:left="630" w:hanging="630"/>
        <w:contextualSpacing w:val="0"/>
        <w:jc w:val="both"/>
        <w:outlineLvl w:val="1"/>
        <w:rPr>
          <w:rFonts w:ascii="Arial" w:hAnsi="Arial" w:cs="Arial"/>
          <w:vanish/>
          <w:sz w:val="22"/>
          <w:szCs w:val="22"/>
          <w:lang w:val="es-ES" w:eastAsia="en-GB"/>
        </w:rPr>
      </w:pPr>
    </w:p>
    <w:p w14:paraId="1BECC3A3" w14:textId="06C79B5F" w:rsidR="00B935F5" w:rsidRPr="00B935F5" w:rsidRDefault="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El presente análisis se basa en un marco teórico que anali</w:t>
      </w:r>
      <w:r w:rsidR="00E37172">
        <w:rPr>
          <w:rFonts w:ascii="Arial" w:hAnsi="Arial" w:cs="Arial"/>
          <w:sz w:val="22"/>
          <w:szCs w:val="22"/>
          <w:lang w:val="es-ES"/>
        </w:rPr>
        <w:t>za</w:t>
      </w:r>
      <w:r w:rsidRPr="00B935F5">
        <w:rPr>
          <w:rFonts w:ascii="Arial" w:hAnsi="Arial" w:cs="Arial"/>
          <w:sz w:val="22"/>
          <w:szCs w:val="22"/>
          <w:lang w:val="es-ES"/>
        </w:rPr>
        <w:t xml:space="preserve"> el efecto del programa sobre la probabilidad de supervivencia de las </w:t>
      </w:r>
      <w:r w:rsidR="005A0251" w:rsidRPr="00C32624">
        <w:rPr>
          <w:rFonts w:ascii="Arial" w:hAnsi="Arial" w:cs="Arial"/>
          <w:sz w:val="22"/>
          <w:szCs w:val="22"/>
          <w:lang w:val="es-MX"/>
        </w:rPr>
        <w:t>MiPyME</w:t>
      </w:r>
      <w:r w:rsidRPr="00B935F5">
        <w:rPr>
          <w:rFonts w:ascii="Arial" w:hAnsi="Arial" w:cs="Arial"/>
          <w:sz w:val="22"/>
          <w:szCs w:val="22"/>
          <w:lang w:val="es-ES"/>
        </w:rPr>
        <w:t xml:space="preserve"> beneficiarias y sobre la evolución de sus ingresos en un contexto de crisis económica generalizada. </w:t>
      </w:r>
    </w:p>
    <w:p w14:paraId="6519FE5B" w14:textId="00810E80"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 xml:space="preserve">En primer lugar, es necesario analizar el escenario de intervención a la luz de un marco teórico que, si bien simplificado, permita ubicar la intervención dentro un conjunto de eventos económicos que están ocurriendo en el entorno de los beneficiarios. </w:t>
      </w:r>
      <w:r w:rsidR="00064A0C">
        <w:rPr>
          <w:rFonts w:ascii="Arial" w:hAnsi="Arial" w:cs="Arial"/>
          <w:sz w:val="22"/>
          <w:szCs w:val="22"/>
          <w:lang w:val="es-ES"/>
        </w:rPr>
        <w:t>Partiendo de la descripción de la problemática mencionada en la sección anterior</w:t>
      </w:r>
      <w:r w:rsidR="00220F06">
        <w:rPr>
          <w:rFonts w:ascii="Arial" w:hAnsi="Arial" w:cs="Arial"/>
          <w:sz w:val="22"/>
          <w:szCs w:val="22"/>
          <w:lang w:val="es-ES"/>
        </w:rPr>
        <w:t xml:space="preserve"> y</w:t>
      </w:r>
      <w:r w:rsidRPr="00B935F5">
        <w:rPr>
          <w:rFonts w:ascii="Arial" w:hAnsi="Arial" w:cs="Arial"/>
          <w:sz w:val="22"/>
          <w:szCs w:val="22"/>
          <w:lang w:val="es-ES"/>
        </w:rPr>
        <w:t xml:space="preserve"> desde un punto de vista de equilibrio económico parcial enfocado en un beneficiario tipo, podemos entender la presente crisis económica generada por la pandemia del COVID-19 como un escenario en el cual han ocurrido simultáneamente shocks de oferta y demanda, tanto en el mercado financiero como en la economía real.  </w:t>
      </w:r>
    </w:p>
    <w:p w14:paraId="313FE777" w14:textId="7150661C" w:rsidR="00B935F5" w:rsidRPr="00B935F5" w:rsidRDefault="00B935F5" w:rsidP="00B935F5">
      <w:pPr>
        <w:pStyle w:val="Paragraph"/>
        <w:numPr>
          <w:ilvl w:val="1"/>
          <w:numId w:val="2"/>
        </w:numPr>
        <w:ind w:left="630" w:hanging="630"/>
        <w:rPr>
          <w:rFonts w:ascii="Arial" w:hAnsi="Arial" w:cs="Arial"/>
          <w:sz w:val="22"/>
          <w:szCs w:val="22"/>
          <w:lang w:val="es-ES"/>
        </w:rPr>
      </w:pPr>
      <w:bookmarkStart w:id="11" w:name="_Ref37840772"/>
      <w:r w:rsidRPr="00B935F5">
        <w:rPr>
          <w:rFonts w:ascii="Arial" w:hAnsi="Arial" w:cs="Arial"/>
          <w:sz w:val="22"/>
          <w:szCs w:val="22"/>
          <w:lang w:val="es-PE"/>
        </w:rPr>
        <w:t>Desde el lado de la oferta, las medidas de salud pública tomadas para frenar la pandemia han generado un conjunto de efectos que incluyen, la inhabilitación de la m</w:t>
      </w:r>
      <w:r w:rsidR="00591DBC">
        <w:rPr>
          <w:rFonts w:ascii="Arial" w:hAnsi="Arial" w:cs="Arial"/>
          <w:sz w:val="22"/>
          <w:szCs w:val="22"/>
          <w:lang w:val="es-PE"/>
        </w:rPr>
        <w:t>a</w:t>
      </w:r>
      <w:r w:rsidR="0098771D">
        <w:rPr>
          <w:rFonts w:ascii="Arial" w:hAnsi="Arial" w:cs="Arial"/>
          <w:sz w:val="22"/>
          <w:szCs w:val="22"/>
          <w:lang w:val="es-PE"/>
        </w:rPr>
        <w:t>n</w:t>
      </w:r>
      <w:r w:rsidR="00591DBC">
        <w:rPr>
          <w:rFonts w:ascii="Arial" w:hAnsi="Arial" w:cs="Arial"/>
          <w:sz w:val="22"/>
          <w:szCs w:val="22"/>
          <w:lang w:val="es-PE"/>
        </w:rPr>
        <w:t>o</w:t>
      </w:r>
      <w:r w:rsidRPr="00B935F5">
        <w:rPr>
          <w:rFonts w:ascii="Arial" w:hAnsi="Arial" w:cs="Arial"/>
          <w:sz w:val="22"/>
          <w:szCs w:val="22"/>
          <w:lang w:val="es-PE"/>
        </w:rPr>
        <w:t xml:space="preserve"> de obra, la inhabilitación del capital, interrupción de las cadenas locales y globales de valor, el encarecimiento o falta de disponibilidad de insumos intermedios, el incremento en los precios internacionales de estos o el bien de producción, y el empeoramiento de las condiciones financieras</w:t>
      </w:r>
      <w:r w:rsidRPr="00B935F5">
        <w:rPr>
          <w:rFonts w:ascii="Arial" w:hAnsi="Arial" w:cs="Arial"/>
          <w:sz w:val="22"/>
          <w:szCs w:val="22"/>
          <w:vertAlign w:val="superscript"/>
          <w:lang w:val="en-GB"/>
        </w:rPr>
        <w:footnoteReference w:id="30"/>
      </w:r>
      <w:r w:rsidRPr="00B935F5">
        <w:rPr>
          <w:rFonts w:ascii="Arial" w:hAnsi="Arial" w:cs="Arial"/>
          <w:sz w:val="22"/>
          <w:szCs w:val="22"/>
          <w:lang w:val="es-PE"/>
        </w:rPr>
        <w:t>. Esto ocasiona que la capacidad productiva de los beneficiarios se vea afectada. Desde el lado de la demanda, las medidas de salud pública tomadas por los gobiernos de la región han significado en el corto plazo la desaparición de la demanda para la mayoría de los bienes o servicios producidos por los beneficiarios</w:t>
      </w:r>
      <w:r w:rsidRPr="00B935F5">
        <w:rPr>
          <w:rFonts w:ascii="Arial" w:hAnsi="Arial" w:cs="Arial"/>
          <w:sz w:val="22"/>
          <w:szCs w:val="22"/>
          <w:vertAlign w:val="superscript"/>
          <w:lang w:val="es-PE"/>
        </w:rPr>
        <w:footnoteReference w:id="31"/>
      </w:r>
      <w:r w:rsidRPr="00B935F5">
        <w:rPr>
          <w:rFonts w:ascii="Arial" w:hAnsi="Arial" w:cs="Arial"/>
          <w:sz w:val="22"/>
          <w:szCs w:val="22"/>
          <w:lang w:val="es-PE"/>
        </w:rPr>
        <w:t>, una contracción en los ingresos de los consumidores como consecuencia de su incapacidad de laborar</w:t>
      </w:r>
      <w:r w:rsidRPr="00B935F5">
        <w:rPr>
          <w:rFonts w:ascii="Arial" w:hAnsi="Arial" w:cs="Arial"/>
          <w:sz w:val="22"/>
          <w:szCs w:val="22"/>
          <w:vertAlign w:val="superscript"/>
          <w:lang w:val="es-PE"/>
        </w:rPr>
        <w:footnoteReference w:id="32"/>
      </w:r>
      <w:r w:rsidRPr="00B935F5">
        <w:rPr>
          <w:rFonts w:ascii="Arial" w:hAnsi="Arial" w:cs="Arial"/>
          <w:sz w:val="22"/>
          <w:szCs w:val="22"/>
          <w:lang w:val="es-PE"/>
        </w:rPr>
        <w:t xml:space="preserve"> o un posible cambio en las preferencias de estos debido a las extraordinarias circunstancias</w:t>
      </w:r>
      <w:r w:rsidRPr="00B935F5">
        <w:rPr>
          <w:rFonts w:ascii="Arial" w:hAnsi="Arial" w:cs="Arial"/>
          <w:sz w:val="22"/>
          <w:szCs w:val="22"/>
          <w:vertAlign w:val="superscript"/>
          <w:lang w:val="es-PE"/>
        </w:rPr>
        <w:footnoteReference w:id="33"/>
      </w:r>
      <w:r w:rsidRPr="00B935F5">
        <w:rPr>
          <w:rFonts w:ascii="Arial" w:hAnsi="Arial" w:cs="Arial"/>
          <w:sz w:val="22"/>
          <w:szCs w:val="22"/>
          <w:lang w:val="es-PE"/>
        </w:rPr>
        <w:t xml:space="preserve">. Teóricamente, la combinación de todos estos efectos tiene como consecuencia la reducción de la cantidad producida y demandada de equilibrio, que es lo que efectivamente se evidencia en la situación del sector productivo en </w:t>
      </w:r>
      <w:r w:rsidR="00694CF5">
        <w:rPr>
          <w:rFonts w:ascii="Arial" w:hAnsi="Arial" w:cs="Arial"/>
          <w:sz w:val="22"/>
          <w:szCs w:val="22"/>
          <w:lang w:val="es-PE"/>
        </w:rPr>
        <w:t>México</w:t>
      </w:r>
      <w:r w:rsidRPr="00B935F5">
        <w:rPr>
          <w:rFonts w:ascii="Arial" w:hAnsi="Arial" w:cs="Arial"/>
          <w:sz w:val="22"/>
          <w:szCs w:val="22"/>
          <w:vertAlign w:val="superscript"/>
          <w:lang w:val="es-PE"/>
        </w:rPr>
        <w:footnoteReference w:id="34"/>
      </w:r>
      <w:r w:rsidRPr="00B935F5">
        <w:rPr>
          <w:rFonts w:ascii="Arial" w:hAnsi="Arial" w:cs="Arial"/>
          <w:sz w:val="22"/>
          <w:szCs w:val="22"/>
          <w:lang w:val="es-ES"/>
        </w:rPr>
        <w:t xml:space="preserve">. </w:t>
      </w:r>
      <w:r w:rsidR="00694CF5">
        <w:rPr>
          <w:rFonts w:ascii="Arial" w:hAnsi="Arial" w:cs="Arial"/>
          <w:sz w:val="22"/>
          <w:szCs w:val="22"/>
          <w:lang w:val="es-ES"/>
        </w:rPr>
        <w:t xml:space="preserve">Por ejemplo, un análisis reciente </w:t>
      </w:r>
      <w:r w:rsidR="00D268B8">
        <w:rPr>
          <w:rFonts w:ascii="Arial" w:hAnsi="Arial" w:cs="Arial"/>
          <w:sz w:val="22"/>
          <w:szCs w:val="22"/>
          <w:lang w:val="es-ES"/>
        </w:rPr>
        <w:t>sobre los posibles efectos de la crisis en el caso particular de México</w:t>
      </w:r>
      <w:r w:rsidR="00D268B8">
        <w:rPr>
          <w:rStyle w:val="FootnoteReference"/>
          <w:rFonts w:ascii="Arial" w:hAnsi="Arial" w:cs="Arial"/>
          <w:sz w:val="22"/>
          <w:szCs w:val="22"/>
          <w:lang w:val="es-ES"/>
        </w:rPr>
        <w:footnoteReference w:id="35"/>
      </w:r>
      <w:r w:rsidR="00694CF5">
        <w:rPr>
          <w:rFonts w:ascii="Arial" w:hAnsi="Arial" w:cs="Arial"/>
          <w:sz w:val="22"/>
          <w:szCs w:val="22"/>
          <w:lang w:val="es-ES"/>
        </w:rPr>
        <w:t xml:space="preserve"> proyecta una contracción de la demanda dom</w:t>
      </w:r>
      <w:r w:rsidR="00B0032E">
        <w:rPr>
          <w:rFonts w:ascii="Arial" w:hAnsi="Arial" w:cs="Arial"/>
          <w:sz w:val="22"/>
          <w:szCs w:val="22"/>
          <w:lang w:val="es-ES"/>
        </w:rPr>
        <w:t>é</w:t>
      </w:r>
      <w:r w:rsidR="00694CF5">
        <w:rPr>
          <w:rFonts w:ascii="Arial" w:hAnsi="Arial" w:cs="Arial"/>
          <w:sz w:val="22"/>
          <w:szCs w:val="22"/>
          <w:lang w:val="es-ES"/>
        </w:rPr>
        <w:t>stica del orden del 5.2%</w:t>
      </w:r>
      <w:r w:rsidR="00B0032E" w:rsidRPr="00B0032E">
        <w:rPr>
          <w:rFonts w:ascii="Arial" w:hAnsi="Arial" w:cs="Arial"/>
          <w:sz w:val="22"/>
          <w:szCs w:val="22"/>
          <w:lang w:val="es-ES"/>
        </w:rPr>
        <w:t xml:space="preserve"> </w:t>
      </w:r>
      <w:r w:rsidR="00B0032E">
        <w:rPr>
          <w:rFonts w:ascii="Arial" w:hAnsi="Arial" w:cs="Arial"/>
          <w:sz w:val="22"/>
          <w:szCs w:val="22"/>
          <w:lang w:val="es-ES"/>
        </w:rPr>
        <w:t>en 2020</w:t>
      </w:r>
      <w:r w:rsidR="00694CF5">
        <w:rPr>
          <w:rFonts w:ascii="Arial" w:hAnsi="Arial" w:cs="Arial"/>
          <w:sz w:val="22"/>
          <w:szCs w:val="22"/>
          <w:lang w:val="es-ES"/>
        </w:rPr>
        <w:t xml:space="preserve">. El análisis sugiere que las medidas de distanciamiento social impuestas a partir del 30 de </w:t>
      </w:r>
      <w:r w:rsidR="00B0032E">
        <w:rPr>
          <w:rFonts w:ascii="Arial" w:hAnsi="Arial" w:cs="Arial"/>
          <w:sz w:val="22"/>
          <w:szCs w:val="22"/>
          <w:lang w:val="es-ES"/>
        </w:rPr>
        <w:t>m</w:t>
      </w:r>
      <w:r w:rsidR="00694CF5">
        <w:rPr>
          <w:rFonts w:ascii="Arial" w:hAnsi="Arial" w:cs="Arial"/>
          <w:sz w:val="22"/>
          <w:szCs w:val="22"/>
          <w:lang w:val="es-ES"/>
        </w:rPr>
        <w:t>arzo en el país, originar</w:t>
      </w:r>
      <w:r w:rsidR="00E843AF">
        <w:rPr>
          <w:rFonts w:ascii="Arial" w:hAnsi="Arial" w:cs="Arial"/>
          <w:sz w:val="22"/>
          <w:szCs w:val="22"/>
          <w:lang w:val="es-ES"/>
        </w:rPr>
        <w:t>ía</w:t>
      </w:r>
      <w:r w:rsidR="00694CF5">
        <w:rPr>
          <w:rFonts w:ascii="Arial" w:hAnsi="Arial" w:cs="Arial"/>
          <w:sz w:val="22"/>
          <w:szCs w:val="22"/>
          <w:lang w:val="es-ES"/>
        </w:rPr>
        <w:t xml:space="preserve">n una caída en el consumo de al menos 5% y que la recesión global </w:t>
      </w:r>
      <w:r w:rsidR="00B0032E">
        <w:rPr>
          <w:rFonts w:ascii="Arial" w:hAnsi="Arial" w:cs="Arial"/>
          <w:sz w:val="22"/>
          <w:szCs w:val="22"/>
          <w:lang w:val="es-ES"/>
        </w:rPr>
        <w:t>ocasionada</w:t>
      </w:r>
      <w:r w:rsidR="00694CF5">
        <w:rPr>
          <w:rFonts w:ascii="Arial" w:hAnsi="Arial" w:cs="Arial"/>
          <w:sz w:val="22"/>
          <w:szCs w:val="22"/>
          <w:lang w:val="es-ES"/>
        </w:rPr>
        <w:t xml:space="preserve"> por el virus generaría una contracción de 7.7% en la inversión y un 6.4% en las exportaciones. Asimismo, el cierre de la actividad no esencial podría originar una contracción del 5.8% en el sector industria, si bien el impacto económico se vería limitado en la medida en que se mantenga la actividad esencial.</w:t>
      </w:r>
      <w:bookmarkEnd w:id="11"/>
      <w:r w:rsidR="00694CF5">
        <w:rPr>
          <w:rFonts w:ascii="Arial" w:hAnsi="Arial" w:cs="Arial"/>
          <w:sz w:val="22"/>
          <w:szCs w:val="22"/>
          <w:lang w:val="es-ES"/>
        </w:rPr>
        <w:t xml:space="preserve">  </w:t>
      </w:r>
    </w:p>
    <w:p w14:paraId="7B9F841D" w14:textId="77777777"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lastRenderedPageBreak/>
        <w:t>No obstante, es importante resaltar que la existencia de costos fijos o no ajustables a la cantidad de producción imposibilita a muchas empresas producir a niveles inferiores a cierto umbral ya que de ser así los ingresos por ventas no alcanzarían a cubrir los costos de producción. Ciertamente, la existencia de capital financiero en las empresas puede, en el corto plazo, ayudar a absorber las pérdidas. Sin embargo, a medida que este se consuma, la probabilidad de supervivencia de las empresas se reduce. Como consecuencia, los movimientos de oferta y demanda generados por la pandemia pueden potencialmente llevar a niveles de demanda de equilibrio que ubiquen a las empresas en esta zona de riesgo para su supervivencia.</w:t>
      </w:r>
    </w:p>
    <w:p w14:paraId="319C3C1B" w14:textId="7215E218"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 xml:space="preserve">Dada la multiplicidad de sectores y mercados en los que operan las empresas afectadas, y dadas sus características particulares dentro de estos, es de esperar que los efectos de la crisis económica generada por la pandemia generen, en una situación </w:t>
      </w:r>
      <w:r w:rsidR="00117CEA" w:rsidRPr="00117CEA">
        <w:rPr>
          <w:rFonts w:ascii="Arial" w:hAnsi="Arial" w:cs="Arial"/>
          <w:sz w:val="22"/>
          <w:szCs w:val="22"/>
          <w:lang w:val="es-PE"/>
        </w:rPr>
        <w:t>sin intervención</w:t>
      </w:r>
      <w:r w:rsidR="00FC1B4D">
        <w:rPr>
          <w:rFonts w:ascii="Arial" w:hAnsi="Arial" w:cs="Arial"/>
          <w:sz w:val="22"/>
          <w:szCs w:val="22"/>
          <w:lang w:val="es-PE"/>
        </w:rPr>
        <w:t>,</w:t>
      </w:r>
      <w:r w:rsidR="00117CEA" w:rsidRPr="00117CEA">
        <w:rPr>
          <w:rFonts w:ascii="Arial" w:hAnsi="Arial" w:cs="Arial"/>
          <w:sz w:val="22"/>
          <w:szCs w:val="22"/>
          <w:vertAlign w:val="superscript"/>
          <w:lang w:val="es-PE"/>
        </w:rPr>
        <w:footnoteReference w:id="36"/>
      </w:r>
      <w:r w:rsidRPr="00B935F5">
        <w:rPr>
          <w:rFonts w:ascii="Arial" w:hAnsi="Arial" w:cs="Arial"/>
          <w:sz w:val="22"/>
          <w:szCs w:val="22"/>
          <w:lang w:val="es-ES"/>
        </w:rPr>
        <w:t xml:space="preserve"> un incremento en el número de empresas que no sobreviven y una reducción en los ingresos de las empresas que sobreviven. </w:t>
      </w:r>
    </w:p>
    <w:p w14:paraId="2437EA6E" w14:textId="40D1932E" w:rsidR="001E3350" w:rsidRPr="009367E3" w:rsidRDefault="00CC4879" w:rsidP="006A77B8">
      <w:pPr>
        <w:pStyle w:val="AbbrDesc"/>
        <w:numPr>
          <w:ilvl w:val="1"/>
          <w:numId w:val="2"/>
        </w:numPr>
        <w:ind w:left="630" w:hanging="630"/>
        <w:rPr>
          <w:rFonts w:ascii="Arial" w:hAnsi="Arial" w:cs="Arial"/>
          <w:sz w:val="22"/>
          <w:szCs w:val="22"/>
          <w:lang w:val="es-ES" w:eastAsia="en-GB"/>
        </w:rPr>
      </w:pPr>
      <w:r w:rsidRPr="00175AAF">
        <w:rPr>
          <w:rFonts w:ascii="Arial" w:hAnsi="Arial" w:cs="Arial"/>
          <w:sz w:val="22"/>
          <w:szCs w:val="22"/>
          <w:lang w:val="es-ES"/>
        </w:rPr>
        <w:t xml:space="preserve">Como se mencionaba en la sección anterior, </w:t>
      </w:r>
      <w:r w:rsidR="00A12951" w:rsidRPr="00175AAF">
        <w:rPr>
          <w:rFonts w:ascii="Arial" w:hAnsi="Arial" w:cs="Arial"/>
          <w:sz w:val="22"/>
          <w:szCs w:val="22"/>
          <w:lang w:val="es-ES"/>
        </w:rPr>
        <w:t xml:space="preserve">la caída de la actividad económica supone dos factores de estrés para la </w:t>
      </w:r>
      <w:r w:rsidR="005A0251" w:rsidRPr="00C32624">
        <w:rPr>
          <w:rFonts w:ascii="Arial" w:hAnsi="Arial" w:cs="Arial"/>
          <w:sz w:val="22"/>
          <w:szCs w:val="22"/>
          <w:lang w:val="es-MX"/>
        </w:rPr>
        <w:t>MiPyME</w:t>
      </w:r>
      <w:r w:rsidR="00A12951" w:rsidRPr="00175AAF">
        <w:rPr>
          <w:rFonts w:ascii="Arial" w:hAnsi="Arial" w:cs="Arial"/>
          <w:sz w:val="22"/>
          <w:szCs w:val="22"/>
          <w:lang w:val="es-ES"/>
        </w:rPr>
        <w:t>: (i) descenso de los ingresos operativos; y (ii)</w:t>
      </w:r>
      <w:r w:rsidR="00B5371B">
        <w:rPr>
          <w:rFonts w:ascii="Arial" w:hAnsi="Arial" w:cs="Arial"/>
          <w:sz w:val="22"/>
          <w:szCs w:val="22"/>
          <w:lang w:val="es-ES"/>
        </w:rPr>
        <w:t> </w:t>
      </w:r>
      <w:r w:rsidR="00A12951" w:rsidRPr="00175AAF">
        <w:rPr>
          <w:rFonts w:ascii="Arial" w:hAnsi="Arial" w:cs="Arial"/>
          <w:sz w:val="22"/>
          <w:szCs w:val="22"/>
          <w:lang w:val="es-ES"/>
        </w:rPr>
        <w:t>aumento de retrasos en pagos por bienes y servicios prestados.</w:t>
      </w:r>
      <w:r w:rsidR="00A12951" w:rsidRPr="00175AAF">
        <w:rPr>
          <w:rFonts w:ascii="Arial" w:hAnsi="Arial" w:cs="Arial"/>
          <w:sz w:val="22"/>
          <w:szCs w:val="22"/>
          <w:vertAlign w:val="superscript"/>
          <w:lang w:val="en-US"/>
        </w:rPr>
        <w:footnoteReference w:id="37"/>
      </w:r>
      <w:r w:rsidR="00A12951" w:rsidRPr="00175AAF">
        <w:rPr>
          <w:rFonts w:ascii="Arial" w:hAnsi="Arial" w:cs="Arial"/>
          <w:sz w:val="22"/>
          <w:szCs w:val="22"/>
          <w:lang w:val="es-ES"/>
        </w:rPr>
        <w:t xml:space="preserve"> Estos factores de estrés crean desbalances repentinos y abruptos en sus flujos de caja, generando necesidades de liquidez de corto plazo para poder cubrir costos operativos fijos y mantener niveles de empleo durante periodos de menor actividad económica, como el que actualmente se enfrenta para combatir el COVID-19. En segundo lugar, el empeoramiento de las condiciones financieras restringe la capacidad de las </w:t>
      </w:r>
      <w:r w:rsidR="005A0251" w:rsidRPr="00C32624">
        <w:rPr>
          <w:rFonts w:ascii="Arial" w:hAnsi="Arial" w:cs="Arial"/>
          <w:sz w:val="22"/>
          <w:szCs w:val="22"/>
          <w:lang w:val="es-MX"/>
        </w:rPr>
        <w:t>MiPyME</w:t>
      </w:r>
      <w:r w:rsidR="00A12951" w:rsidRPr="00175AAF">
        <w:rPr>
          <w:rFonts w:ascii="Arial" w:hAnsi="Arial" w:cs="Arial"/>
          <w:sz w:val="22"/>
          <w:szCs w:val="22"/>
          <w:lang w:val="es-ES"/>
        </w:rPr>
        <w:t xml:space="preserve"> de acceder a financiamiento para cubrir estas necesidades de liquidez derivadas de la caída de la actividad económica.</w:t>
      </w:r>
      <w:r w:rsidR="00A12951" w:rsidRPr="00175AAF">
        <w:rPr>
          <w:rFonts w:ascii="Arial" w:hAnsi="Arial" w:cs="Arial"/>
          <w:sz w:val="22"/>
          <w:szCs w:val="22"/>
          <w:vertAlign w:val="superscript"/>
          <w:lang w:val="en-US"/>
        </w:rPr>
        <w:footnoteReference w:id="38"/>
      </w:r>
      <w:r w:rsidR="00294262" w:rsidRPr="009367E3">
        <w:rPr>
          <w:rFonts w:ascii="Arial" w:hAnsi="Arial" w:cs="Arial"/>
          <w:sz w:val="22"/>
          <w:szCs w:val="22"/>
          <w:lang w:val="es-ES"/>
        </w:rPr>
        <w:t xml:space="preserve"> </w:t>
      </w:r>
      <w:r w:rsidR="001E3350" w:rsidRPr="009367E3">
        <w:rPr>
          <w:rFonts w:ascii="Arial" w:hAnsi="Arial" w:cs="Arial"/>
          <w:sz w:val="22"/>
          <w:szCs w:val="22"/>
          <w:lang w:val="es-ES" w:eastAsia="en-GB"/>
        </w:rPr>
        <w:t xml:space="preserve">Este empeoramiento de las condiciones financieras para las </w:t>
      </w:r>
      <w:r w:rsidR="005A0251" w:rsidRPr="00C32624">
        <w:rPr>
          <w:rFonts w:ascii="Arial" w:hAnsi="Arial" w:cs="Arial"/>
          <w:sz w:val="22"/>
          <w:szCs w:val="22"/>
          <w:lang w:val="es-MX"/>
        </w:rPr>
        <w:t>MiPyME</w:t>
      </w:r>
      <w:r w:rsidR="001E3350" w:rsidRPr="009367E3">
        <w:rPr>
          <w:rFonts w:ascii="Arial" w:hAnsi="Arial" w:cs="Arial"/>
          <w:sz w:val="22"/>
          <w:szCs w:val="22"/>
          <w:lang w:val="es-ES" w:eastAsia="en-GB"/>
        </w:rPr>
        <w:t xml:space="preserve"> se debe principalmente a que en contextos de contracción macroeconómica el sector financiero: (i) reduce su oferta de crédito</w:t>
      </w:r>
      <w:r w:rsidR="001E3350" w:rsidRPr="00175AAF">
        <w:rPr>
          <w:rFonts w:ascii="Arial" w:hAnsi="Arial" w:cs="Arial"/>
          <w:sz w:val="22"/>
          <w:szCs w:val="22"/>
          <w:vertAlign w:val="superscript"/>
          <w:lang w:val="es-ES" w:eastAsia="en-GB"/>
        </w:rPr>
        <w:footnoteReference w:id="39"/>
      </w:r>
      <w:r w:rsidR="001E3350" w:rsidRPr="009367E3">
        <w:rPr>
          <w:rFonts w:ascii="Arial" w:hAnsi="Arial" w:cs="Arial"/>
          <w:sz w:val="22"/>
          <w:szCs w:val="22"/>
          <w:lang w:val="es-ES" w:eastAsia="en-GB"/>
        </w:rPr>
        <w:t xml:space="preserve">; (ii) lo hace en una mayor proporción en el segmento de la </w:t>
      </w:r>
      <w:r w:rsidR="005A0251" w:rsidRPr="00C32624">
        <w:rPr>
          <w:rFonts w:ascii="Arial" w:hAnsi="Arial" w:cs="Arial"/>
          <w:sz w:val="22"/>
          <w:szCs w:val="22"/>
          <w:lang w:val="es-MX"/>
        </w:rPr>
        <w:t>MiPyME</w:t>
      </w:r>
      <w:r w:rsidR="001E3350" w:rsidRPr="009367E3">
        <w:rPr>
          <w:rFonts w:ascii="Arial" w:hAnsi="Arial" w:cs="Arial"/>
          <w:sz w:val="22"/>
          <w:szCs w:val="22"/>
          <w:lang w:val="es-ES" w:eastAsia="en-GB"/>
        </w:rPr>
        <w:t xml:space="preserve"> en comparación con empresas de mayor tamaño</w:t>
      </w:r>
      <w:r w:rsidR="001E3350" w:rsidRPr="00175AAF">
        <w:rPr>
          <w:rFonts w:ascii="Arial" w:hAnsi="Arial" w:cs="Arial"/>
          <w:sz w:val="22"/>
          <w:szCs w:val="22"/>
          <w:vertAlign w:val="superscript"/>
          <w:lang w:val="es-ES" w:eastAsia="en-GB"/>
        </w:rPr>
        <w:footnoteReference w:id="40"/>
      </w:r>
      <w:r w:rsidR="001E3350" w:rsidRPr="009367E3">
        <w:rPr>
          <w:rFonts w:ascii="Arial" w:hAnsi="Arial" w:cs="Arial"/>
          <w:sz w:val="22"/>
          <w:szCs w:val="22"/>
          <w:lang w:val="es-ES" w:eastAsia="en-GB"/>
        </w:rPr>
        <w:t>; y (iii) se demora un tiempo en recuperar el nivel previo a la crisis.</w:t>
      </w:r>
      <w:r w:rsidR="001E3350" w:rsidRPr="00175AAF">
        <w:rPr>
          <w:rFonts w:ascii="Arial" w:hAnsi="Arial" w:cs="Arial"/>
          <w:sz w:val="22"/>
          <w:szCs w:val="22"/>
          <w:vertAlign w:val="superscript"/>
          <w:lang w:val="es-ES" w:eastAsia="en-GB"/>
        </w:rPr>
        <w:footnoteReference w:id="41"/>
      </w:r>
      <w:r w:rsidR="001E3350" w:rsidRPr="009367E3">
        <w:rPr>
          <w:rFonts w:ascii="Arial" w:hAnsi="Arial" w:cs="Arial"/>
          <w:sz w:val="22"/>
          <w:szCs w:val="22"/>
          <w:lang w:val="es-ES" w:eastAsia="en-GB"/>
        </w:rPr>
        <w:t xml:space="preserve"> Este empeoramiento de las condiciones de acceso a financiamiento en contexto de contracción económica se une a los obstáculos de acceso al financiamiento que ya de por si acumulan las </w:t>
      </w:r>
      <w:r w:rsidR="005A0251" w:rsidRPr="00C32624">
        <w:rPr>
          <w:rFonts w:ascii="Arial" w:hAnsi="Arial" w:cs="Arial"/>
          <w:sz w:val="22"/>
          <w:szCs w:val="22"/>
          <w:lang w:val="es-MX"/>
        </w:rPr>
        <w:t>MiPyME</w:t>
      </w:r>
      <w:r w:rsidR="001E3350" w:rsidRPr="009367E3">
        <w:rPr>
          <w:rFonts w:ascii="Arial" w:hAnsi="Arial" w:cs="Arial"/>
          <w:sz w:val="22"/>
          <w:szCs w:val="22"/>
          <w:lang w:val="es-ES" w:eastAsia="en-GB"/>
        </w:rPr>
        <w:t xml:space="preserve"> respecto a empresas de mayor tamaño como: (i) ciclos comerciales más cortos con mayores necesidades de liquidez a corto plazo; (ii) carencia de instrumentos para la gestión del riesgo asociado a su ciclo de </w:t>
      </w:r>
      <w:r w:rsidR="001E3350" w:rsidRPr="009367E3">
        <w:rPr>
          <w:rFonts w:ascii="Arial" w:hAnsi="Arial" w:cs="Arial"/>
          <w:sz w:val="22"/>
          <w:szCs w:val="22"/>
          <w:lang w:val="es-ES" w:eastAsia="en-GB"/>
        </w:rPr>
        <w:lastRenderedPageBreak/>
        <w:t>proyectos; (iii) mayores limitaciones de colateral disponible y su ejecución, debido a la falta de capital existente; (iv) altos costos de operación para prestar a escalas pequeñas; y (v) menor rentabilidad que otros segmentos empresariales.</w:t>
      </w:r>
      <w:r w:rsidR="001E3350" w:rsidRPr="00175AAF">
        <w:rPr>
          <w:rFonts w:ascii="Arial" w:hAnsi="Arial" w:cs="Arial"/>
          <w:sz w:val="22"/>
          <w:szCs w:val="22"/>
          <w:vertAlign w:val="superscript"/>
          <w:lang w:val="es-ES" w:eastAsia="en-GB"/>
        </w:rPr>
        <w:footnoteReference w:id="42"/>
      </w:r>
    </w:p>
    <w:p w14:paraId="454C8931" w14:textId="36073948" w:rsidR="001E3350" w:rsidRPr="001E3350" w:rsidRDefault="001E3350">
      <w:pPr>
        <w:pStyle w:val="Paragraph"/>
        <w:numPr>
          <w:ilvl w:val="1"/>
          <w:numId w:val="2"/>
        </w:numPr>
        <w:ind w:left="630" w:hanging="630"/>
        <w:rPr>
          <w:rFonts w:ascii="Arial" w:hAnsi="Arial" w:cs="Arial"/>
          <w:sz w:val="22"/>
          <w:szCs w:val="22"/>
          <w:lang w:val="es-ES"/>
        </w:rPr>
      </w:pPr>
      <w:r w:rsidRPr="006A77B8">
        <w:rPr>
          <w:rFonts w:ascii="Arial" w:hAnsi="Arial" w:cs="Arial"/>
          <w:sz w:val="22"/>
          <w:szCs w:val="22"/>
          <w:lang w:val="es-ES"/>
        </w:rPr>
        <w:t xml:space="preserve">El efecto dual de reducción de actividad económica y acceso a crédito del sector productivo puede poner en riesgo de supervivencia a muchas </w:t>
      </w:r>
      <w:r w:rsidR="005A0251" w:rsidRPr="00C32624">
        <w:rPr>
          <w:rFonts w:ascii="Arial" w:hAnsi="Arial" w:cs="Arial"/>
          <w:sz w:val="22"/>
          <w:szCs w:val="22"/>
          <w:lang w:val="es-MX"/>
        </w:rPr>
        <w:t>MiPyME</w:t>
      </w:r>
      <w:r w:rsidRPr="006A77B8">
        <w:rPr>
          <w:rFonts w:ascii="Arial" w:hAnsi="Arial" w:cs="Arial"/>
          <w:sz w:val="22"/>
          <w:szCs w:val="22"/>
          <w:lang w:val="es-ES"/>
        </w:rPr>
        <w:t xml:space="preserve"> de la región afectadas por la crisis del COVID-19. </w:t>
      </w:r>
      <w:r w:rsidRPr="00F42FD5">
        <w:rPr>
          <w:rFonts w:ascii="Arial" w:hAnsi="Arial" w:cs="Arial"/>
          <w:sz w:val="22"/>
          <w:szCs w:val="22"/>
          <w:lang w:val="es-ES"/>
        </w:rPr>
        <w:t>E</w:t>
      </w:r>
      <w:r w:rsidRPr="00D14E04">
        <w:rPr>
          <w:rFonts w:ascii="Arial" w:hAnsi="Arial" w:cs="Arial"/>
          <w:sz w:val="22"/>
          <w:szCs w:val="22"/>
          <w:lang w:val="es-ES"/>
        </w:rPr>
        <w:t>n la actualidad</w:t>
      </w:r>
      <w:r w:rsidRPr="00D62BD9">
        <w:rPr>
          <w:rFonts w:ascii="Arial" w:hAnsi="Arial" w:cs="Arial"/>
          <w:sz w:val="22"/>
          <w:szCs w:val="22"/>
          <w:lang w:val="es-ES"/>
        </w:rPr>
        <w:t xml:space="preserve"> existe un riesgo sustancial de </w:t>
      </w:r>
      <w:r w:rsidRPr="006A77B8">
        <w:rPr>
          <w:rFonts w:ascii="Arial" w:hAnsi="Arial" w:cs="Arial"/>
          <w:sz w:val="22"/>
          <w:szCs w:val="22"/>
          <w:lang w:val="es-ES"/>
        </w:rPr>
        <w:t xml:space="preserve">que muchas </w:t>
      </w:r>
      <w:r w:rsidR="005A0251" w:rsidRPr="00C32624">
        <w:rPr>
          <w:rFonts w:ascii="Arial" w:hAnsi="Arial" w:cs="Arial"/>
          <w:sz w:val="22"/>
          <w:szCs w:val="22"/>
          <w:lang w:val="es-MX"/>
        </w:rPr>
        <w:t>MiPyME</w:t>
      </w:r>
      <w:r w:rsidRPr="006A77B8">
        <w:rPr>
          <w:rFonts w:ascii="Arial" w:hAnsi="Arial" w:cs="Arial"/>
          <w:sz w:val="22"/>
          <w:szCs w:val="22"/>
          <w:lang w:val="es-ES"/>
        </w:rPr>
        <w:t xml:space="preserve">, que eran comercialmente viables antes de la crisis, se encuentren con situaciones de falta de liquidez temporal que derive en una situación de insolvencia permanente, imposibilitando atender sus pagos a proveedores, gobiernos y/o trabajadores, o hacer frente a los compromisos financieros. Es importante destacar que, si las </w:t>
      </w:r>
      <w:r w:rsidR="005A0251" w:rsidRPr="00C32624">
        <w:rPr>
          <w:rFonts w:ascii="Arial" w:hAnsi="Arial" w:cs="Arial"/>
          <w:sz w:val="22"/>
          <w:szCs w:val="22"/>
          <w:lang w:val="es-MX"/>
        </w:rPr>
        <w:t>MiPyME</w:t>
      </w:r>
      <w:r w:rsidRPr="006A77B8">
        <w:rPr>
          <w:rFonts w:ascii="Arial" w:hAnsi="Arial" w:cs="Arial"/>
          <w:sz w:val="22"/>
          <w:szCs w:val="22"/>
          <w:lang w:val="es-ES"/>
        </w:rPr>
        <w:t xml:space="preserve"> cuentan con el acceso a financiamiento para atender sus necesidades de liquidez, pueden ser altamente flexibles para adaptarse a una recesión económica porque son menos resistentes a la inercia, la rigidez y los costos hundidos, más capaces de explotar nichos de mercado.</w:t>
      </w:r>
      <w:r w:rsidRPr="00175AAF">
        <w:rPr>
          <w:rFonts w:ascii="Arial" w:hAnsi="Arial" w:cs="Arial"/>
          <w:sz w:val="22"/>
          <w:szCs w:val="22"/>
          <w:vertAlign w:val="superscript"/>
          <w:lang w:val="es-ES"/>
        </w:rPr>
        <w:footnoteReference w:id="43"/>
      </w:r>
    </w:p>
    <w:p w14:paraId="180E402C" w14:textId="431850C7" w:rsidR="00B935F5" w:rsidRPr="00B935F5" w:rsidRDefault="00B935F5" w:rsidP="00B935F5">
      <w:pPr>
        <w:pStyle w:val="Paragraph"/>
        <w:numPr>
          <w:ilvl w:val="1"/>
          <w:numId w:val="2"/>
        </w:numPr>
        <w:ind w:left="630" w:hanging="630"/>
        <w:rPr>
          <w:rFonts w:ascii="Arial" w:hAnsi="Arial" w:cs="Arial"/>
          <w:sz w:val="22"/>
          <w:szCs w:val="22"/>
          <w:lang w:val="es-ES"/>
        </w:rPr>
      </w:pPr>
      <w:r w:rsidRPr="00B935F5">
        <w:rPr>
          <w:rFonts w:ascii="Arial" w:hAnsi="Arial" w:cs="Arial"/>
          <w:sz w:val="22"/>
          <w:szCs w:val="22"/>
          <w:lang w:val="es-ES"/>
        </w:rPr>
        <w:t xml:space="preserve">En este línea, la presente intervención busca contrarrestar, los efectos de los shocks de oferta y demanda que enfrentan los beneficiarios a través de la facilitación de financiamiento que les permita acceder a capital de trabajo necesario para mantener la actividad productiva durante y tras la interrupción inicial de ingresos como consecuencia de la paralización de los mercados; y la realización de inversiones conducentes a contrarrestar la pérdida de capacidad productiva como consecuencia de los shocks de oferta. Si bien el campo de acción de la intervención es el lado de la oferta (en tanto a efectos sobre la actividad productiva de los beneficiarios), es de esperar, dentro del contexto más amplio de intervenciones similares en </w:t>
      </w:r>
      <w:r w:rsidR="006903AB">
        <w:rPr>
          <w:rFonts w:ascii="Arial" w:hAnsi="Arial" w:cs="Arial"/>
          <w:sz w:val="22"/>
          <w:szCs w:val="22"/>
          <w:lang w:val="es-ES"/>
        </w:rPr>
        <w:t>México</w:t>
      </w:r>
      <w:r w:rsidRPr="00B935F5">
        <w:rPr>
          <w:rFonts w:ascii="Arial" w:hAnsi="Arial" w:cs="Arial"/>
          <w:sz w:val="22"/>
          <w:szCs w:val="22"/>
          <w:lang w:val="es-ES"/>
        </w:rPr>
        <w:t xml:space="preserve">, </w:t>
      </w:r>
      <w:r w:rsidR="00DA469C" w:rsidRPr="00DA469C">
        <w:rPr>
          <w:rFonts w:ascii="Arial" w:hAnsi="Arial" w:cs="Arial"/>
          <w:sz w:val="22"/>
          <w:szCs w:val="22"/>
          <w:lang w:val="es-ES"/>
        </w:rPr>
        <w:t>efectos positivos de equilibrio general sobre la demanda que promuevan la manutención de ingresos de los trabajadores y las rentas de los empresarios.</w:t>
      </w:r>
      <w:r w:rsidR="00F55E7C">
        <w:rPr>
          <w:rFonts w:ascii="Arial" w:hAnsi="Arial" w:cs="Arial"/>
          <w:sz w:val="22"/>
          <w:szCs w:val="22"/>
          <w:lang w:val="es-ES"/>
        </w:rPr>
        <w:t xml:space="preserve"> De hecho, </w:t>
      </w:r>
      <w:r w:rsidR="00F55E7C">
        <w:rPr>
          <w:rFonts w:ascii="Arial" w:hAnsi="Arial" w:cs="Arial"/>
          <w:sz w:val="22"/>
          <w:szCs w:val="22"/>
          <w:lang w:val="es-ES_tradnl"/>
        </w:rPr>
        <w:t>durante</w:t>
      </w:r>
      <w:r w:rsidR="00F55E7C" w:rsidRPr="00F55E7C">
        <w:rPr>
          <w:rFonts w:ascii="Arial" w:hAnsi="Arial" w:cs="Arial"/>
          <w:sz w:val="22"/>
          <w:szCs w:val="22"/>
          <w:lang w:val="es-ES_tradnl"/>
        </w:rPr>
        <w:t xml:space="preserve"> la crisis financiera de 2008</w:t>
      </w:r>
      <w:r w:rsidR="00F55E7C">
        <w:rPr>
          <w:rFonts w:ascii="Arial" w:hAnsi="Arial" w:cs="Arial"/>
          <w:sz w:val="22"/>
          <w:szCs w:val="22"/>
          <w:lang w:val="es-ES_tradnl"/>
        </w:rPr>
        <w:t>-</w:t>
      </w:r>
      <w:r w:rsidR="00F55E7C" w:rsidRPr="00F55E7C">
        <w:rPr>
          <w:rFonts w:ascii="Arial" w:hAnsi="Arial" w:cs="Arial"/>
          <w:sz w:val="22"/>
          <w:szCs w:val="22"/>
          <w:lang w:val="es-ES_tradnl"/>
        </w:rPr>
        <w:t>2009, los BPD de México se constituyeron en un vehículo para la implementación de políticas contra cíclicas, a través de la experiencia existente en la operación de una amplia batería de instrumentos para cubrir necesidades de financiamiento de los actores productivos</w:t>
      </w:r>
      <w:r w:rsidR="004E5A06">
        <w:rPr>
          <w:rStyle w:val="FootnoteReference"/>
          <w:rFonts w:ascii="Arial" w:hAnsi="Arial" w:cs="Arial"/>
          <w:sz w:val="22"/>
          <w:szCs w:val="22"/>
          <w:lang w:val="es-ES_tradnl"/>
        </w:rPr>
        <w:footnoteReference w:id="44"/>
      </w:r>
      <w:r w:rsidR="00F55E7C">
        <w:rPr>
          <w:rFonts w:ascii="Arial" w:hAnsi="Arial" w:cs="Arial"/>
          <w:sz w:val="22"/>
          <w:szCs w:val="22"/>
          <w:lang w:val="es-ES_tradnl"/>
        </w:rPr>
        <w:t xml:space="preserve">. </w:t>
      </w:r>
    </w:p>
    <w:p w14:paraId="2E8931FE" w14:textId="2C1AFE13" w:rsidR="00244B7E" w:rsidRPr="00281074" w:rsidRDefault="00B935F5" w:rsidP="00F626AD">
      <w:pPr>
        <w:pStyle w:val="Paragraph"/>
        <w:numPr>
          <w:ilvl w:val="1"/>
          <w:numId w:val="2"/>
        </w:numPr>
        <w:ind w:left="630" w:hanging="630"/>
        <w:rPr>
          <w:rFonts w:ascii="Arial" w:hAnsi="Arial" w:cs="Arial"/>
          <w:sz w:val="22"/>
          <w:szCs w:val="22"/>
          <w:lang w:val="es-MX"/>
        </w:rPr>
      </w:pPr>
      <w:r w:rsidRPr="00B935F5">
        <w:rPr>
          <w:rFonts w:ascii="Arial" w:hAnsi="Arial" w:cs="Arial"/>
          <w:sz w:val="22"/>
          <w:szCs w:val="22"/>
          <w:lang w:val="es-ES"/>
        </w:rPr>
        <w:t xml:space="preserve">Como consecuencia, es de esperar </w:t>
      </w:r>
      <w:r w:rsidR="00A87BEB" w:rsidRPr="00B935F5">
        <w:rPr>
          <w:rFonts w:ascii="Arial" w:hAnsi="Arial" w:cs="Arial"/>
          <w:sz w:val="22"/>
          <w:szCs w:val="22"/>
          <w:lang w:val="es-ES"/>
        </w:rPr>
        <w:t>que,</w:t>
      </w:r>
      <w:r w:rsidRPr="00B935F5">
        <w:rPr>
          <w:rFonts w:ascii="Arial" w:hAnsi="Arial" w:cs="Arial"/>
          <w:sz w:val="22"/>
          <w:szCs w:val="22"/>
          <w:lang w:val="es-ES"/>
        </w:rPr>
        <w:t xml:space="preserve"> en un escenario con intervención, la tasa de supervivencia de las empresas beneficiarias sea mayor (al proveer capital de trabajo necesario para el mantenimiento de la actividad productiva) y que la caída en los ingresos de estas sea menor en comparación con el escenario sin intervención (al proveer financiamiento para inversiones que contrarresten la pérdida de capacidad productiva). En la misma línea, la supervivencia y futura salud de las </w:t>
      </w:r>
      <w:r w:rsidR="005A0251" w:rsidRPr="00C32624">
        <w:rPr>
          <w:rFonts w:ascii="Arial" w:hAnsi="Arial" w:cs="Arial"/>
          <w:sz w:val="22"/>
          <w:szCs w:val="22"/>
          <w:lang w:val="es-MX"/>
        </w:rPr>
        <w:t>MiPyME</w:t>
      </w:r>
      <w:r w:rsidR="005A0251" w:rsidRPr="00B935F5">
        <w:rPr>
          <w:rFonts w:ascii="Arial" w:hAnsi="Arial" w:cs="Arial"/>
          <w:sz w:val="22"/>
          <w:szCs w:val="22"/>
          <w:lang w:val="es-ES"/>
        </w:rPr>
        <w:t xml:space="preserve"> </w:t>
      </w:r>
      <w:r w:rsidRPr="00B935F5">
        <w:rPr>
          <w:rFonts w:ascii="Arial" w:hAnsi="Arial" w:cs="Arial"/>
          <w:sz w:val="22"/>
          <w:szCs w:val="22"/>
          <w:lang w:val="es-ES"/>
        </w:rPr>
        <w:t>es conductor natural de la supervivencia del empleo lo cual tiene gran importancia en el bienestar social dada la importante contribución al empleo</w:t>
      </w:r>
      <w:r w:rsidR="00BA4872">
        <w:rPr>
          <w:rFonts w:ascii="Arial" w:hAnsi="Arial" w:cs="Arial"/>
          <w:sz w:val="22"/>
          <w:szCs w:val="22"/>
          <w:lang w:val="es-ES"/>
        </w:rPr>
        <w:t xml:space="preserve"> agregado</w:t>
      </w:r>
      <w:r w:rsidR="00F55E7C">
        <w:rPr>
          <w:rFonts w:ascii="Arial" w:hAnsi="Arial" w:cs="Arial"/>
          <w:sz w:val="22"/>
          <w:szCs w:val="22"/>
          <w:lang w:val="es-ES"/>
        </w:rPr>
        <w:t xml:space="preserve">. </w:t>
      </w:r>
      <w:r w:rsidR="00F55E7C" w:rsidRPr="00F55E7C">
        <w:rPr>
          <w:rFonts w:ascii="Arial" w:hAnsi="Arial" w:cs="Arial"/>
          <w:sz w:val="22"/>
          <w:szCs w:val="22"/>
          <w:lang w:val="es-ES_tradnl"/>
        </w:rPr>
        <w:t>La actividad agroindustrial</w:t>
      </w:r>
      <w:r w:rsidR="00F55E7C">
        <w:rPr>
          <w:rFonts w:ascii="Arial" w:hAnsi="Arial" w:cs="Arial"/>
          <w:sz w:val="22"/>
          <w:szCs w:val="22"/>
          <w:lang w:val="es-ES_tradnl"/>
        </w:rPr>
        <w:t>, subsector objetivo del programa,</w:t>
      </w:r>
      <w:r w:rsidR="00F55E7C" w:rsidRPr="00F55E7C">
        <w:rPr>
          <w:rFonts w:ascii="Arial" w:hAnsi="Arial" w:cs="Arial"/>
          <w:sz w:val="22"/>
          <w:szCs w:val="22"/>
          <w:lang w:val="es-ES_tradnl"/>
        </w:rPr>
        <w:t xml:space="preserve"> representa el 4,8%</w:t>
      </w:r>
      <w:r w:rsidR="00F55E7C" w:rsidRPr="00F55E7C">
        <w:rPr>
          <w:rFonts w:ascii="Arial" w:hAnsi="Arial" w:cs="Arial"/>
          <w:sz w:val="22"/>
          <w:szCs w:val="22"/>
          <w:vertAlign w:val="superscript"/>
          <w:lang w:val="es-ES_tradnl"/>
        </w:rPr>
        <w:footnoteReference w:id="45"/>
      </w:r>
      <w:r w:rsidR="00F55E7C" w:rsidRPr="00F55E7C">
        <w:rPr>
          <w:rFonts w:ascii="Arial" w:hAnsi="Arial" w:cs="Arial"/>
          <w:sz w:val="22"/>
          <w:szCs w:val="22"/>
          <w:lang w:val="es-ES_tradnl"/>
        </w:rPr>
        <w:t xml:space="preserve"> del PIB y emplea aproximadamente un 20% de la </w:t>
      </w:r>
      <w:r w:rsidR="00F55E7C">
        <w:rPr>
          <w:rFonts w:ascii="Arial" w:hAnsi="Arial" w:cs="Arial"/>
          <w:sz w:val="22"/>
          <w:szCs w:val="22"/>
          <w:lang w:val="es-ES_tradnl"/>
        </w:rPr>
        <w:t xml:space="preserve">Población </w:t>
      </w:r>
      <w:r w:rsidR="00F55E7C">
        <w:rPr>
          <w:rFonts w:ascii="Arial" w:hAnsi="Arial" w:cs="Arial"/>
          <w:sz w:val="22"/>
          <w:szCs w:val="22"/>
          <w:lang w:val="es-ES_tradnl"/>
        </w:rPr>
        <w:lastRenderedPageBreak/>
        <w:t>Económicamente Activa (</w:t>
      </w:r>
      <w:r w:rsidR="00F55E7C" w:rsidRPr="00F55E7C">
        <w:rPr>
          <w:rFonts w:ascii="Arial" w:hAnsi="Arial" w:cs="Arial"/>
          <w:sz w:val="22"/>
          <w:szCs w:val="22"/>
          <w:lang w:val="es-ES_tradnl"/>
        </w:rPr>
        <w:t>PEA</w:t>
      </w:r>
      <w:r w:rsidR="00F55E7C">
        <w:rPr>
          <w:rFonts w:ascii="Arial" w:hAnsi="Arial" w:cs="Arial"/>
          <w:sz w:val="22"/>
          <w:szCs w:val="22"/>
          <w:lang w:val="es-ES_tradnl"/>
        </w:rPr>
        <w:t>)</w:t>
      </w:r>
      <w:r w:rsidR="00F55E7C" w:rsidRPr="00F55E7C">
        <w:rPr>
          <w:rFonts w:ascii="Arial" w:hAnsi="Arial" w:cs="Arial"/>
          <w:sz w:val="22"/>
          <w:szCs w:val="22"/>
          <w:lang w:val="es-ES_tradnl"/>
        </w:rPr>
        <w:t>. Por su parte, las actividades de comercio y servicios representan el 69% del valor bruto de la producción en los municipios de hasta 50.000 habitantes</w:t>
      </w:r>
      <w:r w:rsidR="00F55E7C" w:rsidRPr="00F55E7C">
        <w:rPr>
          <w:rFonts w:ascii="Arial" w:hAnsi="Arial" w:cs="Arial"/>
          <w:sz w:val="22"/>
          <w:szCs w:val="22"/>
          <w:vertAlign w:val="superscript"/>
          <w:lang w:val="es-ES_tradnl"/>
        </w:rPr>
        <w:footnoteReference w:id="46"/>
      </w:r>
      <w:r w:rsidR="00F55E7C" w:rsidRPr="00F55E7C">
        <w:rPr>
          <w:rFonts w:ascii="Arial" w:hAnsi="Arial" w:cs="Arial"/>
          <w:sz w:val="22"/>
          <w:szCs w:val="22"/>
          <w:lang w:val="es-ES_tradnl"/>
        </w:rPr>
        <w:t>.</w:t>
      </w:r>
    </w:p>
    <w:p w14:paraId="16089B4F" w14:textId="5411CD6E" w:rsidR="00541B42" w:rsidRPr="00281074" w:rsidRDefault="00117CEA" w:rsidP="00281074">
      <w:pPr>
        <w:pStyle w:val="Paragraph"/>
        <w:numPr>
          <w:ilvl w:val="1"/>
          <w:numId w:val="2"/>
        </w:numPr>
        <w:ind w:left="630" w:hanging="630"/>
        <w:rPr>
          <w:rFonts w:ascii="Arial" w:hAnsi="Arial" w:cs="Arial"/>
          <w:sz w:val="22"/>
          <w:szCs w:val="22"/>
          <w:lang w:val="es-MX"/>
        </w:rPr>
      </w:pPr>
      <w:r w:rsidRPr="00281074">
        <w:rPr>
          <w:rFonts w:ascii="Arial" w:hAnsi="Arial" w:cs="Arial"/>
          <w:b/>
          <w:bCs/>
          <w:sz w:val="22"/>
          <w:szCs w:val="22"/>
          <w:lang w:val="es-MX"/>
        </w:rPr>
        <w:t>Beneficios económicos de la intervención</w:t>
      </w:r>
      <w:r w:rsidR="00541B42" w:rsidRPr="00281074">
        <w:rPr>
          <w:rFonts w:ascii="Arial" w:hAnsi="Arial" w:cs="Arial"/>
          <w:b/>
          <w:bCs/>
          <w:sz w:val="22"/>
          <w:szCs w:val="22"/>
          <w:lang w:val="es-MX"/>
        </w:rPr>
        <w:t xml:space="preserve">. </w:t>
      </w:r>
      <w:r w:rsidR="00541B42" w:rsidRPr="00281074">
        <w:rPr>
          <w:rFonts w:ascii="Arial" w:hAnsi="Arial" w:cs="Arial"/>
          <w:sz w:val="22"/>
          <w:szCs w:val="22"/>
          <w:lang w:val="es-MX"/>
        </w:rPr>
        <w:t xml:space="preserve">Las </w:t>
      </w:r>
      <w:r w:rsidR="005A0251" w:rsidRPr="00C32624">
        <w:rPr>
          <w:rFonts w:ascii="Arial" w:hAnsi="Arial" w:cs="Arial"/>
          <w:sz w:val="22"/>
          <w:szCs w:val="22"/>
          <w:lang w:val="es-MX"/>
        </w:rPr>
        <w:t>MiPyME</w:t>
      </w:r>
      <w:r w:rsidR="00541B42" w:rsidRPr="00281074">
        <w:rPr>
          <w:rFonts w:ascii="Arial" w:hAnsi="Arial" w:cs="Arial"/>
          <w:sz w:val="22"/>
          <w:szCs w:val="22"/>
          <w:lang w:val="es-MX"/>
        </w:rPr>
        <w:t xml:space="preserve"> beneficiarias del programa pueden ser clasificadas en tres grupos, a la luz de la probabilidad de supervivencia durante la crisis: (i) </w:t>
      </w:r>
      <w:r w:rsidR="00541B42" w:rsidRPr="00281074">
        <w:rPr>
          <w:rFonts w:ascii="Arial" w:hAnsi="Arial" w:cs="Arial"/>
          <w:sz w:val="22"/>
          <w:szCs w:val="22"/>
          <w:lang w:val="es-PE"/>
        </w:rPr>
        <w:t>las que hubiesen sobrevivido independientemente de la intervención, (ii) las que no hubiesen sobrevivido sin la intervención, y (iii) las que no sobreviven a pesar de la intervención.</w:t>
      </w:r>
    </w:p>
    <w:p w14:paraId="3E30C974" w14:textId="6837867B" w:rsidR="00117CEA" w:rsidRDefault="00117CEA" w:rsidP="00541B42">
      <w:pPr>
        <w:pStyle w:val="Paragraph"/>
        <w:numPr>
          <w:ilvl w:val="1"/>
          <w:numId w:val="2"/>
        </w:numPr>
        <w:ind w:left="630" w:hanging="630"/>
        <w:rPr>
          <w:rFonts w:ascii="Arial" w:hAnsi="Arial" w:cs="Arial"/>
          <w:sz w:val="22"/>
          <w:szCs w:val="22"/>
          <w:lang w:val="es-MX"/>
        </w:rPr>
      </w:pPr>
      <w:r w:rsidRPr="000F0F47">
        <w:rPr>
          <w:rFonts w:ascii="Arial" w:hAnsi="Arial" w:cs="Arial"/>
          <w:sz w:val="22"/>
          <w:szCs w:val="22"/>
          <w:lang w:val="es-MX"/>
        </w:rPr>
        <w:t>Los</w:t>
      </w:r>
      <w:r w:rsidRPr="00117CEA">
        <w:rPr>
          <w:rFonts w:ascii="Arial" w:hAnsi="Arial" w:cs="Arial"/>
          <w:sz w:val="22"/>
          <w:szCs w:val="22"/>
          <w:lang w:val="es-MX"/>
        </w:rPr>
        <w:t xml:space="preserve"> </w:t>
      </w:r>
      <w:r w:rsidRPr="00117CEA">
        <w:rPr>
          <w:rFonts w:ascii="Arial" w:hAnsi="Arial" w:cs="Arial"/>
          <w:sz w:val="22"/>
          <w:szCs w:val="22"/>
          <w:lang w:val="es-PE"/>
        </w:rPr>
        <w:t xml:space="preserve">beneficios económicos considerados en el presente análisis </w:t>
      </w:r>
      <w:r w:rsidR="00A1703F">
        <w:rPr>
          <w:rFonts w:ascii="Arial" w:hAnsi="Arial" w:cs="Arial"/>
          <w:sz w:val="22"/>
          <w:szCs w:val="22"/>
          <w:lang w:val="es-PE"/>
        </w:rPr>
        <w:t xml:space="preserve">son dos: (i) </w:t>
      </w:r>
      <w:r w:rsidRPr="00117CEA">
        <w:rPr>
          <w:rFonts w:ascii="Arial" w:hAnsi="Arial" w:cs="Arial"/>
          <w:sz w:val="22"/>
          <w:szCs w:val="22"/>
          <w:lang w:val="es-PE"/>
        </w:rPr>
        <w:t xml:space="preserve">la reducción en la caída de los ingresos de las empresas beneficiadas </w:t>
      </w:r>
      <w:r w:rsidR="00A1703F">
        <w:rPr>
          <w:rFonts w:ascii="Arial" w:hAnsi="Arial" w:cs="Arial"/>
          <w:sz w:val="22"/>
          <w:szCs w:val="22"/>
          <w:lang w:val="es-PE"/>
        </w:rPr>
        <w:t>y (ii) la preservación del empleo en empresas que sobreviven gracias al programa. Los beneficios de ingresos consisten</w:t>
      </w:r>
      <w:r w:rsidR="006C2D8B">
        <w:rPr>
          <w:rFonts w:ascii="Arial" w:hAnsi="Arial" w:cs="Arial"/>
          <w:sz w:val="22"/>
          <w:szCs w:val="22"/>
          <w:lang w:val="es-PE"/>
        </w:rPr>
        <w:t xml:space="preserve"> en</w:t>
      </w:r>
      <w:r w:rsidR="00A1703F">
        <w:rPr>
          <w:rFonts w:ascii="Arial" w:hAnsi="Arial" w:cs="Arial"/>
          <w:sz w:val="22"/>
          <w:szCs w:val="22"/>
          <w:lang w:val="es-PE"/>
        </w:rPr>
        <w:t xml:space="preserve"> </w:t>
      </w:r>
      <w:r w:rsidR="006C2D8B">
        <w:rPr>
          <w:rFonts w:ascii="Arial" w:hAnsi="Arial" w:cs="Arial"/>
          <w:sz w:val="22"/>
          <w:szCs w:val="22"/>
          <w:lang w:val="es-PE"/>
        </w:rPr>
        <w:t xml:space="preserve">la diferencia en los flujos de ingresos por ventas de las firmas que sobreviven en comparación con un escenario </w:t>
      </w:r>
      <w:r w:rsidRPr="00117CEA">
        <w:rPr>
          <w:rFonts w:ascii="Arial" w:hAnsi="Arial" w:cs="Arial"/>
          <w:sz w:val="22"/>
          <w:szCs w:val="22"/>
          <w:lang w:val="es-PE"/>
        </w:rPr>
        <w:t xml:space="preserve">sin intervención. </w:t>
      </w:r>
      <w:r w:rsidR="006C2D8B">
        <w:rPr>
          <w:rFonts w:ascii="Arial" w:hAnsi="Arial" w:cs="Arial"/>
          <w:sz w:val="22"/>
          <w:szCs w:val="22"/>
          <w:lang w:val="es-PE"/>
        </w:rPr>
        <w:t xml:space="preserve">Tomando como referencia la clasificación de </w:t>
      </w:r>
      <w:r w:rsidR="005A0251" w:rsidRPr="00C32624">
        <w:rPr>
          <w:rFonts w:ascii="Arial" w:hAnsi="Arial" w:cs="Arial"/>
          <w:sz w:val="22"/>
          <w:szCs w:val="22"/>
          <w:lang w:val="es-MX"/>
        </w:rPr>
        <w:t>MiPyME</w:t>
      </w:r>
      <w:r w:rsidR="006C2D8B">
        <w:rPr>
          <w:rFonts w:ascii="Arial" w:hAnsi="Arial" w:cs="Arial"/>
          <w:sz w:val="22"/>
          <w:szCs w:val="22"/>
          <w:lang w:val="es-PE"/>
        </w:rPr>
        <w:t xml:space="preserve"> descrita en el párrafo </w:t>
      </w:r>
      <w:r w:rsidR="006C2D8B">
        <w:rPr>
          <w:rFonts w:ascii="Arial" w:hAnsi="Arial" w:cs="Arial"/>
          <w:sz w:val="22"/>
          <w:szCs w:val="22"/>
          <w:lang w:val="es-PE"/>
        </w:rPr>
        <w:fldChar w:fldCharType="begin"/>
      </w:r>
      <w:r w:rsidR="006C2D8B">
        <w:rPr>
          <w:rFonts w:ascii="Arial" w:hAnsi="Arial" w:cs="Arial"/>
          <w:sz w:val="22"/>
          <w:szCs w:val="22"/>
          <w:lang w:val="es-PE"/>
        </w:rPr>
        <w:instrText xml:space="preserve"> REF _Ref36384475 \r \h </w:instrText>
      </w:r>
      <w:r w:rsidR="006C2D8B">
        <w:rPr>
          <w:rFonts w:ascii="Arial" w:hAnsi="Arial" w:cs="Arial"/>
          <w:sz w:val="22"/>
          <w:szCs w:val="22"/>
          <w:lang w:val="es-PE"/>
        </w:rPr>
      </w:r>
      <w:r w:rsidR="006C2D8B">
        <w:rPr>
          <w:rFonts w:ascii="Arial" w:hAnsi="Arial" w:cs="Arial"/>
          <w:sz w:val="22"/>
          <w:szCs w:val="22"/>
          <w:lang w:val="es-PE"/>
        </w:rPr>
        <w:fldChar w:fldCharType="separate"/>
      </w:r>
      <w:r w:rsidR="002E53F4">
        <w:rPr>
          <w:rFonts w:ascii="Arial" w:hAnsi="Arial" w:cs="Arial"/>
          <w:sz w:val="22"/>
          <w:szCs w:val="22"/>
          <w:lang w:val="es-PE"/>
        </w:rPr>
        <w:t>II.10</w:t>
      </w:r>
      <w:r w:rsidR="006C2D8B">
        <w:rPr>
          <w:rFonts w:ascii="Arial" w:hAnsi="Arial" w:cs="Arial"/>
          <w:sz w:val="22"/>
          <w:szCs w:val="22"/>
          <w:lang w:val="es-PE"/>
        </w:rPr>
        <w:fldChar w:fldCharType="end"/>
      </w:r>
      <w:r w:rsidR="006C2D8B">
        <w:rPr>
          <w:rFonts w:ascii="Arial" w:hAnsi="Arial" w:cs="Arial"/>
          <w:sz w:val="22"/>
          <w:szCs w:val="22"/>
          <w:lang w:val="es-PE"/>
        </w:rPr>
        <w:t>, podemos analizar estos beneficios de la siguiente manera: p</w:t>
      </w:r>
      <w:r w:rsidRPr="00117CEA">
        <w:rPr>
          <w:rFonts w:ascii="Arial" w:hAnsi="Arial" w:cs="Arial"/>
          <w:sz w:val="22"/>
          <w:szCs w:val="22"/>
          <w:lang w:val="es-PE"/>
        </w:rPr>
        <w:t>ara el primer grupo</w:t>
      </w:r>
      <w:r w:rsidR="006C2D8B">
        <w:rPr>
          <w:rFonts w:ascii="Arial" w:hAnsi="Arial" w:cs="Arial"/>
          <w:sz w:val="22"/>
          <w:szCs w:val="22"/>
          <w:lang w:val="es-PE"/>
        </w:rPr>
        <w:t xml:space="preserve"> (empresas que hubieran sobrevivido a pesar de la intervención)</w:t>
      </w:r>
      <w:r w:rsidRPr="00117CEA">
        <w:rPr>
          <w:rFonts w:ascii="Arial" w:hAnsi="Arial" w:cs="Arial"/>
          <w:sz w:val="22"/>
          <w:szCs w:val="22"/>
          <w:lang w:val="es-PE"/>
        </w:rPr>
        <w:t xml:space="preserve">, el nivel de ingresos sin programa se espera sea menor (pero mayor que cero) debido a la ausencia de capital de trabajo e inversiones que les permita mantener o restituir su capacidad productiva inicial. Por tanto, el beneficio del programa para este grupo radica en la reducción del efecto </w:t>
      </w:r>
      <w:r w:rsidR="004B2C5D">
        <w:rPr>
          <w:rFonts w:ascii="Arial" w:hAnsi="Arial" w:cs="Arial"/>
          <w:sz w:val="22"/>
          <w:szCs w:val="22"/>
          <w:lang w:val="es-PE"/>
        </w:rPr>
        <w:t xml:space="preserve">negativo </w:t>
      </w:r>
      <w:r w:rsidRPr="00117CEA">
        <w:rPr>
          <w:rFonts w:ascii="Arial" w:hAnsi="Arial" w:cs="Arial"/>
          <w:sz w:val="22"/>
          <w:szCs w:val="22"/>
          <w:lang w:val="es-PE"/>
        </w:rPr>
        <w:t>sobre los ingresos. Para el segundo grupo</w:t>
      </w:r>
      <w:r w:rsidR="004B2C5D">
        <w:rPr>
          <w:rFonts w:ascii="Arial" w:hAnsi="Arial" w:cs="Arial"/>
          <w:sz w:val="22"/>
          <w:szCs w:val="22"/>
          <w:lang w:val="es-PE"/>
        </w:rPr>
        <w:t xml:space="preserve"> (empresas que sobreviven gracias a la intervención)</w:t>
      </w:r>
      <w:r w:rsidRPr="00117CEA">
        <w:rPr>
          <w:rFonts w:ascii="Arial" w:hAnsi="Arial" w:cs="Arial"/>
          <w:sz w:val="22"/>
          <w:szCs w:val="22"/>
          <w:lang w:val="es-PE"/>
        </w:rPr>
        <w:t>, el escenario contrafactual implica la desaparición de la firma, por lo que el flujo de ingresos en el escenario sin proyecto sería cero. Por tanto, el beneficio es igual al flujo de ingresos esperados de la firma una vez dada su supervivencia. Esto en valor presente se aproxima a la valuación económica de la firma salvada</w:t>
      </w:r>
      <w:r w:rsidRPr="00117CEA">
        <w:rPr>
          <w:rFonts w:ascii="Arial" w:hAnsi="Arial" w:cs="Arial"/>
          <w:sz w:val="22"/>
          <w:szCs w:val="22"/>
          <w:vertAlign w:val="superscript"/>
          <w:lang w:val="es-PE"/>
        </w:rPr>
        <w:footnoteReference w:id="47"/>
      </w:r>
      <w:r w:rsidRPr="00117CEA">
        <w:rPr>
          <w:rFonts w:ascii="Arial" w:hAnsi="Arial" w:cs="Arial"/>
          <w:sz w:val="22"/>
          <w:szCs w:val="22"/>
          <w:lang w:val="es-PE"/>
        </w:rPr>
        <w:t xml:space="preserve">. Finalmente, no existe un valor económico asociado al tercer grupo </w:t>
      </w:r>
      <w:r w:rsidR="004B2C5D">
        <w:rPr>
          <w:rFonts w:ascii="Arial" w:hAnsi="Arial" w:cs="Arial"/>
          <w:sz w:val="22"/>
          <w:szCs w:val="22"/>
          <w:lang w:val="es-PE"/>
        </w:rPr>
        <w:t xml:space="preserve">(empresas que no sobreviven a pesar de la intervención) </w:t>
      </w:r>
      <w:r w:rsidRPr="00117CEA">
        <w:rPr>
          <w:rFonts w:ascii="Arial" w:hAnsi="Arial" w:cs="Arial"/>
          <w:sz w:val="22"/>
          <w:szCs w:val="22"/>
          <w:lang w:val="es-PE"/>
        </w:rPr>
        <w:t>ya que el flujo de ingresos esperados para ambos escenarios es cero, y por tanto la firma deja de existir en el horizonte de análisis del programa</w:t>
      </w:r>
      <w:r w:rsidRPr="00117CEA">
        <w:rPr>
          <w:rFonts w:ascii="Arial" w:hAnsi="Arial" w:cs="Arial"/>
          <w:sz w:val="22"/>
          <w:szCs w:val="22"/>
          <w:vertAlign w:val="superscript"/>
          <w:lang w:val="es-PE"/>
        </w:rPr>
        <w:footnoteReference w:id="48"/>
      </w:r>
      <w:r w:rsidRPr="00117CEA">
        <w:rPr>
          <w:rFonts w:ascii="Arial" w:hAnsi="Arial" w:cs="Arial"/>
          <w:sz w:val="22"/>
          <w:szCs w:val="22"/>
          <w:lang w:val="es-MX"/>
        </w:rPr>
        <w:t xml:space="preserve">. </w:t>
      </w:r>
    </w:p>
    <w:p w14:paraId="0CFDFB84" w14:textId="672713AB" w:rsidR="009D2DC1" w:rsidRDefault="009D2DC1" w:rsidP="000F0F47">
      <w:pPr>
        <w:pStyle w:val="Paragraph"/>
        <w:numPr>
          <w:ilvl w:val="1"/>
          <w:numId w:val="2"/>
        </w:numPr>
        <w:ind w:left="630" w:hanging="630"/>
        <w:rPr>
          <w:rFonts w:ascii="Arial" w:hAnsi="Arial" w:cs="Arial"/>
          <w:sz w:val="22"/>
          <w:szCs w:val="22"/>
          <w:lang w:val="es-MX"/>
        </w:rPr>
      </w:pPr>
      <w:r w:rsidRPr="018353BF">
        <w:rPr>
          <w:rFonts w:ascii="Arial" w:hAnsi="Arial" w:cs="Arial"/>
          <w:sz w:val="22"/>
          <w:szCs w:val="22"/>
          <w:lang w:val="es-MX"/>
        </w:rPr>
        <w:t xml:space="preserve">En segundo lugar, se considerarán los beneficios económicos derivados de la preservación del empleo como consecuencia de la supervivencia de las firmas. Para este caso, se considera que existe un beneficio económico igual al flujo </w:t>
      </w:r>
      <w:r w:rsidR="004D0C9A" w:rsidRPr="018353BF">
        <w:rPr>
          <w:rFonts w:ascii="Arial" w:hAnsi="Arial" w:cs="Arial"/>
          <w:sz w:val="22"/>
          <w:szCs w:val="22"/>
          <w:lang w:val="es-MX"/>
        </w:rPr>
        <w:t xml:space="preserve">futuro </w:t>
      </w:r>
      <w:r w:rsidRPr="018353BF">
        <w:rPr>
          <w:rFonts w:ascii="Arial" w:hAnsi="Arial" w:cs="Arial"/>
          <w:sz w:val="22"/>
          <w:szCs w:val="22"/>
          <w:lang w:val="es-MX"/>
        </w:rPr>
        <w:t xml:space="preserve">de los ingresos de los trabajadores </w:t>
      </w:r>
      <w:r w:rsidR="004D0C9A" w:rsidRPr="018353BF">
        <w:rPr>
          <w:rFonts w:ascii="Arial" w:hAnsi="Arial" w:cs="Arial"/>
          <w:sz w:val="22"/>
          <w:szCs w:val="22"/>
          <w:lang w:val="es-MX"/>
        </w:rPr>
        <w:t xml:space="preserve">de </w:t>
      </w:r>
      <w:r w:rsidR="005A0251" w:rsidRPr="00C32624">
        <w:rPr>
          <w:rFonts w:ascii="Arial" w:hAnsi="Arial" w:cs="Arial"/>
          <w:sz w:val="22"/>
          <w:szCs w:val="22"/>
          <w:lang w:val="es-MX"/>
        </w:rPr>
        <w:t>MiPyME</w:t>
      </w:r>
      <w:r w:rsidR="004D0C9A" w:rsidRPr="018353BF">
        <w:rPr>
          <w:rFonts w:ascii="Arial" w:hAnsi="Arial" w:cs="Arial"/>
          <w:sz w:val="22"/>
          <w:szCs w:val="22"/>
          <w:lang w:val="es-MX"/>
        </w:rPr>
        <w:t xml:space="preserve"> cuyo empleo es preservado gracias a la supervivencia de las firmas. En este escenario, el beneficio se contabilizará para las firmas que no hubieran sobrevivido a no ser por el programa. No obstante, </w:t>
      </w:r>
      <w:r w:rsidR="00DA5859" w:rsidRPr="018353BF">
        <w:rPr>
          <w:rFonts w:ascii="Arial" w:hAnsi="Arial" w:cs="Arial"/>
          <w:sz w:val="22"/>
          <w:szCs w:val="22"/>
          <w:lang w:val="es-MX"/>
        </w:rPr>
        <w:t xml:space="preserve">debido al nuevo nivel de producción y demanda de equilibrio (como consecuencia de la crisis) </w:t>
      </w:r>
      <w:r w:rsidR="004D0C9A" w:rsidRPr="018353BF">
        <w:rPr>
          <w:rFonts w:ascii="Arial" w:hAnsi="Arial" w:cs="Arial"/>
          <w:sz w:val="22"/>
          <w:szCs w:val="22"/>
          <w:lang w:val="es-MX"/>
        </w:rPr>
        <w:t>la cantidad de m</w:t>
      </w:r>
      <w:r w:rsidR="00591DBC" w:rsidRPr="018353BF">
        <w:rPr>
          <w:rFonts w:ascii="Arial" w:hAnsi="Arial" w:cs="Arial"/>
          <w:sz w:val="22"/>
          <w:szCs w:val="22"/>
          <w:lang w:val="es-MX"/>
        </w:rPr>
        <w:t>a</w:t>
      </w:r>
      <w:r w:rsidR="4A29901A" w:rsidRPr="018353BF">
        <w:rPr>
          <w:rFonts w:ascii="Arial" w:hAnsi="Arial" w:cs="Arial"/>
          <w:sz w:val="22"/>
          <w:szCs w:val="22"/>
          <w:lang w:val="es-MX"/>
        </w:rPr>
        <w:t>n</w:t>
      </w:r>
      <w:r w:rsidR="00591DBC" w:rsidRPr="018353BF">
        <w:rPr>
          <w:rFonts w:ascii="Arial" w:hAnsi="Arial" w:cs="Arial"/>
          <w:sz w:val="22"/>
          <w:szCs w:val="22"/>
          <w:lang w:val="es-MX"/>
        </w:rPr>
        <w:t>o</w:t>
      </w:r>
      <w:r w:rsidR="004D0C9A" w:rsidRPr="018353BF">
        <w:rPr>
          <w:rFonts w:ascii="Arial" w:hAnsi="Arial" w:cs="Arial"/>
          <w:sz w:val="22"/>
          <w:szCs w:val="22"/>
          <w:lang w:val="es-MX"/>
        </w:rPr>
        <w:t xml:space="preserve"> de obra empleada por las firmas que sobreviven es menor al escenario </w:t>
      </w:r>
      <w:proofErr w:type="gramStart"/>
      <w:r w:rsidR="004D0C9A" w:rsidRPr="018353BF">
        <w:rPr>
          <w:rFonts w:ascii="Arial" w:hAnsi="Arial" w:cs="Arial"/>
          <w:sz w:val="22"/>
          <w:szCs w:val="22"/>
          <w:lang w:val="es-MX"/>
        </w:rPr>
        <w:t>pre</w:t>
      </w:r>
      <w:r w:rsidR="002E53F4">
        <w:rPr>
          <w:rFonts w:ascii="Arial" w:hAnsi="Arial" w:cs="Arial"/>
          <w:sz w:val="22"/>
          <w:szCs w:val="22"/>
          <w:lang w:val="es-MX"/>
        </w:rPr>
        <w:t xml:space="preserve"> </w:t>
      </w:r>
      <w:r w:rsidR="004D0C9A" w:rsidRPr="018353BF">
        <w:rPr>
          <w:rFonts w:ascii="Arial" w:hAnsi="Arial" w:cs="Arial"/>
          <w:sz w:val="22"/>
          <w:szCs w:val="22"/>
          <w:lang w:val="es-MX"/>
        </w:rPr>
        <w:t>crisis</w:t>
      </w:r>
      <w:proofErr w:type="gramEnd"/>
      <w:r w:rsidR="004D0C9A" w:rsidRPr="018353BF">
        <w:rPr>
          <w:rFonts w:ascii="Arial" w:hAnsi="Arial" w:cs="Arial"/>
          <w:sz w:val="22"/>
          <w:szCs w:val="22"/>
          <w:lang w:val="es-MX"/>
        </w:rPr>
        <w:t xml:space="preserve">. </w:t>
      </w:r>
      <w:r w:rsidR="0011657C" w:rsidRPr="018353BF">
        <w:rPr>
          <w:rFonts w:ascii="Arial" w:hAnsi="Arial" w:cs="Arial"/>
          <w:sz w:val="22"/>
          <w:szCs w:val="22"/>
          <w:lang w:val="es-MX"/>
        </w:rPr>
        <w:t>El beneficio consiste en el valor del empleo de las firmas que sobreviven gracias al programa</w:t>
      </w:r>
      <w:r w:rsidR="004D0C9A" w:rsidRPr="018353BF">
        <w:rPr>
          <w:rFonts w:ascii="Arial" w:hAnsi="Arial" w:cs="Arial"/>
          <w:sz w:val="22"/>
          <w:szCs w:val="22"/>
          <w:lang w:val="es-MX"/>
        </w:rPr>
        <w:t>.</w:t>
      </w:r>
      <w:r w:rsidR="0011657C" w:rsidRPr="018353BF">
        <w:rPr>
          <w:rFonts w:ascii="Arial" w:hAnsi="Arial" w:cs="Arial"/>
          <w:sz w:val="22"/>
          <w:szCs w:val="22"/>
          <w:lang w:val="es-MX"/>
        </w:rPr>
        <w:t xml:space="preserve"> La extensión del flujo de este beneficio dependerá de la duración esperada del desempleo durante la crisis</w:t>
      </w:r>
      <w:r w:rsidR="00BA4872" w:rsidRPr="018353BF">
        <w:rPr>
          <w:rFonts w:ascii="Arial" w:hAnsi="Arial" w:cs="Arial"/>
          <w:sz w:val="22"/>
          <w:szCs w:val="22"/>
          <w:lang w:val="es-MX"/>
        </w:rPr>
        <w:t>.</w:t>
      </w:r>
    </w:p>
    <w:p w14:paraId="7FD26403" w14:textId="747D18D4" w:rsidR="00117CEA" w:rsidRPr="00B301A6" w:rsidRDefault="00117CEA" w:rsidP="00B301A6">
      <w:pPr>
        <w:pStyle w:val="Paragraph"/>
        <w:numPr>
          <w:ilvl w:val="1"/>
          <w:numId w:val="2"/>
        </w:numPr>
        <w:ind w:left="630" w:hanging="630"/>
        <w:rPr>
          <w:rFonts w:ascii="Arial" w:hAnsi="Arial" w:cs="Arial"/>
          <w:sz w:val="22"/>
          <w:szCs w:val="22"/>
          <w:lang w:val="es-MX"/>
        </w:rPr>
      </w:pPr>
      <w:r w:rsidRPr="00B301A6">
        <w:rPr>
          <w:rFonts w:ascii="Arial" w:hAnsi="Arial" w:cs="Arial"/>
          <w:b/>
          <w:bCs/>
          <w:sz w:val="22"/>
          <w:szCs w:val="22"/>
          <w:lang w:val="es-MX"/>
        </w:rPr>
        <w:lastRenderedPageBreak/>
        <w:t>Costos de la intervención</w:t>
      </w:r>
      <w:r w:rsidR="00B301A6">
        <w:rPr>
          <w:rFonts w:ascii="Arial" w:hAnsi="Arial" w:cs="Arial"/>
          <w:b/>
          <w:bCs/>
          <w:sz w:val="22"/>
          <w:szCs w:val="22"/>
          <w:lang w:val="es-MX"/>
        </w:rPr>
        <w:t>.</w:t>
      </w:r>
      <w:r w:rsidR="00B301A6">
        <w:rPr>
          <w:rFonts w:ascii="Arial" w:hAnsi="Arial" w:cs="Arial"/>
          <w:sz w:val="22"/>
          <w:szCs w:val="22"/>
          <w:lang w:val="es-MX"/>
        </w:rPr>
        <w:t xml:space="preserve"> </w:t>
      </w:r>
      <w:r w:rsidRPr="00B301A6">
        <w:rPr>
          <w:rFonts w:ascii="Arial" w:hAnsi="Arial" w:cs="Arial"/>
          <w:sz w:val="22"/>
          <w:szCs w:val="22"/>
          <w:lang w:val="es-PE"/>
        </w:rPr>
        <w:t>Por simplicidad y disponibilidad de datos, los costos de la intervención serán tomados como iguales al monto total de la inversión programada en la presente operación.</w:t>
      </w:r>
    </w:p>
    <w:p w14:paraId="604FA820" w14:textId="15D84E5F" w:rsidR="00244B7E" w:rsidRPr="00B301A6" w:rsidRDefault="00244B7E" w:rsidP="00BF7FD8">
      <w:pPr>
        <w:pStyle w:val="ListParagraph"/>
        <w:numPr>
          <w:ilvl w:val="0"/>
          <w:numId w:val="4"/>
        </w:numPr>
        <w:spacing w:after="200" w:line="276" w:lineRule="auto"/>
        <w:ind w:hanging="720"/>
        <w:jc w:val="both"/>
        <w:rPr>
          <w:rFonts w:ascii="Arial" w:hAnsi="Arial" w:cs="Arial"/>
          <w:b/>
          <w:sz w:val="22"/>
          <w:szCs w:val="18"/>
          <w:lang w:val="es-MX"/>
        </w:rPr>
      </w:pPr>
      <w:r w:rsidRPr="00B301A6">
        <w:rPr>
          <w:rFonts w:ascii="Arial" w:hAnsi="Arial" w:cs="Arial"/>
          <w:b/>
          <w:sz w:val="22"/>
          <w:szCs w:val="18"/>
          <w:lang w:val="es-MX"/>
        </w:rPr>
        <w:t xml:space="preserve">Supuestos </w:t>
      </w:r>
    </w:p>
    <w:p w14:paraId="30BF3003" w14:textId="6FBC9DA2" w:rsidR="00F55C6E" w:rsidRDefault="00117CEA" w:rsidP="000F0F47">
      <w:pPr>
        <w:pStyle w:val="Paragraph"/>
        <w:numPr>
          <w:ilvl w:val="1"/>
          <w:numId w:val="2"/>
        </w:numPr>
        <w:ind w:left="630" w:hanging="630"/>
        <w:rPr>
          <w:rFonts w:ascii="Arial" w:hAnsi="Arial" w:cs="Arial"/>
          <w:sz w:val="22"/>
          <w:szCs w:val="22"/>
          <w:lang w:val="es-PE"/>
        </w:rPr>
      </w:pPr>
      <w:r w:rsidRPr="00F55C6E">
        <w:rPr>
          <w:rFonts w:ascii="Arial" w:hAnsi="Arial" w:cs="Arial"/>
          <w:b/>
          <w:bCs/>
          <w:sz w:val="22"/>
          <w:szCs w:val="22"/>
          <w:lang w:val="es-PE"/>
        </w:rPr>
        <w:t>Probabilidad de supervivencia.</w:t>
      </w:r>
      <w:r w:rsidR="007D251E">
        <w:rPr>
          <w:rFonts w:ascii="Arial" w:hAnsi="Arial" w:cs="Arial"/>
          <w:b/>
          <w:bCs/>
          <w:sz w:val="22"/>
          <w:szCs w:val="22"/>
          <w:lang w:val="es-PE"/>
        </w:rPr>
        <w:t xml:space="preserve"> </w:t>
      </w:r>
      <w:r w:rsidRPr="00F55C6E">
        <w:rPr>
          <w:rFonts w:ascii="Arial" w:hAnsi="Arial" w:cs="Arial"/>
          <w:sz w:val="22"/>
          <w:szCs w:val="22"/>
          <w:lang w:val="es-PE"/>
        </w:rPr>
        <w:t>En base a la evidencia empírica disponible</w:t>
      </w:r>
      <w:r w:rsidR="009B7EB3">
        <w:rPr>
          <w:rFonts w:ascii="Arial" w:hAnsi="Arial" w:cs="Arial"/>
          <w:sz w:val="22"/>
          <w:szCs w:val="22"/>
          <w:lang w:val="es-PE"/>
        </w:rPr>
        <w:t xml:space="preserve">, </w:t>
      </w:r>
      <w:r w:rsidR="00141F69">
        <w:rPr>
          <w:rFonts w:ascii="Arial" w:hAnsi="Arial" w:cs="Arial"/>
          <w:sz w:val="22"/>
          <w:szCs w:val="22"/>
          <w:lang w:val="es-PE"/>
        </w:rPr>
        <w:t>se asume una tasa de sobrevivencia para la</w:t>
      </w:r>
      <w:r w:rsidR="00CD00D8">
        <w:rPr>
          <w:rFonts w:ascii="Arial" w:hAnsi="Arial" w:cs="Arial"/>
          <w:sz w:val="22"/>
          <w:szCs w:val="22"/>
          <w:lang w:val="es-PE"/>
        </w:rPr>
        <w:t xml:space="preserve">s firmas beneficiarias </w:t>
      </w:r>
      <w:r w:rsidR="00141F69">
        <w:rPr>
          <w:rFonts w:ascii="Arial" w:hAnsi="Arial" w:cs="Arial"/>
          <w:sz w:val="22"/>
          <w:szCs w:val="22"/>
          <w:lang w:val="es-PE"/>
        </w:rPr>
        <w:t xml:space="preserve">en línea de base de 91%, </w:t>
      </w:r>
      <w:r w:rsidR="009B7EB3">
        <w:rPr>
          <w:rFonts w:ascii="Arial" w:hAnsi="Arial" w:cs="Arial"/>
          <w:sz w:val="22"/>
          <w:szCs w:val="22"/>
          <w:lang w:val="es-PE"/>
        </w:rPr>
        <w:t>obtenida a partir de</w:t>
      </w:r>
      <w:r w:rsidR="00671262">
        <w:rPr>
          <w:rFonts w:ascii="Arial" w:hAnsi="Arial" w:cs="Arial"/>
          <w:sz w:val="22"/>
          <w:szCs w:val="22"/>
          <w:lang w:val="es-PE"/>
        </w:rPr>
        <w:t>l</w:t>
      </w:r>
      <w:r w:rsidR="009B7EB3">
        <w:rPr>
          <w:rFonts w:ascii="Arial" w:hAnsi="Arial" w:cs="Arial"/>
          <w:sz w:val="22"/>
          <w:szCs w:val="22"/>
          <w:lang w:val="es-PE"/>
        </w:rPr>
        <w:t xml:space="preserve"> estudio sobre tasas de salida históricas de empresas en </w:t>
      </w:r>
      <w:r w:rsidR="00141F69">
        <w:rPr>
          <w:rFonts w:ascii="Arial" w:hAnsi="Arial" w:cs="Arial"/>
          <w:sz w:val="22"/>
          <w:szCs w:val="22"/>
          <w:lang w:val="es-PE"/>
        </w:rPr>
        <w:t>Chile</w:t>
      </w:r>
      <w:r w:rsidR="009B7EB3">
        <w:rPr>
          <w:rStyle w:val="FootnoteReference"/>
          <w:rFonts w:ascii="Arial" w:hAnsi="Arial" w:cs="Arial"/>
          <w:sz w:val="22"/>
          <w:szCs w:val="22"/>
          <w:lang w:val="es-PE"/>
        </w:rPr>
        <w:footnoteReference w:id="49"/>
      </w:r>
      <w:r w:rsidR="00141F69">
        <w:rPr>
          <w:rFonts w:ascii="Arial" w:hAnsi="Arial" w:cs="Arial"/>
          <w:sz w:val="22"/>
          <w:szCs w:val="22"/>
          <w:lang w:val="es-PE"/>
        </w:rPr>
        <w:t>.</w:t>
      </w:r>
      <w:r w:rsidR="009B7EB3">
        <w:rPr>
          <w:rFonts w:ascii="Arial" w:hAnsi="Arial" w:cs="Arial"/>
          <w:sz w:val="22"/>
          <w:szCs w:val="22"/>
          <w:lang w:val="es-PE"/>
        </w:rPr>
        <w:t xml:space="preserve"> </w:t>
      </w:r>
      <w:r w:rsidR="004723BC">
        <w:rPr>
          <w:rFonts w:ascii="Arial" w:hAnsi="Arial" w:cs="Arial"/>
          <w:sz w:val="22"/>
          <w:szCs w:val="22"/>
          <w:lang w:val="es-PE"/>
        </w:rPr>
        <w:t xml:space="preserve">Para establecer los supuestos sobre las caídas en supervivencia de las </w:t>
      </w:r>
      <w:r w:rsidR="005A0251" w:rsidRPr="00C32624">
        <w:rPr>
          <w:rFonts w:ascii="Arial" w:hAnsi="Arial" w:cs="Arial"/>
          <w:sz w:val="22"/>
          <w:szCs w:val="22"/>
          <w:lang w:val="es-MX"/>
        </w:rPr>
        <w:t>MiPyME</w:t>
      </w:r>
      <w:r w:rsidR="00CD00D8">
        <w:rPr>
          <w:rFonts w:ascii="Arial" w:hAnsi="Arial" w:cs="Arial"/>
          <w:sz w:val="22"/>
          <w:szCs w:val="22"/>
          <w:lang w:val="es-PE"/>
        </w:rPr>
        <w:t xml:space="preserve"> </w:t>
      </w:r>
      <w:r w:rsidR="004723BC">
        <w:rPr>
          <w:rFonts w:ascii="Arial" w:hAnsi="Arial" w:cs="Arial"/>
          <w:sz w:val="22"/>
          <w:szCs w:val="22"/>
          <w:lang w:val="es-PE"/>
        </w:rPr>
        <w:t>como</w:t>
      </w:r>
      <w:r w:rsidR="00141F69">
        <w:rPr>
          <w:rFonts w:ascii="Arial" w:hAnsi="Arial" w:cs="Arial"/>
          <w:sz w:val="22"/>
          <w:szCs w:val="22"/>
          <w:lang w:val="es-PE"/>
        </w:rPr>
        <w:t xml:space="preserve"> resultado de la crisis, </w:t>
      </w:r>
      <w:r w:rsidR="004723BC">
        <w:rPr>
          <w:rFonts w:ascii="Arial" w:hAnsi="Arial" w:cs="Arial"/>
          <w:sz w:val="22"/>
          <w:szCs w:val="22"/>
          <w:lang w:val="es-PE"/>
        </w:rPr>
        <w:t xml:space="preserve">el análisis se basa </w:t>
      </w:r>
      <w:r w:rsidR="00141F69">
        <w:rPr>
          <w:rFonts w:ascii="Arial" w:hAnsi="Arial" w:cs="Arial"/>
          <w:sz w:val="22"/>
          <w:szCs w:val="22"/>
          <w:lang w:val="es-PE"/>
        </w:rPr>
        <w:t xml:space="preserve">en </w:t>
      </w:r>
      <w:r w:rsidR="00141F69" w:rsidRPr="00141F69">
        <w:rPr>
          <w:rFonts w:ascii="Arial" w:hAnsi="Arial" w:cs="Arial"/>
          <w:sz w:val="22"/>
          <w:szCs w:val="22"/>
          <w:lang w:val="es-PE"/>
        </w:rPr>
        <w:t xml:space="preserve">las tendencias en quiebras observadas </w:t>
      </w:r>
      <w:r w:rsidR="00671262">
        <w:rPr>
          <w:rFonts w:ascii="Arial" w:hAnsi="Arial" w:cs="Arial"/>
          <w:sz w:val="22"/>
          <w:szCs w:val="22"/>
          <w:lang w:val="es-PE"/>
        </w:rPr>
        <w:t>durante</w:t>
      </w:r>
      <w:r w:rsidR="00141F69" w:rsidRPr="00141F69">
        <w:rPr>
          <w:rFonts w:ascii="Arial" w:hAnsi="Arial" w:cs="Arial"/>
          <w:sz w:val="22"/>
          <w:szCs w:val="22"/>
          <w:lang w:val="es-PE"/>
        </w:rPr>
        <w:t xml:space="preserve"> </w:t>
      </w:r>
      <w:r w:rsidR="004723BC">
        <w:rPr>
          <w:rFonts w:ascii="Arial" w:hAnsi="Arial" w:cs="Arial"/>
          <w:sz w:val="22"/>
          <w:szCs w:val="22"/>
          <w:lang w:val="es-PE"/>
        </w:rPr>
        <w:t xml:space="preserve">la reciente </w:t>
      </w:r>
      <w:r w:rsidR="00141F69" w:rsidRPr="00141F69">
        <w:rPr>
          <w:rFonts w:ascii="Arial" w:hAnsi="Arial" w:cs="Arial"/>
          <w:sz w:val="22"/>
          <w:szCs w:val="22"/>
          <w:lang w:val="es-PE"/>
        </w:rPr>
        <w:t>crisis</w:t>
      </w:r>
      <w:r w:rsidR="004723BC">
        <w:rPr>
          <w:rFonts w:ascii="Arial" w:hAnsi="Arial" w:cs="Arial"/>
          <w:sz w:val="22"/>
          <w:szCs w:val="22"/>
          <w:lang w:val="es-PE"/>
        </w:rPr>
        <w:t xml:space="preserve"> financiera (2008-2009)</w:t>
      </w:r>
      <w:r w:rsidR="00141F69" w:rsidRPr="00141F69">
        <w:rPr>
          <w:rStyle w:val="FootnoteReference"/>
          <w:rFonts w:ascii="Arial" w:hAnsi="Arial" w:cs="Arial"/>
          <w:sz w:val="22"/>
          <w:szCs w:val="22"/>
          <w:vertAlign w:val="baseline"/>
          <w:lang w:val="es-PE"/>
        </w:rPr>
        <w:t xml:space="preserve"> </w:t>
      </w:r>
      <w:r w:rsidR="00141F69">
        <w:rPr>
          <w:rFonts w:ascii="Arial" w:hAnsi="Arial" w:cs="Arial"/>
          <w:sz w:val="22"/>
          <w:szCs w:val="22"/>
          <w:lang w:val="es-PE"/>
        </w:rPr>
        <w:t xml:space="preserve">en países de la </w:t>
      </w:r>
      <w:r w:rsidR="00141F69" w:rsidRPr="00141F69">
        <w:rPr>
          <w:rFonts w:ascii="Arial" w:hAnsi="Arial" w:cs="Arial"/>
          <w:sz w:val="22"/>
          <w:szCs w:val="22"/>
          <w:lang w:val="es-PE"/>
        </w:rPr>
        <w:t xml:space="preserve">Organización para la Cooperación y el Desarrollo Económico </w:t>
      </w:r>
      <w:r w:rsidR="00141F69">
        <w:rPr>
          <w:rFonts w:ascii="Arial" w:hAnsi="Arial" w:cs="Arial"/>
          <w:sz w:val="22"/>
          <w:szCs w:val="22"/>
          <w:lang w:val="es-PE"/>
        </w:rPr>
        <w:t>(OCDE)</w:t>
      </w:r>
      <w:r w:rsidR="00141F69">
        <w:rPr>
          <w:rStyle w:val="FootnoteReference"/>
          <w:rFonts w:ascii="Arial" w:hAnsi="Arial" w:cs="Arial"/>
          <w:sz w:val="22"/>
          <w:szCs w:val="22"/>
          <w:lang w:val="es-PE"/>
        </w:rPr>
        <w:footnoteReference w:id="50"/>
      </w:r>
      <w:r w:rsidR="00141F69">
        <w:rPr>
          <w:rFonts w:ascii="Arial" w:hAnsi="Arial" w:cs="Arial"/>
          <w:sz w:val="22"/>
          <w:szCs w:val="22"/>
          <w:lang w:val="es-PE"/>
        </w:rPr>
        <w:t>, de la cual México forma parte</w:t>
      </w:r>
      <w:r w:rsidR="004723BC">
        <w:rPr>
          <w:rFonts w:ascii="Arial" w:hAnsi="Arial" w:cs="Arial"/>
          <w:sz w:val="22"/>
          <w:szCs w:val="22"/>
          <w:lang w:val="es-PE"/>
        </w:rPr>
        <w:t>.</w:t>
      </w:r>
      <w:r w:rsidRPr="00F55C6E">
        <w:rPr>
          <w:rFonts w:ascii="Arial" w:hAnsi="Arial" w:cs="Arial"/>
          <w:sz w:val="22"/>
          <w:szCs w:val="22"/>
          <w:lang w:val="es-PE"/>
        </w:rPr>
        <w:t xml:space="preserve"> </w:t>
      </w:r>
      <w:r w:rsidR="004723BC">
        <w:rPr>
          <w:rFonts w:ascii="Arial" w:hAnsi="Arial" w:cs="Arial"/>
          <w:sz w:val="22"/>
          <w:szCs w:val="22"/>
          <w:lang w:val="es-PE"/>
        </w:rPr>
        <w:t xml:space="preserve">Durante 2008, se observó un crecimiento interanual en las quiebras de </w:t>
      </w:r>
      <w:r w:rsidR="00CD00D8">
        <w:rPr>
          <w:rFonts w:ascii="Arial" w:hAnsi="Arial" w:cs="Arial"/>
          <w:sz w:val="22"/>
          <w:szCs w:val="22"/>
          <w:lang w:val="es-PE"/>
        </w:rPr>
        <w:t>Pequeñas y Medianas Empresas (</w:t>
      </w:r>
      <w:r w:rsidR="004723BC">
        <w:rPr>
          <w:rFonts w:ascii="Arial" w:hAnsi="Arial" w:cs="Arial"/>
          <w:sz w:val="22"/>
          <w:szCs w:val="22"/>
          <w:lang w:val="es-PE"/>
        </w:rPr>
        <w:t>PYME</w:t>
      </w:r>
      <w:r w:rsidR="00CD00D8">
        <w:rPr>
          <w:rFonts w:ascii="Arial" w:hAnsi="Arial" w:cs="Arial"/>
          <w:sz w:val="22"/>
          <w:szCs w:val="22"/>
          <w:lang w:val="es-PE"/>
        </w:rPr>
        <w:t>)</w:t>
      </w:r>
      <w:r w:rsidR="004723BC">
        <w:rPr>
          <w:rFonts w:ascii="Arial" w:hAnsi="Arial" w:cs="Arial"/>
          <w:sz w:val="22"/>
          <w:szCs w:val="22"/>
          <w:lang w:val="es-PE"/>
        </w:rPr>
        <w:t xml:space="preserve"> de alrededor del 10%. En el pico de la crisis, en 2009, la tasa de crecimiento en quiebras respecto de 2008 superó el 20%</w:t>
      </w:r>
      <w:r w:rsidR="002E53F4">
        <w:rPr>
          <w:rFonts w:ascii="Arial" w:hAnsi="Arial" w:cs="Arial"/>
          <w:sz w:val="22"/>
          <w:szCs w:val="22"/>
          <w:lang w:val="es-PE"/>
        </w:rPr>
        <w:t xml:space="preserve"> (Figura 2.1)</w:t>
      </w:r>
      <w:r w:rsidR="004723BC">
        <w:rPr>
          <w:rFonts w:ascii="Arial" w:hAnsi="Arial" w:cs="Arial"/>
          <w:sz w:val="22"/>
          <w:szCs w:val="22"/>
          <w:lang w:val="es-PE"/>
        </w:rPr>
        <w:t xml:space="preserve">. Basado en estas cifras, </w:t>
      </w:r>
      <w:r w:rsidRPr="00F55C6E">
        <w:rPr>
          <w:rFonts w:ascii="Arial" w:hAnsi="Arial" w:cs="Arial"/>
          <w:sz w:val="22"/>
          <w:szCs w:val="22"/>
          <w:lang w:val="es-PE"/>
        </w:rPr>
        <w:t xml:space="preserve">se asume para el escenario sin intervención </w:t>
      </w:r>
      <w:r w:rsidR="00141F69">
        <w:rPr>
          <w:rFonts w:ascii="Arial" w:hAnsi="Arial" w:cs="Arial"/>
          <w:sz w:val="22"/>
          <w:szCs w:val="22"/>
          <w:lang w:val="es-PE"/>
        </w:rPr>
        <w:t xml:space="preserve">que las quiebras de </w:t>
      </w:r>
      <w:r w:rsidR="00CD00D8">
        <w:rPr>
          <w:rFonts w:ascii="Arial" w:hAnsi="Arial" w:cs="Arial"/>
          <w:sz w:val="22"/>
          <w:szCs w:val="22"/>
          <w:lang w:val="es-PE"/>
        </w:rPr>
        <w:t xml:space="preserve">las </w:t>
      </w:r>
      <w:r w:rsidR="005A0251" w:rsidRPr="00C32624">
        <w:rPr>
          <w:rFonts w:ascii="Arial" w:hAnsi="Arial" w:cs="Arial"/>
          <w:sz w:val="22"/>
          <w:szCs w:val="22"/>
          <w:lang w:val="es-MX"/>
        </w:rPr>
        <w:t>MiPyME</w:t>
      </w:r>
      <w:r w:rsidR="00141F69">
        <w:rPr>
          <w:rFonts w:ascii="Arial" w:hAnsi="Arial" w:cs="Arial"/>
          <w:sz w:val="22"/>
          <w:szCs w:val="22"/>
          <w:lang w:val="es-PE"/>
        </w:rPr>
        <w:t xml:space="preserve"> crecen hasta un </w:t>
      </w:r>
      <w:r w:rsidR="004723BC">
        <w:rPr>
          <w:rFonts w:ascii="Arial" w:hAnsi="Arial" w:cs="Arial"/>
          <w:sz w:val="22"/>
          <w:szCs w:val="22"/>
          <w:lang w:val="es-PE"/>
        </w:rPr>
        <w:t>3</w:t>
      </w:r>
      <w:r w:rsidR="00141F69">
        <w:rPr>
          <w:rFonts w:ascii="Arial" w:hAnsi="Arial" w:cs="Arial"/>
          <w:sz w:val="22"/>
          <w:szCs w:val="22"/>
          <w:lang w:val="es-PE"/>
        </w:rPr>
        <w:t>0%</w:t>
      </w:r>
      <w:r w:rsidR="00043819">
        <w:rPr>
          <w:rFonts w:ascii="Arial" w:hAnsi="Arial" w:cs="Arial"/>
          <w:sz w:val="22"/>
          <w:szCs w:val="22"/>
          <w:lang w:val="es-PE"/>
        </w:rPr>
        <w:t> </w:t>
      </w:r>
      <w:r w:rsidR="004723BC">
        <w:rPr>
          <w:rFonts w:ascii="Arial" w:hAnsi="Arial" w:cs="Arial"/>
          <w:sz w:val="22"/>
          <w:szCs w:val="22"/>
          <w:lang w:val="es-PE"/>
        </w:rPr>
        <w:t xml:space="preserve">(es decir, el efecto acumulado del periodo 2008-2009), </w:t>
      </w:r>
      <w:r w:rsidR="00141F69">
        <w:rPr>
          <w:rFonts w:ascii="Arial" w:hAnsi="Arial" w:cs="Arial"/>
          <w:sz w:val="22"/>
          <w:szCs w:val="22"/>
          <w:lang w:val="es-PE"/>
        </w:rPr>
        <w:t>lo que equivale a una</w:t>
      </w:r>
      <w:r w:rsidRPr="00F55C6E">
        <w:rPr>
          <w:rFonts w:ascii="Arial" w:hAnsi="Arial" w:cs="Arial"/>
          <w:sz w:val="22"/>
          <w:szCs w:val="22"/>
          <w:lang w:val="es-PE"/>
        </w:rPr>
        <w:t xml:space="preserve"> tasa de supervivencia de las firmas de </w:t>
      </w:r>
      <w:r w:rsidR="009B7EB3">
        <w:rPr>
          <w:rFonts w:ascii="Arial" w:hAnsi="Arial" w:cs="Arial"/>
          <w:sz w:val="22"/>
          <w:szCs w:val="22"/>
          <w:lang w:val="es-PE"/>
        </w:rPr>
        <w:t>8</w:t>
      </w:r>
      <w:r w:rsidR="004723BC">
        <w:rPr>
          <w:rFonts w:ascii="Arial" w:hAnsi="Arial" w:cs="Arial"/>
          <w:sz w:val="22"/>
          <w:szCs w:val="22"/>
          <w:lang w:val="es-PE"/>
        </w:rPr>
        <w:t>8</w:t>
      </w:r>
      <w:r w:rsidR="00141F69">
        <w:rPr>
          <w:rFonts w:ascii="Arial" w:hAnsi="Arial" w:cs="Arial"/>
          <w:sz w:val="22"/>
          <w:szCs w:val="22"/>
          <w:lang w:val="es-PE"/>
        </w:rPr>
        <w:t>.</w:t>
      </w:r>
      <w:r w:rsidR="004723BC">
        <w:rPr>
          <w:rFonts w:ascii="Arial" w:hAnsi="Arial" w:cs="Arial"/>
          <w:sz w:val="22"/>
          <w:szCs w:val="22"/>
          <w:lang w:val="es-PE"/>
        </w:rPr>
        <w:t>3</w:t>
      </w:r>
      <w:r w:rsidR="009B7EB3">
        <w:rPr>
          <w:rFonts w:ascii="Arial" w:hAnsi="Arial" w:cs="Arial"/>
          <w:sz w:val="22"/>
          <w:szCs w:val="22"/>
          <w:lang w:val="es-PE"/>
        </w:rPr>
        <w:t>%.</w:t>
      </w:r>
      <w:r w:rsidRPr="00F55C6E">
        <w:rPr>
          <w:rFonts w:ascii="Arial" w:hAnsi="Arial" w:cs="Arial"/>
          <w:sz w:val="22"/>
          <w:szCs w:val="22"/>
          <w:lang w:val="es-PE"/>
        </w:rPr>
        <w:t xml:space="preserve"> </w:t>
      </w:r>
      <w:r w:rsidR="00141F69">
        <w:rPr>
          <w:rFonts w:ascii="Arial" w:hAnsi="Arial" w:cs="Arial"/>
          <w:sz w:val="22"/>
          <w:szCs w:val="22"/>
          <w:lang w:val="es-PE"/>
        </w:rPr>
        <w:t>Esto se considera un supuesto conservador</w:t>
      </w:r>
      <w:r w:rsidR="00885FB2" w:rsidRPr="00F55C6E">
        <w:rPr>
          <w:rFonts w:ascii="Arial" w:hAnsi="Arial" w:cs="Arial"/>
          <w:sz w:val="22"/>
          <w:szCs w:val="22"/>
          <w:lang w:val="es-PE"/>
        </w:rPr>
        <w:t xml:space="preserve">, </w:t>
      </w:r>
      <w:r w:rsidR="00141F69">
        <w:rPr>
          <w:rFonts w:ascii="Arial" w:hAnsi="Arial" w:cs="Arial"/>
          <w:sz w:val="22"/>
          <w:szCs w:val="22"/>
          <w:lang w:val="es-PE"/>
        </w:rPr>
        <w:t>dada</w:t>
      </w:r>
      <w:r w:rsidRPr="00F55C6E">
        <w:rPr>
          <w:rFonts w:ascii="Arial" w:hAnsi="Arial" w:cs="Arial"/>
          <w:sz w:val="22"/>
          <w:szCs w:val="22"/>
          <w:lang w:val="es-PE"/>
        </w:rPr>
        <w:t xml:space="preserve"> la particular vulnerabilidad de las </w:t>
      </w:r>
      <w:r w:rsidR="005A0251" w:rsidRPr="00C32624">
        <w:rPr>
          <w:rFonts w:ascii="Arial" w:hAnsi="Arial" w:cs="Arial"/>
          <w:sz w:val="22"/>
          <w:szCs w:val="22"/>
          <w:lang w:val="es-MX"/>
        </w:rPr>
        <w:t>MiPyME</w:t>
      </w:r>
      <w:r w:rsidRPr="00F55C6E">
        <w:rPr>
          <w:rFonts w:ascii="Arial" w:hAnsi="Arial" w:cs="Arial"/>
          <w:sz w:val="22"/>
          <w:szCs w:val="22"/>
          <w:lang w:val="es-PE"/>
        </w:rPr>
        <w:t xml:space="preserve"> que conforma</w:t>
      </w:r>
      <w:r w:rsidR="00141F69">
        <w:rPr>
          <w:rFonts w:ascii="Arial" w:hAnsi="Arial" w:cs="Arial"/>
          <w:sz w:val="22"/>
          <w:szCs w:val="22"/>
          <w:lang w:val="es-PE"/>
        </w:rPr>
        <w:t>n</w:t>
      </w:r>
      <w:r w:rsidRPr="00F55C6E">
        <w:rPr>
          <w:rFonts w:ascii="Arial" w:hAnsi="Arial" w:cs="Arial"/>
          <w:sz w:val="22"/>
          <w:szCs w:val="22"/>
          <w:lang w:val="es-PE"/>
        </w:rPr>
        <w:t xml:space="preserve"> la población objetivo de este programa</w:t>
      </w:r>
      <w:r w:rsidR="004723BC">
        <w:rPr>
          <w:rFonts w:ascii="Arial" w:hAnsi="Arial" w:cs="Arial"/>
          <w:sz w:val="22"/>
          <w:szCs w:val="22"/>
          <w:lang w:val="es-PE"/>
        </w:rPr>
        <w:t xml:space="preserve">, </w:t>
      </w:r>
      <w:r w:rsidRPr="00F55C6E">
        <w:rPr>
          <w:rFonts w:ascii="Arial" w:hAnsi="Arial" w:cs="Arial"/>
          <w:sz w:val="22"/>
          <w:szCs w:val="22"/>
          <w:lang w:val="es-PE"/>
        </w:rPr>
        <w:t xml:space="preserve">que puede implicar una tasa de supervivencia menor al promedio general de las </w:t>
      </w:r>
      <w:r w:rsidR="005A0251" w:rsidRPr="00C32624">
        <w:rPr>
          <w:rFonts w:ascii="Arial" w:hAnsi="Arial" w:cs="Arial"/>
          <w:sz w:val="22"/>
          <w:szCs w:val="22"/>
          <w:lang w:val="es-MX"/>
        </w:rPr>
        <w:t>MiPyME</w:t>
      </w:r>
      <w:r w:rsidR="00141F69">
        <w:rPr>
          <w:rFonts w:ascii="Arial" w:hAnsi="Arial" w:cs="Arial"/>
          <w:sz w:val="22"/>
          <w:szCs w:val="22"/>
          <w:lang w:val="es-PE"/>
        </w:rPr>
        <w:t xml:space="preserve"> y</w:t>
      </w:r>
      <w:r w:rsidR="004723BC">
        <w:rPr>
          <w:rFonts w:ascii="Arial" w:hAnsi="Arial" w:cs="Arial"/>
          <w:sz w:val="22"/>
          <w:szCs w:val="22"/>
          <w:lang w:val="es-PE"/>
        </w:rPr>
        <w:t>,</w:t>
      </w:r>
      <w:r w:rsidR="00141F69">
        <w:rPr>
          <w:rFonts w:ascii="Arial" w:hAnsi="Arial" w:cs="Arial"/>
          <w:sz w:val="22"/>
          <w:szCs w:val="22"/>
          <w:lang w:val="es-PE"/>
        </w:rPr>
        <w:t xml:space="preserve"> sobre todo</w:t>
      </w:r>
      <w:r w:rsidR="004723BC">
        <w:rPr>
          <w:rFonts w:ascii="Arial" w:hAnsi="Arial" w:cs="Arial"/>
          <w:sz w:val="22"/>
          <w:szCs w:val="22"/>
          <w:lang w:val="es-PE"/>
        </w:rPr>
        <w:t>,</w:t>
      </w:r>
      <w:r w:rsidR="00141F69">
        <w:rPr>
          <w:rFonts w:ascii="Arial" w:hAnsi="Arial" w:cs="Arial"/>
          <w:sz w:val="22"/>
          <w:szCs w:val="22"/>
          <w:lang w:val="es-PE"/>
        </w:rPr>
        <w:t xml:space="preserve"> menor al promedio de la PYME </w:t>
      </w:r>
      <w:r w:rsidR="004723BC">
        <w:rPr>
          <w:rFonts w:ascii="Arial" w:hAnsi="Arial" w:cs="Arial"/>
          <w:sz w:val="22"/>
          <w:szCs w:val="22"/>
          <w:lang w:val="es-PE"/>
        </w:rPr>
        <w:t>en países de</w:t>
      </w:r>
      <w:r w:rsidR="00141F69">
        <w:rPr>
          <w:rFonts w:ascii="Arial" w:hAnsi="Arial" w:cs="Arial"/>
          <w:sz w:val="22"/>
          <w:szCs w:val="22"/>
          <w:lang w:val="es-PE"/>
        </w:rPr>
        <w:t xml:space="preserve"> la OCDE </w:t>
      </w:r>
      <w:r w:rsidR="004723BC">
        <w:rPr>
          <w:rFonts w:ascii="Arial" w:hAnsi="Arial" w:cs="Arial"/>
          <w:sz w:val="22"/>
          <w:szCs w:val="22"/>
          <w:lang w:val="es-PE"/>
        </w:rPr>
        <w:t>(</w:t>
      </w:r>
      <w:r w:rsidR="00141F69">
        <w:rPr>
          <w:rFonts w:ascii="Arial" w:hAnsi="Arial" w:cs="Arial"/>
          <w:sz w:val="22"/>
          <w:szCs w:val="22"/>
          <w:lang w:val="es-PE"/>
        </w:rPr>
        <w:t xml:space="preserve">que incluye </w:t>
      </w:r>
      <w:r w:rsidR="004723BC">
        <w:rPr>
          <w:rFonts w:ascii="Arial" w:hAnsi="Arial" w:cs="Arial"/>
          <w:sz w:val="22"/>
          <w:szCs w:val="22"/>
          <w:lang w:val="es-PE"/>
        </w:rPr>
        <w:t xml:space="preserve">economías más </w:t>
      </w:r>
      <w:r w:rsidR="00141F69">
        <w:rPr>
          <w:rFonts w:ascii="Arial" w:hAnsi="Arial" w:cs="Arial"/>
          <w:sz w:val="22"/>
          <w:szCs w:val="22"/>
          <w:lang w:val="es-PE"/>
        </w:rPr>
        <w:t>desarrollad</w:t>
      </w:r>
      <w:r w:rsidR="004723BC">
        <w:rPr>
          <w:rFonts w:ascii="Arial" w:hAnsi="Arial" w:cs="Arial"/>
          <w:sz w:val="22"/>
          <w:szCs w:val="22"/>
          <w:lang w:val="es-PE"/>
        </w:rPr>
        <w:t xml:space="preserve">as que la mexicana). Para el escenario con intervención, </w:t>
      </w:r>
      <w:r w:rsidRPr="00F55C6E">
        <w:rPr>
          <w:rFonts w:ascii="Arial" w:hAnsi="Arial" w:cs="Arial"/>
          <w:sz w:val="22"/>
          <w:szCs w:val="22"/>
          <w:lang w:val="es-PE"/>
        </w:rPr>
        <w:t xml:space="preserve">se asumirá </w:t>
      </w:r>
      <w:r w:rsidR="004723BC">
        <w:rPr>
          <w:rFonts w:ascii="Arial" w:hAnsi="Arial" w:cs="Arial"/>
          <w:sz w:val="22"/>
          <w:szCs w:val="22"/>
          <w:lang w:val="es-PE"/>
        </w:rPr>
        <w:t>un incremento en quiebras del 10%, bajo el entendido de que la intervención consigue frenar e</w:t>
      </w:r>
      <w:r w:rsidR="00EE2B1B">
        <w:rPr>
          <w:rFonts w:ascii="Arial" w:hAnsi="Arial" w:cs="Arial"/>
          <w:sz w:val="22"/>
          <w:szCs w:val="22"/>
          <w:lang w:val="es-PE"/>
        </w:rPr>
        <w:t>l impacto en una medida similar a la observada durante el pico de la crisis de 2008</w:t>
      </w:r>
      <w:r w:rsidR="005A6EBB">
        <w:rPr>
          <w:rFonts w:ascii="Arial" w:hAnsi="Arial" w:cs="Arial"/>
          <w:sz w:val="22"/>
          <w:szCs w:val="22"/>
          <w:lang w:val="es-PE"/>
        </w:rPr>
        <w:noBreakHyphen/>
      </w:r>
      <w:r w:rsidR="00EE2B1B">
        <w:rPr>
          <w:rFonts w:ascii="Arial" w:hAnsi="Arial" w:cs="Arial"/>
          <w:sz w:val="22"/>
          <w:szCs w:val="22"/>
          <w:lang w:val="es-PE"/>
        </w:rPr>
        <w:t xml:space="preserve">2009. Esto supone que, con intervención, </w:t>
      </w:r>
      <w:r w:rsidRPr="00F55C6E">
        <w:rPr>
          <w:rFonts w:ascii="Arial" w:hAnsi="Arial" w:cs="Arial"/>
          <w:sz w:val="22"/>
          <w:szCs w:val="22"/>
          <w:lang w:val="es-PE"/>
        </w:rPr>
        <w:t xml:space="preserve">la tasa de supervivencia de </w:t>
      </w:r>
      <w:r w:rsidR="00EE2B1B">
        <w:rPr>
          <w:rFonts w:ascii="Arial" w:hAnsi="Arial" w:cs="Arial"/>
          <w:sz w:val="22"/>
          <w:szCs w:val="22"/>
          <w:lang w:val="es-PE"/>
        </w:rPr>
        <w:t xml:space="preserve">las </w:t>
      </w:r>
      <w:r w:rsidRPr="00F55C6E">
        <w:rPr>
          <w:rFonts w:ascii="Arial" w:hAnsi="Arial" w:cs="Arial"/>
          <w:sz w:val="22"/>
          <w:szCs w:val="22"/>
          <w:lang w:val="es-PE"/>
        </w:rPr>
        <w:t xml:space="preserve">firmas </w:t>
      </w:r>
      <w:r w:rsidR="00EE2B1B">
        <w:rPr>
          <w:rFonts w:ascii="Arial" w:hAnsi="Arial" w:cs="Arial"/>
          <w:sz w:val="22"/>
          <w:szCs w:val="22"/>
          <w:lang w:val="es-PE"/>
        </w:rPr>
        <w:t>se mantiene a un nivel del 90.1%</w:t>
      </w:r>
      <w:r w:rsidRPr="00F55C6E">
        <w:rPr>
          <w:rFonts w:ascii="Arial" w:hAnsi="Arial" w:cs="Arial"/>
          <w:sz w:val="22"/>
          <w:szCs w:val="22"/>
          <w:lang w:val="es-PE"/>
        </w:rPr>
        <w:t xml:space="preserve">. El supuesto de tasa de supervivencia busca reflejar de la mejor manera posible los impactos esperados sobre </w:t>
      </w:r>
      <w:r w:rsidR="009B7EB3">
        <w:rPr>
          <w:rFonts w:ascii="Arial" w:hAnsi="Arial" w:cs="Arial"/>
          <w:sz w:val="22"/>
          <w:szCs w:val="22"/>
          <w:lang w:val="es-PE"/>
        </w:rPr>
        <w:t>el</w:t>
      </w:r>
      <w:r w:rsidR="009B7EB3" w:rsidRPr="00F55C6E">
        <w:rPr>
          <w:rFonts w:ascii="Arial" w:hAnsi="Arial" w:cs="Arial"/>
          <w:sz w:val="22"/>
          <w:szCs w:val="22"/>
          <w:lang w:val="es-PE"/>
        </w:rPr>
        <w:t xml:space="preserve"> </w:t>
      </w:r>
      <w:r w:rsidRPr="00F55C6E">
        <w:rPr>
          <w:rFonts w:ascii="Arial" w:hAnsi="Arial" w:cs="Arial"/>
          <w:sz w:val="22"/>
          <w:szCs w:val="22"/>
          <w:lang w:val="es-PE"/>
        </w:rPr>
        <w:t>sector atendido por la presente operación. No obstante, modificaciones a estos parámetros se tomarán en cuenta durante el análisis de sensibilidad.</w:t>
      </w:r>
    </w:p>
    <w:p w14:paraId="0C171255" w14:textId="77777777" w:rsidR="00043819" w:rsidRDefault="00043819">
      <w:pPr>
        <w:spacing w:after="160" w:line="259" w:lineRule="auto"/>
        <w:rPr>
          <w:rFonts w:ascii="Arial" w:eastAsia="Times New Roman" w:hAnsi="Arial" w:cs="Arial"/>
          <w:b/>
          <w:bCs/>
          <w:sz w:val="20"/>
          <w:szCs w:val="20"/>
          <w:lang w:val="es-PE" w:eastAsia="en-US"/>
        </w:rPr>
      </w:pPr>
      <w:r>
        <w:rPr>
          <w:rFonts w:ascii="Arial" w:hAnsi="Arial" w:cs="Arial"/>
          <w:b/>
          <w:bCs/>
          <w:sz w:val="20"/>
          <w:lang w:val="es-PE"/>
        </w:rPr>
        <w:br w:type="page"/>
      </w:r>
    </w:p>
    <w:p w14:paraId="480E7BA6" w14:textId="02133D8D" w:rsidR="002E53F4" w:rsidRPr="00043819" w:rsidRDefault="002E53F4" w:rsidP="002E53F4">
      <w:pPr>
        <w:pStyle w:val="ListParagraph"/>
        <w:spacing w:after="200" w:line="276" w:lineRule="auto"/>
        <w:contextualSpacing w:val="0"/>
        <w:jc w:val="both"/>
        <w:rPr>
          <w:rFonts w:ascii="Arial" w:hAnsi="Arial" w:cs="Arial"/>
          <w:b/>
          <w:bCs/>
          <w:sz w:val="18"/>
          <w:szCs w:val="18"/>
          <w:lang w:val="es-PE"/>
        </w:rPr>
      </w:pPr>
      <w:r w:rsidRPr="00043819">
        <w:rPr>
          <w:rFonts w:ascii="Arial" w:hAnsi="Arial" w:cs="Arial"/>
          <w:b/>
          <w:bCs/>
          <w:sz w:val="18"/>
          <w:szCs w:val="18"/>
          <w:lang w:val="es-PE"/>
        </w:rPr>
        <w:lastRenderedPageBreak/>
        <w:t>Figura 2.1.</w:t>
      </w:r>
      <w:r w:rsidR="009E5A4D">
        <w:rPr>
          <w:rFonts w:ascii="Arial" w:hAnsi="Arial" w:cs="Arial"/>
          <w:b/>
          <w:bCs/>
          <w:sz w:val="18"/>
          <w:szCs w:val="18"/>
          <w:lang w:val="es-PE"/>
        </w:rPr>
        <w:t xml:space="preserve"> </w:t>
      </w:r>
      <w:r w:rsidRPr="00043819">
        <w:rPr>
          <w:rFonts w:ascii="Arial" w:hAnsi="Arial" w:cs="Arial"/>
          <w:b/>
          <w:bCs/>
          <w:sz w:val="18"/>
          <w:szCs w:val="18"/>
          <w:lang w:val="es-PE"/>
        </w:rPr>
        <w:t>Tendencia en quiebras de las PYME, tasa de crecimiento interanual, en %</w:t>
      </w:r>
    </w:p>
    <w:p w14:paraId="69F87EEE" w14:textId="5F670AC8" w:rsidR="002E53F4" w:rsidRDefault="002E53F4" w:rsidP="002E53F4">
      <w:pPr>
        <w:pStyle w:val="ListParagraph"/>
        <w:spacing w:line="276" w:lineRule="auto"/>
        <w:ind w:left="360"/>
        <w:contextualSpacing w:val="0"/>
        <w:rPr>
          <w:rFonts w:ascii="Arial" w:hAnsi="Arial" w:cs="Arial"/>
          <w:sz w:val="22"/>
          <w:szCs w:val="22"/>
          <w:lang w:val="es-PE"/>
        </w:rPr>
      </w:pPr>
      <w:r>
        <w:rPr>
          <w:rFonts w:ascii="Arial" w:hAnsi="Arial" w:cs="Arial"/>
          <w:noProof/>
          <w:sz w:val="22"/>
          <w:szCs w:val="22"/>
          <w:lang w:val="es-PE"/>
        </w:rPr>
        <w:drawing>
          <wp:inline distT="0" distB="0" distL="0" distR="0" wp14:anchorId="103D20A7" wp14:editId="745797CA">
            <wp:extent cx="5490372" cy="455771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endencias en quiebras PYMES OECD.jpeg"/>
                    <pic:cNvPicPr/>
                  </pic:nvPicPr>
                  <pic:blipFill rotWithShape="1">
                    <a:blip r:embed="rId19">
                      <a:extLst>
                        <a:ext uri="{28A0092B-C50C-407E-A947-70E740481C1C}">
                          <a14:useLocalDpi xmlns:a14="http://schemas.microsoft.com/office/drawing/2010/main" val="0"/>
                        </a:ext>
                      </a:extLst>
                    </a:blip>
                    <a:srcRect t="7730" b="1254"/>
                    <a:stretch/>
                  </pic:blipFill>
                  <pic:spPr bwMode="auto">
                    <a:xfrm>
                      <a:off x="0" y="0"/>
                      <a:ext cx="5501763" cy="4567169"/>
                    </a:xfrm>
                    <a:prstGeom prst="rect">
                      <a:avLst/>
                    </a:prstGeom>
                    <a:ln>
                      <a:noFill/>
                    </a:ln>
                    <a:extLst>
                      <a:ext uri="{53640926-AAD7-44D8-BBD7-CCE9431645EC}">
                        <a14:shadowObscured xmlns:a14="http://schemas.microsoft.com/office/drawing/2010/main"/>
                      </a:ext>
                    </a:extLst>
                  </pic:spPr>
                </pic:pic>
              </a:graphicData>
            </a:graphic>
          </wp:inline>
        </w:drawing>
      </w:r>
    </w:p>
    <w:p w14:paraId="0F1571CD" w14:textId="3167B421" w:rsidR="002E53F4" w:rsidRPr="006C42BD" w:rsidRDefault="002E53F4" w:rsidP="006C42BD">
      <w:pPr>
        <w:pStyle w:val="ListParagraph"/>
        <w:spacing w:after="200"/>
        <w:contextualSpacing w:val="0"/>
        <w:jc w:val="both"/>
        <w:rPr>
          <w:rFonts w:ascii="Arial" w:hAnsi="Arial" w:cs="Arial"/>
          <w:sz w:val="16"/>
          <w:szCs w:val="16"/>
          <w:lang w:val="es-PE"/>
        </w:rPr>
      </w:pPr>
      <w:r w:rsidRPr="006C42BD">
        <w:rPr>
          <w:rFonts w:ascii="Arial" w:hAnsi="Arial" w:cs="Arial"/>
          <w:sz w:val="16"/>
          <w:szCs w:val="16"/>
          <w:lang w:val="es-PE"/>
        </w:rPr>
        <w:t>Fuente: OCDE, “Financiamiento de PYMES y Emprendedores 2018: Un marcador de la OCDE”, 2018</w:t>
      </w:r>
    </w:p>
    <w:p w14:paraId="7CA4952A" w14:textId="598154BE" w:rsidR="00117CEA" w:rsidRPr="00117CEA" w:rsidRDefault="00117CEA" w:rsidP="000F0F47">
      <w:pPr>
        <w:pStyle w:val="Paragraph"/>
        <w:numPr>
          <w:ilvl w:val="1"/>
          <w:numId w:val="2"/>
        </w:numPr>
        <w:ind w:left="630" w:hanging="630"/>
        <w:rPr>
          <w:rFonts w:ascii="Arial" w:hAnsi="Arial" w:cs="Arial"/>
          <w:sz w:val="22"/>
          <w:szCs w:val="22"/>
          <w:lang w:val="es-PE"/>
        </w:rPr>
      </w:pPr>
      <w:r w:rsidRPr="00117CEA">
        <w:rPr>
          <w:rFonts w:ascii="Arial" w:hAnsi="Arial" w:cs="Arial"/>
          <w:b/>
          <w:bCs/>
          <w:sz w:val="22"/>
          <w:szCs w:val="22"/>
          <w:lang w:val="es-PE"/>
        </w:rPr>
        <w:t xml:space="preserve">Niveles de ventas inicial. </w:t>
      </w:r>
      <w:r w:rsidRPr="00117CEA">
        <w:rPr>
          <w:rFonts w:ascii="Arial" w:hAnsi="Arial" w:cs="Arial"/>
          <w:sz w:val="22"/>
          <w:szCs w:val="22"/>
          <w:lang w:val="es-PE"/>
        </w:rPr>
        <w:t xml:space="preserve">Para el escenario inicial se asumirá que el nivel de ingresos anuales por ventas promedio de los beneficiarios es igual a </w:t>
      </w:r>
      <w:r w:rsidR="00436839">
        <w:rPr>
          <w:rFonts w:ascii="Arial" w:hAnsi="Arial" w:cs="Arial"/>
          <w:sz w:val="22"/>
          <w:szCs w:val="22"/>
          <w:lang w:val="es-PE"/>
        </w:rPr>
        <w:t>$</w:t>
      </w:r>
      <w:r w:rsidR="003A3061">
        <w:rPr>
          <w:rFonts w:ascii="Arial" w:hAnsi="Arial" w:cs="Arial"/>
          <w:sz w:val="22"/>
          <w:szCs w:val="22"/>
          <w:lang w:val="es-PE"/>
        </w:rPr>
        <w:t>29</w:t>
      </w:r>
      <w:r w:rsidR="00436839">
        <w:rPr>
          <w:rFonts w:ascii="Arial" w:hAnsi="Arial" w:cs="Arial"/>
          <w:sz w:val="22"/>
          <w:szCs w:val="22"/>
          <w:lang w:val="es-PE"/>
        </w:rPr>
        <w:t xml:space="preserve"> millones de pesos.</w:t>
      </w:r>
      <w:r w:rsidRPr="00117CEA">
        <w:rPr>
          <w:rFonts w:ascii="Arial" w:hAnsi="Arial" w:cs="Arial"/>
          <w:sz w:val="22"/>
          <w:szCs w:val="22"/>
          <w:lang w:val="es-PE"/>
        </w:rPr>
        <w:t xml:space="preserve"> Este valor corresponde al valor de ventas anuales promedio </w:t>
      </w:r>
      <w:r w:rsidR="00436839" w:rsidRPr="00436839">
        <w:rPr>
          <w:rFonts w:ascii="Arial" w:hAnsi="Arial" w:cs="Arial"/>
          <w:sz w:val="22"/>
          <w:szCs w:val="22"/>
          <w:lang w:val="es-PE"/>
        </w:rPr>
        <w:t>por unidad económica en PYME de los sectores de la industria alimentaria, de las bebidas y del tabaco en México, según el censo económico 2014, actualizado al 2016 (ver anexo 1)</w:t>
      </w:r>
      <w:r w:rsidR="00CD00D8">
        <w:rPr>
          <w:rFonts w:ascii="Arial" w:hAnsi="Arial" w:cs="Arial"/>
          <w:sz w:val="22"/>
          <w:szCs w:val="22"/>
          <w:lang w:val="es-PE"/>
        </w:rPr>
        <w:t>, puesto que se espera que la cartera de beneficiarios este compuesta, principalmente, por PYME</w:t>
      </w:r>
      <w:r w:rsidR="00436839">
        <w:rPr>
          <w:rFonts w:ascii="Arial" w:hAnsi="Arial" w:cs="Arial"/>
          <w:sz w:val="22"/>
          <w:szCs w:val="22"/>
          <w:lang w:val="es-PE"/>
        </w:rPr>
        <w:t xml:space="preserve">. El valor es consistente con la información reportado por FIRA sobre el promedio de </w:t>
      </w:r>
      <w:r w:rsidR="00460738">
        <w:rPr>
          <w:rFonts w:ascii="Arial" w:hAnsi="Arial" w:cs="Arial"/>
          <w:sz w:val="22"/>
          <w:szCs w:val="22"/>
          <w:lang w:val="es-PE"/>
        </w:rPr>
        <w:t xml:space="preserve">la cartera </w:t>
      </w:r>
      <w:r w:rsidR="00436839">
        <w:rPr>
          <w:rFonts w:ascii="Arial" w:hAnsi="Arial" w:cs="Arial"/>
          <w:sz w:val="22"/>
          <w:szCs w:val="22"/>
          <w:lang w:val="es-PE"/>
        </w:rPr>
        <w:t>objetivo</w:t>
      </w:r>
      <w:r w:rsidR="00CD00D8">
        <w:rPr>
          <w:rFonts w:ascii="Arial" w:hAnsi="Arial" w:cs="Arial"/>
          <w:sz w:val="22"/>
          <w:szCs w:val="22"/>
          <w:lang w:val="es-PE"/>
        </w:rPr>
        <w:t xml:space="preserve">, </w:t>
      </w:r>
      <w:r w:rsidR="00436839">
        <w:rPr>
          <w:rFonts w:ascii="Arial" w:hAnsi="Arial" w:cs="Arial"/>
          <w:sz w:val="22"/>
          <w:szCs w:val="22"/>
          <w:lang w:val="es-PE"/>
        </w:rPr>
        <w:t>que equivale a unos $32 millones de pesos</w:t>
      </w:r>
      <w:r w:rsidR="00460738">
        <w:rPr>
          <w:rFonts w:ascii="Arial" w:hAnsi="Arial" w:cs="Arial"/>
          <w:sz w:val="22"/>
          <w:szCs w:val="22"/>
          <w:lang w:val="es-PE"/>
        </w:rPr>
        <w:t xml:space="preserve">. Esto incluye a las </w:t>
      </w:r>
      <w:r w:rsidR="00460738">
        <w:rPr>
          <w:rFonts w:ascii="Arial" w:hAnsi="Arial" w:cs="Arial"/>
          <w:sz w:val="22"/>
          <w:szCs w:val="22"/>
          <w:lang w:val="es-MX"/>
        </w:rPr>
        <w:t>PYME que realizan actividades a</w:t>
      </w:r>
      <w:r w:rsidR="00460738" w:rsidRPr="00460738">
        <w:rPr>
          <w:rFonts w:ascii="Arial" w:hAnsi="Arial" w:cs="Arial"/>
          <w:sz w:val="22"/>
          <w:szCs w:val="22"/>
          <w:lang w:val="es-MX"/>
        </w:rPr>
        <w:t>groindustriales, tales como el manejo, beneficio, acondicionamiento, conservación, transformación o almacenamiento de los productos de origen nacional derivados del sector agropecuario, forestal y pesquero</w:t>
      </w:r>
      <w:r w:rsidRPr="00117CEA">
        <w:rPr>
          <w:rFonts w:ascii="Arial" w:hAnsi="Arial" w:cs="Arial"/>
          <w:sz w:val="22"/>
          <w:szCs w:val="22"/>
          <w:lang w:val="es-PE"/>
        </w:rPr>
        <w:t>.</w:t>
      </w:r>
    </w:p>
    <w:p w14:paraId="50FB572E" w14:textId="06CAECC2" w:rsidR="00117CEA" w:rsidRDefault="00117CEA" w:rsidP="000F0F47">
      <w:pPr>
        <w:pStyle w:val="Paragraph"/>
        <w:numPr>
          <w:ilvl w:val="1"/>
          <w:numId w:val="2"/>
        </w:numPr>
        <w:ind w:left="630" w:hanging="630"/>
        <w:rPr>
          <w:rFonts w:ascii="Arial" w:hAnsi="Arial" w:cs="Arial"/>
          <w:sz w:val="22"/>
          <w:szCs w:val="22"/>
          <w:lang w:val="es-PE"/>
        </w:rPr>
      </w:pPr>
      <w:bookmarkStart w:id="12" w:name="_Ref36308329"/>
      <w:r w:rsidRPr="00117CEA">
        <w:rPr>
          <w:rFonts w:ascii="Arial" w:hAnsi="Arial" w:cs="Arial"/>
          <w:b/>
          <w:bCs/>
          <w:sz w:val="22"/>
          <w:szCs w:val="22"/>
          <w:lang w:val="es-PE"/>
        </w:rPr>
        <w:t>Evolución de las ventas</w:t>
      </w:r>
      <w:r w:rsidR="00533E1A">
        <w:rPr>
          <w:rFonts w:ascii="Arial" w:hAnsi="Arial" w:cs="Arial"/>
          <w:b/>
          <w:bCs/>
          <w:sz w:val="22"/>
          <w:szCs w:val="22"/>
          <w:lang w:val="es-PE"/>
        </w:rPr>
        <w:t>.</w:t>
      </w:r>
      <w:r w:rsidRPr="00117CEA">
        <w:rPr>
          <w:rFonts w:ascii="Arial" w:hAnsi="Arial" w:cs="Arial"/>
          <w:b/>
          <w:bCs/>
          <w:sz w:val="22"/>
          <w:szCs w:val="22"/>
          <w:lang w:val="es-PE"/>
        </w:rPr>
        <w:t xml:space="preserve"> </w:t>
      </w:r>
      <w:r w:rsidRPr="00117CEA">
        <w:rPr>
          <w:rFonts w:ascii="Arial" w:hAnsi="Arial" w:cs="Arial"/>
          <w:sz w:val="22"/>
          <w:szCs w:val="22"/>
          <w:lang w:val="es-PE"/>
        </w:rPr>
        <w:t xml:space="preserve">Para el escenario sin intervención se asumirá que las ventas anuales caerán a una tasa de </w:t>
      </w:r>
      <w:r w:rsidR="00460738">
        <w:rPr>
          <w:rFonts w:ascii="Arial" w:hAnsi="Arial" w:cs="Arial"/>
          <w:sz w:val="22"/>
          <w:szCs w:val="22"/>
          <w:lang w:val="es-PE"/>
        </w:rPr>
        <w:t>15</w:t>
      </w:r>
      <w:r w:rsidRPr="00117CEA">
        <w:rPr>
          <w:rFonts w:ascii="Arial" w:hAnsi="Arial" w:cs="Arial"/>
          <w:sz w:val="22"/>
          <w:szCs w:val="22"/>
          <w:lang w:val="es-PE"/>
        </w:rPr>
        <w:t xml:space="preserve">% durante </w:t>
      </w:r>
      <w:r w:rsidR="003341A0">
        <w:rPr>
          <w:rFonts w:ascii="Arial" w:hAnsi="Arial" w:cs="Arial"/>
          <w:sz w:val="22"/>
          <w:szCs w:val="22"/>
          <w:lang w:val="es-PE"/>
        </w:rPr>
        <w:t>el primer</w:t>
      </w:r>
      <w:r w:rsidR="00460738" w:rsidRPr="00117CEA">
        <w:rPr>
          <w:rFonts w:ascii="Arial" w:hAnsi="Arial" w:cs="Arial"/>
          <w:sz w:val="22"/>
          <w:szCs w:val="22"/>
          <w:lang w:val="es-PE"/>
        </w:rPr>
        <w:t xml:space="preserve"> </w:t>
      </w:r>
      <w:r w:rsidRPr="00117CEA">
        <w:rPr>
          <w:rFonts w:ascii="Arial" w:hAnsi="Arial" w:cs="Arial"/>
          <w:sz w:val="22"/>
          <w:szCs w:val="22"/>
          <w:lang w:val="es-PE"/>
        </w:rPr>
        <w:t>año</w:t>
      </w:r>
      <w:r w:rsidR="003341A0">
        <w:rPr>
          <w:rFonts w:ascii="Arial" w:hAnsi="Arial" w:cs="Arial"/>
          <w:sz w:val="22"/>
          <w:szCs w:val="22"/>
          <w:lang w:val="es-PE"/>
        </w:rPr>
        <w:t xml:space="preserve"> de la crisis, manteniéndose un impacto, aunque reducido gradualmente, a lo largo del periodo de 3 años</w:t>
      </w:r>
      <w:r w:rsidRPr="00117CEA">
        <w:rPr>
          <w:rFonts w:ascii="Arial" w:hAnsi="Arial" w:cs="Arial"/>
          <w:sz w:val="22"/>
          <w:szCs w:val="22"/>
          <w:lang w:val="es-PE"/>
        </w:rPr>
        <w:t>. Estas cifras se asumen a partir de</w:t>
      </w:r>
      <w:r w:rsidR="003341A0">
        <w:rPr>
          <w:rFonts w:ascii="Arial" w:hAnsi="Arial" w:cs="Arial"/>
          <w:sz w:val="22"/>
          <w:szCs w:val="22"/>
          <w:lang w:val="es-PE"/>
        </w:rPr>
        <w:t xml:space="preserve"> e</w:t>
      </w:r>
      <w:r w:rsidR="003341A0" w:rsidRPr="003341A0">
        <w:rPr>
          <w:rFonts w:ascii="Arial" w:hAnsi="Arial" w:cs="Arial"/>
          <w:sz w:val="22"/>
          <w:szCs w:val="22"/>
          <w:lang w:val="es-PE"/>
        </w:rPr>
        <w:t xml:space="preserve">stimaciones </w:t>
      </w:r>
      <w:r w:rsidR="003341A0">
        <w:rPr>
          <w:rFonts w:ascii="Arial" w:hAnsi="Arial" w:cs="Arial"/>
          <w:sz w:val="22"/>
          <w:szCs w:val="22"/>
          <w:lang w:val="es-PE"/>
        </w:rPr>
        <w:t>realizadas en el Reino Unido, que</w:t>
      </w:r>
      <w:r w:rsidR="003341A0" w:rsidRPr="003341A0">
        <w:rPr>
          <w:rFonts w:ascii="Arial" w:hAnsi="Arial" w:cs="Arial"/>
          <w:sz w:val="22"/>
          <w:szCs w:val="22"/>
          <w:lang w:val="es-PE"/>
        </w:rPr>
        <w:t xml:space="preserve"> asignan alta probabilidad a que las firmas pierdan más de 10% de sus ventas como consecuencia del COVI</w:t>
      </w:r>
      <w:r w:rsidR="003341A0">
        <w:rPr>
          <w:rFonts w:ascii="Arial" w:hAnsi="Arial" w:cs="Arial"/>
          <w:sz w:val="22"/>
          <w:szCs w:val="22"/>
          <w:lang w:val="es-PE"/>
        </w:rPr>
        <w:t>D</w:t>
      </w:r>
      <w:r w:rsidR="003341A0" w:rsidRPr="003341A0">
        <w:rPr>
          <w:rFonts w:ascii="Arial" w:hAnsi="Arial" w:cs="Arial"/>
          <w:sz w:val="22"/>
          <w:szCs w:val="22"/>
          <w:lang w:val="es-PE"/>
        </w:rPr>
        <w:t xml:space="preserve">-19. </w:t>
      </w:r>
      <w:r w:rsidR="003341A0">
        <w:rPr>
          <w:rFonts w:ascii="Arial" w:hAnsi="Arial" w:cs="Arial"/>
          <w:sz w:val="22"/>
          <w:szCs w:val="22"/>
          <w:lang w:val="es-PE"/>
        </w:rPr>
        <w:t xml:space="preserve">Teniendo </w:t>
      </w:r>
      <w:r w:rsidR="003341A0" w:rsidRPr="003341A0">
        <w:rPr>
          <w:rFonts w:ascii="Arial" w:hAnsi="Arial" w:cs="Arial"/>
          <w:sz w:val="22"/>
          <w:szCs w:val="22"/>
          <w:lang w:val="es-PE"/>
        </w:rPr>
        <w:t xml:space="preserve">en cuenta </w:t>
      </w:r>
      <w:r w:rsidR="003341A0">
        <w:rPr>
          <w:rFonts w:ascii="Arial" w:hAnsi="Arial" w:cs="Arial"/>
          <w:sz w:val="22"/>
          <w:szCs w:val="22"/>
          <w:lang w:val="es-PE"/>
        </w:rPr>
        <w:t>que</w:t>
      </w:r>
      <w:r w:rsidR="003341A0" w:rsidRPr="003341A0">
        <w:rPr>
          <w:rFonts w:ascii="Arial" w:hAnsi="Arial" w:cs="Arial"/>
          <w:sz w:val="22"/>
          <w:szCs w:val="22"/>
          <w:lang w:val="es-PE"/>
        </w:rPr>
        <w:t xml:space="preserve"> las firmas de </w:t>
      </w:r>
      <w:r w:rsidR="003341A0" w:rsidRPr="003341A0">
        <w:rPr>
          <w:rFonts w:ascii="Arial" w:hAnsi="Arial" w:cs="Arial"/>
          <w:sz w:val="22"/>
          <w:szCs w:val="22"/>
          <w:lang w:val="es-PE"/>
        </w:rPr>
        <w:lastRenderedPageBreak/>
        <w:t>LAC</w:t>
      </w:r>
      <w:r w:rsidR="003341A0">
        <w:rPr>
          <w:rFonts w:ascii="Arial" w:hAnsi="Arial" w:cs="Arial"/>
          <w:sz w:val="22"/>
          <w:szCs w:val="22"/>
          <w:lang w:val="es-PE"/>
        </w:rPr>
        <w:t xml:space="preserve"> experimentan mayores vulnerabilidades que sus contrapartes en el mundo desarrollados, este</w:t>
      </w:r>
      <w:r w:rsidR="003341A0" w:rsidRPr="003341A0">
        <w:rPr>
          <w:rFonts w:ascii="Arial" w:hAnsi="Arial" w:cs="Arial"/>
          <w:sz w:val="22"/>
          <w:szCs w:val="22"/>
          <w:lang w:val="es-PE"/>
        </w:rPr>
        <w:t xml:space="preserve"> supuesto </w:t>
      </w:r>
      <w:r w:rsidR="003341A0">
        <w:rPr>
          <w:rFonts w:ascii="Arial" w:hAnsi="Arial" w:cs="Arial"/>
          <w:sz w:val="22"/>
          <w:szCs w:val="22"/>
          <w:lang w:val="es-PE"/>
        </w:rPr>
        <w:t xml:space="preserve">se considera </w:t>
      </w:r>
      <w:r w:rsidR="003341A0" w:rsidRPr="003341A0">
        <w:rPr>
          <w:rFonts w:ascii="Arial" w:hAnsi="Arial" w:cs="Arial"/>
          <w:sz w:val="22"/>
          <w:szCs w:val="22"/>
          <w:lang w:val="es-PE"/>
        </w:rPr>
        <w:t>conservador</w:t>
      </w:r>
      <w:r w:rsidR="003A3061">
        <w:rPr>
          <w:rStyle w:val="FootnoteReference"/>
          <w:rFonts w:ascii="Arial" w:hAnsi="Arial" w:cs="Arial"/>
          <w:sz w:val="22"/>
          <w:szCs w:val="22"/>
          <w:lang w:val="es-PE"/>
        </w:rPr>
        <w:footnoteReference w:id="51"/>
      </w:r>
      <w:r w:rsidRPr="00117CEA">
        <w:rPr>
          <w:rFonts w:ascii="Arial" w:hAnsi="Arial" w:cs="Arial"/>
          <w:sz w:val="22"/>
          <w:szCs w:val="22"/>
          <w:lang w:val="es-PE"/>
        </w:rPr>
        <w:t xml:space="preserve">. Para el escenario con intervención se asumirá que las ventas anuales caen a una tasa de </w:t>
      </w:r>
      <w:r w:rsidR="003341A0">
        <w:rPr>
          <w:rFonts w:ascii="Arial" w:hAnsi="Arial" w:cs="Arial"/>
          <w:sz w:val="22"/>
          <w:szCs w:val="22"/>
          <w:lang w:val="es-PE"/>
        </w:rPr>
        <w:t>14.</w:t>
      </w:r>
      <w:r w:rsidR="00963066">
        <w:rPr>
          <w:rFonts w:ascii="Arial" w:hAnsi="Arial" w:cs="Arial"/>
          <w:sz w:val="22"/>
          <w:szCs w:val="22"/>
          <w:lang w:val="es-PE"/>
        </w:rPr>
        <w:t>2</w:t>
      </w:r>
      <w:r w:rsidR="003341A0">
        <w:rPr>
          <w:rFonts w:ascii="Arial" w:hAnsi="Arial" w:cs="Arial"/>
          <w:sz w:val="22"/>
          <w:szCs w:val="22"/>
          <w:lang w:val="es-PE"/>
        </w:rPr>
        <w:t>5</w:t>
      </w:r>
      <w:r w:rsidRPr="00117CEA">
        <w:rPr>
          <w:rFonts w:ascii="Arial" w:hAnsi="Arial" w:cs="Arial"/>
          <w:sz w:val="22"/>
          <w:szCs w:val="22"/>
          <w:lang w:val="es-PE"/>
        </w:rPr>
        <w:t xml:space="preserve">% durante </w:t>
      </w:r>
      <w:r w:rsidR="00963066">
        <w:rPr>
          <w:rFonts w:ascii="Arial" w:hAnsi="Arial" w:cs="Arial"/>
          <w:sz w:val="22"/>
          <w:szCs w:val="22"/>
          <w:lang w:val="es-PE"/>
        </w:rPr>
        <w:t>el primer año de la crisis, presentando una evolución de dicha caída similar a la del escenario sin intervención a lo largo del tiempo en que perdura el impacto de la crisis (3 años)</w:t>
      </w:r>
      <w:r w:rsidR="00086B20">
        <w:rPr>
          <w:rFonts w:ascii="Arial" w:hAnsi="Arial" w:cs="Arial"/>
          <w:sz w:val="22"/>
          <w:szCs w:val="22"/>
          <w:lang w:val="es-PE"/>
        </w:rPr>
        <w:t xml:space="preserve">. Es decir, se asume que el diferencial de la caída en ventas entre los escenarios con y sin intervención es de 5%. Esto </w:t>
      </w:r>
      <w:r w:rsidR="006A55A9">
        <w:rPr>
          <w:rFonts w:ascii="Arial" w:hAnsi="Arial" w:cs="Arial"/>
          <w:sz w:val="22"/>
          <w:szCs w:val="22"/>
          <w:lang w:val="es-PE"/>
        </w:rPr>
        <w:t>es consistente con las proyecciones para México de</w:t>
      </w:r>
      <w:r w:rsidR="006A55A9" w:rsidRPr="00175339">
        <w:rPr>
          <w:rFonts w:ascii="Arial" w:hAnsi="Arial" w:cs="Arial"/>
          <w:sz w:val="22"/>
          <w:szCs w:val="22"/>
          <w:lang w:val="es-ES"/>
        </w:rPr>
        <w:t xml:space="preserve"> contracción de la demanda doméstica </w:t>
      </w:r>
      <w:r w:rsidR="006A55A9">
        <w:rPr>
          <w:rFonts w:ascii="Arial" w:hAnsi="Arial" w:cs="Arial"/>
          <w:sz w:val="22"/>
          <w:szCs w:val="22"/>
          <w:lang w:val="es-ES"/>
        </w:rPr>
        <w:t>(</w:t>
      </w:r>
      <w:r w:rsidR="006A55A9" w:rsidRPr="00175339">
        <w:rPr>
          <w:rFonts w:ascii="Arial" w:hAnsi="Arial" w:cs="Arial"/>
          <w:sz w:val="22"/>
          <w:szCs w:val="22"/>
          <w:lang w:val="es-ES"/>
        </w:rPr>
        <w:t>5.2%</w:t>
      </w:r>
      <w:r w:rsidR="006A55A9">
        <w:rPr>
          <w:rFonts w:ascii="Arial" w:hAnsi="Arial" w:cs="Arial"/>
          <w:sz w:val="22"/>
          <w:szCs w:val="22"/>
          <w:lang w:val="es-ES"/>
        </w:rPr>
        <w:t>) y</w:t>
      </w:r>
      <w:r w:rsidR="006A55A9" w:rsidRPr="00175339">
        <w:rPr>
          <w:rFonts w:ascii="Arial" w:hAnsi="Arial" w:cs="Arial"/>
          <w:sz w:val="22"/>
          <w:szCs w:val="22"/>
          <w:lang w:val="es-ES"/>
        </w:rPr>
        <w:t xml:space="preserve"> caída en el consumo </w:t>
      </w:r>
      <w:r w:rsidR="006A55A9">
        <w:rPr>
          <w:rFonts w:ascii="Arial" w:hAnsi="Arial" w:cs="Arial"/>
          <w:sz w:val="22"/>
          <w:szCs w:val="22"/>
          <w:lang w:val="es-ES"/>
        </w:rPr>
        <w:t>(</w:t>
      </w:r>
      <w:r w:rsidR="006A55A9" w:rsidRPr="00175339">
        <w:rPr>
          <w:rFonts w:ascii="Arial" w:hAnsi="Arial" w:cs="Arial"/>
          <w:sz w:val="22"/>
          <w:szCs w:val="22"/>
          <w:lang w:val="es-ES"/>
        </w:rPr>
        <w:t>al menos 5%</w:t>
      </w:r>
      <w:r w:rsidR="006A55A9">
        <w:rPr>
          <w:rFonts w:ascii="Arial" w:hAnsi="Arial" w:cs="Arial"/>
          <w:sz w:val="22"/>
          <w:szCs w:val="22"/>
          <w:lang w:val="es-ES"/>
        </w:rPr>
        <w:t>), además de las de</w:t>
      </w:r>
      <w:r w:rsidR="006A55A9" w:rsidRPr="00175339">
        <w:rPr>
          <w:rFonts w:ascii="Arial" w:hAnsi="Arial" w:cs="Arial"/>
          <w:sz w:val="22"/>
          <w:szCs w:val="22"/>
          <w:lang w:val="es-ES"/>
        </w:rPr>
        <w:t xml:space="preserve"> contracción </w:t>
      </w:r>
      <w:r w:rsidR="006A55A9">
        <w:rPr>
          <w:rFonts w:ascii="Arial" w:hAnsi="Arial" w:cs="Arial"/>
          <w:sz w:val="22"/>
          <w:szCs w:val="22"/>
          <w:lang w:val="es-ES"/>
        </w:rPr>
        <w:t>de la actividad</w:t>
      </w:r>
      <w:r w:rsidR="006A55A9" w:rsidRPr="00175339">
        <w:rPr>
          <w:rFonts w:ascii="Arial" w:hAnsi="Arial" w:cs="Arial"/>
          <w:sz w:val="22"/>
          <w:szCs w:val="22"/>
          <w:lang w:val="es-ES"/>
        </w:rPr>
        <w:t xml:space="preserve"> industria</w:t>
      </w:r>
      <w:r w:rsidR="006A55A9">
        <w:rPr>
          <w:rFonts w:ascii="Arial" w:hAnsi="Arial" w:cs="Arial"/>
          <w:sz w:val="22"/>
          <w:szCs w:val="22"/>
          <w:lang w:val="es-ES"/>
        </w:rPr>
        <w:t>l (</w:t>
      </w:r>
      <w:r w:rsidR="006A55A9" w:rsidRPr="00175339">
        <w:rPr>
          <w:rFonts w:ascii="Arial" w:hAnsi="Arial" w:cs="Arial"/>
          <w:sz w:val="22"/>
          <w:szCs w:val="22"/>
          <w:lang w:val="es-ES"/>
        </w:rPr>
        <w:t>5.8%</w:t>
      </w:r>
      <w:r w:rsidR="006A55A9">
        <w:rPr>
          <w:rFonts w:ascii="Arial" w:hAnsi="Arial" w:cs="Arial"/>
          <w:sz w:val="22"/>
          <w:szCs w:val="22"/>
          <w:lang w:val="es-ES"/>
        </w:rPr>
        <w:t>), descritas en ¶</w:t>
      </w:r>
      <w:r w:rsidR="006A55A9">
        <w:rPr>
          <w:rFonts w:ascii="Arial" w:hAnsi="Arial" w:cs="Arial"/>
          <w:sz w:val="22"/>
          <w:szCs w:val="22"/>
          <w:lang w:val="es-ES"/>
        </w:rPr>
        <w:fldChar w:fldCharType="begin"/>
      </w:r>
      <w:r w:rsidR="006A55A9">
        <w:rPr>
          <w:rFonts w:ascii="Arial" w:hAnsi="Arial" w:cs="Arial"/>
          <w:sz w:val="22"/>
          <w:szCs w:val="22"/>
          <w:lang w:val="es-ES"/>
        </w:rPr>
        <w:instrText xml:space="preserve"> REF _Ref37840772 \r \h </w:instrText>
      </w:r>
      <w:r w:rsidR="006A55A9">
        <w:rPr>
          <w:rFonts w:ascii="Arial" w:hAnsi="Arial" w:cs="Arial"/>
          <w:sz w:val="22"/>
          <w:szCs w:val="22"/>
          <w:lang w:val="es-ES"/>
        </w:rPr>
      </w:r>
      <w:r w:rsidR="006A55A9">
        <w:rPr>
          <w:rFonts w:ascii="Arial" w:hAnsi="Arial" w:cs="Arial"/>
          <w:sz w:val="22"/>
          <w:szCs w:val="22"/>
          <w:lang w:val="es-ES"/>
        </w:rPr>
        <w:fldChar w:fldCharType="separate"/>
      </w:r>
      <w:r w:rsidR="002E53F4">
        <w:rPr>
          <w:rFonts w:ascii="Arial" w:hAnsi="Arial" w:cs="Arial"/>
          <w:sz w:val="22"/>
          <w:szCs w:val="22"/>
          <w:lang w:val="es-ES"/>
        </w:rPr>
        <w:t>2.3</w:t>
      </w:r>
      <w:r w:rsidR="006A55A9">
        <w:rPr>
          <w:rFonts w:ascii="Arial" w:hAnsi="Arial" w:cs="Arial"/>
          <w:sz w:val="22"/>
          <w:szCs w:val="22"/>
          <w:lang w:val="es-ES"/>
        </w:rPr>
        <w:fldChar w:fldCharType="end"/>
      </w:r>
      <w:r w:rsidR="006A55A9">
        <w:rPr>
          <w:rFonts w:ascii="Arial" w:hAnsi="Arial" w:cs="Arial"/>
          <w:sz w:val="22"/>
          <w:szCs w:val="22"/>
          <w:lang w:val="es-ES"/>
        </w:rPr>
        <w:t xml:space="preserve">. Asimismo, </w:t>
      </w:r>
      <w:r w:rsidR="00086B20">
        <w:rPr>
          <w:rFonts w:ascii="Arial" w:hAnsi="Arial" w:cs="Arial"/>
          <w:sz w:val="22"/>
          <w:szCs w:val="22"/>
          <w:lang w:val="es-PE"/>
        </w:rPr>
        <w:t>sigue la línea de efectos sugeridos por evaluaciones del crédito a PYME en la región (basadas en evidencia) sobre la producción: p</w:t>
      </w:r>
      <w:r w:rsidR="00086B20" w:rsidRPr="00086B20">
        <w:rPr>
          <w:rFonts w:ascii="Arial" w:hAnsi="Arial" w:cs="Arial"/>
          <w:sz w:val="22"/>
          <w:szCs w:val="22"/>
          <w:lang w:val="es-PE"/>
        </w:rPr>
        <w:t xml:space="preserve">ara las empresas manufactureras beneficiarias del crédito </w:t>
      </w:r>
      <w:r w:rsidR="002E53F4">
        <w:rPr>
          <w:rFonts w:ascii="Arial" w:hAnsi="Arial" w:cs="Arial"/>
          <w:sz w:val="22"/>
          <w:szCs w:val="22"/>
          <w:lang w:val="es-PE"/>
        </w:rPr>
        <w:t>Bancóldex</w:t>
      </w:r>
      <w:r w:rsidR="00086B20" w:rsidRPr="00086B20">
        <w:rPr>
          <w:rFonts w:ascii="Arial" w:hAnsi="Arial" w:cs="Arial"/>
          <w:sz w:val="22"/>
          <w:szCs w:val="22"/>
          <w:lang w:val="es-PE"/>
        </w:rPr>
        <w:t xml:space="preserve"> </w:t>
      </w:r>
      <w:r w:rsidR="00086B20">
        <w:rPr>
          <w:rFonts w:ascii="Arial" w:hAnsi="Arial" w:cs="Arial"/>
          <w:sz w:val="22"/>
          <w:szCs w:val="22"/>
          <w:lang w:val="es-PE"/>
        </w:rPr>
        <w:t>en Colombia</w:t>
      </w:r>
      <w:r w:rsidR="006A55A9">
        <w:rPr>
          <w:rStyle w:val="FootnoteReference"/>
          <w:rFonts w:ascii="Arial" w:hAnsi="Arial" w:cs="Arial"/>
          <w:sz w:val="22"/>
          <w:szCs w:val="22"/>
          <w:lang w:val="es-PE"/>
        </w:rPr>
        <w:footnoteReference w:id="52"/>
      </w:r>
      <w:r w:rsidR="00086B20">
        <w:rPr>
          <w:rFonts w:ascii="Arial" w:hAnsi="Arial" w:cs="Arial"/>
          <w:sz w:val="22"/>
          <w:szCs w:val="22"/>
          <w:lang w:val="es-PE"/>
        </w:rPr>
        <w:t xml:space="preserve">, </w:t>
      </w:r>
      <w:r w:rsidR="00086B20" w:rsidRPr="00086B20">
        <w:rPr>
          <w:rFonts w:ascii="Arial" w:hAnsi="Arial" w:cs="Arial"/>
          <w:sz w:val="22"/>
          <w:szCs w:val="22"/>
          <w:lang w:val="es-PE"/>
        </w:rPr>
        <w:t xml:space="preserve">se observan </w:t>
      </w:r>
      <w:r w:rsidR="006A55A9">
        <w:rPr>
          <w:rFonts w:ascii="Arial" w:hAnsi="Arial" w:cs="Arial"/>
          <w:sz w:val="22"/>
          <w:szCs w:val="22"/>
          <w:lang w:val="es-PE"/>
        </w:rPr>
        <w:t>diferencias (</w:t>
      </w:r>
      <w:r w:rsidR="006A55A9" w:rsidRPr="00086B20">
        <w:rPr>
          <w:rFonts w:ascii="Arial" w:hAnsi="Arial" w:cs="Arial"/>
          <w:sz w:val="22"/>
          <w:szCs w:val="22"/>
          <w:lang w:val="es-PE"/>
        </w:rPr>
        <w:t>incrementos</w:t>
      </w:r>
      <w:r w:rsidR="006A55A9">
        <w:rPr>
          <w:rFonts w:ascii="Arial" w:hAnsi="Arial" w:cs="Arial"/>
          <w:sz w:val="22"/>
          <w:szCs w:val="22"/>
          <w:lang w:val="es-PE"/>
        </w:rPr>
        <w:t>) entre empresas beneficiarias y no beneficiarias</w:t>
      </w:r>
      <w:r w:rsidR="00086B20" w:rsidRPr="00086B20">
        <w:rPr>
          <w:rFonts w:ascii="Arial" w:hAnsi="Arial" w:cs="Arial"/>
          <w:sz w:val="22"/>
          <w:szCs w:val="22"/>
          <w:lang w:val="es-PE"/>
        </w:rPr>
        <w:t xml:space="preserve"> de más de 5% en la demanda de insumos</w:t>
      </w:r>
      <w:r w:rsidR="00086B20">
        <w:rPr>
          <w:rFonts w:ascii="Arial" w:hAnsi="Arial" w:cs="Arial"/>
          <w:sz w:val="22"/>
          <w:szCs w:val="22"/>
          <w:lang w:val="es-PE"/>
        </w:rPr>
        <w:t xml:space="preserve"> y</w:t>
      </w:r>
      <w:r w:rsidR="00086B20" w:rsidRPr="00086B20">
        <w:rPr>
          <w:rFonts w:ascii="Arial" w:hAnsi="Arial" w:cs="Arial"/>
          <w:sz w:val="22"/>
          <w:szCs w:val="22"/>
          <w:lang w:val="es-PE"/>
        </w:rPr>
        <w:t xml:space="preserve"> </w:t>
      </w:r>
      <w:r w:rsidR="006A55A9">
        <w:rPr>
          <w:rFonts w:ascii="Arial" w:hAnsi="Arial" w:cs="Arial"/>
          <w:sz w:val="22"/>
          <w:szCs w:val="22"/>
          <w:lang w:val="es-PE"/>
        </w:rPr>
        <w:t xml:space="preserve">alrededor </w:t>
      </w:r>
      <w:r w:rsidR="00086B20" w:rsidRPr="00086B20">
        <w:rPr>
          <w:rFonts w:ascii="Arial" w:hAnsi="Arial" w:cs="Arial"/>
          <w:sz w:val="22"/>
          <w:szCs w:val="22"/>
          <w:lang w:val="es-PE"/>
        </w:rPr>
        <w:t xml:space="preserve">de 5% en </w:t>
      </w:r>
      <w:r w:rsidR="006A55A9">
        <w:rPr>
          <w:rFonts w:ascii="Arial" w:hAnsi="Arial" w:cs="Arial"/>
          <w:sz w:val="22"/>
          <w:szCs w:val="22"/>
          <w:lang w:val="es-PE"/>
        </w:rPr>
        <w:t>la</w:t>
      </w:r>
      <w:r w:rsidR="00086B20" w:rsidRPr="00086B20">
        <w:rPr>
          <w:rFonts w:ascii="Arial" w:hAnsi="Arial" w:cs="Arial"/>
          <w:sz w:val="22"/>
          <w:szCs w:val="22"/>
          <w:lang w:val="es-PE"/>
        </w:rPr>
        <w:t xml:space="preserve"> producción</w:t>
      </w:r>
      <w:r w:rsidR="003507E2">
        <w:rPr>
          <w:rFonts w:ascii="Arial" w:hAnsi="Arial" w:cs="Arial"/>
          <w:sz w:val="22"/>
          <w:szCs w:val="22"/>
          <w:lang w:val="es-PE"/>
        </w:rPr>
        <w:t>. Si bien se entiende que el efecto del crédito sobre el crecimiento en producción (como proxy de ventas) bajo condiciones normales no es extrapolable a un potencial efecto de una intervención de emergencia en tiempos de crisis, este diferencial nos sirve de marco de referencia para el escenario base del análisis</w:t>
      </w:r>
      <w:r w:rsidRPr="00117CEA">
        <w:rPr>
          <w:rFonts w:ascii="Arial" w:hAnsi="Arial" w:cs="Arial"/>
          <w:sz w:val="22"/>
          <w:szCs w:val="22"/>
          <w:lang w:val="es-PE"/>
        </w:rPr>
        <w:t xml:space="preserve">. Dada la naturaleza extraordinaria e inédita en tiempos recientes de este tipo de crisis de salud pública y económica, se hace difícil poder contar con estimados precisos y equivalentes que puedan ser empleados con </w:t>
      </w:r>
      <w:r w:rsidR="003A5046">
        <w:rPr>
          <w:rFonts w:ascii="Arial" w:hAnsi="Arial" w:cs="Arial"/>
          <w:sz w:val="22"/>
          <w:szCs w:val="22"/>
          <w:lang w:val="es-PE"/>
        </w:rPr>
        <w:t>confianza</w:t>
      </w:r>
      <w:r w:rsidRPr="00117CEA">
        <w:rPr>
          <w:rFonts w:ascii="Arial" w:hAnsi="Arial" w:cs="Arial"/>
          <w:sz w:val="22"/>
          <w:szCs w:val="22"/>
          <w:lang w:val="es-PE"/>
        </w:rPr>
        <w:t xml:space="preserve">. Por tal motivo, se empleará el análisis de sensibilidad sobre estos parámetros como un ejercicio de ilustración adicional de los posibles efectos del programa. </w:t>
      </w:r>
      <w:r w:rsidR="00DA469C" w:rsidRPr="00117CEA">
        <w:rPr>
          <w:rFonts w:ascii="Arial" w:hAnsi="Arial" w:cs="Arial"/>
          <w:sz w:val="22"/>
          <w:szCs w:val="22"/>
          <w:lang w:val="es-PE"/>
        </w:rPr>
        <w:t xml:space="preserve">Dadas esas circunstancias, vale resaltar que el valor del ejercicio vendrá del análisis relativo entre los </w:t>
      </w:r>
      <w:r w:rsidR="0011657C">
        <w:rPr>
          <w:rFonts w:ascii="Arial" w:hAnsi="Arial" w:cs="Arial"/>
          <w:sz w:val="22"/>
          <w:szCs w:val="22"/>
          <w:lang w:val="es-PE"/>
        </w:rPr>
        <w:t xml:space="preserve">escenarios con y sin intervención, </w:t>
      </w:r>
      <w:r w:rsidR="00DA469C" w:rsidRPr="00117CEA">
        <w:rPr>
          <w:rFonts w:ascii="Arial" w:hAnsi="Arial" w:cs="Arial"/>
          <w:sz w:val="22"/>
          <w:szCs w:val="22"/>
          <w:lang w:val="es-PE"/>
        </w:rPr>
        <w:t xml:space="preserve">más que de la cuantificación </w:t>
      </w:r>
      <w:r w:rsidR="00DA469C">
        <w:rPr>
          <w:rFonts w:ascii="Arial" w:hAnsi="Arial" w:cs="Arial"/>
          <w:sz w:val="22"/>
          <w:szCs w:val="22"/>
          <w:lang w:val="es-PE"/>
        </w:rPr>
        <w:t xml:space="preserve">separada de los niveles de ingresos </w:t>
      </w:r>
      <w:r w:rsidR="0011657C">
        <w:rPr>
          <w:rFonts w:ascii="Arial" w:hAnsi="Arial" w:cs="Arial"/>
          <w:sz w:val="22"/>
          <w:szCs w:val="22"/>
          <w:lang w:val="es-PE"/>
        </w:rPr>
        <w:t>entre dichos escenarios</w:t>
      </w:r>
      <w:r w:rsidR="00DA469C" w:rsidRPr="00117CEA">
        <w:rPr>
          <w:rFonts w:ascii="Arial" w:hAnsi="Arial" w:cs="Arial"/>
          <w:sz w:val="22"/>
          <w:szCs w:val="22"/>
          <w:lang w:val="es-PE"/>
        </w:rPr>
        <w:t>.</w:t>
      </w:r>
      <w:bookmarkEnd w:id="12"/>
    </w:p>
    <w:p w14:paraId="47FC4E37" w14:textId="6A925A6E" w:rsidR="00BA4872" w:rsidRDefault="00BA4872" w:rsidP="000F0F47">
      <w:pPr>
        <w:pStyle w:val="Paragraph"/>
        <w:numPr>
          <w:ilvl w:val="1"/>
          <w:numId w:val="2"/>
        </w:numPr>
        <w:ind w:left="630" w:hanging="630"/>
        <w:rPr>
          <w:rFonts w:ascii="Arial" w:hAnsi="Arial" w:cs="Arial"/>
          <w:sz w:val="22"/>
          <w:szCs w:val="22"/>
          <w:lang w:val="es-PE"/>
        </w:rPr>
      </w:pPr>
      <w:r>
        <w:rPr>
          <w:rFonts w:ascii="Arial" w:hAnsi="Arial" w:cs="Arial"/>
          <w:b/>
          <w:bCs/>
          <w:sz w:val="22"/>
          <w:szCs w:val="22"/>
          <w:lang w:val="es-PE"/>
        </w:rPr>
        <w:t>Nivel de empleo.</w:t>
      </w:r>
      <w:r w:rsidR="003B4204">
        <w:rPr>
          <w:rFonts w:ascii="Arial" w:hAnsi="Arial" w:cs="Arial"/>
          <w:b/>
          <w:bCs/>
          <w:sz w:val="22"/>
          <w:szCs w:val="22"/>
          <w:lang w:val="es-PE"/>
        </w:rPr>
        <w:t xml:space="preserve"> </w:t>
      </w:r>
      <w:r>
        <w:rPr>
          <w:rFonts w:ascii="Arial" w:hAnsi="Arial" w:cs="Arial"/>
          <w:sz w:val="22"/>
          <w:szCs w:val="22"/>
          <w:lang w:val="es-PE"/>
        </w:rPr>
        <w:t>Se asum</w:t>
      </w:r>
      <w:r w:rsidR="006A55A9">
        <w:rPr>
          <w:rFonts w:ascii="Arial" w:hAnsi="Arial" w:cs="Arial"/>
          <w:sz w:val="22"/>
          <w:szCs w:val="22"/>
          <w:lang w:val="es-PE"/>
        </w:rPr>
        <w:t>e,</w:t>
      </w:r>
      <w:r>
        <w:rPr>
          <w:rFonts w:ascii="Arial" w:hAnsi="Arial" w:cs="Arial"/>
          <w:sz w:val="22"/>
          <w:szCs w:val="22"/>
          <w:lang w:val="es-PE"/>
        </w:rPr>
        <w:t xml:space="preserve"> </w:t>
      </w:r>
      <w:bookmarkStart w:id="13" w:name="_Hlk37925313"/>
      <w:r>
        <w:rPr>
          <w:rFonts w:ascii="Arial" w:hAnsi="Arial" w:cs="Arial"/>
          <w:sz w:val="22"/>
          <w:szCs w:val="22"/>
          <w:lang w:val="es-PE"/>
        </w:rPr>
        <w:t xml:space="preserve">en base a información de </w:t>
      </w:r>
      <w:r w:rsidR="006A55A9">
        <w:rPr>
          <w:rFonts w:ascii="Arial" w:hAnsi="Arial" w:cs="Arial"/>
          <w:sz w:val="22"/>
          <w:szCs w:val="22"/>
          <w:lang w:val="es-PE"/>
        </w:rPr>
        <w:t xml:space="preserve">personal ocupado por unidad económica </w:t>
      </w:r>
      <w:r>
        <w:rPr>
          <w:rFonts w:ascii="Arial" w:hAnsi="Arial" w:cs="Arial"/>
          <w:sz w:val="22"/>
          <w:szCs w:val="22"/>
          <w:lang w:val="es-PE"/>
        </w:rPr>
        <w:t xml:space="preserve">en PYME </w:t>
      </w:r>
      <w:r w:rsidR="006A55A9">
        <w:rPr>
          <w:rFonts w:ascii="Arial" w:hAnsi="Arial" w:cs="Arial"/>
          <w:sz w:val="22"/>
          <w:szCs w:val="22"/>
          <w:lang w:val="es-PE"/>
        </w:rPr>
        <w:t>de los sectores de la industria alimentaria, de las bebidas y del tabaco en México, según el censo económico 2014, actualizado al 2016 (ver anexo 1)</w:t>
      </w:r>
      <w:bookmarkEnd w:id="13"/>
      <w:r w:rsidR="006A55A9">
        <w:rPr>
          <w:rFonts w:ascii="Arial" w:hAnsi="Arial" w:cs="Arial"/>
          <w:sz w:val="22"/>
          <w:szCs w:val="22"/>
          <w:lang w:val="es-PE"/>
        </w:rPr>
        <w:t>,</w:t>
      </w:r>
      <w:r>
        <w:rPr>
          <w:rFonts w:ascii="Arial" w:hAnsi="Arial" w:cs="Arial"/>
          <w:sz w:val="22"/>
          <w:szCs w:val="22"/>
          <w:lang w:val="es-PE"/>
        </w:rPr>
        <w:t xml:space="preserve"> que una firma promedio tendrá un nivel de empleo igual a </w:t>
      </w:r>
      <w:r w:rsidR="006A55A9">
        <w:rPr>
          <w:rFonts w:ascii="Arial" w:hAnsi="Arial" w:cs="Arial"/>
          <w:sz w:val="22"/>
          <w:szCs w:val="22"/>
          <w:lang w:val="es-PE"/>
        </w:rPr>
        <w:t>2</w:t>
      </w:r>
      <w:r w:rsidR="003A3061">
        <w:rPr>
          <w:rFonts w:ascii="Arial" w:hAnsi="Arial" w:cs="Arial"/>
          <w:sz w:val="22"/>
          <w:szCs w:val="22"/>
          <w:lang w:val="es-PE"/>
        </w:rPr>
        <w:t>5</w:t>
      </w:r>
      <w:r>
        <w:rPr>
          <w:rFonts w:ascii="Arial" w:hAnsi="Arial" w:cs="Arial"/>
          <w:sz w:val="22"/>
          <w:szCs w:val="22"/>
          <w:lang w:val="es-PE"/>
        </w:rPr>
        <w:t xml:space="preserve"> trabajadores por año</w:t>
      </w:r>
      <w:r w:rsidR="00D12431">
        <w:rPr>
          <w:rFonts w:ascii="Arial" w:hAnsi="Arial" w:cs="Arial"/>
          <w:sz w:val="22"/>
          <w:szCs w:val="22"/>
          <w:lang w:val="es-PE"/>
        </w:rPr>
        <w:t xml:space="preserve"> en el escenario </w:t>
      </w:r>
      <w:proofErr w:type="gramStart"/>
      <w:r w:rsidR="00D12431">
        <w:rPr>
          <w:rFonts w:ascii="Arial" w:hAnsi="Arial" w:cs="Arial"/>
          <w:sz w:val="22"/>
          <w:szCs w:val="22"/>
          <w:lang w:val="es-PE"/>
        </w:rPr>
        <w:t>pre</w:t>
      </w:r>
      <w:r w:rsidR="002E53F4">
        <w:rPr>
          <w:rFonts w:ascii="Arial" w:hAnsi="Arial" w:cs="Arial"/>
          <w:sz w:val="22"/>
          <w:szCs w:val="22"/>
          <w:lang w:val="es-PE"/>
        </w:rPr>
        <w:t xml:space="preserve"> </w:t>
      </w:r>
      <w:r w:rsidR="00D12431">
        <w:rPr>
          <w:rFonts w:ascii="Arial" w:hAnsi="Arial" w:cs="Arial"/>
          <w:sz w:val="22"/>
          <w:szCs w:val="22"/>
          <w:lang w:val="es-PE"/>
        </w:rPr>
        <w:t>crisis</w:t>
      </w:r>
      <w:proofErr w:type="gramEnd"/>
      <w:r w:rsidR="00D12431">
        <w:rPr>
          <w:rFonts w:ascii="Arial" w:hAnsi="Arial" w:cs="Arial"/>
          <w:sz w:val="22"/>
          <w:szCs w:val="22"/>
          <w:lang w:val="es-PE"/>
        </w:rPr>
        <w:t xml:space="preserve">. </w:t>
      </w:r>
      <w:r w:rsidR="00436839">
        <w:rPr>
          <w:rFonts w:ascii="Arial" w:hAnsi="Arial" w:cs="Arial"/>
          <w:sz w:val="22"/>
          <w:szCs w:val="22"/>
          <w:lang w:val="es-PE"/>
        </w:rPr>
        <w:t xml:space="preserve">Al igual que en el caso de las ventas promedio, este valor </w:t>
      </w:r>
      <w:r w:rsidR="00436839" w:rsidRPr="00436839">
        <w:rPr>
          <w:rFonts w:ascii="Arial" w:hAnsi="Arial" w:cs="Arial"/>
          <w:sz w:val="22"/>
          <w:szCs w:val="22"/>
          <w:lang w:val="es-PE"/>
        </w:rPr>
        <w:t xml:space="preserve">es </w:t>
      </w:r>
      <w:r w:rsidR="00436839">
        <w:rPr>
          <w:rFonts w:ascii="Arial" w:hAnsi="Arial" w:cs="Arial"/>
          <w:sz w:val="22"/>
          <w:szCs w:val="22"/>
          <w:lang w:val="es-PE"/>
        </w:rPr>
        <w:t xml:space="preserve">también </w:t>
      </w:r>
      <w:r w:rsidR="00436839" w:rsidRPr="00436839">
        <w:rPr>
          <w:rFonts w:ascii="Arial" w:hAnsi="Arial" w:cs="Arial"/>
          <w:sz w:val="22"/>
          <w:szCs w:val="22"/>
          <w:lang w:val="es-PE"/>
        </w:rPr>
        <w:t>consistente con la información reportad</w:t>
      </w:r>
      <w:r w:rsidR="00436839">
        <w:rPr>
          <w:rFonts w:ascii="Arial" w:hAnsi="Arial" w:cs="Arial"/>
          <w:sz w:val="22"/>
          <w:szCs w:val="22"/>
          <w:lang w:val="es-PE"/>
        </w:rPr>
        <w:t>a</w:t>
      </w:r>
      <w:r w:rsidR="00436839" w:rsidRPr="00436839">
        <w:rPr>
          <w:rFonts w:ascii="Arial" w:hAnsi="Arial" w:cs="Arial"/>
          <w:sz w:val="22"/>
          <w:szCs w:val="22"/>
          <w:lang w:val="es-PE"/>
        </w:rPr>
        <w:t xml:space="preserve"> por FIRA sobre el </w:t>
      </w:r>
      <w:r w:rsidR="002E53F4">
        <w:rPr>
          <w:rFonts w:ascii="Arial" w:hAnsi="Arial" w:cs="Arial"/>
          <w:sz w:val="22"/>
          <w:szCs w:val="22"/>
          <w:lang w:val="es-PE"/>
        </w:rPr>
        <w:t>número</w:t>
      </w:r>
      <w:r w:rsidR="00436839">
        <w:rPr>
          <w:rFonts w:ascii="Arial" w:hAnsi="Arial" w:cs="Arial"/>
          <w:sz w:val="22"/>
          <w:szCs w:val="22"/>
          <w:lang w:val="es-PE"/>
        </w:rPr>
        <w:t xml:space="preserve"> de empleados promedio</w:t>
      </w:r>
      <w:r w:rsidR="00436839" w:rsidRPr="00436839">
        <w:rPr>
          <w:rFonts w:ascii="Arial" w:hAnsi="Arial" w:cs="Arial"/>
          <w:sz w:val="22"/>
          <w:szCs w:val="22"/>
          <w:lang w:val="es-PE"/>
        </w:rPr>
        <w:t xml:space="preserve"> de la cartera objetivo, </w:t>
      </w:r>
      <w:r w:rsidR="00436839">
        <w:rPr>
          <w:rFonts w:ascii="Arial" w:hAnsi="Arial" w:cs="Arial"/>
          <w:sz w:val="22"/>
          <w:szCs w:val="22"/>
          <w:lang w:val="es-PE"/>
        </w:rPr>
        <w:t xml:space="preserve">igual a 25. </w:t>
      </w:r>
      <w:r w:rsidR="00D12431">
        <w:rPr>
          <w:rFonts w:ascii="Arial" w:hAnsi="Arial" w:cs="Arial"/>
          <w:sz w:val="22"/>
          <w:szCs w:val="22"/>
          <w:lang w:val="es-PE"/>
        </w:rPr>
        <w:t>En el escenario post</w:t>
      </w:r>
      <w:r w:rsidR="002E53F4">
        <w:rPr>
          <w:rFonts w:ascii="Arial" w:hAnsi="Arial" w:cs="Arial"/>
          <w:sz w:val="22"/>
          <w:szCs w:val="22"/>
          <w:lang w:val="es-PE"/>
        </w:rPr>
        <w:t xml:space="preserve"> </w:t>
      </w:r>
      <w:r w:rsidR="00D12431">
        <w:rPr>
          <w:rFonts w:ascii="Arial" w:hAnsi="Arial" w:cs="Arial"/>
          <w:sz w:val="22"/>
          <w:szCs w:val="22"/>
          <w:lang w:val="es-PE"/>
        </w:rPr>
        <w:t>crisis y sin intervención se asumirá que el empleo cae en la misma proporción que los ingresos por ventas en el escenario sin programa (¶</w:t>
      </w:r>
      <w:r w:rsidR="00D12431">
        <w:rPr>
          <w:rFonts w:ascii="Arial" w:hAnsi="Arial" w:cs="Arial"/>
          <w:sz w:val="22"/>
          <w:szCs w:val="22"/>
          <w:lang w:val="es-PE"/>
        </w:rPr>
        <w:fldChar w:fldCharType="begin"/>
      </w:r>
      <w:r w:rsidR="00D12431">
        <w:rPr>
          <w:rFonts w:ascii="Arial" w:hAnsi="Arial" w:cs="Arial"/>
          <w:sz w:val="22"/>
          <w:szCs w:val="22"/>
          <w:lang w:val="es-PE"/>
        </w:rPr>
        <w:instrText xml:space="preserve"> REF _Ref36308329 \r \h </w:instrText>
      </w:r>
      <w:r w:rsidR="00D12431">
        <w:rPr>
          <w:rFonts w:ascii="Arial" w:hAnsi="Arial" w:cs="Arial"/>
          <w:sz w:val="22"/>
          <w:szCs w:val="22"/>
          <w:lang w:val="es-PE"/>
        </w:rPr>
      </w:r>
      <w:r w:rsidR="00D12431">
        <w:rPr>
          <w:rFonts w:ascii="Arial" w:hAnsi="Arial" w:cs="Arial"/>
          <w:sz w:val="22"/>
          <w:szCs w:val="22"/>
          <w:lang w:val="es-PE"/>
        </w:rPr>
        <w:fldChar w:fldCharType="separate"/>
      </w:r>
      <w:r w:rsidR="002E53F4">
        <w:rPr>
          <w:rFonts w:ascii="Arial" w:hAnsi="Arial" w:cs="Arial"/>
          <w:sz w:val="22"/>
          <w:szCs w:val="22"/>
          <w:lang w:val="es-PE"/>
        </w:rPr>
        <w:t>II.16</w:t>
      </w:r>
      <w:r w:rsidR="00D12431">
        <w:rPr>
          <w:rFonts w:ascii="Arial" w:hAnsi="Arial" w:cs="Arial"/>
          <w:sz w:val="22"/>
          <w:szCs w:val="22"/>
          <w:lang w:val="es-PE"/>
        </w:rPr>
        <w:fldChar w:fldCharType="end"/>
      </w:r>
      <w:r w:rsidR="00D12431">
        <w:rPr>
          <w:rFonts w:ascii="Arial" w:hAnsi="Arial" w:cs="Arial"/>
          <w:sz w:val="22"/>
          <w:szCs w:val="22"/>
          <w:lang w:val="es-PE"/>
        </w:rPr>
        <w:t>). Para el escenario con programa, se asumirá que la reducción del empleo es menor, y equivalente a la reducción de los ingresos con intervención (¶</w:t>
      </w:r>
      <w:r w:rsidR="00D12431">
        <w:rPr>
          <w:rFonts w:ascii="Arial" w:hAnsi="Arial" w:cs="Arial"/>
          <w:sz w:val="22"/>
          <w:szCs w:val="22"/>
          <w:lang w:val="es-PE"/>
        </w:rPr>
        <w:fldChar w:fldCharType="begin"/>
      </w:r>
      <w:r w:rsidR="00D12431">
        <w:rPr>
          <w:rFonts w:ascii="Arial" w:hAnsi="Arial" w:cs="Arial"/>
          <w:sz w:val="22"/>
          <w:szCs w:val="22"/>
          <w:lang w:val="es-PE"/>
        </w:rPr>
        <w:instrText xml:space="preserve"> REF _Ref36308329 \r \h </w:instrText>
      </w:r>
      <w:r w:rsidR="00D12431">
        <w:rPr>
          <w:rFonts w:ascii="Arial" w:hAnsi="Arial" w:cs="Arial"/>
          <w:sz w:val="22"/>
          <w:szCs w:val="22"/>
          <w:lang w:val="es-PE"/>
        </w:rPr>
      </w:r>
      <w:r w:rsidR="00D12431">
        <w:rPr>
          <w:rFonts w:ascii="Arial" w:hAnsi="Arial" w:cs="Arial"/>
          <w:sz w:val="22"/>
          <w:szCs w:val="22"/>
          <w:lang w:val="es-PE"/>
        </w:rPr>
        <w:fldChar w:fldCharType="separate"/>
      </w:r>
      <w:r w:rsidR="002E53F4">
        <w:rPr>
          <w:rFonts w:ascii="Arial" w:hAnsi="Arial" w:cs="Arial"/>
          <w:sz w:val="22"/>
          <w:szCs w:val="22"/>
          <w:lang w:val="es-PE"/>
        </w:rPr>
        <w:t>II.16</w:t>
      </w:r>
      <w:r w:rsidR="00D12431">
        <w:rPr>
          <w:rFonts w:ascii="Arial" w:hAnsi="Arial" w:cs="Arial"/>
          <w:sz w:val="22"/>
          <w:szCs w:val="22"/>
          <w:lang w:val="es-PE"/>
        </w:rPr>
        <w:fldChar w:fldCharType="end"/>
      </w:r>
      <w:r w:rsidR="00D12431">
        <w:rPr>
          <w:rFonts w:ascii="Arial" w:hAnsi="Arial" w:cs="Arial"/>
          <w:sz w:val="22"/>
          <w:szCs w:val="22"/>
          <w:lang w:val="es-PE"/>
        </w:rPr>
        <w:t>).</w:t>
      </w:r>
      <w:r w:rsidR="00744606">
        <w:rPr>
          <w:rFonts w:ascii="Arial" w:hAnsi="Arial" w:cs="Arial"/>
          <w:sz w:val="22"/>
          <w:szCs w:val="22"/>
          <w:lang w:val="es-PE"/>
        </w:rPr>
        <w:t xml:space="preserve"> La evolución del empleo seguirá la evolución asumida de los ingresos post</w:t>
      </w:r>
      <w:r w:rsidR="002E53F4">
        <w:rPr>
          <w:rFonts w:ascii="Arial" w:hAnsi="Arial" w:cs="Arial"/>
          <w:sz w:val="22"/>
          <w:szCs w:val="22"/>
          <w:lang w:val="es-PE"/>
        </w:rPr>
        <w:t xml:space="preserve"> </w:t>
      </w:r>
      <w:r w:rsidR="00744606">
        <w:rPr>
          <w:rFonts w:ascii="Arial" w:hAnsi="Arial" w:cs="Arial"/>
          <w:sz w:val="22"/>
          <w:szCs w:val="22"/>
          <w:lang w:val="es-PE"/>
        </w:rPr>
        <w:t>crisis.</w:t>
      </w:r>
    </w:p>
    <w:p w14:paraId="454163FF" w14:textId="11C2A7AC" w:rsidR="00744606" w:rsidRPr="007E6CD0" w:rsidRDefault="00744606" w:rsidP="000F0F47">
      <w:pPr>
        <w:pStyle w:val="Paragraph"/>
        <w:numPr>
          <w:ilvl w:val="1"/>
          <w:numId w:val="2"/>
        </w:numPr>
        <w:ind w:left="630" w:hanging="630"/>
        <w:rPr>
          <w:rFonts w:ascii="Arial" w:hAnsi="Arial" w:cs="Arial"/>
          <w:sz w:val="22"/>
          <w:szCs w:val="22"/>
          <w:lang w:val="es-PE"/>
        </w:rPr>
      </w:pPr>
      <w:bookmarkStart w:id="14" w:name="_Ref36386632"/>
      <w:r w:rsidRPr="6E927DF1">
        <w:rPr>
          <w:rFonts w:ascii="Arial" w:hAnsi="Arial" w:cs="Arial"/>
          <w:b/>
          <w:bCs/>
          <w:sz w:val="22"/>
          <w:szCs w:val="22"/>
          <w:lang w:val="es-PE"/>
        </w:rPr>
        <w:t>Valor del empleo.</w:t>
      </w:r>
      <w:r w:rsidRPr="6E927DF1">
        <w:rPr>
          <w:rFonts w:ascii="Arial" w:hAnsi="Arial" w:cs="Arial"/>
          <w:sz w:val="22"/>
          <w:szCs w:val="22"/>
          <w:lang w:val="es-PE"/>
        </w:rPr>
        <w:t xml:space="preserve"> El valor del empleo de las PYME es igual al valor del ingreso total de salarios de toda la m</w:t>
      </w:r>
      <w:r w:rsidR="00591DBC" w:rsidRPr="6E927DF1">
        <w:rPr>
          <w:rFonts w:ascii="Arial" w:hAnsi="Arial" w:cs="Arial"/>
          <w:sz w:val="22"/>
          <w:szCs w:val="22"/>
          <w:lang w:val="es-PE"/>
        </w:rPr>
        <w:t>a</w:t>
      </w:r>
      <w:r w:rsidR="2C93B607" w:rsidRPr="6E927DF1">
        <w:rPr>
          <w:rFonts w:ascii="Arial" w:hAnsi="Arial" w:cs="Arial"/>
          <w:sz w:val="22"/>
          <w:szCs w:val="22"/>
          <w:lang w:val="es-PE"/>
        </w:rPr>
        <w:t>n</w:t>
      </w:r>
      <w:r w:rsidR="00591DBC" w:rsidRPr="6E927DF1">
        <w:rPr>
          <w:rFonts w:ascii="Arial" w:hAnsi="Arial" w:cs="Arial"/>
          <w:sz w:val="22"/>
          <w:szCs w:val="22"/>
          <w:lang w:val="es-PE"/>
        </w:rPr>
        <w:t>o</w:t>
      </w:r>
      <w:r w:rsidRPr="6E927DF1">
        <w:rPr>
          <w:rFonts w:ascii="Arial" w:hAnsi="Arial" w:cs="Arial"/>
          <w:sz w:val="22"/>
          <w:szCs w:val="22"/>
          <w:lang w:val="es-PE"/>
        </w:rPr>
        <w:t xml:space="preserve"> de obra empleada por la empresa. Para este fin, se asumirá un valor promedio de salario por PYME </w:t>
      </w:r>
      <w:r w:rsidR="005B6FAC">
        <w:rPr>
          <w:rFonts w:ascii="Arial" w:hAnsi="Arial" w:cs="Arial"/>
          <w:sz w:val="22"/>
          <w:szCs w:val="22"/>
          <w:lang w:val="es-PE"/>
        </w:rPr>
        <w:t xml:space="preserve">beneficiaria </w:t>
      </w:r>
      <w:r w:rsidRPr="6E927DF1">
        <w:rPr>
          <w:rFonts w:ascii="Arial" w:hAnsi="Arial" w:cs="Arial"/>
          <w:sz w:val="22"/>
          <w:szCs w:val="22"/>
          <w:lang w:val="es-PE"/>
        </w:rPr>
        <w:t xml:space="preserve">y se multiplicará por el número promedio de empleados para cada escenario. </w:t>
      </w:r>
      <w:r w:rsidR="00216CB9" w:rsidRPr="6E927DF1">
        <w:rPr>
          <w:rFonts w:ascii="Arial" w:hAnsi="Arial" w:cs="Arial"/>
          <w:sz w:val="22"/>
          <w:szCs w:val="22"/>
          <w:lang w:val="es-PE"/>
        </w:rPr>
        <w:t xml:space="preserve">Se asume un valor de salario promedio igual a </w:t>
      </w:r>
      <w:r w:rsidR="003A3061">
        <w:rPr>
          <w:rFonts w:ascii="Arial" w:hAnsi="Arial" w:cs="Arial"/>
          <w:sz w:val="22"/>
          <w:szCs w:val="22"/>
          <w:lang w:val="es-PE"/>
        </w:rPr>
        <w:t>12,670 pesos</w:t>
      </w:r>
      <w:r w:rsidR="00216CB9" w:rsidRPr="6E927DF1">
        <w:rPr>
          <w:rFonts w:ascii="Arial" w:hAnsi="Arial" w:cs="Arial"/>
          <w:sz w:val="22"/>
          <w:szCs w:val="22"/>
          <w:lang w:val="es-PE"/>
        </w:rPr>
        <w:t>. Este valor</w:t>
      </w:r>
      <w:r w:rsidR="00EB606C">
        <w:rPr>
          <w:rFonts w:ascii="Arial" w:hAnsi="Arial" w:cs="Arial"/>
          <w:sz w:val="22"/>
          <w:szCs w:val="22"/>
          <w:lang w:val="es-PE"/>
        </w:rPr>
        <w:t xml:space="preserve"> se obtiene </w:t>
      </w:r>
      <w:r w:rsidR="00EB606C" w:rsidRPr="00EB606C">
        <w:rPr>
          <w:rFonts w:ascii="Arial" w:hAnsi="Arial" w:cs="Arial"/>
          <w:sz w:val="22"/>
          <w:szCs w:val="22"/>
          <w:lang w:val="es-PE"/>
        </w:rPr>
        <w:t xml:space="preserve">a partir de salario diario promedio reportado por la </w:t>
      </w:r>
      <w:r w:rsidR="00EB606C" w:rsidRPr="007E6CD0">
        <w:rPr>
          <w:rFonts w:ascii="Arial" w:hAnsi="Arial" w:cs="Arial"/>
          <w:sz w:val="22"/>
          <w:szCs w:val="22"/>
          <w:lang w:val="es-PE"/>
        </w:rPr>
        <w:t xml:space="preserve">Secretaría del Trabajo y Previsión Social </w:t>
      </w:r>
      <w:r w:rsidR="00EB606C">
        <w:rPr>
          <w:rFonts w:ascii="Arial" w:hAnsi="Arial" w:cs="Arial"/>
          <w:sz w:val="22"/>
          <w:szCs w:val="22"/>
          <w:lang w:val="es-PE"/>
        </w:rPr>
        <w:t xml:space="preserve">(STPS) </w:t>
      </w:r>
      <w:r w:rsidR="00EB606C">
        <w:rPr>
          <w:rFonts w:ascii="Arial" w:hAnsi="Arial" w:cs="Arial"/>
          <w:sz w:val="22"/>
          <w:szCs w:val="22"/>
          <w:lang w:val="es-PE"/>
        </w:rPr>
        <w:lastRenderedPageBreak/>
        <w:t xml:space="preserve">de México para el </w:t>
      </w:r>
      <w:r w:rsidR="00EB606C" w:rsidRPr="00EB606C">
        <w:rPr>
          <w:rFonts w:ascii="Arial" w:hAnsi="Arial" w:cs="Arial"/>
          <w:sz w:val="22"/>
          <w:szCs w:val="22"/>
          <w:lang w:val="es-PE"/>
        </w:rPr>
        <w:t>sector</w:t>
      </w:r>
      <w:r w:rsidR="00EB606C">
        <w:rPr>
          <w:rFonts w:ascii="Arial" w:hAnsi="Arial" w:cs="Arial"/>
          <w:sz w:val="22"/>
          <w:szCs w:val="22"/>
          <w:lang w:val="es-PE"/>
        </w:rPr>
        <w:t xml:space="preserve"> de</w:t>
      </w:r>
      <w:r w:rsidR="00EB606C" w:rsidRPr="00EB606C">
        <w:rPr>
          <w:rFonts w:ascii="Arial" w:hAnsi="Arial" w:cs="Arial"/>
          <w:sz w:val="22"/>
          <w:szCs w:val="22"/>
          <w:lang w:val="es-PE"/>
        </w:rPr>
        <w:t xml:space="preserve"> industrias de transformación</w:t>
      </w:r>
      <w:r w:rsidR="00EB606C">
        <w:rPr>
          <w:rFonts w:ascii="Arial" w:hAnsi="Arial" w:cs="Arial"/>
          <w:sz w:val="22"/>
          <w:szCs w:val="22"/>
          <w:lang w:val="es-PE"/>
        </w:rPr>
        <w:t xml:space="preserve">. </w:t>
      </w:r>
      <w:r w:rsidR="007E6CD0">
        <w:rPr>
          <w:rFonts w:ascii="Arial" w:hAnsi="Arial" w:cs="Arial"/>
          <w:sz w:val="22"/>
          <w:szCs w:val="22"/>
          <w:lang w:val="es-PE"/>
        </w:rPr>
        <w:t>Debido a que el</w:t>
      </w:r>
      <w:r w:rsidR="00EB606C">
        <w:rPr>
          <w:rFonts w:ascii="Arial" w:hAnsi="Arial" w:cs="Arial"/>
          <w:sz w:val="22"/>
          <w:szCs w:val="22"/>
          <w:lang w:val="es-PE"/>
        </w:rPr>
        <w:t xml:space="preserve"> último valor reportado </w:t>
      </w:r>
      <w:r w:rsidR="007E6CD0">
        <w:rPr>
          <w:rFonts w:ascii="Arial" w:hAnsi="Arial" w:cs="Arial"/>
          <w:sz w:val="22"/>
          <w:szCs w:val="22"/>
          <w:lang w:val="es-PE"/>
        </w:rPr>
        <w:t xml:space="preserve">por la STPS </w:t>
      </w:r>
      <w:r w:rsidR="00EB606C">
        <w:rPr>
          <w:rFonts w:ascii="Arial" w:hAnsi="Arial" w:cs="Arial"/>
          <w:sz w:val="22"/>
          <w:szCs w:val="22"/>
          <w:lang w:val="es-PE"/>
        </w:rPr>
        <w:t xml:space="preserve">para dicho sector corresponde </w:t>
      </w:r>
      <w:r w:rsidR="00EB606C" w:rsidRPr="00EB606C">
        <w:rPr>
          <w:rFonts w:ascii="Arial" w:hAnsi="Arial" w:cs="Arial"/>
          <w:sz w:val="22"/>
          <w:szCs w:val="22"/>
          <w:lang w:val="es-PE"/>
        </w:rPr>
        <w:t>a 2015</w:t>
      </w:r>
      <w:r w:rsidR="007E6CD0">
        <w:rPr>
          <w:rFonts w:ascii="Arial" w:hAnsi="Arial" w:cs="Arial"/>
          <w:sz w:val="22"/>
          <w:szCs w:val="22"/>
          <w:lang w:val="es-PE"/>
        </w:rPr>
        <w:t xml:space="preserve">, </w:t>
      </w:r>
      <w:r w:rsidR="00EB606C">
        <w:rPr>
          <w:rFonts w:ascii="Arial" w:hAnsi="Arial" w:cs="Arial"/>
          <w:sz w:val="22"/>
          <w:szCs w:val="22"/>
          <w:lang w:val="es-PE"/>
        </w:rPr>
        <w:t xml:space="preserve">el monto se actualiza a 2020 utilizando </w:t>
      </w:r>
      <w:r w:rsidR="007E6CD0">
        <w:rPr>
          <w:rFonts w:ascii="Arial" w:hAnsi="Arial" w:cs="Arial"/>
          <w:sz w:val="22"/>
          <w:szCs w:val="22"/>
          <w:lang w:val="es-PE"/>
        </w:rPr>
        <w:t>un</w:t>
      </w:r>
      <w:r w:rsidR="00EB606C">
        <w:rPr>
          <w:rFonts w:ascii="Arial" w:hAnsi="Arial" w:cs="Arial"/>
          <w:sz w:val="22"/>
          <w:szCs w:val="22"/>
          <w:lang w:val="es-PE"/>
        </w:rPr>
        <w:t xml:space="preserve">a tasa de crecimiento </w:t>
      </w:r>
      <w:r w:rsidR="007E6CD0">
        <w:rPr>
          <w:rFonts w:ascii="Arial" w:hAnsi="Arial" w:cs="Arial"/>
          <w:sz w:val="22"/>
          <w:szCs w:val="22"/>
          <w:lang w:val="es-PE"/>
        </w:rPr>
        <w:t>referencial. Dicha tasa se obtiene a partir de los datos disponibles para el salario diario promedio total en México, que equivalen a $294.02 en 2015 versus $</w:t>
      </w:r>
      <w:r w:rsidR="00EB606C" w:rsidRPr="007E6CD0">
        <w:rPr>
          <w:rFonts w:ascii="Arial" w:hAnsi="Arial" w:cs="Arial"/>
          <w:sz w:val="22"/>
          <w:szCs w:val="22"/>
          <w:lang w:val="es-PE"/>
        </w:rPr>
        <w:t>401</w:t>
      </w:r>
      <w:r w:rsidR="007E6CD0">
        <w:rPr>
          <w:rFonts w:ascii="Arial" w:hAnsi="Arial" w:cs="Arial"/>
          <w:sz w:val="22"/>
          <w:szCs w:val="22"/>
          <w:lang w:val="es-PE"/>
        </w:rPr>
        <w:t xml:space="preserve"> a abril de 2020, según datos del I</w:t>
      </w:r>
      <w:r w:rsidR="007E6CD0" w:rsidRPr="007E6CD0">
        <w:rPr>
          <w:rFonts w:ascii="Arial" w:hAnsi="Arial" w:cs="Arial"/>
          <w:sz w:val="22"/>
          <w:szCs w:val="22"/>
          <w:lang w:val="es-PE"/>
        </w:rPr>
        <w:t>nstituto Mexicano del Seguro Social</w:t>
      </w:r>
      <w:r w:rsidR="007E6CD0">
        <w:rPr>
          <w:rFonts w:ascii="Arial" w:hAnsi="Arial" w:cs="Arial"/>
          <w:sz w:val="22"/>
          <w:szCs w:val="22"/>
          <w:lang w:val="es-PE"/>
        </w:rPr>
        <w:t xml:space="preserve"> (IMSS). Se consideran 30 días para el cálculo del salario mensual</w:t>
      </w:r>
      <w:r w:rsidR="00216CB9" w:rsidRPr="007E6CD0">
        <w:rPr>
          <w:rFonts w:ascii="Arial" w:hAnsi="Arial" w:cs="Arial"/>
          <w:sz w:val="22"/>
          <w:szCs w:val="22"/>
          <w:lang w:val="es-PE"/>
        </w:rPr>
        <w:t>.</w:t>
      </w:r>
      <w:bookmarkEnd w:id="14"/>
    </w:p>
    <w:p w14:paraId="57196405" w14:textId="73A73B96" w:rsidR="004B54CA" w:rsidRDefault="004B54CA" w:rsidP="000F0F47">
      <w:pPr>
        <w:pStyle w:val="Paragraph"/>
        <w:numPr>
          <w:ilvl w:val="1"/>
          <w:numId w:val="2"/>
        </w:numPr>
        <w:ind w:left="630" w:hanging="630"/>
        <w:rPr>
          <w:rFonts w:ascii="Arial" w:hAnsi="Arial" w:cs="Arial"/>
          <w:sz w:val="22"/>
          <w:szCs w:val="22"/>
          <w:lang w:val="es-PE"/>
        </w:rPr>
      </w:pPr>
      <w:bookmarkStart w:id="15" w:name="_Ref36386457"/>
      <w:r>
        <w:rPr>
          <w:rFonts w:ascii="Arial" w:hAnsi="Arial" w:cs="Arial"/>
          <w:b/>
          <w:bCs/>
          <w:sz w:val="22"/>
          <w:szCs w:val="22"/>
          <w:lang w:val="es-PE"/>
        </w:rPr>
        <w:t>Duración del desempleo.</w:t>
      </w:r>
      <w:r>
        <w:rPr>
          <w:rFonts w:ascii="Arial" w:hAnsi="Arial" w:cs="Arial"/>
          <w:sz w:val="22"/>
          <w:szCs w:val="22"/>
          <w:lang w:val="es-PE"/>
        </w:rPr>
        <w:t xml:space="preserve"> Se asume que los trabajadores que pierden su empleo por el cierre de las firmas no se reinsertan instantáneamente en el mercado laboral, si no que deben esperar un determinado período de tiempo para conseguir empleo y, por tanto, restablecer sus ingresos. Se asume</w:t>
      </w:r>
      <w:r w:rsidR="007E6CD0">
        <w:rPr>
          <w:rFonts w:ascii="Arial" w:hAnsi="Arial" w:cs="Arial"/>
          <w:sz w:val="22"/>
          <w:szCs w:val="22"/>
          <w:lang w:val="es-PE"/>
        </w:rPr>
        <w:t>, de forma conservadora, que la duración del desempleo generado es de 6 meses, con base en l</w:t>
      </w:r>
      <w:r w:rsidR="007E6CD0" w:rsidRPr="007E6CD0">
        <w:rPr>
          <w:rFonts w:ascii="Arial" w:hAnsi="Arial" w:cs="Arial"/>
          <w:sz w:val="22"/>
          <w:szCs w:val="22"/>
          <w:lang w:val="es-PE"/>
        </w:rPr>
        <w:t>a media de la duración del desempleo en Estados Unidos durante la crisis financiera</w:t>
      </w:r>
      <w:r w:rsidR="007E6CD0">
        <w:rPr>
          <w:rFonts w:ascii="Arial" w:hAnsi="Arial" w:cs="Arial"/>
          <w:sz w:val="22"/>
          <w:szCs w:val="22"/>
          <w:lang w:val="es-PE"/>
        </w:rPr>
        <w:t xml:space="preserve"> de 2007-2009</w:t>
      </w:r>
      <w:r w:rsidR="007E6CD0">
        <w:rPr>
          <w:rStyle w:val="FootnoteReference"/>
          <w:rFonts w:ascii="Arial" w:hAnsi="Arial" w:cs="Arial"/>
          <w:sz w:val="22"/>
          <w:szCs w:val="22"/>
          <w:lang w:val="es-PE"/>
        </w:rPr>
        <w:footnoteReference w:id="53"/>
      </w:r>
      <w:r w:rsidR="00A50DC4">
        <w:rPr>
          <w:rFonts w:ascii="Arial" w:hAnsi="Arial" w:cs="Arial"/>
          <w:sz w:val="22"/>
          <w:szCs w:val="22"/>
          <w:lang w:val="es-PE"/>
        </w:rPr>
        <w:t>, lo que corresponde a una tasa de reinserción del 0.5 anual</w:t>
      </w:r>
      <w:r>
        <w:rPr>
          <w:rFonts w:ascii="Arial" w:hAnsi="Arial" w:cs="Arial"/>
          <w:sz w:val="22"/>
          <w:szCs w:val="22"/>
          <w:lang w:val="es-PE"/>
        </w:rPr>
        <w:t>.</w:t>
      </w:r>
      <w:bookmarkEnd w:id="15"/>
    </w:p>
    <w:p w14:paraId="2AEE81BD" w14:textId="251A7709" w:rsidR="00216CB9" w:rsidRPr="00117CEA" w:rsidRDefault="00216CB9" w:rsidP="000F0F47">
      <w:pPr>
        <w:pStyle w:val="Paragraph"/>
        <w:numPr>
          <w:ilvl w:val="1"/>
          <w:numId w:val="2"/>
        </w:numPr>
        <w:ind w:left="630" w:hanging="630"/>
        <w:rPr>
          <w:rFonts w:ascii="Arial" w:hAnsi="Arial" w:cs="Arial"/>
          <w:sz w:val="22"/>
          <w:szCs w:val="22"/>
          <w:lang w:val="es-PE"/>
        </w:rPr>
      </w:pPr>
      <w:r>
        <w:rPr>
          <w:rFonts w:ascii="Arial" w:hAnsi="Arial" w:cs="Arial"/>
          <w:b/>
          <w:bCs/>
          <w:sz w:val="22"/>
          <w:szCs w:val="22"/>
          <w:lang w:val="es-PE"/>
        </w:rPr>
        <w:t xml:space="preserve">Parámetro de compensación salarial. </w:t>
      </w:r>
      <w:r>
        <w:rPr>
          <w:rFonts w:ascii="Arial" w:hAnsi="Arial" w:cs="Arial"/>
          <w:sz w:val="22"/>
          <w:szCs w:val="22"/>
          <w:lang w:val="es-PE"/>
        </w:rPr>
        <w:t>Se asume un parámetro de compensación salarial igual a</w:t>
      </w:r>
      <w:r w:rsidR="00875348">
        <w:rPr>
          <w:rFonts w:ascii="Arial" w:hAnsi="Arial" w:cs="Arial"/>
          <w:sz w:val="22"/>
          <w:szCs w:val="22"/>
          <w:lang w:val="es-PE"/>
        </w:rPr>
        <w:t xml:space="preserve"> </w:t>
      </w:r>
      <w:r w:rsidR="00CB6B9A">
        <w:rPr>
          <w:rFonts w:ascii="Arial" w:hAnsi="Arial" w:cs="Arial"/>
          <w:sz w:val="22"/>
          <w:szCs w:val="22"/>
          <w:lang w:val="es-PE"/>
        </w:rPr>
        <w:t>cero</w:t>
      </w:r>
      <w:r>
        <w:rPr>
          <w:rFonts w:ascii="Arial" w:hAnsi="Arial" w:cs="Arial"/>
          <w:sz w:val="22"/>
          <w:szCs w:val="22"/>
          <w:lang w:val="es-PE"/>
        </w:rPr>
        <w:t>.</w:t>
      </w:r>
      <w:r w:rsidR="00CB6B9A">
        <w:rPr>
          <w:rFonts w:ascii="Arial" w:hAnsi="Arial" w:cs="Arial"/>
          <w:sz w:val="22"/>
          <w:szCs w:val="22"/>
          <w:lang w:val="es-PE"/>
        </w:rPr>
        <w:t xml:space="preserve"> </w:t>
      </w:r>
      <w:r w:rsidR="00CB6B9A" w:rsidRPr="00CB6B9A">
        <w:rPr>
          <w:rFonts w:ascii="Arial" w:hAnsi="Arial" w:cs="Arial"/>
          <w:sz w:val="22"/>
          <w:szCs w:val="22"/>
          <w:lang w:val="es-PE"/>
        </w:rPr>
        <w:t xml:space="preserve">Si bien </w:t>
      </w:r>
      <w:r w:rsidR="00CB6B9A">
        <w:rPr>
          <w:rFonts w:ascii="Arial" w:hAnsi="Arial" w:cs="Arial"/>
          <w:sz w:val="22"/>
          <w:szCs w:val="22"/>
          <w:lang w:val="es-PE"/>
        </w:rPr>
        <w:t>un</w:t>
      </w:r>
      <w:r w:rsidR="00CB6B9A" w:rsidRPr="00CB6B9A">
        <w:rPr>
          <w:rFonts w:ascii="Arial" w:hAnsi="Arial" w:cs="Arial"/>
          <w:sz w:val="22"/>
          <w:szCs w:val="22"/>
          <w:lang w:val="es-MX"/>
        </w:rPr>
        <w:t xml:space="preserve"> escenario contrafactual </w:t>
      </w:r>
      <w:r w:rsidR="00CB6B9A">
        <w:rPr>
          <w:rFonts w:ascii="Arial" w:hAnsi="Arial" w:cs="Arial"/>
          <w:sz w:val="22"/>
          <w:szCs w:val="22"/>
          <w:lang w:val="es-MX"/>
        </w:rPr>
        <w:t>podría</w:t>
      </w:r>
      <w:r w:rsidR="00CB6B9A" w:rsidRPr="00CB6B9A">
        <w:rPr>
          <w:rFonts w:ascii="Arial" w:hAnsi="Arial" w:cs="Arial"/>
          <w:sz w:val="22"/>
          <w:szCs w:val="22"/>
          <w:lang w:val="es-MX"/>
        </w:rPr>
        <w:t xml:space="preserve"> considerar</w:t>
      </w:r>
      <w:r w:rsidR="00CB6B9A">
        <w:rPr>
          <w:rFonts w:ascii="Arial" w:hAnsi="Arial" w:cs="Arial"/>
          <w:sz w:val="22"/>
          <w:szCs w:val="22"/>
          <w:lang w:val="es-MX"/>
        </w:rPr>
        <w:t xml:space="preserve"> una compensación distinta de cero, por </w:t>
      </w:r>
      <w:r w:rsidR="005769CE">
        <w:rPr>
          <w:rFonts w:ascii="Arial" w:hAnsi="Arial" w:cs="Arial"/>
          <w:sz w:val="22"/>
          <w:szCs w:val="22"/>
          <w:lang w:val="es-MX"/>
        </w:rPr>
        <w:t>ejemplo,</w:t>
      </w:r>
      <w:r w:rsidR="00CB6B9A">
        <w:rPr>
          <w:rFonts w:ascii="Arial" w:hAnsi="Arial" w:cs="Arial"/>
          <w:sz w:val="22"/>
          <w:szCs w:val="22"/>
          <w:lang w:val="es-MX"/>
        </w:rPr>
        <w:t xml:space="preserve"> debido a</w:t>
      </w:r>
      <w:r w:rsidR="00CB6B9A" w:rsidRPr="00CB6B9A">
        <w:rPr>
          <w:rFonts w:ascii="Arial" w:hAnsi="Arial" w:cs="Arial"/>
          <w:sz w:val="22"/>
          <w:szCs w:val="22"/>
          <w:lang w:val="es-MX"/>
        </w:rPr>
        <w:t xml:space="preserve"> la existencia de un programa gubernamental de compensaci</w:t>
      </w:r>
      <w:r w:rsidR="00CB6B9A">
        <w:rPr>
          <w:rFonts w:ascii="Arial" w:hAnsi="Arial" w:cs="Arial"/>
          <w:sz w:val="22"/>
          <w:szCs w:val="22"/>
          <w:lang w:val="es-MX"/>
        </w:rPr>
        <w:t>ones por desempleo</w:t>
      </w:r>
      <w:r w:rsidR="00CB6B9A" w:rsidRPr="00CB6B9A">
        <w:rPr>
          <w:rFonts w:ascii="Arial" w:hAnsi="Arial" w:cs="Arial"/>
          <w:sz w:val="22"/>
          <w:szCs w:val="22"/>
          <w:lang w:val="es-MX"/>
        </w:rPr>
        <w:t>, se asume que</w:t>
      </w:r>
      <w:r w:rsidR="00CB6B9A">
        <w:rPr>
          <w:rFonts w:ascii="Arial" w:hAnsi="Arial" w:cs="Arial"/>
          <w:sz w:val="22"/>
          <w:szCs w:val="22"/>
          <w:lang w:val="es-MX"/>
        </w:rPr>
        <w:t xml:space="preserve"> la</w:t>
      </w:r>
      <w:r w:rsidR="00CB6B9A" w:rsidRPr="00CB6B9A">
        <w:rPr>
          <w:rFonts w:ascii="Arial" w:hAnsi="Arial" w:cs="Arial"/>
          <w:sz w:val="22"/>
          <w:szCs w:val="22"/>
          <w:lang w:val="es-MX"/>
        </w:rPr>
        <w:t xml:space="preserve"> pérdida de ingresos por parte de los trabajadores</w:t>
      </w:r>
      <w:r w:rsidR="00CB6B9A">
        <w:rPr>
          <w:rFonts w:ascii="Arial" w:hAnsi="Arial" w:cs="Arial"/>
          <w:sz w:val="22"/>
          <w:szCs w:val="22"/>
          <w:lang w:val="es-MX"/>
        </w:rPr>
        <w:t xml:space="preserve"> es total</w:t>
      </w:r>
      <w:r w:rsidR="00CB6B9A" w:rsidRPr="00CB6B9A">
        <w:rPr>
          <w:rFonts w:ascii="Arial" w:hAnsi="Arial" w:cs="Arial"/>
          <w:sz w:val="22"/>
          <w:szCs w:val="22"/>
          <w:lang w:val="es-MX"/>
        </w:rPr>
        <w:t xml:space="preserve">. </w:t>
      </w:r>
      <w:r w:rsidR="00CB6B9A">
        <w:rPr>
          <w:rFonts w:ascii="Arial" w:hAnsi="Arial" w:cs="Arial"/>
          <w:sz w:val="22"/>
          <w:szCs w:val="22"/>
          <w:lang w:val="es-PE"/>
        </w:rPr>
        <w:t>A</w:t>
      </w:r>
      <w:r w:rsidR="005769CE">
        <w:rPr>
          <w:rFonts w:ascii="Arial" w:hAnsi="Arial" w:cs="Arial"/>
          <w:sz w:val="22"/>
          <w:szCs w:val="22"/>
          <w:lang w:val="es-PE"/>
        </w:rPr>
        <w:t xml:space="preserve">l 5 de </w:t>
      </w:r>
      <w:r w:rsidR="00CB6B9A">
        <w:rPr>
          <w:rFonts w:ascii="Arial" w:hAnsi="Arial" w:cs="Arial"/>
          <w:sz w:val="22"/>
          <w:szCs w:val="22"/>
          <w:lang w:val="es-PE"/>
        </w:rPr>
        <w:t>abril</w:t>
      </w:r>
      <w:r w:rsidR="005769CE">
        <w:rPr>
          <w:rFonts w:ascii="Arial" w:hAnsi="Arial" w:cs="Arial"/>
          <w:sz w:val="22"/>
          <w:szCs w:val="22"/>
          <w:lang w:val="es-PE"/>
        </w:rPr>
        <w:t xml:space="preserve"> de 2020</w:t>
      </w:r>
      <w:r w:rsidR="00CB6B9A">
        <w:rPr>
          <w:rFonts w:ascii="Arial" w:hAnsi="Arial" w:cs="Arial"/>
          <w:sz w:val="22"/>
          <w:szCs w:val="22"/>
          <w:lang w:val="es-PE"/>
        </w:rPr>
        <w:t>, las medidas anunciadas por el gobierno para frenar el impacto económico de la crisis tenían como prioridad el incremento del gasto en salud y el fortalecimiento de la red de seguridad social, incluyen</w:t>
      </w:r>
      <w:r w:rsidR="005769CE">
        <w:rPr>
          <w:rFonts w:ascii="Arial" w:hAnsi="Arial" w:cs="Arial"/>
          <w:sz w:val="22"/>
          <w:szCs w:val="22"/>
          <w:lang w:val="es-PE"/>
        </w:rPr>
        <w:t>do</w:t>
      </w:r>
      <w:r w:rsidR="00CB6B9A">
        <w:rPr>
          <w:rFonts w:ascii="Arial" w:hAnsi="Arial" w:cs="Arial"/>
          <w:sz w:val="22"/>
          <w:szCs w:val="22"/>
          <w:lang w:val="es-PE"/>
        </w:rPr>
        <w:t xml:space="preserve"> la distribución anticipada de pensiones y prestaciones de discapacidad, el aceleramiento de procesos de contrataciones y reembolso de impuesto a las ventas, </w:t>
      </w:r>
      <w:r w:rsidR="005769CE">
        <w:rPr>
          <w:rFonts w:ascii="Arial" w:hAnsi="Arial" w:cs="Arial"/>
          <w:sz w:val="22"/>
          <w:szCs w:val="22"/>
          <w:lang w:val="es-PE"/>
        </w:rPr>
        <w:t xml:space="preserve">así como el otorgamiento de </w:t>
      </w:r>
      <w:r w:rsidR="00CB6B9A">
        <w:rPr>
          <w:rFonts w:ascii="Arial" w:hAnsi="Arial" w:cs="Arial"/>
          <w:sz w:val="22"/>
          <w:szCs w:val="22"/>
          <w:lang w:val="es-PE"/>
        </w:rPr>
        <w:t xml:space="preserve">préstamos para PYME y apoyo a la liquidez de los BPD, </w:t>
      </w:r>
      <w:r w:rsidR="005769CE">
        <w:rPr>
          <w:rFonts w:ascii="Arial" w:hAnsi="Arial" w:cs="Arial"/>
          <w:sz w:val="22"/>
          <w:szCs w:val="22"/>
          <w:lang w:val="es-PE"/>
        </w:rPr>
        <w:t>y</w:t>
      </w:r>
      <w:r w:rsidR="00CB6B9A">
        <w:rPr>
          <w:rFonts w:ascii="Arial" w:hAnsi="Arial" w:cs="Arial"/>
          <w:sz w:val="22"/>
          <w:szCs w:val="22"/>
          <w:lang w:val="es-PE"/>
        </w:rPr>
        <w:t xml:space="preserve"> </w:t>
      </w:r>
      <w:r w:rsidR="005769CE">
        <w:rPr>
          <w:rFonts w:ascii="Arial" w:hAnsi="Arial" w:cs="Arial"/>
          <w:sz w:val="22"/>
          <w:szCs w:val="22"/>
          <w:lang w:val="es-PE"/>
        </w:rPr>
        <w:t>préstamos</w:t>
      </w:r>
      <w:r w:rsidR="00CB6B9A">
        <w:rPr>
          <w:rFonts w:ascii="Arial" w:hAnsi="Arial" w:cs="Arial"/>
          <w:sz w:val="22"/>
          <w:szCs w:val="22"/>
          <w:lang w:val="es-PE"/>
        </w:rPr>
        <w:t xml:space="preserve"> </w:t>
      </w:r>
      <w:r w:rsidR="005769CE">
        <w:rPr>
          <w:rFonts w:ascii="Arial" w:hAnsi="Arial" w:cs="Arial"/>
          <w:sz w:val="22"/>
          <w:szCs w:val="22"/>
          <w:lang w:val="es-PE"/>
        </w:rPr>
        <w:t>a</w:t>
      </w:r>
      <w:r w:rsidR="00CB6B9A">
        <w:rPr>
          <w:rFonts w:ascii="Arial" w:hAnsi="Arial" w:cs="Arial"/>
          <w:sz w:val="22"/>
          <w:szCs w:val="22"/>
          <w:lang w:val="es-PE"/>
        </w:rPr>
        <w:t xml:space="preserve"> trabajadores que coticen a la seguridad social. </w:t>
      </w:r>
      <w:r w:rsidR="005769CE">
        <w:rPr>
          <w:rFonts w:ascii="Arial" w:hAnsi="Arial" w:cs="Arial"/>
          <w:sz w:val="22"/>
          <w:szCs w:val="22"/>
          <w:lang w:val="es-PE"/>
        </w:rPr>
        <w:t xml:space="preserve">A pesar de los efectos positivos que debieran tener estas medidas sobre la población, no se han implementado, a la fecha, </w:t>
      </w:r>
      <w:r w:rsidR="005769CE" w:rsidRPr="005769CE">
        <w:rPr>
          <w:rFonts w:ascii="Arial" w:hAnsi="Arial" w:cs="Arial"/>
          <w:sz w:val="22"/>
          <w:szCs w:val="22"/>
          <w:lang w:val="es-MX"/>
        </w:rPr>
        <w:t>mecanismos de compensación salarial</w:t>
      </w:r>
      <w:r w:rsidR="005769CE">
        <w:rPr>
          <w:rFonts w:ascii="Arial" w:hAnsi="Arial" w:cs="Arial"/>
          <w:sz w:val="22"/>
          <w:szCs w:val="22"/>
          <w:lang w:val="es-MX"/>
        </w:rPr>
        <w:t xml:space="preserve"> específicamente</w:t>
      </w:r>
      <w:r w:rsidR="005769CE">
        <w:rPr>
          <w:rFonts w:ascii="Arial" w:hAnsi="Arial" w:cs="Arial"/>
          <w:sz w:val="22"/>
          <w:szCs w:val="22"/>
          <w:lang w:val="es-PE"/>
        </w:rPr>
        <w:t xml:space="preserve"> y no es posible determinar en qué proporción podrían equivaler las primeras a una compensación por desempleo que aplique a efectos de este análisis</w:t>
      </w:r>
      <w:r w:rsidR="00396418">
        <w:rPr>
          <w:rFonts w:ascii="Arial" w:hAnsi="Arial" w:cs="Arial"/>
          <w:sz w:val="22"/>
          <w:szCs w:val="22"/>
          <w:lang w:val="es-PE"/>
        </w:rPr>
        <w:t>.</w:t>
      </w:r>
    </w:p>
    <w:p w14:paraId="554C6157" w14:textId="760C19D6" w:rsidR="00117CEA" w:rsidRPr="00117CEA" w:rsidRDefault="00FD4ABD" w:rsidP="000F0F47">
      <w:pPr>
        <w:pStyle w:val="Paragraph"/>
        <w:numPr>
          <w:ilvl w:val="1"/>
          <w:numId w:val="2"/>
        </w:numPr>
        <w:ind w:left="630" w:hanging="630"/>
        <w:rPr>
          <w:rFonts w:ascii="Arial" w:hAnsi="Arial" w:cs="Arial"/>
          <w:sz w:val="22"/>
          <w:szCs w:val="22"/>
          <w:lang w:val="es-PE"/>
        </w:rPr>
      </w:pPr>
      <w:r w:rsidRPr="00117CEA">
        <w:rPr>
          <w:rFonts w:ascii="Arial" w:hAnsi="Arial" w:cs="Arial"/>
          <w:b/>
          <w:bCs/>
          <w:sz w:val="22"/>
          <w:szCs w:val="22"/>
          <w:lang w:val="es-PE"/>
        </w:rPr>
        <w:t>Horizonte temporal</w:t>
      </w:r>
      <w:r w:rsidR="00117CEA" w:rsidRPr="00117CEA">
        <w:rPr>
          <w:rFonts w:ascii="Arial" w:hAnsi="Arial" w:cs="Arial"/>
          <w:b/>
          <w:bCs/>
          <w:sz w:val="22"/>
          <w:szCs w:val="22"/>
          <w:lang w:val="es-PE"/>
        </w:rPr>
        <w:t xml:space="preserve">. </w:t>
      </w:r>
      <w:r w:rsidR="00DA469C">
        <w:rPr>
          <w:rFonts w:ascii="Arial" w:hAnsi="Arial" w:cs="Arial"/>
          <w:sz w:val="22"/>
          <w:szCs w:val="22"/>
          <w:lang w:val="es-PE"/>
        </w:rPr>
        <w:t xml:space="preserve">Se considerarán dos horizontes temporales. El primero será para la evolución de la tasa de supervivencia de las firmas. Se espera que la disrupción de esta tasa dure un periodo máximo de </w:t>
      </w:r>
      <w:r w:rsidR="003B4204">
        <w:rPr>
          <w:rFonts w:ascii="Arial" w:hAnsi="Arial" w:cs="Arial"/>
          <w:sz w:val="22"/>
          <w:szCs w:val="22"/>
          <w:lang w:val="es-PE"/>
        </w:rPr>
        <w:t>3</w:t>
      </w:r>
      <w:r w:rsidR="00DA469C">
        <w:rPr>
          <w:rFonts w:ascii="Arial" w:hAnsi="Arial" w:cs="Arial"/>
          <w:sz w:val="22"/>
          <w:szCs w:val="22"/>
          <w:lang w:val="es-PE"/>
        </w:rPr>
        <w:t xml:space="preserve"> años</w:t>
      </w:r>
      <w:r w:rsidR="003B4204">
        <w:rPr>
          <w:rFonts w:ascii="Arial" w:hAnsi="Arial" w:cs="Arial"/>
          <w:sz w:val="22"/>
          <w:szCs w:val="22"/>
          <w:lang w:val="es-PE"/>
        </w:rPr>
        <w:t>, entendidos como de alto riesgo para la supervivencia de las firmas a causa de la crisis</w:t>
      </w:r>
      <w:r w:rsidR="004100B8">
        <w:rPr>
          <w:rFonts w:ascii="Arial" w:hAnsi="Arial" w:cs="Arial"/>
          <w:sz w:val="22"/>
          <w:szCs w:val="22"/>
          <w:lang w:val="es-PE"/>
        </w:rPr>
        <w:t xml:space="preserve"> del COVID-19</w:t>
      </w:r>
      <w:r w:rsidR="00D11514">
        <w:rPr>
          <w:rFonts w:ascii="Arial" w:hAnsi="Arial" w:cs="Arial"/>
          <w:sz w:val="22"/>
          <w:szCs w:val="22"/>
          <w:lang w:val="es-PE"/>
        </w:rPr>
        <w:t>.</w:t>
      </w:r>
      <w:r w:rsidR="00DA469C">
        <w:rPr>
          <w:rFonts w:ascii="Arial" w:hAnsi="Arial" w:cs="Arial"/>
          <w:sz w:val="22"/>
          <w:szCs w:val="22"/>
          <w:lang w:val="es-PE"/>
        </w:rPr>
        <w:t xml:space="preserve"> Después de este período se volverá a las tasas usuales antes de la crisis. </w:t>
      </w:r>
      <w:r w:rsidR="00DA469C" w:rsidRPr="00117CEA">
        <w:rPr>
          <w:rFonts w:ascii="Arial" w:hAnsi="Arial" w:cs="Arial"/>
          <w:sz w:val="22"/>
          <w:szCs w:val="22"/>
          <w:lang w:val="es-PE"/>
        </w:rPr>
        <w:t xml:space="preserve">El horizonte temporal para </w:t>
      </w:r>
      <w:r w:rsidR="00DA469C">
        <w:rPr>
          <w:rFonts w:ascii="Arial" w:hAnsi="Arial" w:cs="Arial"/>
          <w:sz w:val="22"/>
          <w:szCs w:val="22"/>
          <w:lang w:val="es-PE"/>
        </w:rPr>
        <w:t>el total de flujos del</w:t>
      </w:r>
      <w:r w:rsidR="00DA469C" w:rsidRPr="00117CEA">
        <w:rPr>
          <w:rFonts w:ascii="Arial" w:hAnsi="Arial" w:cs="Arial"/>
          <w:sz w:val="22"/>
          <w:szCs w:val="22"/>
          <w:lang w:val="es-PE"/>
        </w:rPr>
        <w:t xml:space="preserve"> análisis será de </w:t>
      </w:r>
      <w:r w:rsidR="003B4204">
        <w:rPr>
          <w:rFonts w:ascii="Arial" w:hAnsi="Arial" w:cs="Arial"/>
          <w:sz w:val="22"/>
          <w:szCs w:val="22"/>
          <w:lang w:val="es-PE"/>
        </w:rPr>
        <w:t>10</w:t>
      </w:r>
      <w:r w:rsidR="00865D23">
        <w:rPr>
          <w:rFonts w:ascii="Arial" w:hAnsi="Arial" w:cs="Arial"/>
          <w:sz w:val="22"/>
          <w:szCs w:val="22"/>
          <w:lang w:val="es-PE"/>
        </w:rPr>
        <w:t xml:space="preserve"> </w:t>
      </w:r>
      <w:r w:rsidR="00DA469C" w:rsidRPr="00117CEA">
        <w:rPr>
          <w:rFonts w:ascii="Arial" w:hAnsi="Arial" w:cs="Arial"/>
          <w:sz w:val="22"/>
          <w:szCs w:val="22"/>
          <w:lang w:val="es-PE"/>
        </w:rPr>
        <w:t>años. Este horizonte toma como base el periodo de recuperación del ciclo económico que se dio durante la última crisis económica significante</w:t>
      </w:r>
      <w:r w:rsidR="002260BF">
        <w:rPr>
          <w:rFonts w:ascii="Arial" w:hAnsi="Arial" w:cs="Arial"/>
          <w:sz w:val="22"/>
          <w:szCs w:val="22"/>
          <w:lang w:val="es-PE"/>
        </w:rPr>
        <w:t xml:space="preserve"> a nivel mundial</w:t>
      </w:r>
      <w:r w:rsidR="00DA469C" w:rsidRPr="00117CEA">
        <w:rPr>
          <w:rFonts w:ascii="Arial" w:hAnsi="Arial" w:cs="Arial"/>
          <w:sz w:val="22"/>
          <w:szCs w:val="22"/>
          <w:lang w:val="es-PE"/>
        </w:rPr>
        <w:t xml:space="preserve">. </w:t>
      </w:r>
      <w:r w:rsidR="004100B8">
        <w:rPr>
          <w:rFonts w:ascii="Arial" w:hAnsi="Arial" w:cs="Arial"/>
          <w:sz w:val="22"/>
          <w:szCs w:val="22"/>
          <w:lang w:val="es-PE"/>
        </w:rPr>
        <w:t>Se considera que,</w:t>
      </w:r>
      <w:r w:rsidR="00DA469C" w:rsidRPr="00117CEA">
        <w:rPr>
          <w:rFonts w:ascii="Arial" w:hAnsi="Arial" w:cs="Arial"/>
          <w:sz w:val="22"/>
          <w:szCs w:val="22"/>
          <w:lang w:val="es-PE"/>
        </w:rPr>
        <w:t xml:space="preserve"> dada la naturaleza global y única de la crisis </w:t>
      </w:r>
      <w:r w:rsidR="00793879" w:rsidRPr="00117CEA">
        <w:rPr>
          <w:rFonts w:ascii="Arial" w:hAnsi="Arial" w:cs="Arial"/>
          <w:sz w:val="22"/>
          <w:szCs w:val="22"/>
          <w:lang w:val="es-PE"/>
        </w:rPr>
        <w:t>actual</w:t>
      </w:r>
      <w:r w:rsidR="004100B8">
        <w:rPr>
          <w:rFonts w:ascii="Arial" w:hAnsi="Arial" w:cs="Arial"/>
          <w:sz w:val="22"/>
          <w:szCs w:val="22"/>
          <w:lang w:val="es-PE"/>
        </w:rPr>
        <w:t xml:space="preserve">, la recuperación pueda ser más lenta (Ver </w:t>
      </w:r>
      <w:proofErr w:type="spellStart"/>
      <w:r w:rsidR="004100B8" w:rsidRPr="004100B8">
        <w:rPr>
          <w:rFonts w:ascii="Arial" w:hAnsi="Arial" w:cs="Arial"/>
          <w:i/>
          <w:iCs/>
          <w:sz w:val="22"/>
          <w:szCs w:val="22"/>
          <w:lang w:val="es-PE"/>
        </w:rPr>
        <w:t>Interim</w:t>
      </w:r>
      <w:proofErr w:type="spellEnd"/>
      <w:r w:rsidR="004100B8" w:rsidRPr="004100B8">
        <w:rPr>
          <w:rFonts w:ascii="Arial" w:hAnsi="Arial" w:cs="Arial"/>
          <w:i/>
          <w:iCs/>
          <w:sz w:val="22"/>
          <w:szCs w:val="22"/>
          <w:lang w:val="es-PE"/>
        </w:rPr>
        <w:t xml:space="preserve"> global </w:t>
      </w:r>
      <w:proofErr w:type="spellStart"/>
      <w:r w:rsidR="004100B8" w:rsidRPr="004100B8">
        <w:rPr>
          <w:rFonts w:ascii="Arial" w:hAnsi="Arial" w:cs="Arial"/>
          <w:i/>
          <w:iCs/>
          <w:sz w:val="22"/>
          <w:szCs w:val="22"/>
          <w:lang w:val="es-PE"/>
        </w:rPr>
        <w:t>economic</w:t>
      </w:r>
      <w:proofErr w:type="spellEnd"/>
      <w:r w:rsidR="004100B8" w:rsidRPr="004100B8">
        <w:rPr>
          <w:rFonts w:ascii="Arial" w:hAnsi="Arial" w:cs="Arial"/>
          <w:i/>
          <w:iCs/>
          <w:sz w:val="22"/>
          <w:szCs w:val="22"/>
          <w:lang w:val="es-PE"/>
        </w:rPr>
        <w:t xml:space="preserve"> </w:t>
      </w:r>
      <w:proofErr w:type="spellStart"/>
      <w:r w:rsidR="004100B8" w:rsidRPr="004100B8">
        <w:rPr>
          <w:rFonts w:ascii="Arial" w:hAnsi="Arial" w:cs="Arial"/>
          <w:i/>
          <w:iCs/>
          <w:sz w:val="22"/>
          <w:szCs w:val="22"/>
          <w:lang w:val="es-PE"/>
        </w:rPr>
        <w:t>forecast</w:t>
      </w:r>
      <w:proofErr w:type="spellEnd"/>
      <w:r w:rsidR="004100B8">
        <w:rPr>
          <w:rFonts w:ascii="Arial" w:hAnsi="Arial" w:cs="Arial"/>
          <w:i/>
          <w:iCs/>
          <w:sz w:val="22"/>
          <w:szCs w:val="22"/>
          <w:lang w:val="es-PE"/>
        </w:rPr>
        <w:t xml:space="preserve">-IHS </w:t>
      </w:r>
      <w:proofErr w:type="spellStart"/>
      <w:r w:rsidR="004100B8">
        <w:rPr>
          <w:rFonts w:ascii="Arial" w:hAnsi="Arial" w:cs="Arial"/>
          <w:i/>
          <w:iCs/>
          <w:sz w:val="22"/>
          <w:szCs w:val="22"/>
          <w:lang w:val="es-PE"/>
        </w:rPr>
        <w:t>Markit</w:t>
      </w:r>
      <w:proofErr w:type="spellEnd"/>
      <w:r w:rsidR="004100B8">
        <w:rPr>
          <w:rFonts w:ascii="Arial" w:hAnsi="Arial" w:cs="Arial"/>
          <w:sz w:val="22"/>
          <w:szCs w:val="22"/>
          <w:lang w:val="es-PE"/>
        </w:rPr>
        <w:t>).</w:t>
      </w:r>
    </w:p>
    <w:p w14:paraId="6E3F3A71" w14:textId="02F51B02" w:rsidR="00117CEA" w:rsidRDefault="00117CEA" w:rsidP="000F0F47">
      <w:pPr>
        <w:pStyle w:val="Paragraph"/>
        <w:numPr>
          <w:ilvl w:val="1"/>
          <w:numId w:val="2"/>
        </w:numPr>
        <w:ind w:left="630" w:hanging="630"/>
        <w:rPr>
          <w:rFonts w:ascii="Arial" w:hAnsi="Arial" w:cs="Arial"/>
          <w:sz w:val="22"/>
          <w:szCs w:val="22"/>
          <w:lang w:val="es-PE"/>
        </w:rPr>
      </w:pPr>
      <w:r w:rsidRPr="00117CEA">
        <w:rPr>
          <w:rFonts w:ascii="Arial" w:hAnsi="Arial" w:cs="Arial"/>
          <w:b/>
          <w:bCs/>
          <w:sz w:val="22"/>
          <w:szCs w:val="22"/>
          <w:lang w:val="es-PE"/>
        </w:rPr>
        <w:t xml:space="preserve">Crédito promedio. </w:t>
      </w:r>
      <w:r w:rsidRPr="00117CEA">
        <w:rPr>
          <w:rFonts w:ascii="Arial" w:hAnsi="Arial" w:cs="Arial"/>
          <w:sz w:val="22"/>
          <w:szCs w:val="22"/>
          <w:lang w:val="es-PE"/>
        </w:rPr>
        <w:t xml:space="preserve">En base al dialogo con </w:t>
      </w:r>
      <w:r w:rsidR="0096759A">
        <w:rPr>
          <w:rFonts w:ascii="Arial" w:hAnsi="Arial" w:cs="Arial"/>
          <w:sz w:val="22"/>
          <w:szCs w:val="22"/>
          <w:lang w:val="es-PE"/>
        </w:rPr>
        <w:t>FIRA,</w:t>
      </w:r>
      <w:r w:rsidRPr="00117CEA">
        <w:rPr>
          <w:rFonts w:ascii="Arial" w:hAnsi="Arial" w:cs="Arial"/>
          <w:sz w:val="22"/>
          <w:szCs w:val="22"/>
          <w:lang w:val="es-PE"/>
        </w:rPr>
        <w:t xml:space="preserve"> se espera que el crédito promedio sea igual a </w:t>
      </w:r>
      <w:r w:rsidR="00E430E1">
        <w:rPr>
          <w:rFonts w:ascii="Arial" w:hAnsi="Arial" w:cs="Arial"/>
          <w:sz w:val="22"/>
          <w:szCs w:val="22"/>
          <w:lang w:val="es-PE"/>
        </w:rPr>
        <w:t xml:space="preserve">$2 millones de pesos, que equivale a </w:t>
      </w:r>
      <w:r w:rsidR="0096759A">
        <w:rPr>
          <w:rFonts w:ascii="Arial" w:hAnsi="Arial" w:cs="Arial"/>
          <w:sz w:val="22"/>
          <w:szCs w:val="22"/>
          <w:lang w:val="es-PE"/>
        </w:rPr>
        <w:t>alrededor</w:t>
      </w:r>
      <w:r w:rsidR="00E430E1">
        <w:rPr>
          <w:rFonts w:ascii="Arial" w:hAnsi="Arial" w:cs="Arial"/>
          <w:sz w:val="22"/>
          <w:szCs w:val="22"/>
          <w:lang w:val="es-PE"/>
        </w:rPr>
        <w:t xml:space="preserve"> de </w:t>
      </w:r>
      <w:r w:rsidRPr="00117CEA">
        <w:rPr>
          <w:rFonts w:ascii="Arial" w:hAnsi="Arial" w:cs="Arial"/>
          <w:sz w:val="22"/>
          <w:szCs w:val="22"/>
          <w:lang w:val="es-PE"/>
        </w:rPr>
        <w:t>USD</w:t>
      </w:r>
      <w:r w:rsidR="0096759A">
        <w:rPr>
          <w:rFonts w:ascii="Arial" w:hAnsi="Arial" w:cs="Arial"/>
          <w:sz w:val="22"/>
          <w:szCs w:val="22"/>
          <w:lang w:val="es-PE"/>
        </w:rPr>
        <w:t>8</w:t>
      </w:r>
      <w:r w:rsidR="00E430E1">
        <w:rPr>
          <w:rFonts w:ascii="Arial" w:hAnsi="Arial" w:cs="Arial"/>
          <w:sz w:val="22"/>
          <w:szCs w:val="22"/>
          <w:lang w:val="es-PE"/>
        </w:rPr>
        <w:t>5,</w:t>
      </w:r>
      <w:r w:rsidR="0096759A">
        <w:rPr>
          <w:rFonts w:ascii="Arial" w:hAnsi="Arial" w:cs="Arial"/>
          <w:sz w:val="22"/>
          <w:szCs w:val="22"/>
          <w:lang w:val="es-PE"/>
        </w:rPr>
        <w:t>0</w:t>
      </w:r>
      <w:r w:rsidR="00E430E1">
        <w:rPr>
          <w:rFonts w:ascii="Arial" w:hAnsi="Arial" w:cs="Arial"/>
          <w:sz w:val="22"/>
          <w:szCs w:val="22"/>
          <w:lang w:val="es-PE"/>
        </w:rPr>
        <w:t>00</w:t>
      </w:r>
      <w:r w:rsidR="00FC5ADD">
        <w:rPr>
          <w:rFonts w:ascii="Arial" w:hAnsi="Arial" w:cs="Arial"/>
          <w:sz w:val="22"/>
          <w:szCs w:val="22"/>
          <w:lang w:val="es-PE"/>
        </w:rPr>
        <w:t xml:space="preserve"> (según consideraciones de tipo de cambio descritas en ¶</w:t>
      </w:r>
      <w:r w:rsidR="00FC5ADD">
        <w:rPr>
          <w:rFonts w:ascii="Arial" w:hAnsi="Arial" w:cs="Arial"/>
          <w:sz w:val="22"/>
          <w:szCs w:val="22"/>
          <w:lang w:val="es-PE"/>
        </w:rPr>
        <w:fldChar w:fldCharType="begin"/>
      </w:r>
      <w:r w:rsidR="00FC5ADD">
        <w:rPr>
          <w:rFonts w:ascii="Arial" w:hAnsi="Arial" w:cs="Arial"/>
          <w:sz w:val="22"/>
          <w:szCs w:val="22"/>
          <w:lang w:val="es-PE"/>
        </w:rPr>
        <w:instrText xml:space="preserve"> REF _Ref37931523 \r \h </w:instrText>
      </w:r>
      <w:r w:rsidR="00FC5ADD">
        <w:rPr>
          <w:rFonts w:ascii="Arial" w:hAnsi="Arial" w:cs="Arial"/>
          <w:sz w:val="22"/>
          <w:szCs w:val="22"/>
          <w:lang w:val="es-PE"/>
        </w:rPr>
      </w:r>
      <w:r w:rsidR="00FC5ADD">
        <w:rPr>
          <w:rFonts w:ascii="Arial" w:hAnsi="Arial" w:cs="Arial"/>
          <w:sz w:val="22"/>
          <w:szCs w:val="22"/>
          <w:lang w:val="es-PE"/>
        </w:rPr>
        <w:fldChar w:fldCharType="separate"/>
      </w:r>
      <w:r w:rsidR="002E53F4">
        <w:rPr>
          <w:rFonts w:ascii="Arial" w:hAnsi="Arial" w:cs="Arial"/>
          <w:sz w:val="22"/>
          <w:szCs w:val="22"/>
          <w:lang w:val="es-PE"/>
        </w:rPr>
        <w:t>II.25</w:t>
      </w:r>
      <w:r w:rsidR="00FC5ADD">
        <w:rPr>
          <w:rFonts w:ascii="Arial" w:hAnsi="Arial" w:cs="Arial"/>
          <w:sz w:val="22"/>
          <w:szCs w:val="22"/>
          <w:lang w:val="es-PE"/>
        </w:rPr>
        <w:fldChar w:fldCharType="end"/>
      </w:r>
      <w:r w:rsidR="00FC5ADD">
        <w:rPr>
          <w:rFonts w:ascii="Arial" w:hAnsi="Arial" w:cs="Arial"/>
          <w:sz w:val="22"/>
          <w:szCs w:val="22"/>
          <w:lang w:val="es-PE"/>
        </w:rPr>
        <w:t>)</w:t>
      </w:r>
      <w:r w:rsidRPr="00117CEA">
        <w:rPr>
          <w:rFonts w:ascii="Arial" w:hAnsi="Arial" w:cs="Arial"/>
          <w:sz w:val="22"/>
          <w:szCs w:val="22"/>
          <w:lang w:val="es-PE"/>
        </w:rPr>
        <w:t>.</w:t>
      </w:r>
      <w:r w:rsidR="00E430E1">
        <w:rPr>
          <w:rFonts w:ascii="Arial" w:hAnsi="Arial" w:cs="Arial"/>
          <w:sz w:val="22"/>
          <w:szCs w:val="22"/>
          <w:lang w:val="es-PE"/>
        </w:rPr>
        <w:t xml:space="preserve"> En el anexo 2 se presenta el detalle a partir del cual se obtiene el valor del crédito promedio, para mayor referencia.</w:t>
      </w:r>
    </w:p>
    <w:p w14:paraId="153B4063" w14:textId="514837B5" w:rsidR="00244B7E" w:rsidRPr="0031785A" w:rsidRDefault="00117CEA" w:rsidP="000F0F47">
      <w:pPr>
        <w:pStyle w:val="Paragraph"/>
        <w:numPr>
          <w:ilvl w:val="1"/>
          <w:numId w:val="2"/>
        </w:numPr>
        <w:ind w:left="630" w:hanging="630"/>
        <w:rPr>
          <w:rFonts w:ascii="Arial" w:hAnsi="Arial" w:cs="Arial"/>
          <w:b/>
          <w:sz w:val="22"/>
          <w:szCs w:val="22"/>
          <w:lang w:val="es-MX"/>
        </w:rPr>
      </w:pPr>
      <w:r w:rsidRPr="00117CEA">
        <w:rPr>
          <w:rFonts w:ascii="Arial" w:hAnsi="Arial" w:cs="Arial"/>
          <w:b/>
          <w:bCs/>
          <w:sz w:val="22"/>
          <w:szCs w:val="22"/>
          <w:lang w:val="es-PE"/>
        </w:rPr>
        <w:lastRenderedPageBreak/>
        <w:t xml:space="preserve">Número de beneficiarios. </w:t>
      </w:r>
      <w:r w:rsidRPr="00117CEA">
        <w:rPr>
          <w:rFonts w:ascii="Arial" w:hAnsi="Arial" w:cs="Arial"/>
          <w:sz w:val="22"/>
          <w:szCs w:val="22"/>
          <w:lang w:val="es-PE"/>
        </w:rPr>
        <w:t>En</w:t>
      </w:r>
      <w:r w:rsidRPr="0031785A">
        <w:rPr>
          <w:rFonts w:ascii="Arial" w:hAnsi="Arial" w:cs="Arial"/>
          <w:sz w:val="22"/>
          <w:szCs w:val="22"/>
          <w:lang w:val="es-PE"/>
        </w:rPr>
        <w:t xml:space="preserve"> base al monto del crédito promedio, se espera atender a </w:t>
      </w:r>
      <w:r w:rsidR="00FC5ADD">
        <w:rPr>
          <w:rFonts w:ascii="Arial" w:hAnsi="Arial" w:cs="Arial"/>
          <w:sz w:val="22"/>
          <w:szCs w:val="22"/>
          <w:lang w:val="es-PE"/>
        </w:rPr>
        <w:t>1,</w:t>
      </w:r>
      <w:r w:rsidR="0096759A">
        <w:rPr>
          <w:rFonts w:ascii="Arial" w:hAnsi="Arial" w:cs="Arial"/>
          <w:sz w:val="22"/>
          <w:szCs w:val="22"/>
          <w:lang w:val="es-PE"/>
        </w:rPr>
        <w:t>176</w:t>
      </w:r>
      <w:r w:rsidR="00FC5ADD" w:rsidRPr="0031785A">
        <w:rPr>
          <w:rFonts w:ascii="Arial" w:hAnsi="Arial" w:cs="Arial"/>
          <w:sz w:val="22"/>
          <w:szCs w:val="22"/>
          <w:lang w:val="es-PE"/>
        </w:rPr>
        <w:t xml:space="preserve"> </w:t>
      </w:r>
      <w:r w:rsidR="00685F45">
        <w:rPr>
          <w:rFonts w:ascii="Arial" w:hAnsi="Arial" w:cs="Arial"/>
          <w:sz w:val="22"/>
          <w:szCs w:val="22"/>
          <w:lang w:val="es-PE"/>
        </w:rPr>
        <w:t xml:space="preserve">firmas </w:t>
      </w:r>
      <w:r w:rsidRPr="0031785A">
        <w:rPr>
          <w:rFonts w:ascii="Arial" w:hAnsi="Arial" w:cs="Arial"/>
          <w:sz w:val="22"/>
          <w:szCs w:val="22"/>
          <w:lang w:val="es-PE"/>
        </w:rPr>
        <w:t>beneficiari</w:t>
      </w:r>
      <w:r w:rsidR="00685F45">
        <w:rPr>
          <w:rFonts w:ascii="Arial" w:hAnsi="Arial" w:cs="Arial"/>
          <w:sz w:val="22"/>
          <w:szCs w:val="22"/>
          <w:lang w:val="es-PE"/>
        </w:rPr>
        <w:t>a</w:t>
      </w:r>
      <w:r w:rsidRPr="0031785A">
        <w:rPr>
          <w:rFonts w:ascii="Arial" w:hAnsi="Arial" w:cs="Arial"/>
          <w:sz w:val="22"/>
          <w:szCs w:val="22"/>
          <w:lang w:val="es-PE"/>
        </w:rPr>
        <w:t>s</w:t>
      </w:r>
      <w:r w:rsidR="00685F45">
        <w:rPr>
          <w:rFonts w:ascii="Arial" w:hAnsi="Arial" w:cs="Arial"/>
          <w:sz w:val="22"/>
          <w:szCs w:val="22"/>
          <w:lang w:val="es-PE"/>
        </w:rPr>
        <w:t>.</w:t>
      </w:r>
    </w:p>
    <w:p w14:paraId="1D21CB17" w14:textId="167C73E6" w:rsidR="00244B7E" w:rsidRPr="0031785A" w:rsidRDefault="00244B7E" w:rsidP="000F0F47">
      <w:pPr>
        <w:pStyle w:val="Paragraph"/>
        <w:numPr>
          <w:ilvl w:val="1"/>
          <w:numId w:val="2"/>
        </w:numPr>
        <w:ind w:left="630" w:hanging="630"/>
        <w:rPr>
          <w:rFonts w:ascii="Arial" w:hAnsi="Arial" w:cs="Arial"/>
          <w:b/>
          <w:sz w:val="22"/>
          <w:szCs w:val="22"/>
          <w:lang w:val="es-MX"/>
        </w:rPr>
      </w:pPr>
      <w:r w:rsidRPr="0031785A">
        <w:rPr>
          <w:rFonts w:ascii="Arial" w:hAnsi="Arial" w:cs="Arial"/>
          <w:b/>
          <w:sz w:val="22"/>
          <w:szCs w:val="22"/>
          <w:lang w:val="es-MX"/>
        </w:rPr>
        <w:t>Escenario contrafactual.</w:t>
      </w:r>
      <w:r w:rsidR="005E4384">
        <w:rPr>
          <w:rFonts w:ascii="Arial" w:hAnsi="Arial" w:cs="Arial"/>
          <w:sz w:val="22"/>
          <w:szCs w:val="22"/>
          <w:lang w:val="es-MX"/>
        </w:rPr>
        <w:t xml:space="preserve"> El escenario contrafactual</w:t>
      </w:r>
      <w:r w:rsidR="00DA469C">
        <w:rPr>
          <w:rFonts w:ascii="Arial" w:hAnsi="Arial" w:cs="Arial"/>
          <w:sz w:val="22"/>
          <w:szCs w:val="22"/>
          <w:lang w:val="es-MX"/>
        </w:rPr>
        <w:t xml:space="preserve"> estará constituido por una situación en la cual no existe intervención del programa y</w:t>
      </w:r>
      <w:r w:rsidR="00FC5ADD">
        <w:rPr>
          <w:rFonts w:ascii="Arial" w:hAnsi="Arial" w:cs="Arial"/>
          <w:sz w:val="22"/>
          <w:szCs w:val="22"/>
          <w:lang w:val="es-MX"/>
        </w:rPr>
        <w:t>,</w:t>
      </w:r>
      <w:r w:rsidR="00DA469C">
        <w:rPr>
          <w:rFonts w:ascii="Arial" w:hAnsi="Arial" w:cs="Arial"/>
          <w:sz w:val="22"/>
          <w:szCs w:val="22"/>
          <w:lang w:val="es-MX"/>
        </w:rPr>
        <w:t xml:space="preserve"> por tanto, los efectos económicos de la crisis se manifiestan en su total magnitud sobre las </w:t>
      </w:r>
      <w:r w:rsidR="0096759A">
        <w:rPr>
          <w:rFonts w:ascii="Arial" w:hAnsi="Arial" w:cs="Arial"/>
          <w:sz w:val="22"/>
          <w:szCs w:val="22"/>
          <w:lang w:val="es-MX"/>
        </w:rPr>
        <w:t>empresas</w:t>
      </w:r>
      <w:r w:rsidR="00DA469C">
        <w:rPr>
          <w:rFonts w:ascii="Arial" w:hAnsi="Arial" w:cs="Arial"/>
          <w:sz w:val="22"/>
          <w:szCs w:val="22"/>
          <w:lang w:val="es-MX"/>
        </w:rPr>
        <w:t xml:space="preserve"> beneficiarias.</w:t>
      </w:r>
    </w:p>
    <w:p w14:paraId="21703D31" w14:textId="323D515F" w:rsidR="00244B7E" w:rsidRPr="0031785A" w:rsidRDefault="00244B7E" w:rsidP="000F0F47">
      <w:pPr>
        <w:pStyle w:val="Paragraph"/>
        <w:numPr>
          <w:ilvl w:val="1"/>
          <w:numId w:val="2"/>
        </w:numPr>
        <w:ind w:left="630" w:hanging="630"/>
        <w:rPr>
          <w:rFonts w:ascii="Arial" w:hAnsi="Arial" w:cs="Arial"/>
          <w:b/>
          <w:sz w:val="22"/>
          <w:szCs w:val="22"/>
          <w:lang w:val="es-MX"/>
        </w:rPr>
      </w:pPr>
      <w:bookmarkStart w:id="16" w:name="_Ref37931523"/>
      <w:r w:rsidRPr="0031785A">
        <w:rPr>
          <w:rFonts w:ascii="Arial" w:hAnsi="Arial" w:cs="Arial"/>
          <w:b/>
          <w:sz w:val="22"/>
          <w:szCs w:val="22"/>
          <w:lang w:val="es-MX"/>
        </w:rPr>
        <w:t xml:space="preserve">Tipo de </w:t>
      </w:r>
      <w:r w:rsidR="00030953" w:rsidRPr="0031785A">
        <w:rPr>
          <w:rFonts w:ascii="Arial" w:hAnsi="Arial" w:cs="Arial"/>
          <w:b/>
          <w:sz w:val="22"/>
          <w:szCs w:val="22"/>
          <w:lang w:val="es-MX"/>
        </w:rPr>
        <w:t>cambio.</w:t>
      </w:r>
      <w:r w:rsidR="009773B7">
        <w:rPr>
          <w:rFonts w:ascii="Arial" w:hAnsi="Arial" w:cs="Arial"/>
          <w:sz w:val="22"/>
          <w:szCs w:val="22"/>
          <w:lang w:val="es-PE"/>
        </w:rPr>
        <w:t xml:space="preserve"> </w:t>
      </w:r>
      <w:r w:rsidR="0096759A">
        <w:rPr>
          <w:rFonts w:ascii="Arial" w:hAnsi="Arial" w:cs="Arial"/>
          <w:bCs/>
          <w:sz w:val="22"/>
          <w:szCs w:val="22"/>
          <w:lang w:val="es-MX"/>
        </w:rPr>
        <w:t>Para el horizonte del análisis, s</w:t>
      </w:r>
      <w:r w:rsidR="00DA469C">
        <w:rPr>
          <w:rFonts w:ascii="Arial" w:hAnsi="Arial" w:cs="Arial"/>
          <w:bCs/>
          <w:sz w:val="22"/>
          <w:szCs w:val="22"/>
          <w:lang w:val="es-MX"/>
        </w:rPr>
        <w:t xml:space="preserve">e asume un tipo de cambio igual a </w:t>
      </w:r>
      <w:r w:rsidR="00FC5ADD">
        <w:rPr>
          <w:rFonts w:ascii="Arial" w:hAnsi="Arial" w:cs="Arial"/>
          <w:bCs/>
          <w:sz w:val="22"/>
          <w:szCs w:val="22"/>
          <w:lang w:val="es-MX"/>
        </w:rPr>
        <w:t>21 pesos mexicanos</w:t>
      </w:r>
      <w:r w:rsidR="00DA469C">
        <w:rPr>
          <w:rFonts w:ascii="Arial" w:hAnsi="Arial" w:cs="Arial"/>
          <w:bCs/>
          <w:sz w:val="22"/>
          <w:szCs w:val="22"/>
          <w:lang w:val="es-MX"/>
        </w:rPr>
        <w:t xml:space="preserve"> por dólar </w:t>
      </w:r>
      <w:r w:rsidR="003151EB">
        <w:rPr>
          <w:rFonts w:ascii="Arial" w:hAnsi="Arial" w:cs="Arial"/>
          <w:bCs/>
          <w:sz w:val="22"/>
          <w:szCs w:val="22"/>
          <w:lang w:val="es-MX"/>
        </w:rPr>
        <w:t>americano</w:t>
      </w:r>
      <w:r w:rsidR="00FC5ADD">
        <w:rPr>
          <w:rFonts w:ascii="Arial" w:hAnsi="Arial" w:cs="Arial"/>
          <w:bCs/>
          <w:sz w:val="22"/>
          <w:szCs w:val="22"/>
          <w:lang w:val="es-MX"/>
        </w:rPr>
        <w:t>. Esto se basa en un promedio de valores proyectados recientemente para el periodo 2020-2024</w:t>
      </w:r>
      <w:r w:rsidR="00FC5ADD">
        <w:rPr>
          <w:rStyle w:val="FootnoteReference"/>
          <w:rFonts w:ascii="Arial" w:hAnsi="Arial" w:cs="Arial"/>
          <w:bCs/>
          <w:sz w:val="22"/>
          <w:szCs w:val="22"/>
          <w:lang w:val="es-MX"/>
        </w:rPr>
        <w:footnoteReference w:id="54"/>
      </w:r>
      <w:r w:rsidR="00DA469C" w:rsidRPr="0031785A">
        <w:rPr>
          <w:rFonts w:ascii="Arial" w:hAnsi="Arial" w:cs="Arial"/>
          <w:sz w:val="22"/>
          <w:szCs w:val="22"/>
          <w:lang w:val="es-MX"/>
        </w:rPr>
        <w:t>.</w:t>
      </w:r>
      <w:bookmarkEnd w:id="16"/>
      <w:r w:rsidR="0096759A">
        <w:rPr>
          <w:rFonts w:ascii="Arial" w:hAnsi="Arial" w:cs="Arial"/>
          <w:sz w:val="22"/>
          <w:szCs w:val="22"/>
          <w:lang w:val="es-MX"/>
        </w:rPr>
        <w:t xml:space="preserve"> Para el cálculo del crédito promedio, puesto que se espera que el desembolso de la totalidad de los recursos del programa se realice en el muy corto plazo, se utiliza el tipo de cambio esperado en el corto plazo, que equivale a 23.5 pesos mexicanos por dólar americano.</w:t>
      </w:r>
    </w:p>
    <w:p w14:paraId="69E85744" w14:textId="2316439C" w:rsidR="00244B7E" w:rsidRPr="00C6375D" w:rsidRDefault="00244B7E" w:rsidP="000F0F47">
      <w:pPr>
        <w:pStyle w:val="Paragraph"/>
        <w:numPr>
          <w:ilvl w:val="1"/>
          <w:numId w:val="2"/>
        </w:numPr>
        <w:ind w:left="630" w:hanging="630"/>
        <w:rPr>
          <w:rFonts w:ascii="Arial" w:hAnsi="Arial" w:cs="Arial"/>
          <w:b/>
          <w:sz w:val="22"/>
          <w:szCs w:val="22"/>
          <w:lang w:val="es-MX"/>
        </w:rPr>
      </w:pPr>
      <w:r w:rsidRPr="0031785A">
        <w:rPr>
          <w:rFonts w:ascii="Arial" w:hAnsi="Arial" w:cs="Arial"/>
          <w:b/>
          <w:sz w:val="22"/>
          <w:szCs w:val="22"/>
          <w:lang w:val="es-MX"/>
        </w:rPr>
        <w:t xml:space="preserve">Tasa de descuento. </w:t>
      </w:r>
      <w:r w:rsidRPr="0031785A">
        <w:rPr>
          <w:rFonts w:ascii="Arial" w:hAnsi="Arial" w:cs="Arial"/>
          <w:sz w:val="22"/>
          <w:szCs w:val="22"/>
          <w:lang w:val="es-MX"/>
        </w:rPr>
        <w:t>En concordancia con la práctica del BID para la evaluación económica de sus proyectos, se asume una tasa de descuento social de 12%.</w:t>
      </w:r>
    </w:p>
    <w:p w14:paraId="282C8779" w14:textId="1A5B4363" w:rsidR="00C6375D" w:rsidRPr="00175AAF" w:rsidRDefault="00C6375D" w:rsidP="000F0F47">
      <w:pPr>
        <w:pStyle w:val="Paragraph"/>
        <w:numPr>
          <w:ilvl w:val="1"/>
          <w:numId w:val="2"/>
        </w:numPr>
        <w:ind w:left="630" w:hanging="630"/>
        <w:rPr>
          <w:rFonts w:ascii="Arial" w:hAnsi="Arial" w:cs="Arial"/>
          <w:b/>
          <w:sz w:val="22"/>
          <w:szCs w:val="22"/>
          <w:lang w:val="es-MX"/>
        </w:rPr>
      </w:pPr>
      <w:r>
        <w:rPr>
          <w:rFonts w:ascii="Arial" w:hAnsi="Arial" w:cs="Arial"/>
          <w:bCs/>
          <w:sz w:val="22"/>
          <w:szCs w:val="22"/>
          <w:lang w:val="es-MX"/>
        </w:rPr>
        <w:t xml:space="preserve">La Tabla </w:t>
      </w:r>
      <w:r w:rsidR="002E53F4">
        <w:rPr>
          <w:rFonts w:ascii="Arial" w:hAnsi="Arial" w:cs="Arial"/>
          <w:bCs/>
          <w:sz w:val="22"/>
          <w:szCs w:val="22"/>
          <w:lang w:val="es-MX"/>
        </w:rPr>
        <w:t>2</w:t>
      </w:r>
      <w:r w:rsidR="00FC5ADD">
        <w:rPr>
          <w:rFonts w:ascii="Arial" w:hAnsi="Arial" w:cs="Arial"/>
          <w:bCs/>
          <w:sz w:val="22"/>
          <w:szCs w:val="22"/>
          <w:lang w:val="es-MX"/>
        </w:rPr>
        <w:t xml:space="preserve">.1 </w:t>
      </w:r>
      <w:r>
        <w:rPr>
          <w:rFonts w:ascii="Arial" w:hAnsi="Arial" w:cs="Arial"/>
          <w:bCs/>
          <w:sz w:val="22"/>
          <w:szCs w:val="22"/>
          <w:lang w:val="es-MX"/>
        </w:rPr>
        <w:t>a continuación resume los supuestos para la valoración del beneficio económico del programa</w:t>
      </w:r>
      <w:r w:rsidRPr="008A7F3A">
        <w:rPr>
          <w:rFonts w:ascii="Arial" w:hAnsi="Arial" w:cs="Arial"/>
          <w:sz w:val="22"/>
          <w:lang w:val="es-CO"/>
        </w:rPr>
        <w:t>.</w:t>
      </w:r>
    </w:p>
    <w:p w14:paraId="23DB4216" w14:textId="431391C9" w:rsidR="00C6375D" w:rsidRPr="00601871" w:rsidRDefault="00C6375D" w:rsidP="00C6375D">
      <w:pPr>
        <w:pStyle w:val="SubSubPar"/>
        <w:numPr>
          <w:ilvl w:val="0"/>
          <w:numId w:val="0"/>
        </w:numPr>
        <w:ind w:left="360"/>
        <w:jc w:val="center"/>
        <w:rPr>
          <w:rFonts w:ascii="Arial" w:hAnsi="Arial" w:cs="Arial"/>
          <w:b/>
          <w:color w:val="000000" w:themeColor="text1"/>
          <w:sz w:val="18"/>
          <w:szCs w:val="14"/>
          <w:lang w:val="es-ES_tradnl"/>
        </w:rPr>
      </w:pPr>
      <w:r w:rsidRPr="00601871">
        <w:rPr>
          <w:rFonts w:ascii="Arial" w:hAnsi="Arial" w:cs="Arial"/>
          <w:b/>
          <w:color w:val="000000" w:themeColor="text1"/>
          <w:sz w:val="18"/>
          <w:szCs w:val="14"/>
          <w:lang w:val="es-ES_tradnl"/>
        </w:rPr>
        <w:t xml:space="preserve">Tabla </w:t>
      </w:r>
      <w:r w:rsidR="00601871" w:rsidRPr="00601871">
        <w:rPr>
          <w:rFonts w:ascii="Arial" w:hAnsi="Arial" w:cs="Arial"/>
          <w:b/>
          <w:color w:val="000000" w:themeColor="text1"/>
          <w:sz w:val="18"/>
          <w:szCs w:val="14"/>
          <w:lang w:val="es-ES_tradnl"/>
        </w:rPr>
        <w:t>2</w:t>
      </w:r>
      <w:r w:rsidR="00FC5ADD" w:rsidRPr="00601871">
        <w:rPr>
          <w:rFonts w:ascii="Arial" w:hAnsi="Arial" w:cs="Arial"/>
          <w:b/>
          <w:color w:val="000000" w:themeColor="text1"/>
          <w:sz w:val="18"/>
          <w:szCs w:val="14"/>
          <w:lang w:val="es-ES_tradnl"/>
        </w:rPr>
        <w:t>.1</w:t>
      </w:r>
      <w:r w:rsidRPr="00601871">
        <w:rPr>
          <w:rFonts w:ascii="Arial" w:hAnsi="Arial" w:cs="Arial"/>
          <w:b/>
          <w:color w:val="000000" w:themeColor="text1"/>
          <w:sz w:val="18"/>
          <w:szCs w:val="14"/>
          <w:lang w:val="es-ES_tradnl"/>
        </w:rPr>
        <w:t xml:space="preserve">. </w:t>
      </w:r>
      <w:r w:rsidR="00045F87" w:rsidRPr="00601871">
        <w:rPr>
          <w:rFonts w:ascii="Arial" w:hAnsi="Arial" w:cs="Arial"/>
          <w:b/>
          <w:color w:val="000000" w:themeColor="text1"/>
          <w:sz w:val="18"/>
          <w:szCs w:val="14"/>
          <w:lang w:val="es-ES_tradnl"/>
        </w:rPr>
        <w:t>Resumen de los supuestos del análisis en el escenario base</w:t>
      </w:r>
    </w:p>
    <w:tbl>
      <w:tblPr>
        <w:tblW w:w="9370" w:type="dxa"/>
        <w:tblLook w:val="04A0" w:firstRow="1" w:lastRow="0" w:firstColumn="1" w:lastColumn="0" w:noHBand="0" w:noVBand="1"/>
      </w:tblPr>
      <w:tblGrid>
        <w:gridCol w:w="2330"/>
        <w:gridCol w:w="1217"/>
        <w:gridCol w:w="1117"/>
        <w:gridCol w:w="2526"/>
        <w:gridCol w:w="2180"/>
      </w:tblGrid>
      <w:tr w:rsidR="00C6375D" w:rsidRPr="006D660D" w14:paraId="189FCDAE" w14:textId="77777777" w:rsidTr="00E702F6">
        <w:trPr>
          <w:trHeight w:val="530"/>
        </w:trPr>
        <w:tc>
          <w:tcPr>
            <w:tcW w:w="2330" w:type="dxa"/>
            <w:tcBorders>
              <w:top w:val="single" w:sz="4" w:space="0" w:color="auto"/>
              <w:left w:val="single" w:sz="8" w:space="0" w:color="auto"/>
              <w:bottom w:val="single" w:sz="4" w:space="0" w:color="auto"/>
              <w:right w:val="single" w:sz="4" w:space="0" w:color="auto"/>
            </w:tcBorders>
            <w:shd w:val="clear" w:color="000000" w:fill="757171"/>
            <w:noWrap/>
            <w:vAlign w:val="center"/>
            <w:hideMark/>
          </w:tcPr>
          <w:p w14:paraId="6AFD157F" w14:textId="77777777" w:rsidR="00C6375D" w:rsidRPr="006D660D" w:rsidRDefault="00C6375D" w:rsidP="00601871">
            <w:pPr>
              <w:spacing w:after="0" w:line="240" w:lineRule="auto"/>
              <w:jc w:val="center"/>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Parámetro</w:t>
            </w:r>
          </w:p>
        </w:tc>
        <w:tc>
          <w:tcPr>
            <w:tcW w:w="1217" w:type="dxa"/>
            <w:tcBorders>
              <w:top w:val="single" w:sz="4" w:space="0" w:color="auto"/>
              <w:left w:val="nil"/>
              <w:bottom w:val="single" w:sz="4" w:space="0" w:color="auto"/>
              <w:right w:val="single" w:sz="4" w:space="0" w:color="auto"/>
            </w:tcBorders>
            <w:shd w:val="clear" w:color="000000" w:fill="757171"/>
            <w:noWrap/>
            <w:vAlign w:val="center"/>
            <w:hideMark/>
          </w:tcPr>
          <w:p w14:paraId="0A2E9796" w14:textId="77777777" w:rsidR="00C6375D" w:rsidRPr="006D660D" w:rsidRDefault="00C6375D" w:rsidP="00601871">
            <w:pPr>
              <w:spacing w:after="0" w:line="240" w:lineRule="auto"/>
              <w:jc w:val="center"/>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Con programa</w:t>
            </w:r>
          </w:p>
        </w:tc>
        <w:tc>
          <w:tcPr>
            <w:tcW w:w="1117" w:type="dxa"/>
            <w:tcBorders>
              <w:top w:val="single" w:sz="4" w:space="0" w:color="auto"/>
              <w:left w:val="nil"/>
              <w:bottom w:val="single" w:sz="4" w:space="0" w:color="auto"/>
              <w:right w:val="single" w:sz="4" w:space="0" w:color="auto"/>
            </w:tcBorders>
            <w:shd w:val="clear" w:color="000000" w:fill="757171"/>
            <w:noWrap/>
            <w:vAlign w:val="center"/>
            <w:hideMark/>
          </w:tcPr>
          <w:p w14:paraId="3879FF14" w14:textId="77777777" w:rsidR="00C6375D" w:rsidRPr="006D660D" w:rsidRDefault="00C6375D" w:rsidP="00601871">
            <w:pPr>
              <w:spacing w:after="0" w:line="240" w:lineRule="auto"/>
              <w:jc w:val="center"/>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Sin programa</w:t>
            </w:r>
          </w:p>
        </w:tc>
        <w:tc>
          <w:tcPr>
            <w:tcW w:w="2526" w:type="dxa"/>
            <w:tcBorders>
              <w:top w:val="single" w:sz="4" w:space="0" w:color="auto"/>
              <w:left w:val="nil"/>
              <w:bottom w:val="single" w:sz="4" w:space="0" w:color="auto"/>
              <w:right w:val="single" w:sz="4" w:space="0" w:color="auto"/>
            </w:tcBorders>
            <w:shd w:val="clear" w:color="000000" w:fill="757171"/>
            <w:noWrap/>
            <w:vAlign w:val="center"/>
            <w:hideMark/>
          </w:tcPr>
          <w:p w14:paraId="3B3B74D6" w14:textId="36610725" w:rsidR="00C6375D" w:rsidRPr="006D660D" w:rsidRDefault="00C6375D" w:rsidP="00601871">
            <w:pPr>
              <w:spacing w:after="0" w:line="240" w:lineRule="auto"/>
              <w:jc w:val="center"/>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Nota</w:t>
            </w:r>
            <w:r w:rsidR="00E702F6">
              <w:rPr>
                <w:rFonts w:ascii="Arial" w:eastAsia="Times New Roman" w:hAnsi="Arial" w:cs="Arial"/>
                <w:b/>
                <w:bCs/>
                <w:color w:val="FFFFFF"/>
                <w:sz w:val="18"/>
                <w:szCs w:val="18"/>
                <w:lang w:val="es-419" w:eastAsia="en-US"/>
              </w:rPr>
              <w:t>s</w:t>
            </w:r>
          </w:p>
        </w:tc>
        <w:tc>
          <w:tcPr>
            <w:tcW w:w="2177" w:type="dxa"/>
            <w:tcBorders>
              <w:top w:val="single" w:sz="4" w:space="0" w:color="auto"/>
              <w:left w:val="nil"/>
              <w:bottom w:val="single" w:sz="4" w:space="0" w:color="auto"/>
              <w:right w:val="single" w:sz="8" w:space="0" w:color="auto"/>
            </w:tcBorders>
            <w:shd w:val="clear" w:color="000000" w:fill="757171"/>
            <w:noWrap/>
            <w:vAlign w:val="center"/>
            <w:hideMark/>
          </w:tcPr>
          <w:p w14:paraId="72FE1606" w14:textId="77777777" w:rsidR="00C6375D" w:rsidRPr="006D660D" w:rsidRDefault="00C6375D" w:rsidP="00601871">
            <w:pPr>
              <w:spacing w:after="0" w:line="240" w:lineRule="auto"/>
              <w:jc w:val="center"/>
              <w:rPr>
                <w:rFonts w:ascii="Arial" w:eastAsia="Times New Roman" w:hAnsi="Arial" w:cs="Arial"/>
                <w:b/>
                <w:bCs/>
                <w:color w:val="FFFFFF"/>
                <w:sz w:val="18"/>
                <w:szCs w:val="18"/>
                <w:lang w:val="es-419" w:eastAsia="en-US"/>
              </w:rPr>
            </w:pPr>
            <w:r w:rsidRPr="006D660D">
              <w:rPr>
                <w:rFonts w:ascii="Arial" w:eastAsia="Times New Roman" w:hAnsi="Arial" w:cs="Arial"/>
                <w:b/>
                <w:bCs/>
                <w:color w:val="FFFFFF"/>
                <w:sz w:val="18"/>
                <w:szCs w:val="18"/>
                <w:lang w:val="es-419" w:eastAsia="en-US"/>
              </w:rPr>
              <w:t>Fuente</w:t>
            </w:r>
          </w:p>
        </w:tc>
      </w:tr>
      <w:tr w:rsidR="00C6375D" w:rsidRPr="008579AE" w14:paraId="00C1E2F4" w14:textId="77777777" w:rsidTr="00E702F6">
        <w:trPr>
          <w:trHeight w:val="285"/>
        </w:trPr>
        <w:tc>
          <w:tcPr>
            <w:tcW w:w="9370" w:type="dxa"/>
            <w:gridSpan w:val="5"/>
            <w:tcBorders>
              <w:top w:val="single" w:sz="8" w:space="0" w:color="auto"/>
              <w:left w:val="single" w:sz="8" w:space="0" w:color="auto"/>
              <w:bottom w:val="single" w:sz="4" w:space="0" w:color="auto"/>
              <w:right w:val="single" w:sz="8" w:space="0" w:color="000000"/>
            </w:tcBorders>
            <w:shd w:val="clear" w:color="000000" w:fill="D9D9D9"/>
            <w:noWrap/>
            <w:vAlign w:val="center"/>
            <w:hideMark/>
          </w:tcPr>
          <w:p w14:paraId="45A25C76" w14:textId="58F58B55" w:rsidR="00C6375D" w:rsidRPr="006D660D" w:rsidRDefault="00C6375D" w:rsidP="00C6375D">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 xml:space="preserve">Parámetros </w:t>
            </w:r>
            <w:r w:rsidR="00591DBC" w:rsidRPr="006D660D">
              <w:rPr>
                <w:rFonts w:ascii="Arial" w:eastAsia="Times New Roman" w:hAnsi="Arial" w:cs="Arial"/>
                <w:b/>
                <w:bCs/>
                <w:color w:val="000000"/>
                <w:sz w:val="18"/>
                <w:szCs w:val="18"/>
                <w:lang w:val="es-419" w:eastAsia="en-US"/>
              </w:rPr>
              <w:t>estándar</w:t>
            </w:r>
            <w:r w:rsidRPr="006D660D">
              <w:rPr>
                <w:rFonts w:ascii="Arial" w:eastAsia="Times New Roman" w:hAnsi="Arial" w:cs="Arial"/>
                <w:b/>
                <w:bCs/>
                <w:color w:val="000000"/>
                <w:sz w:val="18"/>
                <w:szCs w:val="18"/>
                <w:lang w:val="es-419" w:eastAsia="en-US"/>
              </w:rPr>
              <w:t xml:space="preserve"> extraídos de la literatura</w:t>
            </w:r>
          </w:p>
        </w:tc>
      </w:tr>
      <w:tr w:rsidR="00C6375D" w:rsidRPr="008579AE" w14:paraId="7BAC3BF0" w14:textId="77777777" w:rsidTr="0028798D">
        <w:trPr>
          <w:trHeight w:val="233"/>
        </w:trPr>
        <w:tc>
          <w:tcPr>
            <w:tcW w:w="2330" w:type="dxa"/>
            <w:tcBorders>
              <w:top w:val="nil"/>
              <w:left w:val="single" w:sz="8" w:space="0" w:color="auto"/>
              <w:bottom w:val="single" w:sz="4" w:space="0" w:color="auto"/>
              <w:right w:val="single" w:sz="4" w:space="0" w:color="auto"/>
            </w:tcBorders>
            <w:shd w:val="clear" w:color="auto" w:fill="auto"/>
            <w:noWrap/>
            <w:hideMark/>
          </w:tcPr>
          <w:p w14:paraId="292C5414" w14:textId="27947420" w:rsidR="00C6375D" w:rsidRPr="006D660D" w:rsidRDefault="00C6375D"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Probabilidad de quiebra antes </w:t>
            </w:r>
            <w:r w:rsidR="00591DBC" w:rsidRPr="006D660D">
              <w:rPr>
                <w:rFonts w:ascii="Arial" w:eastAsia="Times New Roman" w:hAnsi="Arial" w:cs="Arial"/>
                <w:color w:val="000000"/>
                <w:sz w:val="18"/>
                <w:szCs w:val="18"/>
                <w:lang w:val="es-419" w:eastAsia="en-US"/>
              </w:rPr>
              <w:t>de crisis</w:t>
            </w:r>
          </w:p>
        </w:tc>
        <w:tc>
          <w:tcPr>
            <w:tcW w:w="1217" w:type="dxa"/>
            <w:tcBorders>
              <w:top w:val="nil"/>
              <w:left w:val="nil"/>
              <w:bottom w:val="single" w:sz="4" w:space="0" w:color="auto"/>
              <w:right w:val="single" w:sz="4" w:space="0" w:color="auto"/>
            </w:tcBorders>
            <w:shd w:val="clear" w:color="auto" w:fill="auto"/>
            <w:noWrap/>
            <w:hideMark/>
          </w:tcPr>
          <w:p w14:paraId="24A247E7" w14:textId="77777777" w:rsidR="00C6375D" w:rsidRPr="006D660D" w:rsidRDefault="00C6375D"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9.0%</w:t>
            </w:r>
          </w:p>
        </w:tc>
        <w:tc>
          <w:tcPr>
            <w:tcW w:w="1117" w:type="dxa"/>
            <w:tcBorders>
              <w:top w:val="nil"/>
              <w:left w:val="nil"/>
              <w:bottom w:val="single" w:sz="4" w:space="0" w:color="auto"/>
              <w:right w:val="single" w:sz="4" w:space="0" w:color="auto"/>
            </w:tcBorders>
            <w:shd w:val="clear" w:color="auto" w:fill="auto"/>
            <w:noWrap/>
            <w:hideMark/>
          </w:tcPr>
          <w:p w14:paraId="00AD3696" w14:textId="77777777" w:rsidR="00C6375D" w:rsidRPr="006D660D" w:rsidRDefault="00C6375D"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9.0%</w:t>
            </w:r>
          </w:p>
        </w:tc>
        <w:tc>
          <w:tcPr>
            <w:tcW w:w="2526" w:type="dxa"/>
            <w:tcBorders>
              <w:top w:val="nil"/>
              <w:left w:val="nil"/>
              <w:bottom w:val="single" w:sz="4" w:space="0" w:color="auto"/>
              <w:right w:val="single" w:sz="4" w:space="0" w:color="auto"/>
            </w:tcBorders>
            <w:shd w:val="clear" w:color="auto" w:fill="auto"/>
            <w:hideMark/>
          </w:tcPr>
          <w:p w14:paraId="1013C32B" w14:textId="5A8EB3A1" w:rsidR="00C6375D" w:rsidRPr="006D660D" w:rsidRDefault="00045F87" w:rsidP="0028798D">
            <w:pPr>
              <w:spacing w:after="0" w:line="240" w:lineRule="auto"/>
              <w:jc w:val="both"/>
              <w:rPr>
                <w:rFonts w:ascii="Arial" w:eastAsia="Times New Roman" w:hAnsi="Arial" w:cs="Arial"/>
                <w:color w:val="000000"/>
                <w:sz w:val="18"/>
                <w:szCs w:val="18"/>
                <w:lang w:val="es-419" w:eastAsia="en-US"/>
              </w:rPr>
            </w:pPr>
            <w:r w:rsidRPr="00045F87">
              <w:rPr>
                <w:rFonts w:ascii="Arial" w:eastAsia="Times New Roman" w:hAnsi="Arial" w:cs="Arial"/>
                <w:color w:val="000000"/>
                <w:sz w:val="18"/>
                <w:szCs w:val="18"/>
                <w:lang w:val="es-419" w:eastAsia="en-US"/>
              </w:rPr>
              <w:t>Basado en tasa de salida histórica de empresas chilenas</w:t>
            </w:r>
          </w:p>
        </w:tc>
        <w:tc>
          <w:tcPr>
            <w:tcW w:w="2177" w:type="dxa"/>
            <w:tcBorders>
              <w:top w:val="nil"/>
              <w:left w:val="nil"/>
              <w:bottom w:val="single" w:sz="4" w:space="0" w:color="auto"/>
              <w:right w:val="single" w:sz="8" w:space="0" w:color="auto"/>
            </w:tcBorders>
            <w:shd w:val="clear" w:color="auto" w:fill="auto"/>
            <w:noWrap/>
          </w:tcPr>
          <w:p w14:paraId="6132F9F6" w14:textId="6ABCC583" w:rsidR="00C6375D" w:rsidRPr="006D660D" w:rsidRDefault="000A7AF2" w:rsidP="0028798D">
            <w:pPr>
              <w:spacing w:after="0" w:line="240" w:lineRule="auto"/>
              <w:rPr>
                <w:rFonts w:ascii="Arial" w:eastAsia="Times New Roman" w:hAnsi="Arial" w:cs="Arial"/>
                <w:color w:val="0563C1"/>
                <w:sz w:val="18"/>
                <w:szCs w:val="18"/>
                <w:u w:val="single"/>
                <w:lang w:val="es-419" w:eastAsia="en-US"/>
              </w:rPr>
            </w:pPr>
            <w:r w:rsidRPr="000A7AF2">
              <w:rPr>
                <w:rFonts w:ascii="Arial" w:eastAsia="Times New Roman" w:hAnsi="Arial" w:cs="Arial"/>
                <w:color w:val="0563C1"/>
                <w:sz w:val="18"/>
                <w:szCs w:val="18"/>
                <w:u w:val="single"/>
                <w:lang w:val="es-419" w:eastAsia="en-US"/>
              </w:rPr>
              <w:t>Arellano, P. y Jiménez, E., “Dinámica Empresarial, Brechas Regionales y Sectoriales de las PYMES en Chile, Periodo 2005-2014”, Ministerio de Economía, Fomento y Turismo del Gobierno de Chile, Unidad de Estudios Económicos, 2016</w:t>
            </w:r>
          </w:p>
        </w:tc>
      </w:tr>
      <w:tr w:rsidR="00C6375D" w:rsidRPr="008579AE" w14:paraId="140DEDB4" w14:textId="77777777" w:rsidTr="0028798D">
        <w:trPr>
          <w:trHeight w:val="233"/>
        </w:trPr>
        <w:tc>
          <w:tcPr>
            <w:tcW w:w="2330" w:type="dxa"/>
            <w:tcBorders>
              <w:top w:val="nil"/>
              <w:left w:val="single" w:sz="8" w:space="0" w:color="auto"/>
              <w:bottom w:val="single" w:sz="4" w:space="0" w:color="auto"/>
              <w:right w:val="single" w:sz="4" w:space="0" w:color="auto"/>
            </w:tcBorders>
            <w:shd w:val="clear" w:color="auto" w:fill="auto"/>
            <w:noWrap/>
            <w:hideMark/>
          </w:tcPr>
          <w:p w14:paraId="4B10029B" w14:textId="43E8461F" w:rsidR="00C6375D" w:rsidRPr="006D660D" w:rsidRDefault="00C6375D"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Probabilidad de quiebra durante crisis</w:t>
            </w:r>
          </w:p>
        </w:tc>
        <w:tc>
          <w:tcPr>
            <w:tcW w:w="1217" w:type="dxa"/>
            <w:tcBorders>
              <w:top w:val="nil"/>
              <w:left w:val="nil"/>
              <w:bottom w:val="single" w:sz="4" w:space="0" w:color="auto"/>
              <w:right w:val="single" w:sz="4" w:space="0" w:color="auto"/>
            </w:tcBorders>
            <w:shd w:val="clear" w:color="auto" w:fill="auto"/>
            <w:noWrap/>
            <w:hideMark/>
          </w:tcPr>
          <w:p w14:paraId="4040CB4D" w14:textId="40D6DDF7" w:rsidR="00C6375D" w:rsidRPr="006D660D" w:rsidRDefault="002F4D50"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9.9</w:t>
            </w:r>
            <w:r w:rsidR="00C6375D" w:rsidRPr="006D660D">
              <w:rPr>
                <w:rFonts w:ascii="Arial" w:eastAsia="Times New Roman" w:hAnsi="Arial" w:cs="Arial"/>
                <w:color w:val="000000"/>
                <w:sz w:val="18"/>
                <w:szCs w:val="18"/>
                <w:lang w:val="es-419" w:eastAsia="en-US"/>
              </w:rPr>
              <w:t>%</w:t>
            </w:r>
          </w:p>
        </w:tc>
        <w:tc>
          <w:tcPr>
            <w:tcW w:w="1117" w:type="dxa"/>
            <w:tcBorders>
              <w:top w:val="nil"/>
              <w:left w:val="nil"/>
              <w:bottom w:val="single" w:sz="4" w:space="0" w:color="auto"/>
              <w:right w:val="single" w:sz="4" w:space="0" w:color="auto"/>
            </w:tcBorders>
            <w:shd w:val="clear" w:color="auto" w:fill="auto"/>
            <w:noWrap/>
            <w:hideMark/>
          </w:tcPr>
          <w:p w14:paraId="10C41E65" w14:textId="0E0E2A3F" w:rsidR="00C6375D" w:rsidRPr="006D660D" w:rsidRDefault="002F4D50"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11.7</w:t>
            </w:r>
            <w:r w:rsidR="00C6375D" w:rsidRPr="006D660D">
              <w:rPr>
                <w:rFonts w:ascii="Arial" w:eastAsia="Times New Roman" w:hAnsi="Arial" w:cs="Arial"/>
                <w:color w:val="000000"/>
                <w:sz w:val="18"/>
                <w:szCs w:val="18"/>
                <w:lang w:val="es-419" w:eastAsia="en-US"/>
              </w:rPr>
              <w:t>%</w:t>
            </w:r>
          </w:p>
        </w:tc>
        <w:tc>
          <w:tcPr>
            <w:tcW w:w="2526" w:type="dxa"/>
            <w:tcBorders>
              <w:top w:val="nil"/>
              <w:left w:val="nil"/>
              <w:bottom w:val="single" w:sz="4" w:space="0" w:color="auto"/>
              <w:right w:val="single" w:sz="4" w:space="0" w:color="auto"/>
            </w:tcBorders>
            <w:shd w:val="clear" w:color="auto" w:fill="auto"/>
            <w:hideMark/>
          </w:tcPr>
          <w:p w14:paraId="4ECEBEDD" w14:textId="27569119" w:rsidR="00C6375D" w:rsidRPr="006D660D" w:rsidRDefault="0031498A" w:rsidP="0028798D">
            <w:pPr>
              <w:spacing w:after="0" w:line="240" w:lineRule="auto"/>
              <w:jc w:val="both"/>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Basado en incrementos observados en quiebras de PYME en países de la OCDE</w:t>
            </w:r>
          </w:p>
        </w:tc>
        <w:tc>
          <w:tcPr>
            <w:tcW w:w="2177" w:type="dxa"/>
            <w:tcBorders>
              <w:top w:val="nil"/>
              <w:left w:val="nil"/>
              <w:bottom w:val="single" w:sz="4" w:space="0" w:color="auto"/>
              <w:right w:val="single" w:sz="8" w:space="0" w:color="auto"/>
            </w:tcBorders>
            <w:shd w:val="clear" w:color="auto" w:fill="auto"/>
            <w:noWrap/>
            <w:hideMark/>
          </w:tcPr>
          <w:p w14:paraId="6C7D0AA3" w14:textId="50775A60" w:rsidR="00C6375D" w:rsidRPr="006D660D" w:rsidRDefault="0031498A" w:rsidP="0028798D">
            <w:pPr>
              <w:spacing w:after="0" w:line="240" w:lineRule="auto"/>
              <w:rPr>
                <w:rFonts w:ascii="Arial" w:eastAsia="Times New Roman" w:hAnsi="Arial" w:cs="Arial"/>
                <w:color w:val="0563C1"/>
                <w:sz w:val="18"/>
                <w:szCs w:val="18"/>
                <w:u w:val="single"/>
                <w:lang w:val="es-419" w:eastAsia="en-US"/>
              </w:rPr>
            </w:pPr>
            <w:r>
              <w:rPr>
                <w:rFonts w:ascii="Arial" w:eastAsia="Times New Roman" w:hAnsi="Arial" w:cs="Arial"/>
                <w:color w:val="0563C1"/>
                <w:sz w:val="18"/>
                <w:szCs w:val="18"/>
                <w:u w:val="single"/>
                <w:lang w:val="es-419" w:eastAsia="en-US"/>
              </w:rPr>
              <w:t>OCDE, “</w:t>
            </w:r>
            <w:r w:rsidRPr="0031498A">
              <w:rPr>
                <w:rFonts w:ascii="Arial" w:eastAsia="Times New Roman" w:hAnsi="Arial" w:cs="Arial"/>
                <w:color w:val="0563C1"/>
                <w:sz w:val="18"/>
                <w:szCs w:val="18"/>
                <w:u w:val="single"/>
                <w:lang w:val="es-419" w:eastAsia="en-US"/>
              </w:rPr>
              <w:t>Financiamiento de PYMES y Emprendedores 2018: Un marcador de la OCDE”, 2018</w:t>
            </w:r>
          </w:p>
        </w:tc>
      </w:tr>
      <w:tr w:rsidR="00C6375D" w:rsidRPr="0031498A" w14:paraId="1C39C8B0" w14:textId="77777777" w:rsidTr="0028798D">
        <w:trPr>
          <w:trHeight w:val="233"/>
        </w:trPr>
        <w:tc>
          <w:tcPr>
            <w:tcW w:w="2330" w:type="dxa"/>
            <w:tcBorders>
              <w:top w:val="nil"/>
              <w:left w:val="single" w:sz="8" w:space="0" w:color="auto"/>
              <w:bottom w:val="single" w:sz="4" w:space="0" w:color="auto"/>
              <w:right w:val="single" w:sz="4" w:space="0" w:color="auto"/>
            </w:tcBorders>
            <w:shd w:val="clear" w:color="auto" w:fill="auto"/>
            <w:noWrap/>
            <w:hideMark/>
          </w:tcPr>
          <w:p w14:paraId="37E03EF1" w14:textId="5B6FC2F9" w:rsidR="00C6375D" w:rsidRPr="006D660D" w:rsidRDefault="00C6375D"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Reducción inicial de las ventas empresas</w:t>
            </w:r>
          </w:p>
        </w:tc>
        <w:tc>
          <w:tcPr>
            <w:tcW w:w="1217" w:type="dxa"/>
            <w:tcBorders>
              <w:top w:val="nil"/>
              <w:left w:val="nil"/>
              <w:bottom w:val="single" w:sz="4" w:space="0" w:color="auto"/>
              <w:right w:val="single" w:sz="4" w:space="0" w:color="auto"/>
            </w:tcBorders>
            <w:shd w:val="clear" w:color="auto" w:fill="auto"/>
            <w:noWrap/>
            <w:hideMark/>
          </w:tcPr>
          <w:p w14:paraId="30DB7A9E" w14:textId="132BE2F2" w:rsidR="00C6375D" w:rsidRPr="006D660D" w:rsidRDefault="00C6375D"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14.</w:t>
            </w:r>
            <w:r w:rsidR="00045F87">
              <w:rPr>
                <w:rFonts w:ascii="Arial" w:eastAsia="Times New Roman" w:hAnsi="Arial" w:cs="Arial"/>
                <w:color w:val="000000"/>
                <w:sz w:val="18"/>
                <w:szCs w:val="18"/>
                <w:lang w:val="es-419" w:eastAsia="en-US"/>
              </w:rPr>
              <w:t>2</w:t>
            </w:r>
            <w:r w:rsidRPr="006D660D">
              <w:rPr>
                <w:rFonts w:ascii="Arial" w:eastAsia="Times New Roman" w:hAnsi="Arial" w:cs="Arial"/>
                <w:color w:val="000000"/>
                <w:sz w:val="18"/>
                <w:szCs w:val="18"/>
                <w:lang w:val="es-419" w:eastAsia="en-US"/>
              </w:rPr>
              <w:t>5%</w:t>
            </w:r>
          </w:p>
        </w:tc>
        <w:tc>
          <w:tcPr>
            <w:tcW w:w="1117" w:type="dxa"/>
            <w:tcBorders>
              <w:top w:val="nil"/>
              <w:left w:val="nil"/>
              <w:bottom w:val="single" w:sz="4" w:space="0" w:color="auto"/>
              <w:right w:val="single" w:sz="4" w:space="0" w:color="auto"/>
            </w:tcBorders>
            <w:shd w:val="clear" w:color="auto" w:fill="auto"/>
            <w:noWrap/>
            <w:hideMark/>
          </w:tcPr>
          <w:p w14:paraId="6EFBDBC8" w14:textId="77777777" w:rsidR="00C6375D" w:rsidRPr="006D660D" w:rsidRDefault="00C6375D"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15.0%</w:t>
            </w:r>
          </w:p>
        </w:tc>
        <w:tc>
          <w:tcPr>
            <w:tcW w:w="2526" w:type="dxa"/>
            <w:tcBorders>
              <w:top w:val="nil"/>
              <w:left w:val="nil"/>
              <w:bottom w:val="single" w:sz="4" w:space="0" w:color="auto"/>
              <w:right w:val="single" w:sz="4" w:space="0" w:color="auto"/>
            </w:tcBorders>
            <w:shd w:val="clear" w:color="auto" w:fill="auto"/>
            <w:hideMark/>
          </w:tcPr>
          <w:p w14:paraId="4F2B866F" w14:textId="5F83CCD0" w:rsidR="00C6375D" w:rsidRPr="006D660D" w:rsidRDefault="00045F87" w:rsidP="0028798D">
            <w:pPr>
              <w:spacing w:after="0" w:line="240" w:lineRule="auto"/>
              <w:jc w:val="both"/>
              <w:rPr>
                <w:rFonts w:ascii="Arial" w:eastAsia="Times New Roman" w:hAnsi="Arial" w:cs="Arial"/>
                <w:color w:val="000000"/>
                <w:sz w:val="18"/>
                <w:szCs w:val="18"/>
                <w:lang w:val="es-419" w:eastAsia="en-US"/>
              </w:rPr>
            </w:pPr>
            <w:r w:rsidRPr="00045F87">
              <w:rPr>
                <w:rFonts w:ascii="Arial" w:eastAsia="Times New Roman" w:hAnsi="Arial" w:cs="Arial"/>
                <w:color w:val="000000"/>
                <w:sz w:val="18"/>
                <w:szCs w:val="18"/>
                <w:lang w:val="es-419" w:eastAsia="en-US"/>
              </w:rPr>
              <w:t xml:space="preserve">Estimaciones para </w:t>
            </w:r>
            <w:r>
              <w:rPr>
                <w:rFonts w:ascii="Arial" w:eastAsia="Times New Roman" w:hAnsi="Arial" w:cs="Arial"/>
                <w:color w:val="000000"/>
                <w:sz w:val="18"/>
                <w:szCs w:val="18"/>
                <w:lang w:val="es-419" w:eastAsia="en-US"/>
              </w:rPr>
              <w:t>Reino Unido de</w:t>
            </w:r>
            <w:r w:rsidRPr="00045F87">
              <w:rPr>
                <w:rFonts w:ascii="Arial" w:eastAsia="Times New Roman" w:hAnsi="Arial" w:cs="Arial"/>
                <w:color w:val="000000"/>
                <w:sz w:val="18"/>
                <w:szCs w:val="18"/>
                <w:lang w:val="es-419" w:eastAsia="en-US"/>
              </w:rPr>
              <w:t xml:space="preserve"> alta probabilidad </w:t>
            </w:r>
            <w:r>
              <w:rPr>
                <w:rFonts w:ascii="Arial" w:eastAsia="Times New Roman" w:hAnsi="Arial" w:cs="Arial"/>
                <w:color w:val="000000"/>
                <w:sz w:val="18"/>
                <w:szCs w:val="18"/>
                <w:lang w:val="es-419" w:eastAsia="en-US"/>
              </w:rPr>
              <w:t>de</w:t>
            </w:r>
            <w:r w:rsidRPr="00045F87">
              <w:rPr>
                <w:rFonts w:ascii="Arial" w:eastAsia="Times New Roman" w:hAnsi="Arial" w:cs="Arial"/>
                <w:color w:val="000000"/>
                <w:sz w:val="18"/>
                <w:szCs w:val="18"/>
                <w:lang w:val="es-419" w:eastAsia="en-US"/>
              </w:rPr>
              <w:t xml:space="preserve"> que las firmas pierdan más de 10% de sus ventas como consecuencia del COVI-19</w:t>
            </w:r>
            <w:r>
              <w:rPr>
                <w:rFonts w:ascii="Arial" w:eastAsia="Times New Roman" w:hAnsi="Arial" w:cs="Arial"/>
                <w:color w:val="000000"/>
                <w:sz w:val="18"/>
                <w:szCs w:val="18"/>
                <w:lang w:val="es-419" w:eastAsia="en-US"/>
              </w:rPr>
              <w:t xml:space="preserve">, y diferencial de caída consistentes con las proyecciones de </w:t>
            </w:r>
            <w:r w:rsidRPr="00045F87">
              <w:rPr>
                <w:rFonts w:ascii="Arial" w:eastAsia="Times New Roman" w:hAnsi="Arial" w:cs="Arial"/>
                <w:color w:val="000000"/>
                <w:sz w:val="18"/>
                <w:szCs w:val="18"/>
                <w:lang w:val="es-419" w:eastAsia="en-US"/>
              </w:rPr>
              <w:t>caída en el consumo</w:t>
            </w:r>
            <w:r>
              <w:rPr>
                <w:rFonts w:ascii="Arial" w:eastAsia="Times New Roman" w:hAnsi="Arial" w:cs="Arial"/>
                <w:color w:val="000000"/>
                <w:sz w:val="18"/>
                <w:szCs w:val="18"/>
                <w:lang w:val="es-419" w:eastAsia="en-US"/>
              </w:rPr>
              <w:t xml:space="preserve"> y</w:t>
            </w:r>
            <w:r w:rsidRPr="00045F87">
              <w:rPr>
                <w:rFonts w:ascii="Arial" w:eastAsia="Times New Roman" w:hAnsi="Arial" w:cs="Arial"/>
                <w:color w:val="000000"/>
                <w:sz w:val="18"/>
                <w:szCs w:val="18"/>
                <w:lang w:val="es-419" w:eastAsia="en-US"/>
              </w:rPr>
              <w:t xml:space="preserve"> la actividad industrial</w:t>
            </w:r>
            <w:r>
              <w:rPr>
                <w:rFonts w:ascii="Arial" w:eastAsia="Times New Roman" w:hAnsi="Arial" w:cs="Arial"/>
                <w:color w:val="000000"/>
                <w:sz w:val="18"/>
                <w:szCs w:val="18"/>
                <w:lang w:val="es-419" w:eastAsia="en-US"/>
              </w:rPr>
              <w:t xml:space="preserve"> en México e impactos observados de financiamiento de la BPD en PYME de la región</w:t>
            </w:r>
          </w:p>
        </w:tc>
        <w:tc>
          <w:tcPr>
            <w:tcW w:w="2177" w:type="dxa"/>
            <w:tcBorders>
              <w:top w:val="nil"/>
              <w:left w:val="nil"/>
              <w:bottom w:val="single" w:sz="4" w:space="0" w:color="auto"/>
              <w:right w:val="single" w:sz="8" w:space="0" w:color="auto"/>
            </w:tcBorders>
            <w:shd w:val="clear" w:color="auto" w:fill="auto"/>
            <w:noWrap/>
            <w:hideMark/>
          </w:tcPr>
          <w:p w14:paraId="53D1370D" w14:textId="6997B095" w:rsidR="0031498A" w:rsidRPr="00E702F6" w:rsidRDefault="005A0251" w:rsidP="0028798D">
            <w:pPr>
              <w:spacing w:after="0" w:line="240" w:lineRule="auto"/>
              <w:rPr>
                <w:rFonts w:ascii="Arial" w:eastAsia="Times New Roman" w:hAnsi="Arial" w:cs="Arial"/>
                <w:color w:val="0563C1"/>
                <w:sz w:val="18"/>
                <w:szCs w:val="18"/>
                <w:u w:val="single"/>
                <w:lang w:val="en-US" w:eastAsia="en-US"/>
              </w:rPr>
            </w:pPr>
            <w:hyperlink r:id="rId20" w:history="1">
              <w:r w:rsidR="00966635" w:rsidRPr="002E53F4">
                <w:rPr>
                  <w:rFonts w:ascii="Arial" w:eastAsia="Times New Roman" w:hAnsi="Arial" w:cs="Arial"/>
                  <w:color w:val="0563C1"/>
                  <w:sz w:val="18"/>
                  <w:szCs w:val="18"/>
                  <w:u w:val="single"/>
                  <w:lang w:val="en-US" w:eastAsia="en-US"/>
                </w:rPr>
                <w:t>VoxEU.org</w:t>
              </w:r>
            </w:hyperlink>
            <w:r w:rsidR="0031498A" w:rsidRPr="00E702F6">
              <w:rPr>
                <w:rFonts w:ascii="Arial" w:eastAsia="Times New Roman" w:hAnsi="Arial" w:cs="Arial"/>
                <w:color w:val="0563C1"/>
                <w:sz w:val="18"/>
                <w:szCs w:val="18"/>
                <w:u w:val="single"/>
                <w:lang w:val="en-US" w:eastAsia="en-US"/>
              </w:rPr>
              <w:t xml:space="preserve">; Oxford Economics, “Country Economic Forecasts, Mexico”, 2020; y </w:t>
            </w:r>
            <w:proofErr w:type="spellStart"/>
            <w:r w:rsidR="0031498A" w:rsidRPr="00E702F6">
              <w:rPr>
                <w:rFonts w:ascii="Arial" w:eastAsia="Times New Roman" w:hAnsi="Arial" w:cs="Arial"/>
                <w:color w:val="0563C1"/>
                <w:sz w:val="18"/>
                <w:szCs w:val="18"/>
                <w:u w:val="single"/>
                <w:lang w:val="en-US" w:eastAsia="en-US"/>
              </w:rPr>
              <w:t>Eslava</w:t>
            </w:r>
            <w:proofErr w:type="spellEnd"/>
            <w:r w:rsidR="0031498A" w:rsidRPr="00E702F6">
              <w:rPr>
                <w:rFonts w:ascii="Arial" w:eastAsia="Times New Roman" w:hAnsi="Arial" w:cs="Arial"/>
                <w:color w:val="0563C1"/>
                <w:sz w:val="18"/>
                <w:szCs w:val="18"/>
                <w:u w:val="single"/>
                <w:lang w:val="en-US" w:eastAsia="en-US"/>
              </w:rPr>
              <w:t>, M. et al., “Credit Constraints and Business Performance, Evidence from Public Lending in Colombia”, Universidad de los Andes, 2014</w:t>
            </w:r>
          </w:p>
        </w:tc>
      </w:tr>
      <w:tr w:rsidR="00C6375D" w:rsidRPr="006D660D" w14:paraId="54023AA4" w14:textId="77777777" w:rsidTr="0028798D">
        <w:trPr>
          <w:trHeight w:val="465"/>
        </w:trPr>
        <w:tc>
          <w:tcPr>
            <w:tcW w:w="2330" w:type="dxa"/>
            <w:tcBorders>
              <w:top w:val="nil"/>
              <w:left w:val="single" w:sz="8" w:space="0" w:color="auto"/>
              <w:bottom w:val="single" w:sz="4" w:space="0" w:color="auto"/>
              <w:right w:val="single" w:sz="4" w:space="0" w:color="auto"/>
            </w:tcBorders>
            <w:shd w:val="clear" w:color="auto" w:fill="auto"/>
            <w:hideMark/>
          </w:tcPr>
          <w:p w14:paraId="19BAF1D9" w14:textId="4002747B" w:rsidR="00C6375D" w:rsidRPr="006D660D" w:rsidRDefault="006D660D" w:rsidP="0028798D">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lastRenderedPageBreak/>
              <w:t>A</w:t>
            </w:r>
            <w:r w:rsidR="00591DBC" w:rsidRPr="006D660D">
              <w:rPr>
                <w:rFonts w:ascii="Arial" w:eastAsia="Times New Roman" w:hAnsi="Arial" w:cs="Arial"/>
                <w:color w:val="000000"/>
                <w:sz w:val="18"/>
                <w:szCs w:val="18"/>
                <w:lang w:val="es-419" w:eastAsia="en-US"/>
              </w:rPr>
              <w:t>ño</w:t>
            </w:r>
            <w:r w:rsidR="00C6375D" w:rsidRPr="006D660D">
              <w:rPr>
                <w:rFonts w:ascii="Arial" w:eastAsia="Times New Roman" w:hAnsi="Arial" w:cs="Arial"/>
                <w:color w:val="000000"/>
                <w:sz w:val="18"/>
                <w:szCs w:val="18"/>
                <w:lang w:val="es-419" w:eastAsia="en-US"/>
              </w:rPr>
              <w:t>s en el desempleo durante la crisis (primeros de crisis)</w:t>
            </w:r>
          </w:p>
        </w:tc>
        <w:tc>
          <w:tcPr>
            <w:tcW w:w="1217" w:type="dxa"/>
            <w:tcBorders>
              <w:top w:val="nil"/>
              <w:left w:val="nil"/>
              <w:bottom w:val="single" w:sz="4" w:space="0" w:color="auto"/>
              <w:right w:val="single" w:sz="4" w:space="0" w:color="auto"/>
            </w:tcBorders>
            <w:shd w:val="clear" w:color="auto" w:fill="auto"/>
            <w:noWrap/>
            <w:hideMark/>
          </w:tcPr>
          <w:p w14:paraId="33DCDD5C" w14:textId="7B5E3412" w:rsidR="00C6375D" w:rsidRPr="006D660D" w:rsidRDefault="00C6375D"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0.5</w:t>
            </w:r>
          </w:p>
        </w:tc>
        <w:tc>
          <w:tcPr>
            <w:tcW w:w="1117" w:type="dxa"/>
            <w:tcBorders>
              <w:top w:val="nil"/>
              <w:left w:val="nil"/>
              <w:bottom w:val="single" w:sz="4" w:space="0" w:color="auto"/>
              <w:right w:val="single" w:sz="4" w:space="0" w:color="auto"/>
            </w:tcBorders>
            <w:shd w:val="clear" w:color="auto" w:fill="auto"/>
            <w:noWrap/>
            <w:hideMark/>
          </w:tcPr>
          <w:p w14:paraId="3B24EFDC" w14:textId="68007E9D" w:rsidR="00C6375D" w:rsidRPr="006D660D" w:rsidRDefault="00C6375D"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0.5</w:t>
            </w:r>
          </w:p>
        </w:tc>
        <w:tc>
          <w:tcPr>
            <w:tcW w:w="2526" w:type="dxa"/>
            <w:tcBorders>
              <w:top w:val="nil"/>
              <w:left w:val="nil"/>
              <w:bottom w:val="single" w:sz="4" w:space="0" w:color="auto"/>
              <w:right w:val="single" w:sz="4" w:space="0" w:color="auto"/>
            </w:tcBorders>
            <w:shd w:val="clear" w:color="auto" w:fill="auto"/>
            <w:hideMark/>
          </w:tcPr>
          <w:p w14:paraId="131291CF" w14:textId="5B8A30ED" w:rsidR="00C6375D" w:rsidRPr="006D660D" w:rsidRDefault="00045F87" w:rsidP="0028798D">
            <w:pPr>
              <w:spacing w:after="0" w:line="240" w:lineRule="auto"/>
              <w:jc w:val="both"/>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Basado en l</w:t>
            </w:r>
            <w:r w:rsidRPr="00045F87">
              <w:rPr>
                <w:rFonts w:ascii="Arial" w:eastAsia="Times New Roman" w:hAnsi="Arial" w:cs="Arial"/>
                <w:color w:val="000000"/>
                <w:sz w:val="18"/>
                <w:szCs w:val="18"/>
                <w:lang w:val="es-419" w:eastAsia="en-US"/>
              </w:rPr>
              <w:t xml:space="preserve">a media de la duración del desempleo en Estados Unidos durante la crisis financiera </w:t>
            </w:r>
            <w:r>
              <w:rPr>
                <w:rFonts w:ascii="Arial" w:eastAsia="Times New Roman" w:hAnsi="Arial" w:cs="Arial"/>
                <w:color w:val="000000"/>
                <w:sz w:val="18"/>
                <w:szCs w:val="18"/>
                <w:lang w:val="es-419" w:eastAsia="en-US"/>
              </w:rPr>
              <w:t>de 2007-2009</w:t>
            </w:r>
          </w:p>
        </w:tc>
        <w:tc>
          <w:tcPr>
            <w:tcW w:w="2177" w:type="dxa"/>
            <w:tcBorders>
              <w:top w:val="nil"/>
              <w:left w:val="nil"/>
              <w:bottom w:val="single" w:sz="4" w:space="0" w:color="auto"/>
              <w:right w:val="single" w:sz="8" w:space="0" w:color="auto"/>
            </w:tcBorders>
            <w:shd w:val="clear" w:color="auto" w:fill="auto"/>
            <w:noWrap/>
            <w:hideMark/>
          </w:tcPr>
          <w:p w14:paraId="4A705F3B" w14:textId="76063269" w:rsidR="00C6375D" w:rsidRPr="00E702F6" w:rsidRDefault="005A0251" w:rsidP="0028798D">
            <w:pPr>
              <w:spacing w:after="0" w:line="240" w:lineRule="auto"/>
              <w:rPr>
                <w:rFonts w:ascii="Arial" w:eastAsia="Times New Roman" w:hAnsi="Arial" w:cs="Arial"/>
                <w:color w:val="0563C1"/>
                <w:sz w:val="18"/>
                <w:szCs w:val="18"/>
                <w:u w:val="single"/>
                <w:lang w:val="en-US" w:eastAsia="en-US"/>
              </w:rPr>
            </w:pPr>
            <w:hyperlink r:id="rId21" w:history="1">
              <w:r w:rsidR="000A7AF2" w:rsidRPr="002E53F4">
                <w:rPr>
                  <w:rFonts w:ascii="Arial" w:eastAsia="Times New Roman" w:hAnsi="Arial" w:cs="Arial"/>
                  <w:color w:val="0563C1"/>
                  <w:sz w:val="18"/>
                  <w:szCs w:val="18"/>
                  <w:u w:val="single"/>
                  <w:lang w:val="en-US" w:eastAsia="en-US"/>
                </w:rPr>
                <w:t>United States Bureau of Labor Statistics</w:t>
              </w:r>
            </w:hyperlink>
          </w:p>
        </w:tc>
      </w:tr>
      <w:tr w:rsidR="00C6375D" w:rsidRPr="006D660D" w14:paraId="038C9BB9" w14:textId="77777777" w:rsidTr="0028798D">
        <w:trPr>
          <w:trHeight w:val="233"/>
        </w:trPr>
        <w:tc>
          <w:tcPr>
            <w:tcW w:w="2330" w:type="dxa"/>
            <w:tcBorders>
              <w:top w:val="nil"/>
              <w:left w:val="single" w:sz="8" w:space="0" w:color="auto"/>
              <w:bottom w:val="single" w:sz="4" w:space="0" w:color="auto"/>
              <w:right w:val="single" w:sz="4" w:space="0" w:color="auto"/>
            </w:tcBorders>
            <w:shd w:val="clear" w:color="auto" w:fill="auto"/>
            <w:noWrap/>
            <w:hideMark/>
          </w:tcPr>
          <w:p w14:paraId="3EB62A5A" w14:textId="77777777" w:rsidR="00C6375D" w:rsidRPr="006D660D" w:rsidRDefault="00C6375D"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Parámetro de compensación salarial</w:t>
            </w:r>
          </w:p>
        </w:tc>
        <w:tc>
          <w:tcPr>
            <w:tcW w:w="1217" w:type="dxa"/>
            <w:tcBorders>
              <w:top w:val="nil"/>
              <w:left w:val="nil"/>
              <w:bottom w:val="single" w:sz="4" w:space="0" w:color="auto"/>
              <w:right w:val="single" w:sz="4" w:space="0" w:color="auto"/>
            </w:tcBorders>
            <w:shd w:val="clear" w:color="auto" w:fill="auto"/>
            <w:noWrap/>
            <w:hideMark/>
          </w:tcPr>
          <w:p w14:paraId="6D838726" w14:textId="77777777" w:rsidR="00C6375D" w:rsidRPr="006D660D" w:rsidRDefault="00C6375D"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w:t>
            </w:r>
          </w:p>
        </w:tc>
        <w:tc>
          <w:tcPr>
            <w:tcW w:w="1117" w:type="dxa"/>
            <w:tcBorders>
              <w:top w:val="nil"/>
              <w:left w:val="nil"/>
              <w:bottom w:val="single" w:sz="4" w:space="0" w:color="auto"/>
              <w:right w:val="single" w:sz="4" w:space="0" w:color="auto"/>
            </w:tcBorders>
            <w:shd w:val="clear" w:color="auto" w:fill="auto"/>
            <w:noWrap/>
            <w:hideMark/>
          </w:tcPr>
          <w:p w14:paraId="69E4AF71" w14:textId="77777777" w:rsidR="00C6375D" w:rsidRPr="006D660D" w:rsidRDefault="00C6375D"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0%</w:t>
            </w:r>
          </w:p>
        </w:tc>
        <w:tc>
          <w:tcPr>
            <w:tcW w:w="2526" w:type="dxa"/>
            <w:tcBorders>
              <w:top w:val="nil"/>
              <w:left w:val="nil"/>
              <w:bottom w:val="single" w:sz="4" w:space="0" w:color="auto"/>
              <w:right w:val="single" w:sz="4" w:space="0" w:color="auto"/>
            </w:tcBorders>
            <w:shd w:val="clear" w:color="auto" w:fill="auto"/>
            <w:hideMark/>
          </w:tcPr>
          <w:p w14:paraId="052B7EF6" w14:textId="6110757F" w:rsidR="00C6375D" w:rsidRPr="006D660D" w:rsidRDefault="00045F87" w:rsidP="0028798D">
            <w:pPr>
              <w:spacing w:after="0" w:line="240" w:lineRule="auto"/>
              <w:jc w:val="both"/>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Basado en el paquete de medidas económicas anunciadas por el gobierno al 5 de abril de 2020</w:t>
            </w:r>
          </w:p>
        </w:tc>
        <w:tc>
          <w:tcPr>
            <w:tcW w:w="2177" w:type="dxa"/>
            <w:tcBorders>
              <w:top w:val="nil"/>
              <w:left w:val="nil"/>
              <w:bottom w:val="single" w:sz="4" w:space="0" w:color="auto"/>
              <w:right w:val="single" w:sz="8" w:space="0" w:color="auto"/>
            </w:tcBorders>
            <w:shd w:val="clear" w:color="auto" w:fill="auto"/>
            <w:noWrap/>
            <w:hideMark/>
          </w:tcPr>
          <w:p w14:paraId="70B24EF9" w14:textId="66C8DD21" w:rsidR="00C6375D" w:rsidRPr="00FB3DE1" w:rsidRDefault="005A0251" w:rsidP="0028798D">
            <w:pPr>
              <w:spacing w:after="0" w:line="240" w:lineRule="auto"/>
              <w:rPr>
                <w:rFonts w:ascii="Arial" w:eastAsia="Times New Roman" w:hAnsi="Arial" w:cs="Arial"/>
                <w:color w:val="000000"/>
                <w:sz w:val="18"/>
                <w:szCs w:val="18"/>
                <w:lang w:val="es-419" w:eastAsia="en-US"/>
              </w:rPr>
            </w:pPr>
            <w:hyperlink r:id="rId22" w:history="1">
              <w:r w:rsidR="00045F87" w:rsidRPr="00FB3DE1">
                <w:rPr>
                  <w:rStyle w:val="Hyperlink"/>
                  <w:rFonts w:ascii="Arial" w:eastAsia="Times New Roman" w:hAnsi="Arial" w:cs="Arial"/>
                  <w:sz w:val="18"/>
                  <w:szCs w:val="18"/>
                  <w:lang w:val="es-419" w:eastAsia="en-US"/>
                </w:rPr>
                <w:t xml:space="preserve">Discurso del presidente </w:t>
              </w:r>
              <w:r w:rsidR="00FB3DE1" w:rsidRPr="00FB3DE1">
                <w:rPr>
                  <w:rStyle w:val="Hyperlink"/>
                  <w:rFonts w:ascii="Arial" w:eastAsia="Times New Roman" w:hAnsi="Arial" w:cs="Arial"/>
                  <w:sz w:val="18"/>
                  <w:szCs w:val="18"/>
                  <w:lang w:val="es-419" w:eastAsia="en-US"/>
                </w:rPr>
                <w:t>López</w:t>
              </w:r>
              <w:r w:rsidR="00045F87" w:rsidRPr="00FB3DE1">
                <w:rPr>
                  <w:rStyle w:val="Hyperlink"/>
                  <w:rFonts w:ascii="Arial" w:eastAsia="Times New Roman" w:hAnsi="Arial" w:cs="Arial"/>
                  <w:sz w:val="18"/>
                  <w:szCs w:val="18"/>
                  <w:lang w:val="es-419" w:eastAsia="en-US"/>
                </w:rPr>
                <w:t xml:space="preserve"> Obrador</w:t>
              </w:r>
            </w:hyperlink>
          </w:p>
        </w:tc>
      </w:tr>
      <w:tr w:rsidR="00C6375D" w:rsidRPr="006D660D" w14:paraId="373FA866" w14:textId="77777777" w:rsidTr="00E702F6">
        <w:trPr>
          <w:trHeight w:val="233"/>
        </w:trPr>
        <w:tc>
          <w:tcPr>
            <w:tcW w:w="9370" w:type="dxa"/>
            <w:gridSpan w:val="5"/>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443EC606" w14:textId="18006175" w:rsidR="00C6375D" w:rsidRPr="006D660D" w:rsidRDefault="00C6375D" w:rsidP="00C6375D">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 xml:space="preserve">Parámetros propios a cada país </w:t>
            </w:r>
          </w:p>
        </w:tc>
      </w:tr>
      <w:tr w:rsidR="00C6375D" w:rsidRPr="008579AE" w14:paraId="23F3CB27" w14:textId="77777777" w:rsidTr="0028798D">
        <w:trPr>
          <w:trHeight w:val="465"/>
        </w:trPr>
        <w:tc>
          <w:tcPr>
            <w:tcW w:w="2330" w:type="dxa"/>
            <w:tcBorders>
              <w:top w:val="nil"/>
              <w:left w:val="single" w:sz="8" w:space="0" w:color="auto"/>
              <w:bottom w:val="single" w:sz="4" w:space="0" w:color="auto"/>
              <w:right w:val="single" w:sz="4" w:space="0" w:color="auto"/>
            </w:tcBorders>
            <w:shd w:val="clear" w:color="auto" w:fill="auto"/>
            <w:hideMark/>
          </w:tcPr>
          <w:p w14:paraId="202C3131" w14:textId="3DBFBA66" w:rsidR="00C6375D" w:rsidRPr="006D660D" w:rsidRDefault="00C6375D"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Ventas anuales promedio Iniciales (Moneda Local)</w:t>
            </w:r>
          </w:p>
        </w:tc>
        <w:tc>
          <w:tcPr>
            <w:tcW w:w="1217" w:type="dxa"/>
            <w:tcBorders>
              <w:top w:val="nil"/>
              <w:left w:val="nil"/>
              <w:bottom w:val="single" w:sz="4" w:space="0" w:color="auto"/>
              <w:right w:val="single" w:sz="4" w:space="0" w:color="auto"/>
            </w:tcBorders>
            <w:shd w:val="clear" w:color="auto" w:fill="auto"/>
            <w:noWrap/>
          </w:tcPr>
          <w:p w14:paraId="5A67DA00" w14:textId="5A52203A" w:rsidR="00C6375D" w:rsidRPr="006D660D" w:rsidRDefault="00FB3DE1"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29,000,000</w:t>
            </w:r>
          </w:p>
        </w:tc>
        <w:tc>
          <w:tcPr>
            <w:tcW w:w="1117" w:type="dxa"/>
            <w:tcBorders>
              <w:top w:val="nil"/>
              <w:left w:val="nil"/>
              <w:bottom w:val="single" w:sz="4" w:space="0" w:color="auto"/>
              <w:right w:val="single" w:sz="4" w:space="0" w:color="auto"/>
            </w:tcBorders>
            <w:shd w:val="clear" w:color="auto" w:fill="auto"/>
            <w:noWrap/>
          </w:tcPr>
          <w:p w14:paraId="5D230A7D" w14:textId="72CE3D71" w:rsidR="00C6375D" w:rsidRPr="006D660D" w:rsidRDefault="00FB3DE1"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29,000,000</w:t>
            </w:r>
          </w:p>
        </w:tc>
        <w:tc>
          <w:tcPr>
            <w:tcW w:w="2526" w:type="dxa"/>
            <w:tcBorders>
              <w:top w:val="nil"/>
              <w:left w:val="nil"/>
              <w:bottom w:val="single" w:sz="4" w:space="0" w:color="auto"/>
              <w:right w:val="single" w:sz="4" w:space="0" w:color="auto"/>
            </w:tcBorders>
            <w:shd w:val="clear" w:color="auto" w:fill="auto"/>
            <w:vAlign w:val="center"/>
            <w:hideMark/>
          </w:tcPr>
          <w:p w14:paraId="24564B1B" w14:textId="5E2F6831" w:rsidR="00C6375D" w:rsidRPr="006D660D" w:rsidRDefault="00FB3DE1" w:rsidP="0028798D">
            <w:pPr>
              <w:spacing w:after="0" w:line="240" w:lineRule="auto"/>
              <w:jc w:val="both"/>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Se consideran valores de las pequeñas y medianas empresas de los sectores de la industria de alimentos, bebidas y tabaco</w:t>
            </w:r>
          </w:p>
        </w:tc>
        <w:tc>
          <w:tcPr>
            <w:tcW w:w="2177" w:type="dxa"/>
            <w:tcBorders>
              <w:top w:val="nil"/>
              <w:left w:val="nil"/>
              <w:bottom w:val="single" w:sz="4" w:space="0" w:color="auto"/>
              <w:right w:val="single" w:sz="8" w:space="0" w:color="auto"/>
            </w:tcBorders>
            <w:shd w:val="clear" w:color="auto" w:fill="auto"/>
            <w:noWrap/>
            <w:hideMark/>
          </w:tcPr>
          <w:p w14:paraId="1D8C21A7" w14:textId="7F5EB20B" w:rsidR="00C6375D" w:rsidRPr="00FB3DE1" w:rsidRDefault="00FB3DE1" w:rsidP="0028798D">
            <w:pPr>
              <w:spacing w:after="0" w:line="240" w:lineRule="auto"/>
              <w:rPr>
                <w:rFonts w:ascii="Arial" w:eastAsia="Times New Roman" w:hAnsi="Arial" w:cs="Arial"/>
                <w:color w:val="000000"/>
                <w:sz w:val="18"/>
                <w:szCs w:val="18"/>
                <w:lang w:val="es-419" w:eastAsia="en-US"/>
              </w:rPr>
            </w:pPr>
            <w:r w:rsidRPr="00FB3DE1">
              <w:rPr>
                <w:rFonts w:ascii="Arial" w:eastAsia="Times New Roman" w:hAnsi="Arial" w:cs="Arial"/>
                <w:color w:val="000000"/>
                <w:sz w:val="18"/>
                <w:szCs w:val="18"/>
                <w:lang w:val="es-419" w:eastAsia="en-US"/>
              </w:rPr>
              <w:t>Censo económico nacional y datos de cartera de FIRA</w:t>
            </w:r>
          </w:p>
        </w:tc>
      </w:tr>
      <w:tr w:rsidR="00FB3DE1" w:rsidRPr="008579AE" w14:paraId="7BD7B2CC" w14:textId="77777777" w:rsidTr="0028798D">
        <w:trPr>
          <w:trHeight w:val="465"/>
        </w:trPr>
        <w:tc>
          <w:tcPr>
            <w:tcW w:w="2330" w:type="dxa"/>
            <w:tcBorders>
              <w:top w:val="nil"/>
              <w:left w:val="single" w:sz="8" w:space="0" w:color="auto"/>
              <w:bottom w:val="single" w:sz="4" w:space="0" w:color="auto"/>
              <w:right w:val="single" w:sz="4" w:space="0" w:color="auto"/>
            </w:tcBorders>
            <w:shd w:val="clear" w:color="auto" w:fill="auto"/>
            <w:hideMark/>
          </w:tcPr>
          <w:p w14:paraId="4B4BF8E9" w14:textId="27C4C472" w:rsidR="00FB3DE1" w:rsidRPr="006D660D" w:rsidRDefault="00FB3DE1"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Empleo anual promedio (No. empleados) antes de la crisis firmas</w:t>
            </w:r>
          </w:p>
        </w:tc>
        <w:tc>
          <w:tcPr>
            <w:tcW w:w="1217" w:type="dxa"/>
            <w:tcBorders>
              <w:top w:val="nil"/>
              <w:left w:val="nil"/>
              <w:bottom w:val="single" w:sz="4" w:space="0" w:color="auto"/>
              <w:right w:val="single" w:sz="4" w:space="0" w:color="auto"/>
            </w:tcBorders>
            <w:shd w:val="clear" w:color="auto" w:fill="auto"/>
            <w:noWrap/>
          </w:tcPr>
          <w:p w14:paraId="3C98EDB8" w14:textId="5AA4B248"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25</w:t>
            </w:r>
          </w:p>
        </w:tc>
        <w:tc>
          <w:tcPr>
            <w:tcW w:w="1117" w:type="dxa"/>
            <w:tcBorders>
              <w:top w:val="nil"/>
              <w:left w:val="nil"/>
              <w:bottom w:val="single" w:sz="4" w:space="0" w:color="auto"/>
              <w:right w:val="single" w:sz="4" w:space="0" w:color="auto"/>
            </w:tcBorders>
            <w:shd w:val="clear" w:color="auto" w:fill="auto"/>
            <w:noWrap/>
          </w:tcPr>
          <w:p w14:paraId="51E474F9" w14:textId="068F777C"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25</w:t>
            </w:r>
          </w:p>
        </w:tc>
        <w:tc>
          <w:tcPr>
            <w:tcW w:w="2526" w:type="dxa"/>
            <w:tcBorders>
              <w:top w:val="nil"/>
              <w:left w:val="nil"/>
              <w:bottom w:val="single" w:sz="4" w:space="0" w:color="auto"/>
              <w:right w:val="single" w:sz="4" w:space="0" w:color="auto"/>
            </w:tcBorders>
            <w:shd w:val="clear" w:color="auto" w:fill="auto"/>
            <w:vAlign w:val="center"/>
            <w:hideMark/>
          </w:tcPr>
          <w:p w14:paraId="44685916" w14:textId="42B10881" w:rsidR="00FB3DE1" w:rsidRPr="006D660D" w:rsidRDefault="00FB3DE1" w:rsidP="0028798D">
            <w:pPr>
              <w:spacing w:after="0" w:line="240" w:lineRule="auto"/>
              <w:jc w:val="both"/>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Se consideran valores de las pequeñas y medianas empresas de los sectores de la industria de alimentos, bebidas y tabaco</w:t>
            </w:r>
          </w:p>
        </w:tc>
        <w:tc>
          <w:tcPr>
            <w:tcW w:w="2177" w:type="dxa"/>
            <w:tcBorders>
              <w:top w:val="nil"/>
              <w:left w:val="nil"/>
              <w:bottom w:val="single" w:sz="4" w:space="0" w:color="auto"/>
              <w:right w:val="single" w:sz="8" w:space="0" w:color="auto"/>
            </w:tcBorders>
            <w:shd w:val="clear" w:color="auto" w:fill="auto"/>
            <w:noWrap/>
            <w:hideMark/>
          </w:tcPr>
          <w:p w14:paraId="722E78A8" w14:textId="1CA01475" w:rsidR="00FB3DE1" w:rsidRPr="00FB3DE1" w:rsidRDefault="00FB3DE1" w:rsidP="0028798D">
            <w:pPr>
              <w:spacing w:after="0" w:line="240" w:lineRule="auto"/>
              <w:rPr>
                <w:rFonts w:ascii="Arial" w:eastAsia="Times New Roman" w:hAnsi="Arial" w:cs="Arial"/>
                <w:color w:val="000000"/>
                <w:sz w:val="18"/>
                <w:szCs w:val="18"/>
                <w:lang w:val="es-419" w:eastAsia="en-US"/>
              </w:rPr>
            </w:pPr>
            <w:r w:rsidRPr="00FB3DE1">
              <w:rPr>
                <w:rFonts w:ascii="Arial" w:eastAsia="Times New Roman" w:hAnsi="Arial" w:cs="Arial"/>
                <w:color w:val="000000"/>
                <w:sz w:val="18"/>
                <w:szCs w:val="18"/>
                <w:lang w:val="es-419" w:eastAsia="en-US"/>
              </w:rPr>
              <w:t>Censo económico nacional y datos de cartera de FIRA</w:t>
            </w:r>
          </w:p>
        </w:tc>
      </w:tr>
      <w:tr w:rsidR="00FB3DE1" w:rsidRPr="008579AE" w14:paraId="60FCE7B7" w14:textId="77777777" w:rsidTr="0028798D">
        <w:trPr>
          <w:trHeight w:val="233"/>
        </w:trPr>
        <w:tc>
          <w:tcPr>
            <w:tcW w:w="2330" w:type="dxa"/>
            <w:tcBorders>
              <w:top w:val="nil"/>
              <w:left w:val="single" w:sz="8" w:space="0" w:color="auto"/>
              <w:bottom w:val="single" w:sz="4" w:space="0" w:color="auto"/>
              <w:right w:val="single" w:sz="4" w:space="0" w:color="auto"/>
            </w:tcBorders>
            <w:shd w:val="clear" w:color="auto" w:fill="auto"/>
            <w:noWrap/>
            <w:hideMark/>
          </w:tcPr>
          <w:p w14:paraId="63322132" w14:textId="33AD8995" w:rsidR="00FB3DE1" w:rsidRPr="006D660D" w:rsidRDefault="00FB3DE1"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Salario mensual promedio (Moneda Local)</w:t>
            </w:r>
          </w:p>
        </w:tc>
        <w:tc>
          <w:tcPr>
            <w:tcW w:w="1217" w:type="dxa"/>
            <w:tcBorders>
              <w:top w:val="nil"/>
              <w:left w:val="nil"/>
              <w:bottom w:val="single" w:sz="4" w:space="0" w:color="auto"/>
              <w:right w:val="single" w:sz="4" w:space="0" w:color="auto"/>
            </w:tcBorders>
            <w:shd w:val="clear" w:color="auto" w:fill="auto"/>
            <w:noWrap/>
          </w:tcPr>
          <w:p w14:paraId="15305A2D" w14:textId="567A8A2F"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12,670</w:t>
            </w:r>
          </w:p>
        </w:tc>
        <w:tc>
          <w:tcPr>
            <w:tcW w:w="1117" w:type="dxa"/>
            <w:tcBorders>
              <w:top w:val="nil"/>
              <w:left w:val="nil"/>
              <w:bottom w:val="single" w:sz="4" w:space="0" w:color="auto"/>
              <w:right w:val="single" w:sz="4" w:space="0" w:color="auto"/>
            </w:tcBorders>
            <w:shd w:val="clear" w:color="auto" w:fill="auto"/>
            <w:noWrap/>
          </w:tcPr>
          <w:p w14:paraId="7B00301C" w14:textId="42DD3978"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12,670</w:t>
            </w:r>
          </w:p>
        </w:tc>
        <w:tc>
          <w:tcPr>
            <w:tcW w:w="2526" w:type="dxa"/>
            <w:tcBorders>
              <w:top w:val="nil"/>
              <w:left w:val="nil"/>
              <w:bottom w:val="single" w:sz="4" w:space="0" w:color="auto"/>
              <w:right w:val="single" w:sz="4" w:space="0" w:color="auto"/>
            </w:tcBorders>
            <w:shd w:val="clear" w:color="auto" w:fill="auto"/>
            <w:vAlign w:val="center"/>
            <w:hideMark/>
          </w:tcPr>
          <w:p w14:paraId="5142921D" w14:textId="548FCCC1" w:rsidR="00FB3DE1" w:rsidRPr="006D660D" w:rsidRDefault="00FB3DE1" w:rsidP="0028798D">
            <w:pPr>
              <w:spacing w:after="0" w:line="240" w:lineRule="auto"/>
              <w:jc w:val="both"/>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r>
              <w:rPr>
                <w:rFonts w:ascii="Arial" w:eastAsia="Times New Roman" w:hAnsi="Arial" w:cs="Arial"/>
                <w:color w:val="000000"/>
                <w:sz w:val="18"/>
                <w:szCs w:val="18"/>
                <w:lang w:val="es-419" w:eastAsia="en-US"/>
              </w:rPr>
              <w:t>Se utiliza el salario diario para el sector de industrias de la transformación, actualizado a 2020</w:t>
            </w:r>
          </w:p>
        </w:tc>
        <w:tc>
          <w:tcPr>
            <w:tcW w:w="2177" w:type="dxa"/>
            <w:tcBorders>
              <w:top w:val="nil"/>
              <w:left w:val="nil"/>
              <w:bottom w:val="single" w:sz="4" w:space="0" w:color="auto"/>
              <w:right w:val="single" w:sz="8" w:space="0" w:color="auto"/>
            </w:tcBorders>
            <w:shd w:val="clear" w:color="auto" w:fill="auto"/>
            <w:noWrap/>
            <w:hideMark/>
          </w:tcPr>
          <w:p w14:paraId="01EC4AC4" w14:textId="443D8CF1" w:rsidR="00FB3DE1" w:rsidRPr="00FB3DE1" w:rsidRDefault="00FB3DE1" w:rsidP="0028798D">
            <w:pPr>
              <w:spacing w:after="0" w:line="240" w:lineRule="auto"/>
              <w:rPr>
                <w:rFonts w:ascii="Arial" w:eastAsia="Times New Roman" w:hAnsi="Arial" w:cs="Arial"/>
                <w:color w:val="000000"/>
                <w:sz w:val="18"/>
                <w:szCs w:val="18"/>
                <w:lang w:val="es-419" w:eastAsia="en-US"/>
              </w:rPr>
            </w:pPr>
            <w:r w:rsidRPr="00FB3DE1">
              <w:rPr>
                <w:rFonts w:ascii="Arial" w:eastAsia="Times New Roman" w:hAnsi="Arial" w:cs="Arial"/>
                <w:color w:val="000000"/>
                <w:sz w:val="18"/>
                <w:szCs w:val="18"/>
                <w:lang w:val="es-PE" w:eastAsia="en-US"/>
              </w:rPr>
              <w:t xml:space="preserve">Secretaría del Trabajo y Previsión Social (STPS) de México e </w:t>
            </w:r>
            <w:r w:rsidRPr="00FB3DE1">
              <w:rPr>
                <w:rFonts w:ascii="Arial" w:eastAsia="Times New Roman" w:hAnsi="Arial" w:cs="Arial"/>
                <w:color w:val="000000"/>
                <w:sz w:val="18"/>
                <w:szCs w:val="18"/>
                <w:lang w:val="es-419" w:eastAsia="en-US"/>
              </w:rPr>
              <w:t>Instituto Mexicano del Seguro Social (IMSS</w:t>
            </w:r>
            <w:r w:rsidR="009D7E0E">
              <w:rPr>
                <w:rFonts w:ascii="Arial" w:eastAsia="Times New Roman" w:hAnsi="Arial" w:cs="Arial"/>
                <w:color w:val="000000"/>
                <w:sz w:val="18"/>
                <w:szCs w:val="18"/>
                <w:lang w:val="es-419" w:eastAsia="en-US"/>
              </w:rPr>
              <w:t>)</w:t>
            </w:r>
          </w:p>
        </w:tc>
      </w:tr>
      <w:tr w:rsidR="00FB3DE1" w:rsidRPr="006D660D" w14:paraId="2B51A769" w14:textId="77777777" w:rsidTr="00E702F6">
        <w:trPr>
          <w:trHeight w:val="233"/>
        </w:trPr>
        <w:tc>
          <w:tcPr>
            <w:tcW w:w="9370" w:type="dxa"/>
            <w:gridSpan w:val="5"/>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61523F42" w14:textId="77777777" w:rsidR="00FB3DE1" w:rsidRPr="006D660D" w:rsidRDefault="00FB3DE1" w:rsidP="00FB3DE1">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Parámetros fijos</w:t>
            </w:r>
          </w:p>
        </w:tc>
      </w:tr>
      <w:tr w:rsidR="00FB3DE1" w:rsidRPr="006D660D" w14:paraId="2478EA74" w14:textId="77777777" w:rsidTr="0028798D">
        <w:trPr>
          <w:trHeight w:val="465"/>
        </w:trPr>
        <w:tc>
          <w:tcPr>
            <w:tcW w:w="2330" w:type="dxa"/>
            <w:tcBorders>
              <w:top w:val="nil"/>
              <w:left w:val="single" w:sz="8" w:space="0" w:color="auto"/>
              <w:bottom w:val="single" w:sz="4" w:space="0" w:color="auto"/>
              <w:right w:val="single" w:sz="4" w:space="0" w:color="auto"/>
            </w:tcBorders>
            <w:shd w:val="clear" w:color="auto" w:fill="auto"/>
            <w:hideMark/>
          </w:tcPr>
          <w:p w14:paraId="76903837" w14:textId="3E08BA85" w:rsidR="00FB3DE1" w:rsidRPr="006D660D" w:rsidRDefault="00FB3DE1"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Horizonte temporal (años de supervivencia en alto riesgo </w:t>
            </w:r>
            <w:r>
              <w:rPr>
                <w:rFonts w:ascii="Arial" w:eastAsia="Times New Roman" w:hAnsi="Arial" w:cs="Arial"/>
                <w:color w:val="000000"/>
                <w:sz w:val="18"/>
                <w:szCs w:val="18"/>
                <w:lang w:val="es-419" w:eastAsia="en-US"/>
              </w:rPr>
              <w:t>consecuencia de</w:t>
            </w:r>
            <w:r w:rsidRPr="006D660D">
              <w:rPr>
                <w:rFonts w:ascii="Arial" w:eastAsia="Times New Roman" w:hAnsi="Arial" w:cs="Arial"/>
                <w:color w:val="000000"/>
                <w:sz w:val="18"/>
                <w:szCs w:val="18"/>
                <w:lang w:val="es-419" w:eastAsia="en-US"/>
              </w:rPr>
              <w:t xml:space="preserve"> la crisis)</w:t>
            </w:r>
          </w:p>
        </w:tc>
        <w:tc>
          <w:tcPr>
            <w:tcW w:w="1217" w:type="dxa"/>
            <w:tcBorders>
              <w:top w:val="nil"/>
              <w:left w:val="nil"/>
              <w:bottom w:val="single" w:sz="4" w:space="0" w:color="auto"/>
              <w:right w:val="single" w:sz="4" w:space="0" w:color="auto"/>
            </w:tcBorders>
            <w:shd w:val="clear" w:color="auto" w:fill="auto"/>
            <w:noWrap/>
            <w:hideMark/>
          </w:tcPr>
          <w:p w14:paraId="15C9845A" w14:textId="77777777"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3</w:t>
            </w:r>
          </w:p>
        </w:tc>
        <w:tc>
          <w:tcPr>
            <w:tcW w:w="1117" w:type="dxa"/>
            <w:tcBorders>
              <w:top w:val="nil"/>
              <w:left w:val="nil"/>
              <w:bottom w:val="single" w:sz="4" w:space="0" w:color="auto"/>
              <w:right w:val="single" w:sz="4" w:space="0" w:color="auto"/>
            </w:tcBorders>
            <w:shd w:val="clear" w:color="auto" w:fill="auto"/>
            <w:noWrap/>
            <w:hideMark/>
          </w:tcPr>
          <w:p w14:paraId="6EE73999" w14:textId="77777777"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3</w:t>
            </w:r>
          </w:p>
        </w:tc>
        <w:tc>
          <w:tcPr>
            <w:tcW w:w="2526" w:type="dxa"/>
            <w:tcBorders>
              <w:top w:val="nil"/>
              <w:left w:val="nil"/>
              <w:bottom w:val="single" w:sz="4" w:space="0" w:color="auto"/>
              <w:right w:val="single" w:sz="4" w:space="0" w:color="auto"/>
            </w:tcBorders>
            <w:shd w:val="clear" w:color="auto" w:fill="auto"/>
            <w:noWrap/>
            <w:vAlign w:val="center"/>
            <w:hideMark/>
          </w:tcPr>
          <w:p w14:paraId="379998AB"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177" w:type="dxa"/>
            <w:tcBorders>
              <w:top w:val="nil"/>
              <w:left w:val="nil"/>
              <w:bottom w:val="single" w:sz="4" w:space="0" w:color="auto"/>
              <w:right w:val="single" w:sz="8" w:space="0" w:color="auto"/>
            </w:tcBorders>
            <w:shd w:val="clear" w:color="auto" w:fill="auto"/>
            <w:noWrap/>
            <w:hideMark/>
          </w:tcPr>
          <w:p w14:paraId="1A82BC27" w14:textId="77777777" w:rsidR="00FB3DE1" w:rsidRPr="00FB3DE1" w:rsidRDefault="00FB3DE1" w:rsidP="0028798D">
            <w:pPr>
              <w:spacing w:after="0" w:line="240" w:lineRule="auto"/>
              <w:rPr>
                <w:rFonts w:ascii="Arial" w:eastAsia="Times New Roman" w:hAnsi="Arial" w:cs="Arial"/>
                <w:color w:val="000000"/>
                <w:sz w:val="18"/>
                <w:szCs w:val="18"/>
                <w:lang w:val="es-419" w:eastAsia="en-US"/>
              </w:rPr>
            </w:pPr>
            <w:r w:rsidRPr="00FB3DE1">
              <w:rPr>
                <w:rFonts w:ascii="Arial" w:eastAsia="Times New Roman" w:hAnsi="Arial" w:cs="Arial"/>
                <w:color w:val="000000"/>
                <w:sz w:val="18"/>
                <w:szCs w:val="18"/>
                <w:lang w:val="es-419" w:eastAsia="en-US"/>
              </w:rPr>
              <w:t xml:space="preserve">HIS </w:t>
            </w:r>
            <w:proofErr w:type="spellStart"/>
            <w:r w:rsidRPr="00FB3DE1">
              <w:rPr>
                <w:rFonts w:ascii="Arial" w:eastAsia="Times New Roman" w:hAnsi="Arial" w:cs="Arial"/>
                <w:color w:val="000000"/>
                <w:sz w:val="18"/>
                <w:szCs w:val="18"/>
                <w:lang w:val="es-419" w:eastAsia="en-US"/>
              </w:rPr>
              <w:t>Markit</w:t>
            </w:r>
            <w:proofErr w:type="spellEnd"/>
          </w:p>
        </w:tc>
      </w:tr>
      <w:tr w:rsidR="00FB3DE1" w:rsidRPr="006D660D" w14:paraId="0B2DF806" w14:textId="77777777" w:rsidTr="0028798D">
        <w:trPr>
          <w:trHeight w:hRule="exact" w:val="532"/>
        </w:trPr>
        <w:tc>
          <w:tcPr>
            <w:tcW w:w="2330" w:type="dxa"/>
            <w:tcBorders>
              <w:top w:val="nil"/>
              <w:left w:val="single" w:sz="8" w:space="0" w:color="auto"/>
              <w:bottom w:val="single" w:sz="4" w:space="0" w:color="auto"/>
              <w:right w:val="single" w:sz="4" w:space="0" w:color="auto"/>
            </w:tcBorders>
            <w:shd w:val="clear" w:color="auto" w:fill="auto"/>
            <w:noWrap/>
            <w:hideMark/>
          </w:tcPr>
          <w:p w14:paraId="4DC72627" w14:textId="77777777" w:rsidR="00FB3DE1" w:rsidRPr="006D660D" w:rsidRDefault="00FB3DE1"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Horizonte temporal general</w:t>
            </w:r>
          </w:p>
        </w:tc>
        <w:tc>
          <w:tcPr>
            <w:tcW w:w="1217" w:type="dxa"/>
            <w:tcBorders>
              <w:top w:val="nil"/>
              <w:left w:val="nil"/>
              <w:bottom w:val="single" w:sz="4" w:space="0" w:color="auto"/>
              <w:right w:val="single" w:sz="4" w:space="0" w:color="auto"/>
            </w:tcBorders>
            <w:shd w:val="clear" w:color="auto" w:fill="auto"/>
            <w:noWrap/>
            <w:hideMark/>
          </w:tcPr>
          <w:p w14:paraId="6C0F80FB" w14:textId="77777777"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10</w:t>
            </w:r>
          </w:p>
        </w:tc>
        <w:tc>
          <w:tcPr>
            <w:tcW w:w="1117" w:type="dxa"/>
            <w:tcBorders>
              <w:top w:val="nil"/>
              <w:left w:val="nil"/>
              <w:bottom w:val="single" w:sz="4" w:space="0" w:color="auto"/>
              <w:right w:val="single" w:sz="4" w:space="0" w:color="auto"/>
            </w:tcBorders>
            <w:shd w:val="clear" w:color="auto" w:fill="auto"/>
            <w:noWrap/>
            <w:hideMark/>
          </w:tcPr>
          <w:p w14:paraId="29D3FCB8" w14:textId="77777777"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10</w:t>
            </w:r>
          </w:p>
        </w:tc>
        <w:tc>
          <w:tcPr>
            <w:tcW w:w="2526" w:type="dxa"/>
            <w:tcBorders>
              <w:top w:val="nil"/>
              <w:left w:val="nil"/>
              <w:bottom w:val="single" w:sz="4" w:space="0" w:color="auto"/>
              <w:right w:val="single" w:sz="4" w:space="0" w:color="auto"/>
            </w:tcBorders>
            <w:shd w:val="clear" w:color="auto" w:fill="auto"/>
            <w:noWrap/>
            <w:vAlign w:val="center"/>
            <w:hideMark/>
          </w:tcPr>
          <w:p w14:paraId="4492E919"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177" w:type="dxa"/>
            <w:tcBorders>
              <w:top w:val="nil"/>
              <w:left w:val="nil"/>
              <w:bottom w:val="single" w:sz="4" w:space="0" w:color="auto"/>
              <w:right w:val="single" w:sz="8" w:space="0" w:color="auto"/>
            </w:tcBorders>
            <w:shd w:val="clear" w:color="auto" w:fill="auto"/>
            <w:noWrap/>
            <w:hideMark/>
          </w:tcPr>
          <w:p w14:paraId="53053E25" w14:textId="77777777" w:rsidR="00FB3DE1" w:rsidRPr="00FB3DE1" w:rsidRDefault="00FB3DE1" w:rsidP="0028798D">
            <w:pPr>
              <w:spacing w:after="0" w:line="240" w:lineRule="auto"/>
              <w:rPr>
                <w:rFonts w:ascii="Arial" w:eastAsia="Times New Roman" w:hAnsi="Arial" w:cs="Arial"/>
                <w:color w:val="000000"/>
                <w:sz w:val="18"/>
                <w:szCs w:val="18"/>
                <w:lang w:val="es-419" w:eastAsia="en-US"/>
              </w:rPr>
            </w:pPr>
            <w:r w:rsidRPr="00FB3DE1">
              <w:rPr>
                <w:rFonts w:ascii="Arial" w:eastAsia="Times New Roman" w:hAnsi="Arial" w:cs="Arial"/>
                <w:color w:val="000000"/>
                <w:sz w:val="18"/>
                <w:szCs w:val="18"/>
                <w:lang w:val="es-419" w:eastAsia="en-US"/>
              </w:rPr>
              <w:t>Ciclo de proyecto</w:t>
            </w:r>
          </w:p>
        </w:tc>
      </w:tr>
      <w:tr w:rsidR="00FB3DE1" w:rsidRPr="008579AE" w14:paraId="3110C1D2" w14:textId="77777777" w:rsidTr="00E702F6">
        <w:trPr>
          <w:trHeight w:val="233"/>
        </w:trPr>
        <w:tc>
          <w:tcPr>
            <w:tcW w:w="9370" w:type="dxa"/>
            <w:gridSpan w:val="5"/>
            <w:tcBorders>
              <w:top w:val="single" w:sz="4" w:space="0" w:color="auto"/>
              <w:left w:val="single" w:sz="8" w:space="0" w:color="auto"/>
              <w:bottom w:val="single" w:sz="4" w:space="0" w:color="auto"/>
              <w:right w:val="single" w:sz="8" w:space="0" w:color="000000"/>
            </w:tcBorders>
            <w:shd w:val="clear" w:color="000000" w:fill="D9D9D9"/>
            <w:noWrap/>
            <w:vAlign w:val="center"/>
            <w:hideMark/>
          </w:tcPr>
          <w:p w14:paraId="7D90A4D7" w14:textId="0854DB7C" w:rsidR="00FB3DE1" w:rsidRPr="006D660D" w:rsidRDefault="00FB3DE1" w:rsidP="00FB3DE1">
            <w:pPr>
              <w:spacing w:after="0" w:line="240" w:lineRule="auto"/>
              <w:jc w:val="center"/>
              <w:rPr>
                <w:rFonts w:ascii="Arial" w:eastAsia="Times New Roman" w:hAnsi="Arial" w:cs="Arial"/>
                <w:b/>
                <w:bCs/>
                <w:color w:val="000000"/>
                <w:sz w:val="18"/>
                <w:szCs w:val="18"/>
                <w:lang w:val="es-419" w:eastAsia="en-US"/>
              </w:rPr>
            </w:pPr>
            <w:r w:rsidRPr="006D660D">
              <w:rPr>
                <w:rFonts w:ascii="Arial" w:eastAsia="Times New Roman" w:hAnsi="Arial" w:cs="Arial"/>
                <w:b/>
                <w:bCs/>
                <w:color w:val="000000"/>
                <w:sz w:val="18"/>
                <w:szCs w:val="18"/>
                <w:lang w:val="es-419" w:eastAsia="en-US"/>
              </w:rPr>
              <w:t>Parámetros financieros de la operación</w:t>
            </w:r>
          </w:p>
        </w:tc>
      </w:tr>
      <w:tr w:rsidR="00FB3DE1" w:rsidRPr="00FB3DE1" w14:paraId="236E63B1" w14:textId="77777777" w:rsidTr="0028798D">
        <w:trPr>
          <w:trHeight w:hRule="exact" w:val="865"/>
        </w:trPr>
        <w:tc>
          <w:tcPr>
            <w:tcW w:w="2330" w:type="dxa"/>
            <w:tcBorders>
              <w:top w:val="nil"/>
              <w:left w:val="single" w:sz="8" w:space="0" w:color="auto"/>
              <w:bottom w:val="single" w:sz="4" w:space="0" w:color="auto"/>
              <w:right w:val="single" w:sz="4" w:space="0" w:color="auto"/>
            </w:tcBorders>
            <w:shd w:val="clear" w:color="auto" w:fill="auto"/>
            <w:noWrap/>
            <w:hideMark/>
          </w:tcPr>
          <w:p w14:paraId="6AE8568D" w14:textId="77777777" w:rsidR="00FB3DE1" w:rsidRPr="006D660D" w:rsidRDefault="00FB3DE1"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Monto del programa (USD)</w:t>
            </w:r>
          </w:p>
        </w:tc>
        <w:tc>
          <w:tcPr>
            <w:tcW w:w="1217" w:type="dxa"/>
            <w:tcBorders>
              <w:top w:val="nil"/>
              <w:left w:val="nil"/>
              <w:bottom w:val="single" w:sz="4" w:space="0" w:color="auto"/>
              <w:right w:val="single" w:sz="4" w:space="0" w:color="auto"/>
            </w:tcBorders>
            <w:shd w:val="clear" w:color="auto" w:fill="auto"/>
            <w:noWrap/>
            <w:hideMark/>
          </w:tcPr>
          <w:p w14:paraId="6E4D4114" w14:textId="3AE7BFB5"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100,000,000</w:t>
            </w:r>
          </w:p>
        </w:tc>
        <w:tc>
          <w:tcPr>
            <w:tcW w:w="1117" w:type="dxa"/>
            <w:tcBorders>
              <w:top w:val="nil"/>
              <w:left w:val="nil"/>
              <w:bottom w:val="single" w:sz="4" w:space="0" w:color="auto"/>
              <w:right w:val="single" w:sz="4" w:space="0" w:color="auto"/>
            </w:tcBorders>
            <w:shd w:val="clear" w:color="auto" w:fill="auto"/>
            <w:noWrap/>
            <w:vAlign w:val="center"/>
            <w:hideMark/>
          </w:tcPr>
          <w:p w14:paraId="24C67ECC"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526" w:type="dxa"/>
            <w:tcBorders>
              <w:top w:val="nil"/>
              <w:left w:val="nil"/>
              <w:bottom w:val="single" w:sz="4" w:space="0" w:color="auto"/>
              <w:right w:val="single" w:sz="4" w:space="0" w:color="auto"/>
            </w:tcBorders>
            <w:shd w:val="clear" w:color="auto" w:fill="auto"/>
            <w:noWrap/>
            <w:vAlign w:val="center"/>
            <w:hideMark/>
          </w:tcPr>
          <w:p w14:paraId="6DFB2C8D" w14:textId="5880849F"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 </w:t>
            </w:r>
          </w:p>
        </w:tc>
        <w:tc>
          <w:tcPr>
            <w:tcW w:w="2177" w:type="dxa"/>
            <w:tcBorders>
              <w:top w:val="nil"/>
              <w:left w:val="nil"/>
              <w:bottom w:val="single" w:sz="4" w:space="0" w:color="auto"/>
              <w:right w:val="single" w:sz="8" w:space="0" w:color="auto"/>
            </w:tcBorders>
            <w:shd w:val="clear" w:color="auto" w:fill="auto"/>
            <w:noWrap/>
            <w:hideMark/>
          </w:tcPr>
          <w:p w14:paraId="57E91242" w14:textId="31D00695" w:rsidR="00FB3DE1" w:rsidRPr="00FB3DE1" w:rsidRDefault="00FB3DE1" w:rsidP="0028798D">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 xml:space="preserve">Acuerdo con </w:t>
            </w:r>
            <w:r w:rsidR="0096759A">
              <w:rPr>
                <w:rFonts w:ascii="Arial" w:eastAsia="Times New Roman" w:hAnsi="Arial" w:cs="Arial"/>
                <w:color w:val="000000"/>
                <w:sz w:val="18"/>
                <w:szCs w:val="18"/>
                <w:lang w:val="es-419" w:eastAsia="en-US"/>
              </w:rPr>
              <w:t>FIRA</w:t>
            </w:r>
          </w:p>
        </w:tc>
      </w:tr>
      <w:tr w:rsidR="00FB3DE1" w:rsidRPr="008579AE" w14:paraId="4C623092" w14:textId="77777777" w:rsidTr="0028798D">
        <w:trPr>
          <w:trHeight w:hRule="exact" w:val="1342"/>
        </w:trPr>
        <w:tc>
          <w:tcPr>
            <w:tcW w:w="2330" w:type="dxa"/>
            <w:tcBorders>
              <w:top w:val="nil"/>
              <w:left w:val="single" w:sz="8" w:space="0" w:color="auto"/>
              <w:bottom w:val="single" w:sz="4" w:space="0" w:color="auto"/>
              <w:right w:val="single" w:sz="4" w:space="0" w:color="auto"/>
            </w:tcBorders>
            <w:shd w:val="clear" w:color="auto" w:fill="auto"/>
            <w:noWrap/>
            <w:hideMark/>
          </w:tcPr>
          <w:p w14:paraId="35C69EBF" w14:textId="3A34FB6A" w:rsidR="00FB3DE1" w:rsidRPr="006D660D" w:rsidRDefault="00FB3DE1"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Crédito promedio</w:t>
            </w:r>
            <w:r w:rsidR="002E53F4">
              <w:rPr>
                <w:rFonts w:ascii="Arial" w:eastAsia="Times New Roman" w:hAnsi="Arial" w:cs="Arial"/>
                <w:color w:val="000000"/>
                <w:sz w:val="18"/>
                <w:szCs w:val="18"/>
                <w:lang w:val="es-419" w:eastAsia="en-US"/>
              </w:rPr>
              <w:t xml:space="preserve"> </w:t>
            </w:r>
            <w:r w:rsidR="0096759A">
              <w:rPr>
                <w:rFonts w:ascii="Arial" w:eastAsia="Times New Roman" w:hAnsi="Arial" w:cs="Arial"/>
                <w:color w:val="000000"/>
                <w:sz w:val="18"/>
                <w:szCs w:val="18"/>
                <w:lang w:val="es-419" w:eastAsia="en-US"/>
              </w:rPr>
              <w:t xml:space="preserve">(USD) </w:t>
            </w:r>
          </w:p>
        </w:tc>
        <w:tc>
          <w:tcPr>
            <w:tcW w:w="1217" w:type="dxa"/>
            <w:tcBorders>
              <w:top w:val="nil"/>
              <w:left w:val="nil"/>
              <w:bottom w:val="single" w:sz="4" w:space="0" w:color="auto"/>
              <w:right w:val="single" w:sz="4" w:space="0" w:color="auto"/>
            </w:tcBorders>
            <w:shd w:val="clear" w:color="auto" w:fill="auto"/>
            <w:noWrap/>
            <w:hideMark/>
          </w:tcPr>
          <w:p w14:paraId="1FC4E539" w14:textId="67B25446" w:rsidR="00FB3DE1" w:rsidRPr="006D660D" w:rsidRDefault="0096759A"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85,000</w:t>
            </w:r>
          </w:p>
        </w:tc>
        <w:tc>
          <w:tcPr>
            <w:tcW w:w="1117" w:type="dxa"/>
            <w:tcBorders>
              <w:top w:val="nil"/>
              <w:left w:val="nil"/>
              <w:bottom w:val="single" w:sz="4" w:space="0" w:color="auto"/>
              <w:right w:val="single" w:sz="4" w:space="0" w:color="auto"/>
            </w:tcBorders>
            <w:shd w:val="clear" w:color="auto" w:fill="auto"/>
            <w:noWrap/>
            <w:vAlign w:val="center"/>
            <w:hideMark/>
          </w:tcPr>
          <w:p w14:paraId="5F9A7B65"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526" w:type="dxa"/>
            <w:tcBorders>
              <w:top w:val="nil"/>
              <w:left w:val="nil"/>
              <w:bottom w:val="single" w:sz="4" w:space="0" w:color="auto"/>
              <w:right w:val="single" w:sz="4" w:space="0" w:color="auto"/>
            </w:tcBorders>
            <w:shd w:val="clear" w:color="auto" w:fill="auto"/>
            <w:noWrap/>
            <w:vAlign w:val="center"/>
            <w:hideMark/>
          </w:tcPr>
          <w:p w14:paraId="447CBAAA" w14:textId="3AD564E2" w:rsidR="00FB3DE1" w:rsidRPr="006D660D" w:rsidRDefault="00FB3DE1" w:rsidP="0028798D">
            <w:pPr>
              <w:spacing w:after="0" w:line="240" w:lineRule="auto"/>
              <w:jc w:val="both"/>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El valor corresponde al cambio a dólares de un valor de crédito de $2 millones de pesos</w:t>
            </w:r>
            <w:r w:rsidR="0096759A">
              <w:rPr>
                <w:rFonts w:ascii="Arial" w:eastAsia="Times New Roman" w:hAnsi="Arial" w:cs="Arial"/>
                <w:color w:val="000000"/>
                <w:sz w:val="18"/>
                <w:szCs w:val="18"/>
                <w:lang w:val="es-419" w:eastAsia="en-US"/>
              </w:rPr>
              <w:t>, utilizando la tasa de corto plazo de 23.5 MXN/USD</w:t>
            </w:r>
          </w:p>
        </w:tc>
        <w:tc>
          <w:tcPr>
            <w:tcW w:w="2177" w:type="dxa"/>
            <w:tcBorders>
              <w:top w:val="nil"/>
              <w:left w:val="nil"/>
              <w:bottom w:val="single" w:sz="4" w:space="0" w:color="auto"/>
              <w:right w:val="single" w:sz="8" w:space="0" w:color="auto"/>
            </w:tcBorders>
            <w:shd w:val="clear" w:color="auto" w:fill="auto"/>
            <w:noWrap/>
            <w:hideMark/>
          </w:tcPr>
          <w:p w14:paraId="0011F7F5" w14:textId="16BE5462" w:rsidR="00FB3DE1" w:rsidRPr="00FB3DE1" w:rsidRDefault="00FB3DE1" w:rsidP="0028798D">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Revisión de la cartera existente en FIRA para el sector objetivo</w:t>
            </w:r>
          </w:p>
        </w:tc>
      </w:tr>
      <w:tr w:rsidR="00FB3DE1" w:rsidRPr="008579AE" w14:paraId="66523A8C" w14:textId="77777777" w:rsidTr="0028798D">
        <w:trPr>
          <w:trHeight w:hRule="exact" w:val="838"/>
        </w:trPr>
        <w:tc>
          <w:tcPr>
            <w:tcW w:w="2330" w:type="dxa"/>
            <w:tcBorders>
              <w:top w:val="nil"/>
              <w:left w:val="single" w:sz="8" w:space="0" w:color="auto"/>
              <w:bottom w:val="single" w:sz="4" w:space="0" w:color="auto"/>
              <w:right w:val="single" w:sz="4" w:space="0" w:color="auto"/>
            </w:tcBorders>
            <w:shd w:val="clear" w:color="auto" w:fill="auto"/>
            <w:hideMark/>
          </w:tcPr>
          <w:p w14:paraId="3375F700" w14:textId="77777777" w:rsidR="00FB3DE1" w:rsidRPr="006D660D" w:rsidRDefault="00FB3DE1"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Número total de beneficiarios</w:t>
            </w:r>
          </w:p>
        </w:tc>
        <w:tc>
          <w:tcPr>
            <w:tcW w:w="1217" w:type="dxa"/>
            <w:tcBorders>
              <w:top w:val="nil"/>
              <w:left w:val="nil"/>
              <w:bottom w:val="single" w:sz="4" w:space="0" w:color="auto"/>
              <w:right w:val="single" w:sz="4" w:space="0" w:color="auto"/>
            </w:tcBorders>
            <w:shd w:val="clear" w:color="auto" w:fill="auto"/>
            <w:noWrap/>
            <w:hideMark/>
          </w:tcPr>
          <w:p w14:paraId="4F918F38" w14:textId="3F57F33F"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1,</w:t>
            </w:r>
            <w:r w:rsidR="0096759A">
              <w:rPr>
                <w:rFonts w:ascii="Arial" w:eastAsia="Times New Roman" w:hAnsi="Arial" w:cs="Arial"/>
                <w:color w:val="000000"/>
                <w:sz w:val="18"/>
                <w:szCs w:val="18"/>
                <w:lang w:val="es-419" w:eastAsia="en-US"/>
              </w:rPr>
              <w:t>176</w:t>
            </w:r>
          </w:p>
        </w:tc>
        <w:tc>
          <w:tcPr>
            <w:tcW w:w="1117" w:type="dxa"/>
            <w:tcBorders>
              <w:top w:val="nil"/>
              <w:left w:val="nil"/>
              <w:bottom w:val="single" w:sz="4" w:space="0" w:color="auto"/>
              <w:right w:val="single" w:sz="4" w:space="0" w:color="auto"/>
            </w:tcBorders>
            <w:shd w:val="clear" w:color="auto" w:fill="auto"/>
            <w:noWrap/>
            <w:vAlign w:val="center"/>
            <w:hideMark/>
          </w:tcPr>
          <w:p w14:paraId="1E30377B"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526" w:type="dxa"/>
            <w:tcBorders>
              <w:top w:val="nil"/>
              <w:left w:val="nil"/>
              <w:bottom w:val="single" w:sz="4" w:space="0" w:color="auto"/>
              <w:right w:val="single" w:sz="4" w:space="0" w:color="auto"/>
            </w:tcBorders>
            <w:shd w:val="clear" w:color="auto" w:fill="auto"/>
            <w:noWrap/>
            <w:vAlign w:val="center"/>
            <w:hideMark/>
          </w:tcPr>
          <w:p w14:paraId="3ACD1EE2" w14:textId="00C23B13" w:rsidR="00FB3DE1" w:rsidRPr="006D660D" w:rsidRDefault="009D7E0E" w:rsidP="0028798D">
            <w:pPr>
              <w:spacing w:after="0" w:line="240" w:lineRule="auto"/>
              <w:jc w:val="both"/>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A partir del monto total del programa y el crédito promedio esperado</w:t>
            </w:r>
          </w:p>
        </w:tc>
        <w:tc>
          <w:tcPr>
            <w:tcW w:w="2177" w:type="dxa"/>
            <w:tcBorders>
              <w:top w:val="nil"/>
              <w:left w:val="nil"/>
              <w:bottom w:val="single" w:sz="4" w:space="0" w:color="auto"/>
              <w:right w:val="single" w:sz="8" w:space="0" w:color="auto"/>
            </w:tcBorders>
            <w:shd w:val="clear" w:color="auto" w:fill="auto"/>
            <w:noWrap/>
          </w:tcPr>
          <w:p w14:paraId="6A269C97" w14:textId="105999BE" w:rsidR="00FB3DE1" w:rsidRPr="00FB3DE1" w:rsidRDefault="00FB3DE1" w:rsidP="0028798D">
            <w:pPr>
              <w:spacing w:after="0" w:line="240" w:lineRule="auto"/>
              <w:rPr>
                <w:rFonts w:ascii="Arial" w:eastAsia="Times New Roman" w:hAnsi="Arial" w:cs="Arial"/>
                <w:color w:val="000000"/>
                <w:sz w:val="18"/>
                <w:szCs w:val="18"/>
                <w:lang w:val="es-419" w:eastAsia="en-US"/>
              </w:rPr>
            </w:pPr>
          </w:p>
        </w:tc>
      </w:tr>
      <w:tr w:rsidR="00FB3DE1" w:rsidRPr="00FB3DE1" w14:paraId="4AD6F90A" w14:textId="77777777" w:rsidTr="0028798D">
        <w:trPr>
          <w:trHeight w:val="233"/>
        </w:trPr>
        <w:tc>
          <w:tcPr>
            <w:tcW w:w="2330" w:type="dxa"/>
            <w:tcBorders>
              <w:top w:val="nil"/>
              <w:left w:val="single" w:sz="8" w:space="0" w:color="auto"/>
              <w:bottom w:val="single" w:sz="4" w:space="0" w:color="auto"/>
              <w:right w:val="single" w:sz="4" w:space="0" w:color="auto"/>
            </w:tcBorders>
            <w:shd w:val="clear" w:color="auto" w:fill="auto"/>
            <w:hideMark/>
          </w:tcPr>
          <w:p w14:paraId="7B9D0A10" w14:textId="586BC7B8" w:rsidR="00FB3DE1" w:rsidRPr="006D660D" w:rsidRDefault="00FB3DE1" w:rsidP="0028798D">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Tipo de Cambio (M</w:t>
            </w:r>
            <w:r>
              <w:rPr>
                <w:rFonts w:ascii="Arial" w:eastAsia="Times New Roman" w:hAnsi="Arial" w:cs="Arial"/>
                <w:color w:val="000000"/>
                <w:sz w:val="18"/>
                <w:szCs w:val="18"/>
                <w:lang w:val="es-419" w:eastAsia="en-US"/>
              </w:rPr>
              <w:t>XN</w:t>
            </w:r>
            <w:r w:rsidRPr="006D660D">
              <w:rPr>
                <w:rFonts w:ascii="Arial" w:eastAsia="Times New Roman" w:hAnsi="Arial" w:cs="Arial"/>
                <w:color w:val="000000"/>
                <w:sz w:val="18"/>
                <w:szCs w:val="18"/>
                <w:lang w:val="es-419" w:eastAsia="en-US"/>
              </w:rPr>
              <w:t>/USD)</w:t>
            </w:r>
          </w:p>
        </w:tc>
        <w:tc>
          <w:tcPr>
            <w:tcW w:w="1217" w:type="dxa"/>
            <w:tcBorders>
              <w:top w:val="nil"/>
              <w:left w:val="nil"/>
              <w:bottom w:val="single" w:sz="4" w:space="0" w:color="auto"/>
              <w:right w:val="single" w:sz="4" w:space="0" w:color="auto"/>
            </w:tcBorders>
            <w:shd w:val="clear" w:color="auto" w:fill="auto"/>
            <w:noWrap/>
          </w:tcPr>
          <w:p w14:paraId="5297F5A8" w14:textId="51915647"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21</w:t>
            </w:r>
          </w:p>
        </w:tc>
        <w:tc>
          <w:tcPr>
            <w:tcW w:w="1117" w:type="dxa"/>
            <w:tcBorders>
              <w:top w:val="nil"/>
              <w:left w:val="nil"/>
              <w:bottom w:val="single" w:sz="4" w:space="0" w:color="auto"/>
              <w:right w:val="single" w:sz="4" w:space="0" w:color="auto"/>
            </w:tcBorders>
            <w:shd w:val="clear" w:color="auto" w:fill="auto"/>
            <w:noWrap/>
            <w:vAlign w:val="center"/>
            <w:hideMark/>
          </w:tcPr>
          <w:p w14:paraId="2AB812F6"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526" w:type="dxa"/>
            <w:tcBorders>
              <w:top w:val="nil"/>
              <w:left w:val="nil"/>
              <w:bottom w:val="single" w:sz="4" w:space="0" w:color="auto"/>
              <w:right w:val="single" w:sz="4" w:space="0" w:color="auto"/>
            </w:tcBorders>
            <w:shd w:val="clear" w:color="auto" w:fill="auto"/>
            <w:noWrap/>
            <w:vAlign w:val="center"/>
            <w:hideMark/>
          </w:tcPr>
          <w:p w14:paraId="72BC348A" w14:textId="038C5AC4" w:rsidR="00FB3DE1" w:rsidRPr="006D660D" w:rsidRDefault="00FB3DE1" w:rsidP="0028798D">
            <w:pPr>
              <w:spacing w:after="0" w:line="240" w:lineRule="auto"/>
              <w:jc w:val="both"/>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Promedio de proyecciones anuales para el periodo 2020-2024</w:t>
            </w:r>
            <w:r w:rsidR="0096759A">
              <w:rPr>
                <w:rFonts w:ascii="Arial" w:eastAsia="Times New Roman" w:hAnsi="Arial" w:cs="Arial"/>
                <w:color w:val="000000"/>
                <w:sz w:val="18"/>
                <w:szCs w:val="18"/>
                <w:lang w:val="es-419" w:eastAsia="en-US"/>
              </w:rPr>
              <w:t>. Se aplica para el horizonte del análisis</w:t>
            </w:r>
          </w:p>
        </w:tc>
        <w:tc>
          <w:tcPr>
            <w:tcW w:w="2177" w:type="dxa"/>
            <w:tcBorders>
              <w:top w:val="nil"/>
              <w:left w:val="nil"/>
              <w:bottom w:val="single" w:sz="4" w:space="0" w:color="auto"/>
              <w:right w:val="single" w:sz="8" w:space="0" w:color="auto"/>
            </w:tcBorders>
            <w:shd w:val="clear" w:color="auto" w:fill="auto"/>
            <w:noWrap/>
            <w:hideMark/>
          </w:tcPr>
          <w:p w14:paraId="393895C8" w14:textId="39D9B270" w:rsidR="00FB3DE1" w:rsidRPr="009D7E0E" w:rsidRDefault="00FB3DE1" w:rsidP="0028798D">
            <w:pPr>
              <w:spacing w:after="0" w:line="240" w:lineRule="auto"/>
              <w:rPr>
                <w:rFonts w:ascii="Arial" w:eastAsia="Times New Roman" w:hAnsi="Arial" w:cs="Arial"/>
                <w:i/>
                <w:iCs/>
                <w:color w:val="000000"/>
                <w:sz w:val="18"/>
                <w:szCs w:val="18"/>
                <w:lang w:val="es-419" w:eastAsia="en-US"/>
              </w:rPr>
            </w:pPr>
            <w:r w:rsidRPr="009D7E0E">
              <w:rPr>
                <w:rFonts w:ascii="Arial" w:eastAsia="Times New Roman" w:hAnsi="Arial" w:cs="Arial"/>
                <w:i/>
                <w:iCs/>
                <w:color w:val="000000"/>
                <w:sz w:val="18"/>
                <w:szCs w:val="18"/>
                <w:lang w:val="es-419" w:eastAsia="en-US"/>
              </w:rPr>
              <w:t xml:space="preserve">Oxford </w:t>
            </w:r>
            <w:proofErr w:type="spellStart"/>
            <w:r w:rsidRPr="009D7E0E">
              <w:rPr>
                <w:rFonts w:ascii="Arial" w:eastAsia="Times New Roman" w:hAnsi="Arial" w:cs="Arial"/>
                <w:i/>
                <w:iCs/>
                <w:color w:val="000000"/>
                <w:sz w:val="18"/>
                <w:szCs w:val="18"/>
                <w:lang w:val="es-419" w:eastAsia="en-US"/>
              </w:rPr>
              <w:t>Economics</w:t>
            </w:r>
            <w:proofErr w:type="spellEnd"/>
          </w:p>
        </w:tc>
      </w:tr>
      <w:tr w:rsidR="00FB3DE1" w:rsidRPr="006D660D" w14:paraId="07ECCA71" w14:textId="77777777" w:rsidTr="0028798D">
        <w:trPr>
          <w:trHeight w:val="240"/>
        </w:trPr>
        <w:tc>
          <w:tcPr>
            <w:tcW w:w="2330" w:type="dxa"/>
            <w:tcBorders>
              <w:top w:val="nil"/>
              <w:left w:val="single" w:sz="8" w:space="0" w:color="auto"/>
              <w:bottom w:val="single" w:sz="8" w:space="0" w:color="auto"/>
              <w:right w:val="single" w:sz="4" w:space="0" w:color="auto"/>
            </w:tcBorders>
            <w:shd w:val="clear" w:color="auto" w:fill="auto"/>
            <w:vAlign w:val="center"/>
            <w:hideMark/>
          </w:tcPr>
          <w:p w14:paraId="57BACAB2"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xml:space="preserve">Tasa de descuento VPN </w:t>
            </w:r>
          </w:p>
        </w:tc>
        <w:tc>
          <w:tcPr>
            <w:tcW w:w="1217" w:type="dxa"/>
            <w:tcBorders>
              <w:top w:val="nil"/>
              <w:left w:val="nil"/>
              <w:bottom w:val="single" w:sz="8" w:space="0" w:color="auto"/>
              <w:right w:val="single" w:sz="4" w:space="0" w:color="auto"/>
            </w:tcBorders>
            <w:shd w:val="clear" w:color="auto" w:fill="auto"/>
            <w:noWrap/>
            <w:hideMark/>
          </w:tcPr>
          <w:p w14:paraId="33FEEFB2" w14:textId="77777777" w:rsidR="00FB3DE1" w:rsidRPr="006D660D" w:rsidRDefault="00FB3DE1" w:rsidP="0028798D">
            <w:pPr>
              <w:spacing w:after="0" w:line="240" w:lineRule="auto"/>
              <w:jc w:val="center"/>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12%</w:t>
            </w:r>
          </w:p>
        </w:tc>
        <w:tc>
          <w:tcPr>
            <w:tcW w:w="1117" w:type="dxa"/>
            <w:tcBorders>
              <w:top w:val="nil"/>
              <w:left w:val="nil"/>
              <w:bottom w:val="single" w:sz="8" w:space="0" w:color="auto"/>
              <w:right w:val="single" w:sz="4" w:space="0" w:color="auto"/>
            </w:tcBorders>
            <w:shd w:val="clear" w:color="auto" w:fill="auto"/>
            <w:noWrap/>
            <w:vAlign w:val="center"/>
            <w:hideMark/>
          </w:tcPr>
          <w:p w14:paraId="563E621E"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526" w:type="dxa"/>
            <w:tcBorders>
              <w:top w:val="nil"/>
              <w:left w:val="nil"/>
              <w:bottom w:val="single" w:sz="8" w:space="0" w:color="auto"/>
              <w:right w:val="single" w:sz="4" w:space="0" w:color="auto"/>
            </w:tcBorders>
            <w:shd w:val="clear" w:color="auto" w:fill="auto"/>
            <w:noWrap/>
            <w:vAlign w:val="center"/>
            <w:hideMark/>
          </w:tcPr>
          <w:p w14:paraId="32470CAA" w14:textId="77777777" w:rsidR="00FB3DE1" w:rsidRPr="006D660D" w:rsidRDefault="00FB3DE1" w:rsidP="00FB3DE1">
            <w:pPr>
              <w:spacing w:after="0" w:line="240" w:lineRule="auto"/>
              <w:rPr>
                <w:rFonts w:ascii="Arial" w:eastAsia="Times New Roman" w:hAnsi="Arial" w:cs="Arial"/>
                <w:color w:val="000000"/>
                <w:sz w:val="18"/>
                <w:szCs w:val="18"/>
                <w:lang w:val="es-419" w:eastAsia="en-US"/>
              </w:rPr>
            </w:pPr>
            <w:r w:rsidRPr="006D660D">
              <w:rPr>
                <w:rFonts w:ascii="Arial" w:eastAsia="Times New Roman" w:hAnsi="Arial" w:cs="Arial"/>
                <w:color w:val="000000"/>
                <w:sz w:val="18"/>
                <w:szCs w:val="18"/>
                <w:lang w:val="es-419" w:eastAsia="en-US"/>
              </w:rPr>
              <w:t> </w:t>
            </w:r>
          </w:p>
        </w:tc>
        <w:tc>
          <w:tcPr>
            <w:tcW w:w="2177" w:type="dxa"/>
            <w:tcBorders>
              <w:top w:val="nil"/>
              <w:left w:val="nil"/>
              <w:bottom w:val="single" w:sz="8" w:space="0" w:color="auto"/>
              <w:right w:val="single" w:sz="8" w:space="0" w:color="auto"/>
            </w:tcBorders>
            <w:shd w:val="clear" w:color="auto" w:fill="auto"/>
            <w:noWrap/>
            <w:vAlign w:val="center"/>
            <w:hideMark/>
          </w:tcPr>
          <w:p w14:paraId="6ABDA195" w14:textId="6F9F4F4C" w:rsidR="00FB3DE1" w:rsidRPr="00FB3DE1" w:rsidRDefault="009D7E0E" w:rsidP="00FB3DE1">
            <w:pPr>
              <w:spacing w:after="0" w:line="240" w:lineRule="auto"/>
              <w:rPr>
                <w:rFonts w:ascii="Arial" w:eastAsia="Times New Roman" w:hAnsi="Arial" w:cs="Arial"/>
                <w:color w:val="000000"/>
                <w:sz w:val="18"/>
                <w:szCs w:val="18"/>
                <w:lang w:val="es-419" w:eastAsia="en-US"/>
              </w:rPr>
            </w:pPr>
            <w:r>
              <w:rPr>
                <w:rFonts w:ascii="Arial" w:eastAsia="Times New Roman" w:hAnsi="Arial" w:cs="Arial"/>
                <w:color w:val="000000"/>
                <w:sz w:val="18"/>
                <w:szCs w:val="18"/>
                <w:lang w:val="es-419" w:eastAsia="en-US"/>
              </w:rPr>
              <w:t>BID</w:t>
            </w:r>
          </w:p>
        </w:tc>
      </w:tr>
    </w:tbl>
    <w:p w14:paraId="60D76385" w14:textId="77777777" w:rsidR="0028798D" w:rsidRDefault="0028798D" w:rsidP="0028798D">
      <w:pPr>
        <w:pStyle w:val="Chapter"/>
        <w:numPr>
          <w:ilvl w:val="0"/>
          <w:numId w:val="0"/>
        </w:numPr>
        <w:tabs>
          <w:tab w:val="clear" w:pos="1440"/>
          <w:tab w:val="left" w:pos="90"/>
        </w:tabs>
        <w:ind w:left="540"/>
        <w:rPr>
          <w:rFonts w:ascii="Arial" w:hAnsi="Arial" w:cs="Arial"/>
          <w:sz w:val="22"/>
          <w:szCs w:val="22"/>
          <w:lang w:val="es-ES_tradnl"/>
        </w:rPr>
      </w:pPr>
      <w:bookmarkStart w:id="17" w:name="_Toc38625754"/>
    </w:p>
    <w:p w14:paraId="3F5D8201" w14:textId="77777777" w:rsidR="0028798D" w:rsidRDefault="0028798D">
      <w:pPr>
        <w:spacing w:after="160" w:line="259" w:lineRule="auto"/>
        <w:rPr>
          <w:rFonts w:ascii="Arial" w:eastAsia="Times New Roman" w:hAnsi="Arial" w:cs="Arial"/>
          <w:b/>
          <w:smallCaps/>
          <w:lang w:val="es-ES_tradnl"/>
        </w:rPr>
      </w:pPr>
      <w:r>
        <w:rPr>
          <w:rFonts w:ascii="Arial" w:hAnsi="Arial" w:cs="Arial"/>
          <w:lang w:val="es-ES_tradnl"/>
        </w:rPr>
        <w:br w:type="page"/>
      </w:r>
    </w:p>
    <w:p w14:paraId="1168BD13" w14:textId="4211C91F" w:rsidR="00244B7E" w:rsidRPr="0028798D" w:rsidRDefault="00244B7E" w:rsidP="000F0F47">
      <w:pPr>
        <w:pStyle w:val="Chapter"/>
        <w:tabs>
          <w:tab w:val="clear" w:pos="1440"/>
          <w:tab w:val="left" w:pos="90"/>
        </w:tabs>
        <w:ind w:left="540" w:hanging="540"/>
        <w:rPr>
          <w:rFonts w:ascii="Arial" w:hAnsi="Arial" w:cs="Arial"/>
          <w:szCs w:val="24"/>
          <w:lang w:val="es-ES_tradnl"/>
        </w:rPr>
      </w:pPr>
      <w:r w:rsidRPr="0028798D">
        <w:rPr>
          <w:rFonts w:ascii="Arial" w:hAnsi="Arial" w:cs="Arial"/>
          <w:szCs w:val="24"/>
          <w:lang w:val="es-ES_tradnl"/>
        </w:rPr>
        <w:lastRenderedPageBreak/>
        <w:t>Valoración del Beneficio Económico</w:t>
      </w:r>
      <w:bookmarkEnd w:id="17"/>
    </w:p>
    <w:p w14:paraId="6692428D" w14:textId="77777777" w:rsidR="00DA469C" w:rsidRPr="00DA469C" w:rsidRDefault="00DA469C" w:rsidP="00BF7FD8">
      <w:pPr>
        <w:pStyle w:val="ListParagraph"/>
        <w:numPr>
          <w:ilvl w:val="0"/>
          <w:numId w:val="3"/>
        </w:numPr>
        <w:spacing w:before="360" w:after="200" w:line="276" w:lineRule="auto"/>
        <w:contextualSpacing w:val="0"/>
        <w:jc w:val="both"/>
        <w:rPr>
          <w:rFonts w:ascii="Arial" w:hAnsi="Arial" w:cs="Arial"/>
          <w:b/>
          <w:vanish/>
          <w:sz w:val="22"/>
          <w:szCs w:val="22"/>
          <w:lang w:val="es-MX"/>
        </w:rPr>
      </w:pPr>
      <w:bookmarkStart w:id="18" w:name="_Hlk36319663"/>
    </w:p>
    <w:p w14:paraId="09AA100B" w14:textId="7E8F9D4B" w:rsidR="00DA469C" w:rsidRPr="001B6A32" w:rsidRDefault="00DA469C" w:rsidP="00BF7FD8">
      <w:pPr>
        <w:pStyle w:val="ListParagraph"/>
        <w:numPr>
          <w:ilvl w:val="0"/>
          <w:numId w:val="5"/>
        </w:numPr>
        <w:ind w:left="630" w:hanging="630"/>
        <w:jc w:val="both"/>
        <w:rPr>
          <w:rFonts w:ascii="Arial" w:hAnsi="Arial" w:cs="Arial"/>
          <w:sz w:val="22"/>
          <w:szCs w:val="22"/>
          <w:lang w:val="es-MX"/>
        </w:rPr>
      </w:pPr>
      <w:r w:rsidRPr="001B6A32">
        <w:rPr>
          <w:rFonts w:ascii="Arial" w:hAnsi="Arial" w:cs="Arial"/>
          <w:b/>
          <w:sz w:val="22"/>
          <w:szCs w:val="22"/>
          <w:lang w:val="es-MX"/>
        </w:rPr>
        <w:t>Cálculo de Beneficios.</w:t>
      </w:r>
      <w:r w:rsidRPr="001B6A32">
        <w:rPr>
          <w:rFonts w:ascii="Arial" w:hAnsi="Arial" w:cs="Arial"/>
          <w:sz w:val="22"/>
          <w:szCs w:val="22"/>
          <w:lang w:val="es-MX"/>
        </w:rPr>
        <w:t xml:space="preserve"> Para el cálculo de beneficios se procede de la siguiente manera:</w:t>
      </w:r>
    </w:p>
    <w:p w14:paraId="5C363B87" w14:textId="336708B2" w:rsidR="00DA469C" w:rsidRPr="001B6A32" w:rsidRDefault="00DA469C" w:rsidP="0076625D">
      <w:pPr>
        <w:pStyle w:val="ListParagraph"/>
        <w:numPr>
          <w:ilvl w:val="3"/>
          <w:numId w:val="3"/>
        </w:numPr>
        <w:spacing w:after="200"/>
        <w:ind w:left="1260" w:hanging="540"/>
        <w:contextualSpacing w:val="0"/>
        <w:jc w:val="both"/>
        <w:rPr>
          <w:rFonts w:ascii="Arial" w:hAnsi="Arial" w:cs="Arial"/>
          <w:sz w:val="22"/>
          <w:szCs w:val="22"/>
          <w:lang w:val="es-MX"/>
        </w:rPr>
      </w:pPr>
      <w:r w:rsidRPr="001B6A32">
        <w:rPr>
          <w:rFonts w:ascii="Arial" w:hAnsi="Arial" w:cs="Arial"/>
          <w:sz w:val="22"/>
          <w:szCs w:val="22"/>
          <w:lang w:val="es-MX"/>
        </w:rPr>
        <w:t>Para los beneficios derivados de las diferencias en ingresos de las firmas se calcula en primer lugar el número de firmas activas en cada año del análisis. Para esto se aplica la probabilidad de supervivencia para cada año consistente con los supuestos desarrollados en la sección anterior para los escenarios con y sin programa. Una vez determinado el número de firmas activas en cada año, se procede a calcular el valor de los ingresos por ventas para estas. Para el escenario sin programa se calcula el nivel de ingresos por firma multiplicando el nivel de ingresos inicial por la correspondiente tasa de decrecimiento asumida para cada año. Una vez calculado el ingreso por firma para cada año, se multiplica por el número de firmas activas en el escenario correspondiente con el fin de obtener el valor agregado. Para el caso de la situación con programa se emplea la tasa de decrecimiento de las ventas que ya incorpora el impacto esperado del programa y se multiplica por el número esperado de firmas por año en el escenario con intervención. Finalmente, los beneficios corresponderán a la diferencia de ingresos agregados por año entre los dos escenarios.</w:t>
      </w:r>
    </w:p>
    <w:p w14:paraId="27969977" w14:textId="1616F647" w:rsidR="00DA469C" w:rsidRPr="007F7403" w:rsidRDefault="00DA469C" w:rsidP="0076625D">
      <w:pPr>
        <w:pStyle w:val="ListParagraph"/>
        <w:numPr>
          <w:ilvl w:val="3"/>
          <w:numId w:val="3"/>
        </w:numPr>
        <w:spacing w:after="200"/>
        <w:ind w:left="1260" w:hanging="540"/>
        <w:contextualSpacing w:val="0"/>
        <w:jc w:val="both"/>
        <w:rPr>
          <w:rFonts w:ascii="Arial" w:hAnsi="Arial" w:cs="Arial"/>
          <w:sz w:val="22"/>
          <w:szCs w:val="22"/>
          <w:lang w:val="es-MX"/>
        </w:rPr>
      </w:pPr>
      <w:r w:rsidRPr="001B6A32">
        <w:rPr>
          <w:rFonts w:ascii="Arial" w:hAnsi="Arial" w:cs="Arial"/>
          <w:sz w:val="22"/>
          <w:szCs w:val="22"/>
          <w:lang w:val="es-MX"/>
        </w:rPr>
        <w:t>Para los beneficios asociados</w:t>
      </w:r>
      <w:r>
        <w:rPr>
          <w:rFonts w:ascii="Arial" w:hAnsi="Arial" w:cs="Arial"/>
          <w:sz w:val="22"/>
          <w:szCs w:val="22"/>
          <w:lang w:val="es-MX"/>
        </w:rPr>
        <w:t xml:space="preserve"> a la prevención de la pérdida de empleos, se multiplica el número de firmas que sobreviven gracias al programa (calculado en base a la diferencia de tasas de supervivencias asumidas para el escenario </w:t>
      </w:r>
      <w:r w:rsidR="00793879">
        <w:rPr>
          <w:rFonts w:ascii="Arial" w:hAnsi="Arial" w:cs="Arial"/>
          <w:sz w:val="22"/>
          <w:szCs w:val="22"/>
          <w:lang w:val="es-MX"/>
        </w:rPr>
        <w:t>con y</w:t>
      </w:r>
      <w:r>
        <w:rPr>
          <w:rFonts w:ascii="Arial" w:hAnsi="Arial" w:cs="Arial"/>
          <w:sz w:val="22"/>
          <w:szCs w:val="22"/>
          <w:lang w:val="es-MX"/>
        </w:rPr>
        <w:t xml:space="preserve"> sin programa) por el valor del ingreso de los trabajadores. Este último se calcula tras multiplicar el número de trabajadores promedio por el valor promedio del salario asumido (ver párrafo</w:t>
      </w:r>
      <w:r w:rsidR="008654B6">
        <w:rPr>
          <w:rFonts w:ascii="Arial" w:hAnsi="Arial" w:cs="Arial"/>
          <w:sz w:val="22"/>
          <w:szCs w:val="22"/>
          <w:lang w:val="es-MX"/>
        </w:rPr>
        <w:t xml:space="preserve"> </w:t>
      </w:r>
      <w:r w:rsidR="008654B6">
        <w:rPr>
          <w:rFonts w:ascii="Arial" w:hAnsi="Arial" w:cs="Arial"/>
          <w:sz w:val="22"/>
          <w:szCs w:val="22"/>
          <w:lang w:val="es-MX"/>
        </w:rPr>
        <w:fldChar w:fldCharType="begin"/>
      </w:r>
      <w:r w:rsidR="008654B6">
        <w:rPr>
          <w:rFonts w:ascii="Arial" w:hAnsi="Arial" w:cs="Arial"/>
          <w:sz w:val="22"/>
          <w:szCs w:val="22"/>
          <w:lang w:val="es-MX"/>
        </w:rPr>
        <w:instrText xml:space="preserve"> REF _Ref36386632 \r \h </w:instrText>
      </w:r>
      <w:r w:rsidR="0076625D">
        <w:rPr>
          <w:rFonts w:ascii="Arial" w:hAnsi="Arial" w:cs="Arial"/>
          <w:sz w:val="22"/>
          <w:szCs w:val="22"/>
          <w:lang w:val="es-MX"/>
        </w:rPr>
        <w:instrText xml:space="preserve"> \* MERGEFORMAT </w:instrText>
      </w:r>
      <w:r w:rsidR="008654B6">
        <w:rPr>
          <w:rFonts w:ascii="Arial" w:hAnsi="Arial" w:cs="Arial"/>
          <w:sz w:val="22"/>
          <w:szCs w:val="22"/>
          <w:lang w:val="es-MX"/>
        </w:rPr>
      </w:r>
      <w:r w:rsidR="008654B6">
        <w:rPr>
          <w:rFonts w:ascii="Arial" w:hAnsi="Arial" w:cs="Arial"/>
          <w:sz w:val="22"/>
          <w:szCs w:val="22"/>
          <w:lang w:val="es-MX"/>
        </w:rPr>
        <w:fldChar w:fldCharType="separate"/>
      </w:r>
      <w:r w:rsidR="008654B6">
        <w:rPr>
          <w:rFonts w:ascii="Arial" w:hAnsi="Arial" w:cs="Arial"/>
          <w:sz w:val="22"/>
          <w:szCs w:val="22"/>
          <w:lang w:val="es-MX"/>
        </w:rPr>
        <w:t>2.18</w:t>
      </w:r>
      <w:r w:rsidR="008654B6">
        <w:rPr>
          <w:rFonts w:ascii="Arial" w:hAnsi="Arial" w:cs="Arial"/>
          <w:sz w:val="22"/>
          <w:szCs w:val="22"/>
          <w:lang w:val="es-MX"/>
        </w:rPr>
        <w:fldChar w:fldCharType="end"/>
      </w:r>
      <w:r>
        <w:rPr>
          <w:rFonts w:ascii="Arial" w:hAnsi="Arial" w:cs="Arial"/>
          <w:sz w:val="22"/>
          <w:szCs w:val="22"/>
          <w:lang w:val="es-MX"/>
        </w:rPr>
        <w:t xml:space="preserve">).  [Finalmente, al escenario sin proyecto se le adiciona el valor de la compensación de ingresos [en caso aplique] a los trabajadores que perdieron su empleo. </w:t>
      </w:r>
      <w:r w:rsidR="00876DB7" w:rsidRPr="00876DB7">
        <w:rPr>
          <w:rFonts w:ascii="Arial" w:hAnsi="Arial" w:cs="Arial"/>
          <w:sz w:val="22"/>
          <w:szCs w:val="22"/>
          <w:lang w:val="es-MX"/>
        </w:rPr>
        <w:t>Esto se calcula multiplicando el ingreso promedio de los trabajadores</w:t>
      </w:r>
      <w:r w:rsidR="00876DB7">
        <w:rPr>
          <w:rFonts w:ascii="Arial" w:hAnsi="Arial" w:cs="Arial"/>
          <w:sz w:val="22"/>
          <w:szCs w:val="22"/>
          <w:lang w:val="es-MX"/>
        </w:rPr>
        <w:t xml:space="preserve"> por firma</w:t>
      </w:r>
      <w:r w:rsidR="00876DB7" w:rsidRPr="00876DB7">
        <w:rPr>
          <w:rFonts w:ascii="Arial" w:hAnsi="Arial" w:cs="Arial"/>
          <w:sz w:val="22"/>
          <w:szCs w:val="22"/>
          <w:lang w:val="es-MX"/>
        </w:rPr>
        <w:t xml:space="preserve"> por el parámetro de compensación asumido en el párrafo 2.18, y multiplicado por el diferencial entre el número de firmas que cierran con y sin programa.</w:t>
      </w:r>
      <w:r>
        <w:rPr>
          <w:rFonts w:ascii="Arial" w:hAnsi="Arial" w:cs="Arial"/>
          <w:sz w:val="22"/>
          <w:szCs w:val="22"/>
          <w:lang w:val="es-MX"/>
        </w:rPr>
        <w:t xml:space="preserve"> </w:t>
      </w:r>
      <w:r w:rsidR="0092617A">
        <w:rPr>
          <w:rFonts w:ascii="Arial" w:hAnsi="Arial" w:cs="Arial"/>
          <w:sz w:val="22"/>
          <w:szCs w:val="22"/>
          <w:lang w:val="es-MX"/>
        </w:rPr>
        <w:t xml:space="preserve">El valor anual de este beneficio se multiplicará por uno menos la tasa de reinserción asumida para cada año (ver párrafo </w:t>
      </w:r>
      <w:r w:rsidR="0092617A">
        <w:rPr>
          <w:rFonts w:ascii="Arial" w:hAnsi="Arial" w:cs="Arial"/>
          <w:sz w:val="22"/>
          <w:szCs w:val="22"/>
          <w:lang w:val="es-MX"/>
        </w:rPr>
        <w:fldChar w:fldCharType="begin"/>
      </w:r>
      <w:r w:rsidR="0092617A">
        <w:rPr>
          <w:rFonts w:ascii="Arial" w:hAnsi="Arial" w:cs="Arial"/>
          <w:sz w:val="22"/>
          <w:szCs w:val="22"/>
          <w:lang w:val="es-MX"/>
        </w:rPr>
        <w:instrText xml:space="preserve"> REF _Ref36386457 \r \h </w:instrText>
      </w:r>
      <w:r w:rsidR="0076625D">
        <w:rPr>
          <w:rFonts w:ascii="Arial" w:hAnsi="Arial" w:cs="Arial"/>
          <w:sz w:val="22"/>
          <w:szCs w:val="22"/>
          <w:lang w:val="es-MX"/>
        </w:rPr>
        <w:instrText xml:space="preserve"> \* MERGEFORMAT </w:instrText>
      </w:r>
      <w:r w:rsidR="0092617A">
        <w:rPr>
          <w:rFonts w:ascii="Arial" w:hAnsi="Arial" w:cs="Arial"/>
          <w:sz w:val="22"/>
          <w:szCs w:val="22"/>
          <w:lang w:val="es-MX"/>
        </w:rPr>
      </w:r>
      <w:r w:rsidR="0092617A">
        <w:rPr>
          <w:rFonts w:ascii="Arial" w:hAnsi="Arial" w:cs="Arial"/>
          <w:sz w:val="22"/>
          <w:szCs w:val="22"/>
          <w:lang w:val="es-MX"/>
        </w:rPr>
        <w:fldChar w:fldCharType="separate"/>
      </w:r>
      <w:r w:rsidR="00C46B38">
        <w:rPr>
          <w:rFonts w:ascii="Arial" w:hAnsi="Arial" w:cs="Arial"/>
          <w:sz w:val="22"/>
          <w:szCs w:val="22"/>
          <w:lang w:val="es-MX"/>
        </w:rPr>
        <w:t>2.19</w:t>
      </w:r>
      <w:r w:rsidR="0092617A">
        <w:rPr>
          <w:rFonts w:ascii="Arial" w:hAnsi="Arial" w:cs="Arial"/>
          <w:sz w:val="22"/>
          <w:szCs w:val="22"/>
          <w:lang w:val="es-MX"/>
        </w:rPr>
        <w:fldChar w:fldCharType="end"/>
      </w:r>
      <w:r w:rsidR="0092617A">
        <w:rPr>
          <w:rFonts w:ascii="Arial" w:hAnsi="Arial" w:cs="Arial"/>
          <w:sz w:val="22"/>
          <w:szCs w:val="22"/>
          <w:lang w:val="es-MX"/>
        </w:rPr>
        <w:t>).</w:t>
      </w:r>
    </w:p>
    <w:p w14:paraId="578A2187" w14:textId="7B1B5936" w:rsidR="00DA469C" w:rsidRDefault="00DA469C" w:rsidP="00BF7FD8">
      <w:pPr>
        <w:pStyle w:val="ListParagraph"/>
        <w:numPr>
          <w:ilvl w:val="0"/>
          <w:numId w:val="5"/>
        </w:numPr>
        <w:ind w:left="630" w:hanging="630"/>
        <w:jc w:val="both"/>
        <w:rPr>
          <w:rFonts w:ascii="Arial" w:hAnsi="Arial" w:cs="Arial"/>
          <w:sz w:val="22"/>
          <w:szCs w:val="22"/>
          <w:lang w:val="es-MX"/>
        </w:rPr>
      </w:pPr>
      <w:r w:rsidRPr="00CD490E">
        <w:rPr>
          <w:rFonts w:ascii="Arial" w:hAnsi="Arial" w:cs="Arial"/>
          <w:b/>
          <w:sz w:val="22"/>
          <w:szCs w:val="22"/>
          <w:lang w:val="es-MX"/>
        </w:rPr>
        <w:t>Cálculo de Costos</w:t>
      </w:r>
      <w:r w:rsidRPr="00CD490E">
        <w:rPr>
          <w:rFonts w:ascii="Arial" w:hAnsi="Arial" w:cs="Arial"/>
          <w:sz w:val="22"/>
          <w:szCs w:val="22"/>
          <w:lang w:val="es-MX"/>
        </w:rPr>
        <w:t>.</w:t>
      </w:r>
      <w:r>
        <w:rPr>
          <w:rFonts w:ascii="Arial" w:hAnsi="Arial" w:cs="Arial"/>
          <w:sz w:val="22"/>
          <w:szCs w:val="22"/>
          <w:lang w:val="es-MX"/>
        </w:rPr>
        <w:t xml:space="preserve"> Los costos corresponden al valor agregado de la inversión del programa.</w:t>
      </w:r>
    </w:p>
    <w:p w14:paraId="633A59DC" w14:textId="77777777" w:rsidR="001B6A32" w:rsidRPr="00CD490E" w:rsidRDefault="001B6A32" w:rsidP="001B6A32">
      <w:pPr>
        <w:pStyle w:val="ListParagraph"/>
        <w:jc w:val="both"/>
        <w:rPr>
          <w:rFonts w:ascii="Arial" w:hAnsi="Arial" w:cs="Arial"/>
          <w:sz w:val="22"/>
          <w:szCs w:val="22"/>
          <w:lang w:val="es-MX"/>
        </w:rPr>
      </w:pPr>
    </w:p>
    <w:p w14:paraId="693513D4" w14:textId="756BC84C" w:rsidR="00DA469C" w:rsidRDefault="00DA469C" w:rsidP="00BF7FD8">
      <w:pPr>
        <w:pStyle w:val="ListParagraph"/>
        <w:numPr>
          <w:ilvl w:val="0"/>
          <w:numId w:val="5"/>
        </w:numPr>
        <w:ind w:left="630" w:hanging="630"/>
        <w:jc w:val="both"/>
        <w:rPr>
          <w:rFonts w:ascii="Arial" w:hAnsi="Arial" w:cs="Arial"/>
          <w:sz w:val="22"/>
          <w:szCs w:val="22"/>
          <w:lang w:val="es-MX"/>
        </w:rPr>
      </w:pPr>
      <w:bookmarkStart w:id="19" w:name="_Ref36315437"/>
      <w:r w:rsidRPr="00CD490E">
        <w:rPr>
          <w:rFonts w:ascii="Arial" w:hAnsi="Arial" w:cs="Arial"/>
          <w:b/>
          <w:sz w:val="22"/>
          <w:szCs w:val="22"/>
          <w:lang w:val="es-MX"/>
        </w:rPr>
        <w:t>Cálculo de Beneficios Netos</w:t>
      </w:r>
      <w:r w:rsidRPr="00CD490E">
        <w:rPr>
          <w:rFonts w:ascii="Arial" w:hAnsi="Arial" w:cs="Arial"/>
          <w:sz w:val="22"/>
          <w:szCs w:val="22"/>
          <w:lang w:val="es-MX"/>
        </w:rPr>
        <w:t xml:space="preserve">. </w:t>
      </w:r>
      <w:r>
        <w:rPr>
          <w:rFonts w:ascii="Arial" w:hAnsi="Arial" w:cs="Arial"/>
          <w:sz w:val="22"/>
          <w:szCs w:val="22"/>
          <w:lang w:val="es-MX"/>
        </w:rPr>
        <w:t xml:space="preserve">Los beneficios netos del programa </w:t>
      </w:r>
      <w:r w:rsidR="00434B99">
        <w:rPr>
          <w:rFonts w:ascii="Arial" w:hAnsi="Arial" w:cs="Arial"/>
          <w:sz w:val="22"/>
          <w:szCs w:val="22"/>
          <w:lang w:val="es-MX"/>
        </w:rPr>
        <w:t xml:space="preserve">en cada año </w:t>
      </w:r>
      <w:r>
        <w:rPr>
          <w:rFonts w:ascii="Arial" w:hAnsi="Arial" w:cs="Arial"/>
          <w:sz w:val="22"/>
          <w:szCs w:val="22"/>
          <w:lang w:val="es-MX"/>
        </w:rPr>
        <w:t>se calculan restando la diferencia de beneficios totales entre el escenario con y sin programa menos la diferencia de costos entre ambos escenarios.</w:t>
      </w:r>
      <w:bookmarkEnd w:id="19"/>
      <w:r w:rsidRPr="00CD490E">
        <w:rPr>
          <w:rFonts w:ascii="Arial" w:hAnsi="Arial" w:cs="Arial"/>
          <w:sz w:val="22"/>
          <w:szCs w:val="22"/>
          <w:lang w:val="es-MX"/>
        </w:rPr>
        <w:t xml:space="preserve"> </w:t>
      </w:r>
      <w:r>
        <w:rPr>
          <w:rFonts w:ascii="Arial" w:hAnsi="Arial" w:cs="Arial"/>
          <w:sz w:val="22"/>
          <w:szCs w:val="22"/>
          <w:lang w:val="es-MX"/>
        </w:rPr>
        <w:t>Los resultados de estas estimaci</w:t>
      </w:r>
      <w:r w:rsidR="00845C11">
        <w:rPr>
          <w:rFonts w:ascii="Arial" w:hAnsi="Arial" w:cs="Arial"/>
          <w:sz w:val="22"/>
          <w:szCs w:val="22"/>
          <w:lang w:val="es-MX"/>
        </w:rPr>
        <w:t>ones</w:t>
      </w:r>
      <w:r>
        <w:rPr>
          <w:rFonts w:ascii="Arial" w:hAnsi="Arial" w:cs="Arial"/>
          <w:sz w:val="22"/>
          <w:szCs w:val="22"/>
          <w:lang w:val="es-MX"/>
        </w:rPr>
        <w:t xml:space="preserve"> pueden observarse en la Tabla </w:t>
      </w:r>
      <w:r w:rsidR="005A6EBB">
        <w:rPr>
          <w:rFonts w:ascii="Arial" w:hAnsi="Arial" w:cs="Arial"/>
          <w:sz w:val="22"/>
          <w:szCs w:val="22"/>
          <w:lang w:val="es-MX"/>
        </w:rPr>
        <w:t>3</w:t>
      </w:r>
      <w:r w:rsidR="00A50DC4">
        <w:rPr>
          <w:rFonts w:ascii="Arial" w:hAnsi="Arial" w:cs="Arial"/>
          <w:sz w:val="22"/>
          <w:szCs w:val="22"/>
          <w:lang w:val="es-MX"/>
        </w:rPr>
        <w:t>.1</w:t>
      </w:r>
      <w:r>
        <w:rPr>
          <w:rFonts w:ascii="Arial" w:hAnsi="Arial" w:cs="Arial"/>
          <w:sz w:val="22"/>
          <w:szCs w:val="22"/>
          <w:lang w:val="es-MX"/>
        </w:rPr>
        <w:t>.</w:t>
      </w:r>
    </w:p>
    <w:p w14:paraId="6B4A7AD3" w14:textId="77777777" w:rsidR="001B6A32" w:rsidRPr="001B6A32" w:rsidRDefault="001B6A32" w:rsidP="001B6A32">
      <w:pPr>
        <w:pStyle w:val="ListParagraph"/>
        <w:rPr>
          <w:rFonts w:ascii="Arial" w:hAnsi="Arial" w:cs="Arial"/>
          <w:sz w:val="22"/>
          <w:szCs w:val="22"/>
          <w:lang w:val="es-MX"/>
        </w:rPr>
      </w:pPr>
    </w:p>
    <w:p w14:paraId="34469969" w14:textId="7171591A" w:rsidR="00DA469C" w:rsidRDefault="00DA469C" w:rsidP="00BF7FD8">
      <w:pPr>
        <w:pStyle w:val="ListParagraph"/>
        <w:numPr>
          <w:ilvl w:val="0"/>
          <w:numId w:val="5"/>
        </w:numPr>
        <w:ind w:left="630" w:hanging="630"/>
        <w:jc w:val="both"/>
        <w:rPr>
          <w:rFonts w:ascii="Arial" w:hAnsi="Arial" w:cs="Arial"/>
          <w:sz w:val="22"/>
          <w:szCs w:val="22"/>
          <w:lang w:val="es-MX"/>
        </w:rPr>
      </w:pPr>
      <w:r w:rsidRPr="001B6A32">
        <w:rPr>
          <w:rFonts w:ascii="Arial" w:hAnsi="Arial" w:cs="Arial"/>
          <w:b/>
          <w:sz w:val="22"/>
          <w:szCs w:val="22"/>
          <w:lang w:val="es-MX"/>
        </w:rPr>
        <w:t>Valor Presente Neto del Programa</w:t>
      </w:r>
      <w:r w:rsidRPr="001B6A32">
        <w:rPr>
          <w:rFonts w:ascii="Arial" w:hAnsi="Arial" w:cs="Arial"/>
          <w:sz w:val="22"/>
          <w:szCs w:val="22"/>
          <w:lang w:val="es-MX"/>
        </w:rPr>
        <w:t xml:space="preserve">. El </w:t>
      </w:r>
      <w:r w:rsidR="000B3F45">
        <w:rPr>
          <w:rFonts w:ascii="Arial" w:hAnsi="Arial" w:cs="Arial"/>
          <w:sz w:val="22"/>
          <w:szCs w:val="22"/>
          <w:lang w:val="es-MX"/>
        </w:rPr>
        <w:t>V</w:t>
      </w:r>
      <w:r w:rsidRPr="001B6A32">
        <w:rPr>
          <w:rFonts w:ascii="Arial" w:hAnsi="Arial" w:cs="Arial"/>
          <w:sz w:val="22"/>
          <w:szCs w:val="22"/>
          <w:lang w:val="es-MX"/>
        </w:rPr>
        <w:t xml:space="preserve">alor </w:t>
      </w:r>
      <w:r w:rsidR="000B3F45">
        <w:rPr>
          <w:rFonts w:ascii="Arial" w:hAnsi="Arial" w:cs="Arial"/>
          <w:sz w:val="22"/>
          <w:szCs w:val="22"/>
          <w:lang w:val="es-MX"/>
        </w:rPr>
        <w:t>P</w:t>
      </w:r>
      <w:r w:rsidRPr="001B6A32">
        <w:rPr>
          <w:rFonts w:ascii="Arial" w:hAnsi="Arial" w:cs="Arial"/>
          <w:sz w:val="22"/>
          <w:szCs w:val="22"/>
          <w:lang w:val="es-MX"/>
        </w:rPr>
        <w:t xml:space="preserve">resente </w:t>
      </w:r>
      <w:r w:rsidR="000B3F45">
        <w:rPr>
          <w:rFonts w:ascii="Arial" w:hAnsi="Arial" w:cs="Arial"/>
          <w:sz w:val="22"/>
          <w:szCs w:val="22"/>
          <w:lang w:val="es-MX"/>
        </w:rPr>
        <w:t>N</w:t>
      </w:r>
      <w:r w:rsidRPr="001B6A32">
        <w:rPr>
          <w:rFonts w:ascii="Arial" w:hAnsi="Arial" w:cs="Arial"/>
          <w:sz w:val="22"/>
          <w:szCs w:val="22"/>
          <w:lang w:val="es-MX"/>
        </w:rPr>
        <w:t>eto (VPN)</w:t>
      </w:r>
      <w:r w:rsidR="000B3F45">
        <w:rPr>
          <w:rFonts w:ascii="Arial" w:hAnsi="Arial" w:cs="Arial"/>
          <w:sz w:val="22"/>
          <w:szCs w:val="22"/>
          <w:lang w:val="es-MX"/>
        </w:rPr>
        <w:t xml:space="preserve"> </w:t>
      </w:r>
      <w:r w:rsidR="000B3F45" w:rsidRPr="001B6A32">
        <w:rPr>
          <w:rFonts w:ascii="Arial" w:hAnsi="Arial" w:cs="Arial"/>
          <w:sz w:val="22"/>
          <w:szCs w:val="22"/>
          <w:lang w:val="es-MX"/>
        </w:rPr>
        <w:t>del programa</w:t>
      </w:r>
      <w:r w:rsidRPr="001B6A32">
        <w:rPr>
          <w:rFonts w:ascii="Arial" w:hAnsi="Arial" w:cs="Arial"/>
          <w:sz w:val="22"/>
          <w:szCs w:val="22"/>
          <w:lang w:val="es-MX"/>
        </w:rPr>
        <w:t xml:space="preserve"> se calcula descontando los flujos de beneficios netos calculados en el párrafo </w:t>
      </w:r>
      <w:r w:rsidRPr="001B6A32">
        <w:rPr>
          <w:rFonts w:ascii="Arial" w:hAnsi="Arial" w:cs="Arial"/>
          <w:sz w:val="22"/>
          <w:szCs w:val="22"/>
          <w:lang w:val="es-MX"/>
        </w:rPr>
        <w:fldChar w:fldCharType="begin"/>
      </w:r>
      <w:r w:rsidRPr="001B6A32">
        <w:rPr>
          <w:rFonts w:ascii="Arial" w:hAnsi="Arial" w:cs="Arial"/>
          <w:sz w:val="22"/>
          <w:szCs w:val="22"/>
          <w:lang w:val="es-MX"/>
        </w:rPr>
        <w:instrText xml:space="preserve"> REF _Ref36315437 \r \h </w:instrText>
      </w:r>
      <w:r w:rsidRPr="001B6A32">
        <w:rPr>
          <w:rFonts w:ascii="Arial" w:hAnsi="Arial" w:cs="Arial"/>
          <w:sz w:val="22"/>
          <w:szCs w:val="22"/>
          <w:lang w:val="es-MX"/>
        </w:rPr>
      </w:r>
      <w:r w:rsidRPr="001B6A32">
        <w:rPr>
          <w:rFonts w:ascii="Arial" w:hAnsi="Arial" w:cs="Arial"/>
          <w:sz w:val="22"/>
          <w:szCs w:val="22"/>
          <w:lang w:val="es-MX"/>
        </w:rPr>
        <w:fldChar w:fldCharType="separate"/>
      </w:r>
      <w:r w:rsidR="00C46B38" w:rsidRPr="001B6A32">
        <w:rPr>
          <w:rFonts w:ascii="Arial" w:hAnsi="Arial" w:cs="Arial"/>
          <w:sz w:val="22"/>
          <w:szCs w:val="22"/>
          <w:lang w:val="es-MX"/>
        </w:rPr>
        <w:t>3.3</w:t>
      </w:r>
      <w:r w:rsidRPr="001B6A32">
        <w:rPr>
          <w:rFonts w:ascii="Arial" w:hAnsi="Arial" w:cs="Arial"/>
          <w:sz w:val="22"/>
          <w:szCs w:val="22"/>
          <w:lang w:val="es-MX"/>
        </w:rPr>
        <w:fldChar w:fldCharType="end"/>
      </w:r>
      <w:r w:rsidR="001B6A32">
        <w:rPr>
          <w:rFonts w:ascii="Arial" w:hAnsi="Arial" w:cs="Arial"/>
          <w:sz w:val="22"/>
          <w:szCs w:val="22"/>
          <w:lang w:val="es-MX"/>
        </w:rPr>
        <w:t> </w:t>
      </w:r>
      <w:r w:rsidRPr="001B6A32">
        <w:rPr>
          <w:rFonts w:ascii="Arial" w:hAnsi="Arial" w:cs="Arial"/>
          <w:sz w:val="22"/>
          <w:szCs w:val="22"/>
          <w:lang w:val="es-MX"/>
        </w:rPr>
        <w:t>a la tasa de descuento estándar para proyectos del BID</w:t>
      </w:r>
      <w:r w:rsidR="00A50DC4" w:rsidRPr="001B6A32">
        <w:rPr>
          <w:rFonts w:ascii="Arial" w:hAnsi="Arial" w:cs="Arial"/>
          <w:sz w:val="22"/>
          <w:szCs w:val="22"/>
          <w:lang w:val="es-MX"/>
        </w:rPr>
        <w:t>,</w:t>
      </w:r>
      <w:r w:rsidRPr="001B6A32">
        <w:rPr>
          <w:rFonts w:ascii="Arial" w:hAnsi="Arial" w:cs="Arial"/>
          <w:sz w:val="22"/>
          <w:szCs w:val="22"/>
          <w:lang w:val="es-MX"/>
        </w:rPr>
        <w:t xml:space="preserve"> igual a 12%. Los resultados indican un VPN igual a US</w:t>
      </w:r>
      <w:r w:rsidR="000B3F45">
        <w:rPr>
          <w:rFonts w:ascii="Arial" w:hAnsi="Arial" w:cs="Arial"/>
          <w:sz w:val="22"/>
          <w:szCs w:val="22"/>
          <w:lang w:val="es-MX"/>
        </w:rPr>
        <w:t>$</w:t>
      </w:r>
      <w:r w:rsidR="0096759A" w:rsidRPr="001B6A32">
        <w:rPr>
          <w:rFonts w:ascii="Arial" w:hAnsi="Arial" w:cs="Arial"/>
          <w:sz w:val="22"/>
          <w:szCs w:val="22"/>
          <w:lang w:val="es-MX"/>
        </w:rPr>
        <w:t>150</w:t>
      </w:r>
      <w:r w:rsidR="00AD7ABF" w:rsidRPr="001B6A32">
        <w:rPr>
          <w:rFonts w:ascii="Arial" w:hAnsi="Arial" w:cs="Arial"/>
          <w:sz w:val="22"/>
          <w:szCs w:val="22"/>
          <w:lang w:val="es-MX"/>
        </w:rPr>
        <w:t>.</w:t>
      </w:r>
      <w:r w:rsidR="0096759A" w:rsidRPr="001B6A32">
        <w:rPr>
          <w:rFonts w:ascii="Arial" w:hAnsi="Arial" w:cs="Arial"/>
          <w:sz w:val="22"/>
          <w:szCs w:val="22"/>
          <w:lang w:val="es-MX"/>
        </w:rPr>
        <w:t>4</w:t>
      </w:r>
      <w:r w:rsidR="00AD7ABF" w:rsidRPr="001B6A32">
        <w:rPr>
          <w:rFonts w:ascii="Arial" w:hAnsi="Arial" w:cs="Arial"/>
          <w:sz w:val="22"/>
          <w:szCs w:val="22"/>
          <w:lang w:val="es-MX"/>
        </w:rPr>
        <w:t xml:space="preserve"> millones</w:t>
      </w:r>
      <w:r w:rsidRPr="001B6A32">
        <w:rPr>
          <w:rFonts w:ascii="Arial" w:hAnsi="Arial" w:cs="Arial"/>
          <w:sz w:val="22"/>
          <w:szCs w:val="22"/>
          <w:lang w:val="es-MX"/>
        </w:rPr>
        <w:t xml:space="preserve">. (Ver Tabla </w:t>
      </w:r>
      <w:r w:rsidR="005A6EBB">
        <w:rPr>
          <w:rFonts w:ascii="Arial" w:hAnsi="Arial" w:cs="Arial"/>
          <w:sz w:val="22"/>
          <w:szCs w:val="22"/>
          <w:lang w:val="es-MX"/>
        </w:rPr>
        <w:t>3</w:t>
      </w:r>
      <w:r w:rsidR="00A50DC4" w:rsidRPr="001B6A32">
        <w:rPr>
          <w:rFonts w:ascii="Arial" w:hAnsi="Arial" w:cs="Arial"/>
          <w:sz w:val="22"/>
          <w:szCs w:val="22"/>
          <w:lang w:val="es-MX"/>
        </w:rPr>
        <w:t>.1</w:t>
      </w:r>
      <w:r w:rsidRPr="001B6A32">
        <w:rPr>
          <w:rFonts w:ascii="Arial" w:hAnsi="Arial" w:cs="Arial"/>
          <w:sz w:val="22"/>
          <w:szCs w:val="22"/>
          <w:lang w:val="es-MX"/>
        </w:rPr>
        <w:t>).</w:t>
      </w:r>
    </w:p>
    <w:p w14:paraId="670C07F1" w14:textId="77777777" w:rsidR="000B3F45" w:rsidRPr="000B3F45" w:rsidRDefault="000B3F45" w:rsidP="000B3F45">
      <w:pPr>
        <w:pStyle w:val="ListParagraph"/>
        <w:rPr>
          <w:rFonts w:ascii="Arial" w:hAnsi="Arial" w:cs="Arial"/>
          <w:sz w:val="22"/>
          <w:szCs w:val="22"/>
          <w:lang w:val="es-MX"/>
        </w:rPr>
      </w:pPr>
    </w:p>
    <w:p w14:paraId="1378327B" w14:textId="0D340A91" w:rsidR="00DA469C" w:rsidRPr="001B6A32" w:rsidRDefault="00DA469C" w:rsidP="00BF7FD8">
      <w:pPr>
        <w:pStyle w:val="ListParagraph"/>
        <w:numPr>
          <w:ilvl w:val="0"/>
          <w:numId w:val="5"/>
        </w:numPr>
        <w:ind w:left="630" w:hanging="630"/>
        <w:jc w:val="both"/>
        <w:rPr>
          <w:rFonts w:ascii="Arial" w:hAnsi="Arial" w:cs="Arial"/>
          <w:b/>
          <w:sz w:val="22"/>
          <w:szCs w:val="22"/>
          <w:u w:val="single"/>
          <w:lang w:val="es-PE"/>
        </w:rPr>
      </w:pPr>
      <w:r w:rsidRPr="00E554F5">
        <w:rPr>
          <w:rFonts w:ascii="Arial" w:hAnsi="Arial" w:cs="Arial"/>
          <w:b/>
          <w:sz w:val="22"/>
          <w:szCs w:val="22"/>
          <w:lang w:val="es-MX"/>
        </w:rPr>
        <w:t xml:space="preserve">Tasa </w:t>
      </w:r>
      <w:r w:rsidR="000B3F45">
        <w:rPr>
          <w:rFonts w:ascii="Arial" w:hAnsi="Arial" w:cs="Arial"/>
          <w:b/>
          <w:sz w:val="22"/>
          <w:szCs w:val="22"/>
          <w:lang w:val="es-MX"/>
        </w:rPr>
        <w:t>I</w:t>
      </w:r>
      <w:r w:rsidRPr="00E554F5">
        <w:rPr>
          <w:rFonts w:ascii="Arial" w:hAnsi="Arial" w:cs="Arial"/>
          <w:b/>
          <w:sz w:val="22"/>
          <w:szCs w:val="22"/>
          <w:lang w:val="es-MX"/>
        </w:rPr>
        <w:t xml:space="preserve">nterna de </w:t>
      </w:r>
      <w:r w:rsidR="000B3F45">
        <w:rPr>
          <w:rFonts w:ascii="Arial" w:hAnsi="Arial" w:cs="Arial"/>
          <w:b/>
          <w:sz w:val="22"/>
          <w:szCs w:val="22"/>
          <w:lang w:val="es-MX"/>
        </w:rPr>
        <w:t>R</w:t>
      </w:r>
      <w:r w:rsidRPr="00E554F5">
        <w:rPr>
          <w:rFonts w:ascii="Arial" w:hAnsi="Arial" w:cs="Arial"/>
          <w:b/>
          <w:sz w:val="22"/>
          <w:szCs w:val="22"/>
          <w:lang w:val="es-MX"/>
        </w:rPr>
        <w:t>etorno</w:t>
      </w:r>
      <w:r w:rsidRPr="007F7403">
        <w:rPr>
          <w:rFonts w:ascii="Arial" w:hAnsi="Arial" w:cs="Arial"/>
          <w:sz w:val="22"/>
          <w:szCs w:val="22"/>
          <w:lang w:val="es-MX"/>
        </w:rPr>
        <w:t>.</w:t>
      </w:r>
      <w:r w:rsidRPr="00E554F5">
        <w:rPr>
          <w:rFonts w:ascii="Arial" w:hAnsi="Arial" w:cs="Arial"/>
          <w:sz w:val="22"/>
          <w:szCs w:val="22"/>
          <w:lang w:val="es-MX"/>
        </w:rPr>
        <w:t xml:space="preserve"> La </w:t>
      </w:r>
      <w:r w:rsidR="000B3F45">
        <w:rPr>
          <w:rFonts w:ascii="Arial" w:hAnsi="Arial" w:cs="Arial"/>
          <w:sz w:val="22"/>
          <w:szCs w:val="22"/>
          <w:lang w:val="es-MX"/>
        </w:rPr>
        <w:t>T</w:t>
      </w:r>
      <w:r w:rsidRPr="00E554F5">
        <w:rPr>
          <w:rFonts w:ascii="Arial" w:hAnsi="Arial" w:cs="Arial"/>
          <w:sz w:val="22"/>
          <w:szCs w:val="22"/>
          <w:lang w:val="es-MX"/>
        </w:rPr>
        <w:t xml:space="preserve">asa </w:t>
      </w:r>
      <w:r w:rsidR="000B3F45">
        <w:rPr>
          <w:rFonts w:ascii="Arial" w:hAnsi="Arial" w:cs="Arial"/>
          <w:sz w:val="22"/>
          <w:szCs w:val="22"/>
          <w:lang w:val="es-MX"/>
        </w:rPr>
        <w:t>I</w:t>
      </w:r>
      <w:r w:rsidRPr="00E554F5">
        <w:rPr>
          <w:rFonts w:ascii="Arial" w:hAnsi="Arial" w:cs="Arial"/>
          <w:sz w:val="22"/>
          <w:szCs w:val="22"/>
          <w:lang w:val="es-MX"/>
        </w:rPr>
        <w:t xml:space="preserve">nterna de </w:t>
      </w:r>
      <w:r w:rsidR="000B3F45">
        <w:rPr>
          <w:rFonts w:ascii="Arial" w:hAnsi="Arial" w:cs="Arial"/>
          <w:sz w:val="22"/>
          <w:szCs w:val="22"/>
          <w:lang w:val="es-MX"/>
        </w:rPr>
        <w:t>R</w:t>
      </w:r>
      <w:r w:rsidRPr="00E554F5">
        <w:rPr>
          <w:rFonts w:ascii="Arial" w:hAnsi="Arial" w:cs="Arial"/>
          <w:sz w:val="22"/>
          <w:szCs w:val="22"/>
          <w:lang w:val="es-MX"/>
        </w:rPr>
        <w:t xml:space="preserve">etorno (TIR) calculada sobre el flujo de beneficios </w:t>
      </w:r>
      <w:r w:rsidRPr="007F7403">
        <w:rPr>
          <w:rFonts w:ascii="Arial" w:hAnsi="Arial" w:cs="Arial"/>
          <w:sz w:val="22"/>
          <w:szCs w:val="22"/>
          <w:lang w:val="es-MX"/>
        </w:rPr>
        <w:t xml:space="preserve">netos del programa es igual a </w:t>
      </w:r>
      <w:r w:rsidR="00AD7ABF">
        <w:rPr>
          <w:rFonts w:ascii="Arial" w:hAnsi="Arial" w:cs="Arial"/>
          <w:sz w:val="22"/>
          <w:szCs w:val="22"/>
          <w:lang w:val="es-MX"/>
        </w:rPr>
        <w:t>2</w:t>
      </w:r>
      <w:r w:rsidR="0096759A">
        <w:rPr>
          <w:rFonts w:ascii="Arial" w:hAnsi="Arial" w:cs="Arial"/>
          <w:sz w:val="22"/>
          <w:szCs w:val="22"/>
          <w:lang w:val="es-MX"/>
        </w:rPr>
        <w:t>9</w:t>
      </w:r>
      <w:r w:rsidRPr="007F7403">
        <w:rPr>
          <w:rFonts w:ascii="Arial" w:hAnsi="Arial" w:cs="Arial"/>
          <w:sz w:val="22"/>
          <w:szCs w:val="22"/>
          <w:lang w:val="es-MX"/>
        </w:rPr>
        <w:t>%.</w:t>
      </w:r>
    </w:p>
    <w:p w14:paraId="465D1B27" w14:textId="77777777" w:rsidR="00310778" w:rsidRDefault="00310778" w:rsidP="001B6A32">
      <w:pPr>
        <w:pStyle w:val="ListParagraph"/>
        <w:spacing w:before="240" w:after="200" w:line="276" w:lineRule="auto"/>
        <w:contextualSpacing w:val="0"/>
        <w:jc w:val="center"/>
        <w:rPr>
          <w:rFonts w:ascii="Arial" w:hAnsi="Arial" w:cs="Arial"/>
          <w:b/>
          <w:sz w:val="18"/>
          <w:szCs w:val="18"/>
          <w:lang w:val="es-MX"/>
        </w:rPr>
        <w:sectPr w:rsidR="00310778" w:rsidSect="000F0F47">
          <w:pgSz w:w="12240" w:h="15840"/>
          <w:pgMar w:top="1440" w:right="1800" w:bottom="1440" w:left="1800" w:header="720" w:footer="720" w:gutter="0"/>
          <w:cols w:space="720"/>
          <w:docGrid w:linePitch="360"/>
        </w:sectPr>
      </w:pPr>
    </w:p>
    <w:p w14:paraId="53285F7C" w14:textId="77777777" w:rsidR="00310778" w:rsidRDefault="00D504EA" w:rsidP="001B6A32">
      <w:pPr>
        <w:pStyle w:val="ListParagraph"/>
        <w:spacing w:before="240" w:after="200" w:line="276" w:lineRule="auto"/>
        <w:contextualSpacing w:val="0"/>
        <w:jc w:val="center"/>
        <w:rPr>
          <w:rFonts w:ascii="Arial" w:hAnsi="Arial" w:cs="Arial"/>
          <w:b/>
          <w:bCs/>
          <w:sz w:val="18"/>
          <w:szCs w:val="18"/>
          <w:lang w:val="es-MX"/>
        </w:rPr>
      </w:pPr>
      <w:r w:rsidRPr="001B6A32">
        <w:rPr>
          <w:rFonts w:ascii="Arial" w:hAnsi="Arial" w:cs="Arial"/>
          <w:b/>
          <w:sz w:val="18"/>
          <w:szCs w:val="18"/>
          <w:lang w:val="es-MX"/>
        </w:rPr>
        <w:lastRenderedPageBreak/>
        <w:t xml:space="preserve">Tabla </w:t>
      </w:r>
      <w:r w:rsidR="001B6A32" w:rsidRPr="001B6A32">
        <w:rPr>
          <w:rFonts w:ascii="Arial" w:hAnsi="Arial" w:cs="Arial"/>
          <w:b/>
          <w:sz w:val="18"/>
          <w:szCs w:val="18"/>
          <w:lang w:val="es-MX"/>
        </w:rPr>
        <w:t>3</w:t>
      </w:r>
      <w:r w:rsidRPr="001B6A32">
        <w:rPr>
          <w:rFonts w:ascii="Arial" w:hAnsi="Arial" w:cs="Arial"/>
          <w:b/>
          <w:sz w:val="18"/>
          <w:szCs w:val="18"/>
          <w:lang w:val="es-MX"/>
        </w:rPr>
        <w:t xml:space="preserve">.1. </w:t>
      </w:r>
      <w:r w:rsidRPr="001B6A32">
        <w:rPr>
          <w:rFonts w:ascii="Arial" w:hAnsi="Arial" w:cs="Arial"/>
          <w:b/>
          <w:bCs/>
          <w:sz w:val="18"/>
          <w:szCs w:val="18"/>
          <w:lang w:val="es-MX"/>
        </w:rPr>
        <w:t>Resultados de cálculos de flujos de beneficios netos, VPN y TIR</w:t>
      </w:r>
    </w:p>
    <w:p w14:paraId="6A1FBC6E" w14:textId="02AD732E" w:rsidR="00D504EA" w:rsidRPr="006A77B8" w:rsidRDefault="0096759A" w:rsidP="001B6A32">
      <w:pPr>
        <w:pStyle w:val="ListParagraph"/>
        <w:spacing w:before="240" w:after="200" w:line="276" w:lineRule="auto"/>
        <w:contextualSpacing w:val="0"/>
        <w:jc w:val="center"/>
        <w:rPr>
          <w:rFonts w:ascii="Arial" w:hAnsi="Arial" w:cs="Arial"/>
          <w:b/>
          <w:sz w:val="22"/>
          <w:szCs w:val="22"/>
          <w:u w:val="single"/>
          <w:lang w:val="es-PE"/>
        </w:rPr>
      </w:pPr>
      <w:r w:rsidRPr="0096759A">
        <w:rPr>
          <w:noProof/>
        </w:rPr>
        <w:drawing>
          <wp:inline distT="0" distB="0" distL="0" distR="0" wp14:anchorId="19F8FEF2" wp14:editId="6491865C">
            <wp:extent cx="7846926" cy="2027799"/>
            <wp:effectExtent l="19050" t="19050" r="20955"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924093" cy="2047740"/>
                    </a:xfrm>
                    <a:prstGeom prst="rect">
                      <a:avLst/>
                    </a:prstGeom>
                    <a:noFill/>
                    <a:ln>
                      <a:solidFill>
                        <a:schemeClr val="tx1"/>
                      </a:solidFill>
                    </a:ln>
                  </pic:spPr>
                </pic:pic>
              </a:graphicData>
            </a:graphic>
          </wp:inline>
        </w:drawing>
      </w:r>
    </w:p>
    <w:p w14:paraId="57026A45" w14:textId="77777777" w:rsidR="00310778" w:rsidRDefault="00310778" w:rsidP="00BF7FD8">
      <w:pPr>
        <w:pStyle w:val="ListParagraph"/>
        <w:numPr>
          <w:ilvl w:val="0"/>
          <w:numId w:val="5"/>
        </w:numPr>
        <w:ind w:left="720" w:hanging="720"/>
        <w:jc w:val="both"/>
        <w:rPr>
          <w:rFonts w:ascii="Arial" w:hAnsi="Arial" w:cs="Arial"/>
          <w:b/>
          <w:sz w:val="22"/>
          <w:szCs w:val="22"/>
          <w:lang w:val="es-PE"/>
        </w:rPr>
        <w:sectPr w:rsidR="00310778" w:rsidSect="00310778">
          <w:pgSz w:w="15840" w:h="12240" w:orient="landscape"/>
          <w:pgMar w:top="1800" w:right="1440" w:bottom="1800" w:left="1440" w:header="720" w:footer="720" w:gutter="0"/>
          <w:cols w:space="720"/>
          <w:docGrid w:linePitch="360"/>
        </w:sectPr>
      </w:pPr>
    </w:p>
    <w:p w14:paraId="05354A4A" w14:textId="79A61426" w:rsidR="00DA469C" w:rsidRPr="006A77B8" w:rsidRDefault="00DA469C" w:rsidP="00BF7FD8">
      <w:pPr>
        <w:pStyle w:val="ListParagraph"/>
        <w:numPr>
          <w:ilvl w:val="0"/>
          <w:numId w:val="5"/>
        </w:numPr>
        <w:ind w:left="630" w:hanging="630"/>
        <w:jc w:val="both"/>
        <w:rPr>
          <w:rFonts w:ascii="Arial" w:hAnsi="Arial" w:cs="Arial"/>
          <w:sz w:val="22"/>
          <w:szCs w:val="22"/>
          <w:lang w:val="es-PE"/>
        </w:rPr>
      </w:pPr>
      <w:r w:rsidRPr="006A77B8">
        <w:rPr>
          <w:rFonts w:ascii="Arial" w:hAnsi="Arial" w:cs="Arial"/>
          <w:b/>
          <w:sz w:val="22"/>
          <w:szCs w:val="22"/>
          <w:lang w:val="es-PE"/>
        </w:rPr>
        <w:lastRenderedPageBreak/>
        <w:t>Relación entre resultados del análisis y matriz de resultados del programa</w:t>
      </w:r>
      <w:r w:rsidRPr="001B6A32">
        <w:rPr>
          <w:rFonts w:ascii="Arial" w:hAnsi="Arial" w:cs="Arial"/>
          <w:b/>
          <w:bCs/>
          <w:sz w:val="22"/>
          <w:szCs w:val="22"/>
          <w:lang w:val="es-PE"/>
        </w:rPr>
        <w:t>.</w:t>
      </w:r>
      <w:r w:rsidRPr="006A77B8">
        <w:rPr>
          <w:rFonts w:ascii="Arial" w:hAnsi="Arial" w:cs="Arial"/>
          <w:sz w:val="22"/>
          <w:szCs w:val="22"/>
          <w:lang w:val="es-PE"/>
        </w:rPr>
        <w:t xml:space="preserve"> El </w:t>
      </w:r>
      <w:r w:rsidR="00876DB7">
        <w:rPr>
          <w:rFonts w:ascii="Arial" w:hAnsi="Arial" w:cs="Arial"/>
          <w:sz w:val="22"/>
          <w:szCs w:val="22"/>
          <w:lang w:val="es-PE"/>
        </w:rPr>
        <w:t>Tabla</w:t>
      </w:r>
      <w:r w:rsidR="00876DB7" w:rsidRPr="006A77B8">
        <w:rPr>
          <w:rFonts w:ascii="Arial" w:hAnsi="Arial" w:cs="Arial"/>
          <w:sz w:val="22"/>
          <w:szCs w:val="22"/>
          <w:lang w:val="es-PE"/>
        </w:rPr>
        <w:t xml:space="preserve"> </w:t>
      </w:r>
      <w:r w:rsidR="001B6A32">
        <w:rPr>
          <w:rFonts w:ascii="Arial" w:hAnsi="Arial" w:cs="Arial"/>
          <w:sz w:val="22"/>
          <w:szCs w:val="22"/>
          <w:lang w:val="es-PE"/>
        </w:rPr>
        <w:t>3</w:t>
      </w:r>
      <w:r w:rsidR="00A50DC4">
        <w:rPr>
          <w:rFonts w:ascii="Arial" w:hAnsi="Arial" w:cs="Arial"/>
          <w:sz w:val="22"/>
          <w:szCs w:val="22"/>
          <w:lang w:val="es-PE"/>
        </w:rPr>
        <w:t>.2</w:t>
      </w:r>
      <w:r w:rsidRPr="006A77B8">
        <w:rPr>
          <w:rFonts w:ascii="Arial" w:hAnsi="Arial" w:cs="Arial"/>
          <w:sz w:val="22"/>
          <w:szCs w:val="22"/>
          <w:lang w:val="es-PE"/>
        </w:rPr>
        <w:t xml:space="preserve"> presenta la relación entre </w:t>
      </w:r>
      <w:r w:rsidR="006D33D3">
        <w:rPr>
          <w:rFonts w:ascii="Arial" w:hAnsi="Arial" w:cs="Arial"/>
          <w:sz w:val="22"/>
          <w:szCs w:val="22"/>
          <w:lang w:val="es-PE"/>
        </w:rPr>
        <w:t>el</w:t>
      </w:r>
      <w:r w:rsidR="006D33D3" w:rsidRPr="006A77B8">
        <w:rPr>
          <w:rFonts w:ascii="Arial" w:hAnsi="Arial" w:cs="Arial"/>
          <w:sz w:val="22"/>
          <w:szCs w:val="22"/>
          <w:lang w:val="es-PE"/>
        </w:rPr>
        <w:t xml:space="preserve"> </w:t>
      </w:r>
      <w:r w:rsidRPr="006A77B8">
        <w:rPr>
          <w:rFonts w:ascii="Arial" w:hAnsi="Arial" w:cs="Arial"/>
          <w:sz w:val="22"/>
          <w:szCs w:val="22"/>
          <w:lang w:val="es-PE"/>
        </w:rPr>
        <w:t xml:space="preserve">indicador de impacto del programa y los cálculos realizados en este análisis. </w:t>
      </w:r>
      <w:r w:rsidR="006D33D3" w:rsidRPr="006D33D3">
        <w:rPr>
          <w:rFonts w:ascii="Arial" w:hAnsi="Arial" w:cs="Arial"/>
          <w:sz w:val="22"/>
          <w:szCs w:val="22"/>
          <w:lang w:val="es-PE"/>
        </w:rPr>
        <w:t>Para obtener el valor del empleo salvado se considera únicamente el beneficio incremental obtenido gracias al programa. Esto es, se calcula el número de empresas salvadas por medio de una resta simple entre las empresas que sobreviven en el escenario con programa y las que sobreviven en el escenario sin programa, para cada año de duración de la crisis (3</w:t>
      </w:r>
      <w:r w:rsidR="001E199D">
        <w:rPr>
          <w:rFonts w:ascii="Arial" w:hAnsi="Arial" w:cs="Arial"/>
          <w:sz w:val="22"/>
          <w:szCs w:val="22"/>
          <w:lang w:val="es-PE"/>
        </w:rPr>
        <w:t> </w:t>
      </w:r>
      <w:r w:rsidR="006D33D3" w:rsidRPr="006D33D3">
        <w:rPr>
          <w:rFonts w:ascii="Arial" w:hAnsi="Arial" w:cs="Arial"/>
          <w:sz w:val="22"/>
          <w:szCs w:val="22"/>
          <w:lang w:val="es-PE"/>
        </w:rPr>
        <w:t xml:space="preserve">años), que corresponde a </w:t>
      </w:r>
      <w:r w:rsidR="006D33D3">
        <w:rPr>
          <w:rFonts w:ascii="Arial" w:hAnsi="Arial" w:cs="Arial"/>
          <w:sz w:val="22"/>
          <w:szCs w:val="22"/>
          <w:lang w:val="es-PE"/>
        </w:rPr>
        <w:t>93</w:t>
      </w:r>
      <w:r w:rsidR="006D33D3" w:rsidRPr="006D33D3">
        <w:rPr>
          <w:rFonts w:ascii="Arial" w:hAnsi="Arial" w:cs="Arial"/>
          <w:sz w:val="22"/>
          <w:szCs w:val="22"/>
          <w:lang w:val="es-PE"/>
        </w:rPr>
        <w:t>. Luego, se multiplica el total de empresas salvadas por el número de empleados promedio (</w:t>
      </w:r>
      <w:r w:rsidR="006D33D3">
        <w:rPr>
          <w:rFonts w:ascii="Arial" w:hAnsi="Arial" w:cs="Arial"/>
          <w:sz w:val="22"/>
          <w:szCs w:val="22"/>
          <w:lang w:val="es-PE"/>
        </w:rPr>
        <w:t>25</w:t>
      </w:r>
      <w:r w:rsidR="006D33D3" w:rsidRPr="006D33D3">
        <w:rPr>
          <w:rFonts w:ascii="Arial" w:hAnsi="Arial" w:cs="Arial"/>
          <w:sz w:val="22"/>
          <w:szCs w:val="22"/>
          <w:lang w:val="es-PE"/>
        </w:rPr>
        <w:t xml:space="preserve">), obteniéndose el total de empleos salvados, que equivale a </w:t>
      </w:r>
      <w:r w:rsidR="006D33D3">
        <w:rPr>
          <w:rFonts w:ascii="Arial" w:hAnsi="Arial" w:cs="Arial"/>
          <w:sz w:val="22"/>
          <w:szCs w:val="22"/>
          <w:lang w:val="es-PE"/>
        </w:rPr>
        <w:t xml:space="preserve">2,325. </w:t>
      </w:r>
      <w:r w:rsidRPr="006A77B8">
        <w:rPr>
          <w:rFonts w:ascii="Arial" w:hAnsi="Arial" w:cs="Arial"/>
          <w:sz w:val="22"/>
          <w:szCs w:val="22"/>
          <w:lang w:val="es-PE"/>
        </w:rPr>
        <w:t xml:space="preserve">De esta manera se puede observar como el nivel de empleo </w:t>
      </w:r>
      <w:r w:rsidR="0096759A">
        <w:rPr>
          <w:rFonts w:ascii="Arial" w:hAnsi="Arial" w:cs="Arial"/>
          <w:sz w:val="22"/>
          <w:szCs w:val="22"/>
          <w:lang w:val="es-PE"/>
        </w:rPr>
        <w:t>sostenido</w:t>
      </w:r>
      <w:r w:rsidR="0096759A" w:rsidRPr="006A77B8">
        <w:rPr>
          <w:rFonts w:ascii="Arial" w:hAnsi="Arial" w:cs="Arial"/>
          <w:sz w:val="22"/>
          <w:szCs w:val="22"/>
          <w:lang w:val="es-PE"/>
        </w:rPr>
        <w:t xml:space="preserve"> </w:t>
      </w:r>
      <w:r w:rsidRPr="006A77B8">
        <w:rPr>
          <w:rFonts w:ascii="Arial" w:hAnsi="Arial" w:cs="Arial"/>
          <w:sz w:val="22"/>
          <w:szCs w:val="22"/>
          <w:lang w:val="es-PE"/>
        </w:rPr>
        <w:t xml:space="preserve">al </w:t>
      </w:r>
      <w:r w:rsidR="0096759A">
        <w:rPr>
          <w:rFonts w:ascii="Arial" w:hAnsi="Arial" w:cs="Arial"/>
          <w:sz w:val="22"/>
          <w:szCs w:val="22"/>
          <w:lang w:val="es-PE"/>
        </w:rPr>
        <w:t>final</w:t>
      </w:r>
      <w:r w:rsidRPr="006A77B8">
        <w:rPr>
          <w:rFonts w:ascii="Arial" w:hAnsi="Arial" w:cs="Arial"/>
          <w:sz w:val="22"/>
          <w:szCs w:val="22"/>
          <w:lang w:val="es-PE"/>
        </w:rPr>
        <w:t xml:space="preserve"> de </w:t>
      </w:r>
      <w:r w:rsidR="0096759A">
        <w:rPr>
          <w:rFonts w:ascii="Arial" w:hAnsi="Arial" w:cs="Arial"/>
          <w:sz w:val="22"/>
          <w:szCs w:val="22"/>
          <w:lang w:val="es-PE"/>
        </w:rPr>
        <w:t xml:space="preserve">la </w:t>
      </w:r>
      <w:r w:rsidRPr="006A77B8">
        <w:rPr>
          <w:rFonts w:ascii="Arial" w:hAnsi="Arial" w:cs="Arial"/>
          <w:sz w:val="22"/>
          <w:szCs w:val="22"/>
          <w:lang w:val="es-PE"/>
        </w:rPr>
        <w:t xml:space="preserve">ejecución </w:t>
      </w:r>
      <w:r w:rsidR="0096759A">
        <w:rPr>
          <w:rFonts w:ascii="Arial" w:hAnsi="Arial" w:cs="Arial"/>
          <w:sz w:val="22"/>
          <w:szCs w:val="22"/>
          <w:lang w:val="es-PE"/>
        </w:rPr>
        <w:t>contribuye</w:t>
      </w:r>
      <w:r w:rsidR="00876DB7">
        <w:rPr>
          <w:rFonts w:ascii="Arial" w:hAnsi="Arial" w:cs="Arial"/>
          <w:sz w:val="22"/>
          <w:szCs w:val="22"/>
          <w:lang w:val="es-PE"/>
        </w:rPr>
        <w:t xml:space="preserve"> con</w:t>
      </w:r>
      <w:r w:rsidRPr="006A77B8">
        <w:rPr>
          <w:rFonts w:ascii="Arial" w:hAnsi="Arial" w:cs="Arial"/>
          <w:sz w:val="22"/>
          <w:szCs w:val="22"/>
          <w:lang w:val="es-PE"/>
        </w:rPr>
        <w:t xml:space="preserve"> la meta esperada del indicador de impacto.</w:t>
      </w:r>
    </w:p>
    <w:p w14:paraId="686FB5CC" w14:textId="2D5A327A" w:rsidR="00DA469C" w:rsidRPr="001B6A32" w:rsidRDefault="00A50DC4" w:rsidP="001B6A32">
      <w:pPr>
        <w:pStyle w:val="Caption"/>
        <w:keepNext/>
        <w:spacing w:before="240"/>
        <w:jc w:val="center"/>
        <w:rPr>
          <w:rFonts w:ascii="Arial" w:hAnsi="Arial" w:cs="Arial"/>
          <w:b/>
          <w:i w:val="0"/>
          <w:color w:val="auto"/>
          <w:lang w:val="es-PE"/>
        </w:rPr>
      </w:pPr>
      <w:r w:rsidRPr="001B6A32">
        <w:rPr>
          <w:rFonts w:ascii="Arial" w:hAnsi="Arial" w:cs="Arial"/>
          <w:b/>
          <w:i w:val="0"/>
          <w:color w:val="auto"/>
          <w:lang w:val="es-PE"/>
        </w:rPr>
        <w:t xml:space="preserve">Tabla </w:t>
      </w:r>
      <w:r w:rsidR="001B6A32" w:rsidRPr="001B6A32">
        <w:rPr>
          <w:rFonts w:ascii="Arial" w:hAnsi="Arial" w:cs="Arial"/>
          <w:b/>
          <w:i w:val="0"/>
          <w:color w:val="auto"/>
          <w:lang w:val="es-PE"/>
        </w:rPr>
        <w:t>3</w:t>
      </w:r>
      <w:r w:rsidRPr="001B6A32">
        <w:rPr>
          <w:rFonts w:ascii="Arial" w:hAnsi="Arial" w:cs="Arial"/>
          <w:b/>
          <w:i w:val="0"/>
          <w:color w:val="auto"/>
          <w:lang w:val="es-PE"/>
        </w:rPr>
        <w:t xml:space="preserve">.2. </w:t>
      </w:r>
      <w:r w:rsidR="00DA469C" w:rsidRPr="001B6A32">
        <w:rPr>
          <w:rFonts w:ascii="Arial" w:hAnsi="Arial" w:cs="Arial"/>
          <w:b/>
          <w:i w:val="0"/>
          <w:color w:val="auto"/>
          <w:lang w:val="es-PE"/>
        </w:rPr>
        <w:t>Cuadro de comparación con Matriz de Resultados</w:t>
      </w:r>
      <w:r w:rsidR="00532C85" w:rsidRPr="001B6A32">
        <w:rPr>
          <w:rFonts w:ascii="Arial" w:hAnsi="Arial" w:cs="Arial"/>
          <w:b/>
          <w:i w:val="0"/>
          <w:color w:val="auto"/>
          <w:lang w:val="es-PE"/>
        </w:rPr>
        <w:t xml:space="preserve"> (MR)</w:t>
      </w: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5"/>
        <w:gridCol w:w="1800"/>
        <w:gridCol w:w="2340"/>
        <w:gridCol w:w="1170"/>
        <w:gridCol w:w="2430"/>
      </w:tblGrid>
      <w:tr w:rsidR="00532C85" w:rsidRPr="00865DAC" w14:paraId="599A1E93" w14:textId="77777777" w:rsidTr="00D92A82">
        <w:trPr>
          <w:trHeight w:val="706"/>
        </w:trPr>
        <w:tc>
          <w:tcPr>
            <w:tcW w:w="170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bookmarkEnd w:id="18"/>
          <w:p w14:paraId="544EF59F" w14:textId="538DE831" w:rsidR="00532C85" w:rsidRPr="00865DAC" w:rsidRDefault="00D92A82" w:rsidP="00D92A82">
            <w:pPr>
              <w:spacing w:before="80" w:after="80" w:line="240" w:lineRule="auto"/>
              <w:jc w:val="center"/>
              <w:rPr>
                <w:rFonts w:ascii="Arial" w:hAnsi="Arial" w:cs="Arial"/>
                <w:b/>
                <w:sz w:val="18"/>
                <w:szCs w:val="18"/>
                <w:lang w:val="es-ES" w:eastAsia="zh-CN"/>
              </w:rPr>
            </w:pPr>
            <w:r>
              <w:rPr>
                <w:rFonts w:ascii="Arial" w:hAnsi="Arial" w:cs="Arial"/>
                <w:b/>
                <w:sz w:val="18"/>
                <w:szCs w:val="18"/>
                <w:lang w:val="es-ES" w:eastAsia="zh-CN"/>
              </w:rPr>
              <w:t>Parámetro del análisis</w:t>
            </w:r>
          </w:p>
        </w:tc>
        <w:tc>
          <w:tcPr>
            <w:tcW w:w="1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431A861" w14:textId="7EA6D344" w:rsidR="00532C85" w:rsidRPr="00865DAC" w:rsidRDefault="00532C85" w:rsidP="00D92A82">
            <w:pPr>
              <w:spacing w:before="80" w:after="80" w:line="240" w:lineRule="auto"/>
              <w:jc w:val="center"/>
              <w:rPr>
                <w:rFonts w:ascii="Arial" w:hAnsi="Arial" w:cs="Arial"/>
                <w:b/>
                <w:sz w:val="18"/>
                <w:szCs w:val="18"/>
                <w:lang w:val="es-ES" w:eastAsia="zh-CN"/>
              </w:rPr>
            </w:pPr>
            <w:r>
              <w:rPr>
                <w:rFonts w:ascii="Arial" w:hAnsi="Arial" w:cs="Arial"/>
                <w:b/>
                <w:sz w:val="18"/>
                <w:szCs w:val="18"/>
                <w:lang w:val="es-ES" w:eastAsia="zh-CN"/>
              </w:rPr>
              <w:t xml:space="preserve">Valor del </w:t>
            </w:r>
            <w:r w:rsidR="00D92A82">
              <w:rPr>
                <w:rFonts w:ascii="Arial" w:hAnsi="Arial" w:cs="Arial"/>
                <w:b/>
                <w:sz w:val="18"/>
                <w:szCs w:val="18"/>
                <w:lang w:val="es-ES" w:eastAsia="zh-CN"/>
              </w:rPr>
              <w:t>parámetro</w:t>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015865A" w14:textId="125614C9" w:rsidR="00532C85" w:rsidRPr="00865DAC" w:rsidRDefault="00532C85" w:rsidP="00D92A82">
            <w:pPr>
              <w:spacing w:before="80" w:after="80" w:line="240" w:lineRule="auto"/>
              <w:jc w:val="center"/>
              <w:rPr>
                <w:rFonts w:ascii="Arial" w:hAnsi="Arial" w:cs="Arial"/>
                <w:b/>
                <w:sz w:val="18"/>
                <w:szCs w:val="18"/>
                <w:lang w:val="es-ES" w:eastAsia="zh-CN"/>
              </w:rPr>
            </w:pPr>
            <w:r>
              <w:rPr>
                <w:rFonts w:ascii="Arial" w:hAnsi="Arial" w:cs="Arial"/>
                <w:b/>
                <w:sz w:val="18"/>
                <w:szCs w:val="18"/>
                <w:lang w:val="es-ES" w:eastAsia="zh-CN"/>
              </w:rPr>
              <w:t>Indicador de la MR</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F759FB4" w14:textId="77777777" w:rsidR="00532C85" w:rsidRPr="00865DAC" w:rsidRDefault="00532C85" w:rsidP="00D92A82">
            <w:pPr>
              <w:spacing w:before="80" w:after="80" w:line="240" w:lineRule="auto"/>
              <w:jc w:val="center"/>
              <w:rPr>
                <w:rFonts w:ascii="Arial" w:hAnsi="Arial" w:cs="Arial"/>
                <w:b/>
                <w:sz w:val="18"/>
                <w:szCs w:val="18"/>
                <w:lang w:val="es-ES" w:eastAsia="zh-CN"/>
              </w:rPr>
            </w:pPr>
            <w:r w:rsidRPr="00865DAC">
              <w:rPr>
                <w:rFonts w:ascii="Arial" w:hAnsi="Arial" w:cs="Arial"/>
                <w:b/>
                <w:sz w:val="18"/>
                <w:szCs w:val="18"/>
                <w:lang w:val="es-ES" w:eastAsia="zh-CN"/>
              </w:rPr>
              <w:t>Meta Final</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68127D" w14:textId="77777777" w:rsidR="00532C85" w:rsidRPr="00865DAC" w:rsidRDefault="00532C85" w:rsidP="00D92A82">
            <w:pPr>
              <w:spacing w:before="80" w:after="80" w:line="240" w:lineRule="auto"/>
              <w:jc w:val="center"/>
              <w:rPr>
                <w:rFonts w:ascii="Arial" w:hAnsi="Arial" w:cs="Arial"/>
                <w:b/>
                <w:sz w:val="18"/>
                <w:szCs w:val="18"/>
                <w:lang w:val="es-ES" w:eastAsia="zh-CN"/>
              </w:rPr>
            </w:pPr>
            <w:r w:rsidRPr="00865DAC">
              <w:rPr>
                <w:rFonts w:ascii="Arial" w:hAnsi="Arial" w:cs="Arial"/>
                <w:b/>
                <w:sz w:val="18"/>
                <w:szCs w:val="18"/>
                <w:lang w:val="es-ES" w:eastAsia="zh-CN"/>
              </w:rPr>
              <w:t>Comentarios</w:t>
            </w:r>
          </w:p>
        </w:tc>
      </w:tr>
      <w:tr w:rsidR="00532C85" w:rsidRPr="008579AE" w14:paraId="7F81E817" w14:textId="77777777" w:rsidTr="00D92A82">
        <w:trPr>
          <w:trHeight w:val="955"/>
        </w:trPr>
        <w:tc>
          <w:tcPr>
            <w:tcW w:w="1705" w:type="dxa"/>
            <w:tcBorders>
              <w:top w:val="single" w:sz="4" w:space="0" w:color="auto"/>
              <w:left w:val="single" w:sz="4" w:space="0" w:color="auto"/>
              <w:bottom w:val="single" w:sz="4" w:space="0" w:color="auto"/>
              <w:right w:val="single" w:sz="4" w:space="0" w:color="auto"/>
            </w:tcBorders>
          </w:tcPr>
          <w:p w14:paraId="5B1F997E" w14:textId="206CB6CD" w:rsidR="00532C85" w:rsidRPr="0008113C" w:rsidRDefault="00D92A82" w:rsidP="00D92A82">
            <w:pPr>
              <w:pStyle w:val="ListParagraph"/>
              <w:spacing w:before="80" w:after="80"/>
              <w:ind w:left="0"/>
              <w:contextualSpacing w:val="0"/>
              <w:rPr>
                <w:rFonts w:ascii="Arial" w:hAnsi="Arial" w:cs="Arial"/>
                <w:bCs/>
                <w:sz w:val="18"/>
                <w:szCs w:val="18"/>
                <w:lang w:val="es-ES"/>
              </w:rPr>
            </w:pPr>
            <w:r>
              <w:rPr>
                <w:rFonts w:ascii="Arial" w:hAnsi="Arial" w:cs="Arial"/>
                <w:bCs/>
                <w:sz w:val="18"/>
                <w:szCs w:val="18"/>
                <w:lang w:val="es-ES"/>
              </w:rPr>
              <w:t>Empresas que sobreviven en el escenario con programa</w:t>
            </w:r>
          </w:p>
        </w:tc>
        <w:tc>
          <w:tcPr>
            <w:tcW w:w="1800" w:type="dxa"/>
            <w:tcBorders>
              <w:top w:val="single" w:sz="4" w:space="0" w:color="auto"/>
              <w:left w:val="single" w:sz="4" w:space="0" w:color="auto"/>
              <w:bottom w:val="single" w:sz="4" w:space="0" w:color="auto"/>
              <w:right w:val="single" w:sz="4" w:space="0" w:color="auto"/>
            </w:tcBorders>
          </w:tcPr>
          <w:p w14:paraId="5DBDE83A" w14:textId="0A01B243" w:rsidR="00D92A82" w:rsidRDefault="00D92A82" w:rsidP="00D92A82">
            <w:pPr>
              <w:spacing w:before="80" w:after="80"/>
              <w:ind w:left="-18" w:right="-102"/>
              <w:rPr>
                <w:rFonts w:ascii="Arial" w:hAnsi="Arial" w:cs="Arial"/>
                <w:sz w:val="18"/>
                <w:szCs w:val="18"/>
                <w:lang w:val="es-ES"/>
              </w:rPr>
            </w:pPr>
            <w:r>
              <w:rPr>
                <w:rFonts w:ascii="Arial" w:hAnsi="Arial" w:cs="Arial"/>
                <w:sz w:val="18"/>
                <w:szCs w:val="18"/>
                <w:lang w:val="es-ES"/>
              </w:rPr>
              <w:t xml:space="preserve"># de empresas salvadas = </w:t>
            </w:r>
            <w:r w:rsidR="0040012B">
              <w:rPr>
                <w:rFonts w:ascii="Arial" w:hAnsi="Arial" w:cs="Arial"/>
                <w:sz w:val="18"/>
                <w:szCs w:val="18"/>
                <w:lang w:val="es-ES"/>
              </w:rPr>
              <w:t>93</w:t>
            </w:r>
          </w:p>
          <w:p w14:paraId="2D32CACF" w14:textId="0AC313E7" w:rsidR="00D92A82" w:rsidRDefault="00D92A82" w:rsidP="00D92A82">
            <w:pPr>
              <w:spacing w:before="80" w:after="80"/>
              <w:ind w:left="-18" w:right="-102"/>
              <w:rPr>
                <w:rFonts w:ascii="Arial" w:hAnsi="Arial" w:cs="Arial"/>
                <w:sz w:val="18"/>
                <w:szCs w:val="18"/>
                <w:lang w:val="es-ES"/>
              </w:rPr>
            </w:pPr>
            <w:r>
              <w:rPr>
                <w:rFonts w:ascii="Arial" w:hAnsi="Arial" w:cs="Arial"/>
                <w:sz w:val="18"/>
                <w:szCs w:val="18"/>
                <w:lang w:val="es-ES"/>
              </w:rPr>
              <w:t xml:space="preserve">Empleos por empresa = 25 </w:t>
            </w:r>
          </w:p>
          <w:p w14:paraId="66505E06" w14:textId="6717DD51" w:rsidR="00532C85" w:rsidRPr="00865DAC" w:rsidRDefault="00D92A82" w:rsidP="00D92A82">
            <w:pPr>
              <w:spacing w:before="80" w:after="80"/>
              <w:ind w:left="-18" w:right="-102"/>
              <w:rPr>
                <w:rFonts w:ascii="Arial" w:hAnsi="Arial" w:cs="Arial"/>
                <w:sz w:val="18"/>
                <w:szCs w:val="18"/>
                <w:lang w:val="es-ES"/>
              </w:rPr>
            </w:pPr>
            <w:r>
              <w:rPr>
                <w:rFonts w:ascii="Arial" w:hAnsi="Arial" w:cs="Arial"/>
                <w:sz w:val="18"/>
                <w:szCs w:val="18"/>
                <w:lang w:val="es-ES"/>
              </w:rPr>
              <w:t xml:space="preserve"># de empleos salvados = </w:t>
            </w:r>
            <w:r w:rsidRPr="00D92A82">
              <w:rPr>
                <w:rFonts w:ascii="Arial" w:hAnsi="Arial" w:cs="Arial"/>
                <w:b/>
                <w:bCs/>
                <w:sz w:val="18"/>
                <w:szCs w:val="18"/>
                <w:lang w:val="es-ES"/>
              </w:rPr>
              <w:t>2,</w:t>
            </w:r>
            <w:r w:rsidR="0040012B">
              <w:rPr>
                <w:rFonts w:ascii="Arial" w:hAnsi="Arial" w:cs="Arial"/>
                <w:b/>
                <w:bCs/>
                <w:sz w:val="18"/>
                <w:szCs w:val="18"/>
                <w:lang w:val="es-ES"/>
              </w:rPr>
              <w:t>32</w:t>
            </w:r>
            <w:r w:rsidRPr="00D92A82">
              <w:rPr>
                <w:rFonts w:ascii="Arial" w:hAnsi="Arial" w:cs="Arial"/>
                <w:b/>
                <w:bCs/>
                <w:sz w:val="18"/>
                <w:szCs w:val="18"/>
                <w:lang w:val="es-ES"/>
              </w:rPr>
              <w:t>5</w:t>
            </w:r>
          </w:p>
        </w:tc>
        <w:tc>
          <w:tcPr>
            <w:tcW w:w="2340" w:type="dxa"/>
            <w:tcBorders>
              <w:top w:val="single" w:sz="4" w:space="0" w:color="auto"/>
              <w:left w:val="single" w:sz="4" w:space="0" w:color="auto"/>
              <w:bottom w:val="single" w:sz="4" w:space="0" w:color="auto"/>
              <w:right w:val="single" w:sz="4" w:space="0" w:color="auto"/>
            </w:tcBorders>
          </w:tcPr>
          <w:p w14:paraId="3433F18F" w14:textId="0A38766F" w:rsidR="00532C85" w:rsidRPr="00865DAC" w:rsidRDefault="00532C85" w:rsidP="00D92A82">
            <w:pPr>
              <w:spacing w:before="80" w:after="80"/>
              <w:rPr>
                <w:rFonts w:ascii="Arial" w:hAnsi="Arial" w:cs="Arial"/>
                <w:sz w:val="18"/>
                <w:szCs w:val="18"/>
                <w:lang w:val="es-ES"/>
              </w:rPr>
            </w:pPr>
            <w:r>
              <w:rPr>
                <w:rFonts w:ascii="Arial" w:hAnsi="Arial" w:cs="Arial"/>
                <w:sz w:val="18"/>
                <w:szCs w:val="18"/>
                <w:lang w:val="es-ES"/>
              </w:rPr>
              <w:t>Porcentaje del empleo en los sectores apoyados por el programa sobre el empleo total de población económicamente activa en el país</w:t>
            </w:r>
          </w:p>
        </w:tc>
        <w:tc>
          <w:tcPr>
            <w:tcW w:w="1170" w:type="dxa"/>
            <w:tcBorders>
              <w:top w:val="single" w:sz="4" w:space="0" w:color="auto"/>
              <w:left w:val="single" w:sz="4" w:space="0" w:color="auto"/>
              <w:bottom w:val="single" w:sz="4" w:space="0" w:color="auto"/>
              <w:right w:val="single" w:sz="4" w:space="0" w:color="auto"/>
            </w:tcBorders>
          </w:tcPr>
          <w:p w14:paraId="783DD339" w14:textId="022ED4E4" w:rsidR="00532C85" w:rsidRPr="00865DAC" w:rsidRDefault="00532C85" w:rsidP="00D92A82">
            <w:pPr>
              <w:spacing w:before="80" w:after="80"/>
              <w:jc w:val="center"/>
              <w:rPr>
                <w:rFonts w:ascii="Arial" w:hAnsi="Arial" w:cs="Arial"/>
                <w:sz w:val="18"/>
                <w:szCs w:val="18"/>
                <w:lang w:val="es-ES"/>
              </w:rPr>
            </w:pPr>
            <w:r>
              <w:rPr>
                <w:rFonts w:ascii="Arial" w:hAnsi="Arial" w:cs="Arial"/>
                <w:sz w:val="18"/>
                <w:szCs w:val="18"/>
                <w:lang w:val="es-ES"/>
              </w:rPr>
              <w:t>20%</w:t>
            </w:r>
          </w:p>
        </w:tc>
        <w:tc>
          <w:tcPr>
            <w:tcW w:w="2430" w:type="dxa"/>
            <w:tcBorders>
              <w:top w:val="single" w:sz="4" w:space="0" w:color="auto"/>
              <w:left w:val="single" w:sz="4" w:space="0" w:color="auto"/>
              <w:bottom w:val="single" w:sz="4" w:space="0" w:color="auto"/>
              <w:right w:val="single" w:sz="4" w:space="0" w:color="auto"/>
            </w:tcBorders>
          </w:tcPr>
          <w:p w14:paraId="4764C261" w14:textId="628FE2A7" w:rsidR="00532C85" w:rsidRDefault="00532C85" w:rsidP="00D92A82">
            <w:pPr>
              <w:spacing w:before="80" w:after="80" w:line="240" w:lineRule="auto"/>
              <w:rPr>
                <w:rFonts w:ascii="Arial" w:hAnsi="Arial" w:cs="Arial"/>
                <w:sz w:val="18"/>
                <w:szCs w:val="18"/>
                <w:lang w:val="es-ES"/>
              </w:rPr>
            </w:pPr>
            <w:r>
              <w:rPr>
                <w:rFonts w:ascii="Arial" w:hAnsi="Arial" w:cs="Arial"/>
                <w:sz w:val="18"/>
                <w:szCs w:val="18"/>
                <w:lang w:val="es-ES"/>
              </w:rPr>
              <w:t>Se espera que el programa contribuya a sostener el empleo en el sector objetivo para por lo menos mantener la situación precrisis</w:t>
            </w:r>
            <w:r w:rsidR="00B17F18">
              <w:rPr>
                <w:rFonts w:ascii="Arial" w:hAnsi="Arial" w:cs="Arial"/>
                <w:sz w:val="18"/>
                <w:szCs w:val="18"/>
                <w:lang w:val="es-ES"/>
              </w:rPr>
              <w:t>. Puesto que el indicador mide la proporción relativa al empleo total del país, se entiende que el objetivo es que cualquier caída en el empleo del sector sea igual o menor a la caída en el empleo total.</w:t>
            </w:r>
          </w:p>
        </w:tc>
      </w:tr>
    </w:tbl>
    <w:p w14:paraId="4389433F" w14:textId="7B74F1BF" w:rsidR="00E11317" w:rsidRDefault="00E11317" w:rsidP="006A77B8">
      <w:pPr>
        <w:pStyle w:val="ListParagraph"/>
        <w:spacing w:after="200" w:line="276" w:lineRule="auto"/>
        <w:contextualSpacing w:val="0"/>
        <w:jc w:val="both"/>
        <w:rPr>
          <w:rFonts w:ascii="Arial" w:hAnsi="Arial" w:cs="Arial"/>
          <w:sz w:val="22"/>
          <w:szCs w:val="22"/>
          <w:lang w:val="es-PE"/>
        </w:rPr>
      </w:pPr>
    </w:p>
    <w:p w14:paraId="506B1AAE" w14:textId="77777777" w:rsidR="00E11317" w:rsidRDefault="00E11317">
      <w:pPr>
        <w:spacing w:after="160" w:line="259" w:lineRule="auto"/>
        <w:rPr>
          <w:rFonts w:ascii="Arial" w:eastAsia="Times New Roman" w:hAnsi="Arial" w:cs="Arial"/>
          <w:lang w:val="es-PE" w:eastAsia="en-US"/>
        </w:rPr>
      </w:pPr>
      <w:r>
        <w:rPr>
          <w:rFonts w:ascii="Arial" w:hAnsi="Arial" w:cs="Arial"/>
          <w:lang w:val="es-PE"/>
        </w:rPr>
        <w:br w:type="page"/>
      </w:r>
    </w:p>
    <w:p w14:paraId="18D98C82" w14:textId="1C4CAE7A" w:rsidR="00244B7E" w:rsidRPr="00E11317" w:rsidRDefault="00244B7E" w:rsidP="000F0F47">
      <w:pPr>
        <w:pStyle w:val="Chapter"/>
        <w:tabs>
          <w:tab w:val="clear" w:pos="1440"/>
          <w:tab w:val="left" w:pos="90"/>
        </w:tabs>
        <w:ind w:left="540" w:hanging="540"/>
        <w:rPr>
          <w:rFonts w:ascii="Arial" w:hAnsi="Arial" w:cs="Arial"/>
          <w:szCs w:val="24"/>
          <w:lang w:val="es-ES_tradnl"/>
        </w:rPr>
      </w:pPr>
      <w:bookmarkStart w:id="20" w:name="_Toc36386502"/>
      <w:bookmarkStart w:id="21" w:name="_Toc38625755"/>
      <w:bookmarkEnd w:id="20"/>
      <w:r w:rsidRPr="00E11317">
        <w:rPr>
          <w:rFonts w:ascii="Arial" w:hAnsi="Arial" w:cs="Arial"/>
          <w:szCs w:val="24"/>
          <w:lang w:val="es-ES_tradnl"/>
        </w:rPr>
        <w:lastRenderedPageBreak/>
        <w:t>Análisis de Sensibilidad</w:t>
      </w:r>
      <w:bookmarkEnd w:id="21"/>
    </w:p>
    <w:p w14:paraId="6CF00F7F" w14:textId="6A0ADEB8" w:rsidR="00244B7E" w:rsidRPr="00E11317" w:rsidRDefault="00656426" w:rsidP="00BF7FD8">
      <w:pPr>
        <w:pStyle w:val="ListParagraph"/>
        <w:numPr>
          <w:ilvl w:val="0"/>
          <w:numId w:val="6"/>
        </w:numPr>
        <w:spacing w:after="240"/>
        <w:ind w:left="630" w:hanging="630"/>
        <w:jc w:val="both"/>
      </w:pPr>
      <w:r w:rsidRPr="00E11317">
        <w:rPr>
          <w:rFonts w:ascii="Arial" w:hAnsi="Arial" w:cs="Arial"/>
          <w:sz w:val="22"/>
          <w:szCs w:val="18"/>
          <w:lang w:val="es-MX"/>
        </w:rPr>
        <w:t xml:space="preserve">El escenario central sobre el que se basa el análisis presentado en la sección anterior </w:t>
      </w:r>
      <w:r w:rsidR="006570A5" w:rsidRPr="00E11317">
        <w:rPr>
          <w:rFonts w:ascii="Arial" w:hAnsi="Arial" w:cs="Arial"/>
          <w:sz w:val="22"/>
          <w:szCs w:val="18"/>
          <w:lang w:val="es-MX"/>
        </w:rPr>
        <w:t>se sensibiliza a continuación en múltiples dimensiones y su punto muerto de cada una de ellas, que hace cero los beneficios del programa.</w:t>
      </w:r>
    </w:p>
    <w:p w14:paraId="3E0F1DEC" w14:textId="77777777" w:rsidR="00E11317" w:rsidRPr="00E11317" w:rsidRDefault="00E11317" w:rsidP="00E11317">
      <w:pPr>
        <w:pStyle w:val="ListParagraph"/>
        <w:spacing w:after="240"/>
        <w:jc w:val="both"/>
      </w:pPr>
    </w:p>
    <w:p w14:paraId="281A515B" w14:textId="294876E1" w:rsidR="00244B7E" w:rsidRPr="006A77B8" w:rsidRDefault="00FB66E0" w:rsidP="00BF7FD8">
      <w:pPr>
        <w:pStyle w:val="ListParagraph"/>
        <w:numPr>
          <w:ilvl w:val="0"/>
          <w:numId w:val="6"/>
        </w:numPr>
        <w:spacing w:after="240"/>
        <w:ind w:left="630" w:hanging="630"/>
        <w:jc w:val="both"/>
        <w:rPr>
          <w:rFonts w:ascii="Arial" w:hAnsi="Arial" w:cs="Arial"/>
          <w:sz w:val="22"/>
          <w:szCs w:val="18"/>
          <w:lang w:val="es-MX"/>
        </w:rPr>
      </w:pPr>
      <w:r w:rsidRPr="0073400B">
        <w:rPr>
          <w:rFonts w:ascii="Arial" w:hAnsi="Arial" w:cs="Arial"/>
          <w:sz w:val="22"/>
        </w:rPr>
        <w:t xml:space="preserve">La Tabla </w:t>
      </w:r>
      <w:r w:rsidR="00E11317">
        <w:rPr>
          <w:rFonts w:ascii="Arial" w:hAnsi="Arial" w:cs="Arial"/>
          <w:sz w:val="22"/>
        </w:rPr>
        <w:t>4</w:t>
      </w:r>
      <w:r w:rsidR="002117D7">
        <w:rPr>
          <w:rFonts w:ascii="Arial" w:hAnsi="Arial" w:cs="Arial"/>
          <w:sz w:val="22"/>
        </w:rPr>
        <w:t>.1</w:t>
      </w:r>
      <w:r w:rsidR="002117D7" w:rsidRPr="0073400B">
        <w:rPr>
          <w:rFonts w:ascii="Arial" w:hAnsi="Arial" w:cs="Arial"/>
          <w:sz w:val="22"/>
        </w:rPr>
        <w:t xml:space="preserve"> </w:t>
      </w:r>
      <w:r w:rsidRPr="0073400B">
        <w:rPr>
          <w:rFonts w:ascii="Arial" w:hAnsi="Arial" w:cs="Arial"/>
          <w:sz w:val="22"/>
        </w:rPr>
        <w:t>resume los resultados de la aplicación de un Análisis de Sensibilidad ante diferentes escenarios.</w:t>
      </w:r>
    </w:p>
    <w:p w14:paraId="05B365B2" w14:textId="52C529EB" w:rsidR="009B346B" w:rsidRPr="00E11317" w:rsidRDefault="009B346B" w:rsidP="006A77B8">
      <w:pPr>
        <w:pStyle w:val="SubSubPar"/>
        <w:numPr>
          <w:ilvl w:val="0"/>
          <w:numId w:val="0"/>
        </w:numPr>
        <w:jc w:val="center"/>
        <w:rPr>
          <w:rFonts w:ascii="Arial" w:hAnsi="Arial" w:cs="Arial"/>
          <w:b/>
          <w:color w:val="000000" w:themeColor="text1"/>
          <w:sz w:val="18"/>
          <w:szCs w:val="14"/>
          <w:lang w:val="es-ES_tradnl"/>
        </w:rPr>
      </w:pPr>
      <w:r w:rsidRPr="00E11317">
        <w:rPr>
          <w:rFonts w:ascii="Arial" w:hAnsi="Arial" w:cs="Arial"/>
          <w:b/>
          <w:color w:val="000000" w:themeColor="text1"/>
          <w:sz w:val="18"/>
          <w:szCs w:val="14"/>
          <w:lang w:val="es-ES_tradnl"/>
        </w:rPr>
        <w:t xml:space="preserve">Tabla </w:t>
      </w:r>
      <w:r w:rsidR="00E11317" w:rsidRPr="00E11317">
        <w:rPr>
          <w:rFonts w:ascii="Arial" w:hAnsi="Arial" w:cs="Arial"/>
          <w:b/>
          <w:color w:val="000000" w:themeColor="text1"/>
          <w:sz w:val="18"/>
          <w:szCs w:val="14"/>
          <w:lang w:val="es-ES_tradnl"/>
        </w:rPr>
        <w:t>4</w:t>
      </w:r>
      <w:r w:rsidR="002117D7" w:rsidRPr="00E11317">
        <w:rPr>
          <w:rFonts w:ascii="Arial" w:hAnsi="Arial" w:cs="Arial"/>
          <w:b/>
          <w:color w:val="000000" w:themeColor="text1"/>
          <w:sz w:val="18"/>
          <w:szCs w:val="14"/>
          <w:lang w:val="es-ES_tradnl"/>
        </w:rPr>
        <w:t>.1</w:t>
      </w:r>
      <w:r w:rsidRPr="00E11317">
        <w:rPr>
          <w:rFonts w:ascii="Arial" w:hAnsi="Arial" w:cs="Arial"/>
          <w:b/>
          <w:color w:val="000000" w:themeColor="text1"/>
          <w:sz w:val="18"/>
          <w:szCs w:val="14"/>
          <w:lang w:val="es-ES_tradnl"/>
        </w:rPr>
        <w:t>. Análisis de Sensibilidad</w:t>
      </w:r>
    </w:p>
    <w:tbl>
      <w:tblPr>
        <w:tblW w:w="917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5"/>
        <w:gridCol w:w="1530"/>
        <w:gridCol w:w="1524"/>
        <w:gridCol w:w="1446"/>
        <w:gridCol w:w="1170"/>
        <w:gridCol w:w="720"/>
      </w:tblGrid>
      <w:tr w:rsidR="00203658" w:rsidRPr="0073400B" w14:paraId="72BD7526" w14:textId="77777777" w:rsidTr="00E11317">
        <w:trPr>
          <w:trHeight w:val="836"/>
          <w:jc w:val="right"/>
        </w:trPr>
        <w:tc>
          <w:tcPr>
            <w:tcW w:w="2785" w:type="dxa"/>
            <w:shd w:val="clear" w:color="000000" w:fill="C9C9C9"/>
            <w:noWrap/>
            <w:vAlign w:val="center"/>
            <w:hideMark/>
          </w:tcPr>
          <w:p w14:paraId="4E5106E0" w14:textId="77777777" w:rsidR="00203658" w:rsidRPr="0073400B" w:rsidRDefault="00203658" w:rsidP="00E11317">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Parámetro</w:t>
            </w:r>
          </w:p>
        </w:tc>
        <w:tc>
          <w:tcPr>
            <w:tcW w:w="1530" w:type="dxa"/>
            <w:shd w:val="clear" w:color="000000" w:fill="C9C9C9"/>
            <w:vAlign w:val="center"/>
          </w:tcPr>
          <w:p w14:paraId="48B463C8" w14:textId="77777777" w:rsidR="00203658" w:rsidRDefault="00203658" w:rsidP="00E11317">
            <w:pPr>
              <w:spacing w:after="0" w:line="240" w:lineRule="auto"/>
              <w:jc w:val="center"/>
              <w:rPr>
                <w:rFonts w:ascii="Arial" w:eastAsia="Times New Roman" w:hAnsi="Arial" w:cs="Arial"/>
                <w:b/>
                <w:bCs/>
                <w:color w:val="000000"/>
                <w:sz w:val="18"/>
                <w:szCs w:val="20"/>
                <w:lang w:val="es-ES_tradnl" w:eastAsia="en-US"/>
              </w:rPr>
            </w:pPr>
          </w:p>
          <w:p w14:paraId="21CCF260" w14:textId="77777777" w:rsidR="00203658" w:rsidRDefault="00203658" w:rsidP="00E11317">
            <w:pPr>
              <w:spacing w:after="0" w:line="240" w:lineRule="auto"/>
              <w:ind w:left="-104" w:right="-105"/>
              <w:jc w:val="center"/>
              <w:rPr>
                <w:rFonts w:ascii="Arial" w:eastAsia="Times New Roman" w:hAnsi="Arial" w:cs="Arial"/>
                <w:b/>
                <w:bCs/>
                <w:color w:val="000000"/>
                <w:sz w:val="18"/>
                <w:szCs w:val="20"/>
                <w:lang w:val="es-ES_tradnl" w:eastAsia="en-US"/>
              </w:rPr>
            </w:pPr>
            <w:r>
              <w:rPr>
                <w:rFonts w:ascii="Arial" w:eastAsia="Times New Roman" w:hAnsi="Arial" w:cs="Arial"/>
                <w:b/>
                <w:bCs/>
                <w:color w:val="000000"/>
                <w:sz w:val="18"/>
                <w:szCs w:val="20"/>
                <w:lang w:val="es-ES_tradnl" w:eastAsia="en-US"/>
              </w:rPr>
              <w:t>Valor del parámetro en el escenario base</w:t>
            </w:r>
          </w:p>
          <w:p w14:paraId="212243C4" w14:textId="7EBFDEA2" w:rsidR="00203658" w:rsidRPr="0073400B" w:rsidRDefault="00203658" w:rsidP="00E11317">
            <w:pPr>
              <w:spacing w:after="0" w:line="240" w:lineRule="auto"/>
              <w:ind w:left="-104" w:right="-105"/>
              <w:jc w:val="center"/>
              <w:rPr>
                <w:rFonts w:ascii="Arial" w:eastAsia="Times New Roman" w:hAnsi="Arial" w:cs="Arial"/>
                <w:b/>
                <w:bCs/>
                <w:color w:val="000000"/>
                <w:sz w:val="18"/>
                <w:szCs w:val="20"/>
                <w:lang w:val="es-ES_tradnl" w:eastAsia="en-US"/>
              </w:rPr>
            </w:pPr>
          </w:p>
        </w:tc>
        <w:tc>
          <w:tcPr>
            <w:tcW w:w="1524" w:type="dxa"/>
            <w:shd w:val="clear" w:color="000000" w:fill="C9C9C9"/>
            <w:vAlign w:val="center"/>
            <w:hideMark/>
          </w:tcPr>
          <w:p w14:paraId="15819578" w14:textId="14086548" w:rsidR="00203658" w:rsidRPr="0073400B" w:rsidRDefault="00203658" w:rsidP="00E11317">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Modificación del parámetro</w:t>
            </w:r>
          </w:p>
        </w:tc>
        <w:tc>
          <w:tcPr>
            <w:tcW w:w="1446" w:type="dxa"/>
            <w:shd w:val="clear" w:color="000000" w:fill="C9C9C9"/>
            <w:vAlign w:val="center"/>
            <w:hideMark/>
          </w:tcPr>
          <w:p w14:paraId="274FEB1F" w14:textId="77777777" w:rsidR="00203658" w:rsidRPr="0073400B" w:rsidRDefault="00203658" w:rsidP="00E11317">
            <w:pPr>
              <w:spacing w:after="0" w:line="240" w:lineRule="auto"/>
              <w:ind w:left="-104" w:right="-105"/>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VPN Sensibilizado (US$ millones)</w:t>
            </w:r>
          </w:p>
        </w:tc>
        <w:tc>
          <w:tcPr>
            <w:tcW w:w="1170" w:type="dxa"/>
            <w:shd w:val="clear" w:color="000000" w:fill="C9C9C9"/>
            <w:vAlign w:val="center"/>
          </w:tcPr>
          <w:p w14:paraId="7EAA121C" w14:textId="70E5F8FB" w:rsidR="00203658" w:rsidRPr="0073400B" w:rsidRDefault="00203658" w:rsidP="00E11317">
            <w:pPr>
              <w:spacing w:after="0" w:line="240" w:lineRule="auto"/>
              <w:jc w:val="center"/>
              <w:rPr>
                <w:rFonts w:ascii="Arial" w:eastAsia="Times New Roman" w:hAnsi="Arial" w:cs="Arial"/>
                <w:b/>
                <w:bCs/>
                <w:color w:val="000000"/>
                <w:sz w:val="18"/>
                <w:szCs w:val="20"/>
                <w:lang w:val="es-ES_tradnl" w:eastAsia="en-US"/>
              </w:rPr>
            </w:pPr>
            <w:r>
              <w:rPr>
                <w:rFonts w:ascii="Arial" w:eastAsia="Times New Roman" w:hAnsi="Arial" w:cs="Arial"/>
                <w:b/>
                <w:bCs/>
                <w:color w:val="000000"/>
                <w:sz w:val="18"/>
                <w:szCs w:val="20"/>
                <w:lang w:val="es-ES_tradnl" w:eastAsia="en-US"/>
              </w:rPr>
              <w:t>Valor “break-</w:t>
            </w:r>
            <w:proofErr w:type="spellStart"/>
            <w:r>
              <w:rPr>
                <w:rFonts w:ascii="Arial" w:eastAsia="Times New Roman" w:hAnsi="Arial" w:cs="Arial"/>
                <w:b/>
                <w:bCs/>
                <w:color w:val="000000"/>
                <w:sz w:val="18"/>
                <w:szCs w:val="20"/>
                <w:lang w:val="es-ES_tradnl" w:eastAsia="en-US"/>
              </w:rPr>
              <w:t>even</w:t>
            </w:r>
            <w:proofErr w:type="spellEnd"/>
            <w:r>
              <w:rPr>
                <w:rFonts w:ascii="Arial" w:eastAsia="Times New Roman" w:hAnsi="Arial" w:cs="Arial"/>
                <w:b/>
                <w:bCs/>
                <w:color w:val="000000"/>
                <w:sz w:val="18"/>
                <w:szCs w:val="20"/>
                <w:lang w:val="es-ES_tradnl" w:eastAsia="en-US"/>
              </w:rPr>
              <w:t>” del parámetro</w:t>
            </w:r>
          </w:p>
        </w:tc>
        <w:tc>
          <w:tcPr>
            <w:tcW w:w="720" w:type="dxa"/>
            <w:shd w:val="clear" w:color="000000" w:fill="C9C9C9"/>
            <w:vAlign w:val="center"/>
          </w:tcPr>
          <w:p w14:paraId="3FFBC586" w14:textId="3D58470A" w:rsidR="00203658" w:rsidRPr="0073400B" w:rsidRDefault="00203658" w:rsidP="00E11317">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TIR</w:t>
            </w:r>
          </w:p>
          <w:p w14:paraId="38D58789" w14:textId="77777777" w:rsidR="00203658" w:rsidRPr="0073400B" w:rsidRDefault="00203658" w:rsidP="00E11317">
            <w:pPr>
              <w:spacing w:after="0" w:line="240" w:lineRule="auto"/>
              <w:jc w:val="center"/>
              <w:rPr>
                <w:rFonts w:ascii="Arial" w:eastAsia="Times New Roman" w:hAnsi="Arial" w:cs="Arial"/>
                <w:b/>
                <w:bCs/>
                <w:color w:val="000000"/>
                <w:sz w:val="18"/>
                <w:szCs w:val="20"/>
                <w:lang w:val="es-ES_tradnl" w:eastAsia="en-US"/>
              </w:rPr>
            </w:pPr>
            <w:r w:rsidRPr="0073400B">
              <w:rPr>
                <w:rFonts w:ascii="Arial" w:eastAsia="Times New Roman" w:hAnsi="Arial" w:cs="Arial"/>
                <w:b/>
                <w:bCs/>
                <w:color w:val="000000"/>
                <w:sz w:val="18"/>
                <w:szCs w:val="20"/>
                <w:lang w:val="es-ES_tradnl" w:eastAsia="en-US"/>
              </w:rPr>
              <w:t>(%)</w:t>
            </w:r>
          </w:p>
        </w:tc>
      </w:tr>
      <w:tr w:rsidR="002117D7" w:rsidRPr="006A55A9" w14:paraId="5E139C80" w14:textId="77777777" w:rsidTr="00E11317">
        <w:trPr>
          <w:trHeight w:val="904"/>
          <w:jc w:val="right"/>
        </w:trPr>
        <w:tc>
          <w:tcPr>
            <w:tcW w:w="2785" w:type="dxa"/>
            <w:shd w:val="clear" w:color="auto" w:fill="auto"/>
            <w:noWrap/>
            <w:hideMark/>
          </w:tcPr>
          <w:p w14:paraId="69441F99" w14:textId="155B81F9" w:rsidR="002117D7" w:rsidRPr="0073400B" w:rsidRDefault="002117D7" w:rsidP="00E11317">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Diferencia en la probabilidad de supervivencia de la PYME con y sin apoyo del programa</w:t>
            </w:r>
          </w:p>
        </w:tc>
        <w:tc>
          <w:tcPr>
            <w:tcW w:w="1530" w:type="dxa"/>
          </w:tcPr>
          <w:p w14:paraId="51960406" w14:textId="759D5DFC" w:rsidR="002117D7" w:rsidRPr="0073400B" w:rsidRDefault="002117D7"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1.8 p.p.</w:t>
            </w:r>
          </w:p>
        </w:tc>
        <w:tc>
          <w:tcPr>
            <w:tcW w:w="1524" w:type="dxa"/>
            <w:shd w:val="clear" w:color="auto" w:fill="auto"/>
          </w:tcPr>
          <w:p w14:paraId="757D26E4" w14:textId="1A9CB66E" w:rsidR="002117D7" w:rsidRPr="0073400B" w:rsidRDefault="002117D7"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0.9 p.p.</w:t>
            </w:r>
          </w:p>
        </w:tc>
        <w:tc>
          <w:tcPr>
            <w:tcW w:w="1446" w:type="dxa"/>
            <w:shd w:val="clear" w:color="auto" w:fill="auto"/>
          </w:tcPr>
          <w:p w14:paraId="5D49F1C3" w14:textId="04C95B0B" w:rsidR="002117D7" w:rsidRPr="006A77B8" w:rsidRDefault="00962A92"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40</w:t>
            </w:r>
            <w:r w:rsidR="002117D7">
              <w:rPr>
                <w:rFonts w:ascii="Arial" w:eastAsia="Times New Roman" w:hAnsi="Arial" w:cs="Arial"/>
                <w:sz w:val="18"/>
                <w:szCs w:val="18"/>
                <w:lang w:val="es-ES_tradnl" w:eastAsia="en-US"/>
              </w:rPr>
              <w:t>.</w:t>
            </w:r>
            <w:r>
              <w:rPr>
                <w:rFonts w:ascii="Arial" w:eastAsia="Times New Roman" w:hAnsi="Arial" w:cs="Arial"/>
                <w:sz w:val="18"/>
                <w:szCs w:val="18"/>
                <w:lang w:val="es-ES_tradnl" w:eastAsia="en-US"/>
              </w:rPr>
              <w:t>1</w:t>
            </w:r>
          </w:p>
        </w:tc>
        <w:tc>
          <w:tcPr>
            <w:tcW w:w="1170" w:type="dxa"/>
          </w:tcPr>
          <w:p w14:paraId="250FA036" w14:textId="273B0437" w:rsidR="002117D7" w:rsidRPr="006A77B8" w:rsidRDefault="002117D7"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0.</w:t>
            </w:r>
            <w:r w:rsidR="00962A92">
              <w:rPr>
                <w:rFonts w:ascii="Arial" w:eastAsia="Times New Roman" w:hAnsi="Arial" w:cs="Arial"/>
                <w:sz w:val="18"/>
                <w:szCs w:val="18"/>
                <w:lang w:val="es-ES_tradnl" w:eastAsia="en-US"/>
              </w:rPr>
              <w:t>6</w:t>
            </w:r>
            <w:r>
              <w:rPr>
                <w:rFonts w:ascii="Arial" w:eastAsia="Times New Roman" w:hAnsi="Arial" w:cs="Arial"/>
                <w:sz w:val="18"/>
                <w:szCs w:val="18"/>
                <w:lang w:val="es-ES_tradnl" w:eastAsia="en-US"/>
              </w:rPr>
              <w:t xml:space="preserve"> p.p.</w:t>
            </w:r>
          </w:p>
        </w:tc>
        <w:tc>
          <w:tcPr>
            <w:tcW w:w="720" w:type="dxa"/>
          </w:tcPr>
          <w:p w14:paraId="78CCA645" w14:textId="5E65AC0D" w:rsidR="002117D7" w:rsidRPr="006A77B8" w:rsidRDefault="002117D7"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w:t>
            </w:r>
            <w:r w:rsidR="00962A92">
              <w:rPr>
                <w:rFonts w:ascii="Arial" w:eastAsia="Times New Roman" w:hAnsi="Arial" w:cs="Arial"/>
                <w:sz w:val="18"/>
                <w:szCs w:val="18"/>
                <w:lang w:val="es-ES_tradnl" w:eastAsia="en-US"/>
              </w:rPr>
              <w:t>8</w:t>
            </w:r>
          </w:p>
        </w:tc>
      </w:tr>
      <w:tr w:rsidR="002636EB" w:rsidRPr="006A55A9" w14:paraId="5DE68A44" w14:textId="77777777" w:rsidTr="00E11317">
        <w:trPr>
          <w:trHeight w:val="894"/>
          <w:jc w:val="right"/>
        </w:trPr>
        <w:tc>
          <w:tcPr>
            <w:tcW w:w="2785" w:type="dxa"/>
            <w:shd w:val="clear" w:color="auto" w:fill="auto"/>
            <w:noWrap/>
            <w:hideMark/>
          </w:tcPr>
          <w:p w14:paraId="2AA4E88F" w14:textId="7B11006C" w:rsidR="002636EB" w:rsidRPr="0073400B" w:rsidRDefault="002636EB" w:rsidP="00E11317">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Reducción inicial de las ventas de las PYME con y sin apoyo del programa</w:t>
            </w:r>
          </w:p>
        </w:tc>
        <w:tc>
          <w:tcPr>
            <w:tcW w:w="1530" w:type="dxa"/>
          </w:tcPr>
          <w:p w14:paraId="5725DCDF" w14:textId="77777777" w:rsidR="002636EB" w:rsidRPr="0073400B" w:rsidRDefault="002636EB"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Con = 15%</w:t>
            </w:r>
          </w:p>
          <w:p w14:paraId="0D484A90" w14:textId="629731F9" w:rsidR="002636EB" w:rsidRPr="0073400B" w:rsidRDefault="002636EB"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Sin = 14.25%</w:t>
            </w:r>
          </w:p>
        </w:tc>
        <w:tc>
          <w:tcPr>
            <w:tcW w:w="1524" w:type="dxa"/>
            <w:shd w:val="clear" w:color="auto" w:fill="auto"/>
          </w:tcPr>
          <w:p w14:paraId="4F93E491" w14:textId="77777777" w:rsidR="002636EB" w:rsidRPr="0073400B" w:rsidRDefault="002636EB"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Con = 30%</w:t>
            </w:r>
          </w:p>
          <w:p w14:paraId="137A780A" w14:textId="77B47A1F" w:rsidR="002636EB" w:rsidRPr="0073400B" w:rsidRDefault="002636EB"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Sin = 28.5%</w:t>
            </w:r>
          </w:p>
        </w:tc>
        <w:tc>
          <w:tcPr>
            <w:tcW w:w="1446" w:type="dxa"/>
            <w:shd w:val="clear" w:color="auto" w:fill="auto"/>
          </w:tcPr>
          <w:p w14:paraId="5C5BD30D" w14:textId="459E575C" w:rsidR="002636EB" w:rsidRPr="00124DB6" w:rsidRDefault="00962A92"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158</w:t>
            </w:r>
            <w:r w:rsidR="002636EB" w:rsidRPr="00124DB6">
              <w:rPr>
                <w:rFonts w:ascii="Arial" w:eastAsia="Times New Roman" w:hAnsi="Arial" w:cs="Arial"/>
                <w:sz w:val="18"/>
                <w:szCs w:val="18"/>
                <w:lang w:val="es-ES_tradnl" w:eastAsia="en-US"/>
              </w:rPr>
              <w:t>.</w:t>
            </w:r>
            <w:r>
              <w:rPr>
                <w:rFonts w:ascii="Arial" w:eastAsia="Times New Roman" w:hAnsi="Arial" w:cs="Arial"/>
                <w:sz w:val="18"/>
                <w:szCs w:val="18"/>
                <w:lang w:val="es-ES_tradnl" w:eastAsia="en-US"/>
              </w:rPr>
              <w:t>1</w:t>
            </w:r>
          </w:p>
        </w:tc>
        <w:tc>
          <w:tcPr>
            <w:tcW w:w="1170" w:type="dxa"/>
          </w:tcPr>
          <w:p w14:paraId="457FF700" w14:textId="07201E11" w:rsidR="002636EB" w:rsidRPr="00124DB6" w:rsidRDefault="002636EB" w:rsidP="00E11317">
            <w:pPr>
              <w:spacing w:after="0" w:line="240" w:lineRule="auto"/>
              <w:jc w:val="center"/>
              <w:rPr>
                <w:rFonts w:ascii="Arial" w:eastAsia="Times New Roman" w:hAnsi="Arial" w:cs="Arial"/>
                <w:sz w:val="18"/>
                <w:szCs w:val="18"/>
                <w:lang w:val="es-ES_tradnl" w:eastAsia="en-US"/>
              </w:rPr>
            </w:pPr>
            <w:proofErr w:type="spellStart"/>
            <w:r w:rsidRPr="00124DB6">
              <w:rPr>
                <w:rFonts w:ascii="Arial" w:eastAsia="Times New Roman" w:hAnsi="Arial" w:cs="Arial"/>
                <w:sz w:val="18"/>
                <w:szCs w:val="18"/>
                <w:lang w:val="es-ES_tradnl" w:eastAsia="en-US"/>
              </w:rPr>
              <w:t>n.a</w:t>
            </w:r>
            <w:proofErr w:type="spellEnd"/>
            <w:r w:rsidRPr="00124DB6">
              <w:rPr>
                <w:rFonts w:ascii="Arial" w:eastAsia="Times New Roman" w:hAnsi="Arial" w:cs="Arial"/>
                <w:sz w:val="18"/>
                <w:szCs w:val="18"/>
                <w:lang w:val="es-ES_tradnl" w:eastAsia="en-US"/>
              </w:rPr>
              <w:t>.</w:t>
            </w:r>
          </w:p>
        </w:tc>
        <w:tc>
          <w:tcPr>
            <w:tcW w:w="720" w:type="dxa"/>
          </w:tcPr>
          <w:p w14:paraId="49BC7523" w14:textId="3EF460A7" w:rsidR="002636EB" w:rsidRPr="00124DB6" w:rsidRDefault="00962A92"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31</w:t>
            </w:r>
          </w:p>
        </w:tc>
      </w:tr>
      <w:tr w:rsidR="00124DB6" w:rsidRPr="006A55A9" w14:paraId="71868FAB" w14:textId="77777777" w:rsidTr="00E11317">
        <w:trPr>
          <w:trHeight w:val="288"/>
          <w:jc w:val="right"/>
        </w:trPr>
        <w:tc>
          <w:tcPr>
            <w:tcW w:w="2785" w:type="dxa"/>
            <w:vMerge w:val="restart"/>
            <w:shd w:val="clear" w:color="auto" w:fill="auto"/>
            <w:noWrap/>
            <w:hideMark/>
          </w:tcPr>
          <w:p w14:paraId="42691E69" w14:textId="3E2E4460" w:rsidR="00124DB6" w:rsidRPr="0073400B" w:rsidRDefault="00124DB6" w:rsidP="00E11317">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Ventas promedio de las PYME apoyadas por el programa</w:t>
            </w:r>
          </w:p>
        </w:tc>
        <w:tc>
          <w:tcPr>
            <w:tcW w:w="1530" w:type="dxa"/>
          </w:tcPr>
          <w:p w14:paraId="37F4B473" w14:textId="2BF5EE09" w:rsidR="00124DB6" w:rsidRPr="0073400B" w:rsidRDefault="00124DB6"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29 </w:t>
            </w:r>
            <w:proofErr w:type="spellStart"/>
            <w:r>
              <w:rPr>
                <w:rFonts w:ascii="Arial" w:eastAsia="Times New Roman" w:hAnsi="Arial" w:cs="Arial"/>
                <w:sz w:val="18"/>
                <w:szCs w:val="18"/>
                <w:lang w:val="es-ES_tradnl" w:eastAsia="en-US"/>
              </w:rPr>
              <w:t>mdp</w:t>
            </w:r>
            <w:proofErr w:type="spellEnd"/>
          </w:p>
        </w:tc>
        <w:tc>
          <w:tcPr>
            <w:tcW w:w="1524" w:type="dxa"/>
            <w:shd w:val="clear" w:color="auto" w:fill="auto"/>
          </w:tcPr>
          <w:p w14:paraId="55C08AD1" w14:textId="43110663" w:rsidR="00124DB6" w:rsidRPr="0073400B" w:rsidRDefault="00124DB6"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16 </w:t>
            </w:r>
            <w:proofErr w:type="spellStart"/>
            <w:r>
              <w:rPr>
                <w:rFonts w:ascii="Arial" w:eastAsia="Times New Roman" w:hAnsi="Arial" w:cs="Arial"/>
                <w:sz w:val="18"/>
                <w:szCs w:val="18"/>
                <w:lang w:val="es-ES_tradnl" w:eastAsia="en-US"/>
              </w:rPr>
              <w:t>mdp</w:t>
            </w:r>
            <w:proofErr w:type="spellEnd"/>
          </w:p>
        </w:tc>
        <w:tc>
          <w:tcPr>
            <w:tcW w:w="1446" w:type="dxa"/>
            <w:shd w:val="clear" w:color="auto" w:fill="auto"/>
          </w:tcPr>
          <w:p w14:paraId="569A6A9C" w14:textId="05C47809" w:rsidR="00124DB6" w:rsidRPr="00124DB6" w:rsidRDefault="00962A92"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45</w:t>
            </w:r>
            <w:r w:rsidR="00124DB6" w:rsidRPr="00124DB6">
              <w:rPr>
                <w:rFonts w:ascii="Arial" w:eastAsia="Times New Roman" w:hAnsi="Arial" w:cs="Arial"/>
                <w:sz w:val="18"/>
                <w:szCs w:val="18"/>
                <w:lang w:val="es-ES_tradnl" w:eastAsia="en-US"/>
              </w:rPr>
              <w:t>.</w:t>
            </w:r>
            <w:r>
              <w:rPr>
                <w:rFonts w:ascii="Arial" w:eastAsia="Times New Roman" w:hAnsi="Arial" w:cs="Arial"/>
                <w:sz w:val="18"/>
                <w:szCs w:val="18"/>
                <w:lang w:val="es-ES_tradnl" w:eastAsia="en-US"/>
              </w:rPr>
              <w:t>6</w:t>
            </w:r>
          </w:p>
        </w:tc>
        <w:tc>
          <w:tcPr>
            <w:tcW w:w="1170" w:type="dxa"/>
            <w:vMerge w:val="restart"/>
          </w:tcPr>
          <w:p w14:paraId="5F55CC85" w14:textId="33AA5C89" w:rsidR="00124DB6" w:rsidRPr="00124DB6" w:rsidRDefault="00124DB6" w:rsidP="00E11317">
            <w:pPr>
              <w:spacing w:after="0" w:line="240" w:lineRule="auto"/>
              <w:jc w:val="center"/>
              <w:rPr>
                <w:rFonts w:ascii="Arial" w:eastAsia="Times New Roman" w:hAnsi="Arial" w:cs="Arial"/>
                <w:sz w:val="18"/>
                <w:szCs w:val="18"/>
                <w:lang w:val="es-ES_tradnl" w:eastAsia="en-US"/>
              </w:rPr>
            </w:pPr>
            <w:r w:rsidRPr="00124DB6">
              <w:rPr>
                <w:rFonts w:ascii="Arial" w:eastAsia="Times New Roman" w:hAnsi="Arial" w:cs="Arial"/>
                <w:sz w:val="18"/>
                <w:szCs w:val="18"/>
                <w:lang w:val="es-ES_tradnl" w:eastAsia="en-US"/>
              </w:rPr>
              <w:t>1</w:t>
            </w:r>
            <w:r w:rsidR="00962A92">
              <w:rPr>
                <w:rFonts w:ascii="Arial" w:eastAsia="Times New Roman" w:hAnsi="Arial" w:cs="Arial"/>
                <w:sz w:val="18"/>
                <w:szCs w:val="18"/>
                <w:lang w:val="es-ES_tradnl" w:eastAsia="en-US"/>
              </w:rPr>
              <w:t>0</w:t>
            </w:r>
            <w:r w:rsidRPr="00124DB6">
              <w:rPr>
                <w:rFonts w:ascii="Arial" w:eastAsia="Times New Roman" w:hAnsi="Arial" w:cs="Arial"/>
                <w:sz w:val="18"/>
                <w:szCs w:val="18"/>
                <w:lang w:val="es-ES_tradnl" w:eastAsia="en-US"/>
              </w:rPr>
              <w:t>.</w:t>
            </w:r>
            <w:r w:rsidR="00962A92">
              <w:rPr>
                <w:rFonts w:ascii="Arial" w:eastAsia="Times New Roman" w:hAnsi="Arial" w:cs="Arial"/>
                <w:sz w:val="18"/>
                <w:szCs w:val="18"/>
                <w:lang w:val="es-ES_tradnl" w:eastAsia="en-US"/>
              </w:rPr>
              <w:t>3</w:t>
            </w:r>
            <w:r w:rsidRPr="00124DB6">
              <w:rPr>
                <w:rFonts w:ascii="Arial" w:eastAsia="Times New Roman" w:hAnsi="Arial" w:cs="Arial"/>
                <w:sz w:val="18"/>
                <w:szCs w:val="18"/>
                <w:lang w:val="es-ES_tradnl" w:eastAsia="en-US"/>
              </w:rPr>
              <w:t xml:space="preserve"> </w:t>
            </w:r>
            <w:proofErr w:type="spellStart"/>
            <w:r w:rsidRPr="00124DB6">
              <w:rPr>
                <w:rFonts w:ascii="Arial" w:eastAsia="Times New Roman" w:hAnsi="Arial" w:cs="Arial"/>
                <w:sz w:val="18"/>
                <w:szCs w:val="18"/>
                <w:lang w:val="es-ES_tradnl" w:eastAsia="en-US"/>
              </w:rPr>
              <w:t>mdp</w:t>
            </w:r>
            <w:proofErr w:type="spellEnd"/>
          </w:p>
        </w:tc>
        <w:tc>
          <w:tcPr>
            <w:tcW w:w="720" w:type="dxa"/>
          </w:tcPr>
          <w:p w14:paraId="7CF8D815" w14:textId="101B8A51" w:rsidR="00124DB6" w:rsidRPr="00124DB6" w:rsidRDefault="00124DB6" w:rsidP="00E11317">
            <w:pPr>
              <w:spacing w:after="0" w:line="240" w:lineRule="auto"/>
              <w:jc w:val="center"/>
              <w:rPr>
                <w:rFonts w:ascii="Arial" w:eastAsia="Times New Roman" w:hAnsi="Arial" w:cs="Arial"/>
                <w:sz w:val="18"/>
                <w:szCs w:val="18"/>
                <w:lang w:val="es-ES_tradnl" w:eastAsia="en-US"/>
              </w:rPr>
            </w:pPr>
            <w:r w:rsidRPr="00124DB6">
              <w:rPr>
                <w:rFonts w:ascii="Arial" w:eastAsia="Times New Roman" w:hAnsi="Arial" w:cs="Arial"/>
                <w:sz w:val="18"/>
                <w:szCs w:val="18"/>
                <w:lang w:val="es-ES_tradnl" w:eastAsia="en-US"/>
              </w:rPr>
              <w:t>1</w:t>
            </w:r>
            <w:r w:rsidR="00962A92">
              <w:rPr>
                <w:rFonts w:ascii="Arial" w:eastAsia="Times New Roman" w:hAnsi="Arial" w:cs="Arial"/>
                <w:sz w:val="18"/>
                <w:szCs w:val="18"/>
                <w:lang w:val="es-ES_tradnl" w:eastAsia="en-US"/>
              </w:rPr>
              <w:t>8</w:t>
            </w:r>
          </w:p>
        </w:tc>
      </w:tr>
      <w:tr w:rsidR="00124DB6" w:rsidRPr="006A55A9" w14:paraId="4BB918D2" w14:textId="77777777" w:rsidTr="00E11317">
        <w:trPr>
          <w:trHeight w:val="296"/>
          <w:jc w:val="right"/>
        </w:trPr>
        <w:tc>
          <w:tcPr>
            <w:tcW w:w="2785" w:type="dxa"/>
            <w:vMerge/>
            <w:hideMark/>
          </w:tcPr>
          <w:p w14:paraId="52427EA4" w14:textId="77777777" w:rsidR="00124DB6" w:rsidRPr="0073400B" w:rsidRDefault="00124DB6" w:rsidP="00E11317">
            <w:pPr>
              <w:spacing w:after="0" w:line="240" w:lineRule="auto"/>
              <w:rPr>
                <w:rFonts w:ascii="Arial" w:eastAsia="Times New Roman" w:hAnsi="Arial" w:cs="Arial"/>
                <w:sz w:val="18"/>
                <w:szCs w:val="18"/>
                <w:lang w:val="es-ES_tradnl" w:eastAsia="en-US"/>
              </w:rPr>
            </w:pPr>
          </w:p>
        </w:tc>
        <w:tc>
          <w:tcPr>
            <w:tcW w:w="1530" w:type="dxa"/>
          </w:tcPr>
          <w:p w14:paraId="2A967AAD" w14:textId="7009C55A" w:rsidR="00124DB6" w:rsidRPr="0073400B" w:rsidRDefault="00124DB6"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29 </w:t>
            </w:r>
            <w:proofErr w:type="spellStart"/>
            <w:r>
              <w:rPr>
                <w:rFonts w:ascii="Arial" w:eastAsia="Times New Roman" w:hAnsi="Arial" w:cs="Arial"/>
                <w:sz w:val="18"/>
                <w:szCs w:val="18"/>
                <w:lang w:val="es-ES_tradnl" w:eastAsia="en-US"/>
              </w:rPr>
              <w:t>mdp</w:t>
            </w:r>
            <w:proofErr w:type="spellEnd"/>
          </w:p>
        </w:tc>
        <w:tc>
          <w:tcPr>
            <w:tcW w:w="1524" w:type="dxa"/>
            <w:shd w:val="clear" w:color="auto" w:fill="auto"/>
          </w:tcPr>
          <w:p w14:paraId="5C014C97" w14:textId="41ABA313" w:rsidR="00124DB6" w:rsidRPr="0073400B" w:rsidRDefault="00124DB6"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58.6 </w:t>
            </w:r>
            <w:proofErr w:type="spellStart"/>
            <w:r>
              <w:rPr>
                <w:rFonts w:ascii="Arial" w:eastAsia="Times New Roman" w:hAnsi="Arial" w:cs="Arial"/>
                <w:sz w:val="18"/>
                <w:szCs w:val="18"/>
                <w:lang w:val="es-ES_tradnl" w:eastAsia="en-US"/>
              </w:rPr>
              <w:t>mdp</w:t>
            </w:r>
            <w:proofErr w:type="spellEnd"/>
          </w:p>
        </w:tc>
        <w:tc>
          <w:tcPr>
            <w:tcW w:w="1446" w:type="dxa"/>
            <w:shd w:val="clear" w:color="auto" w:fill="auto"/>
          </w:tcPr>
          <w:p w14:paraId="38E43617" w14:textId="02FE5F13" w:rsidR="00124DB6" w:rsidRPr="00124DB6" w:rsidRDefault="00962A92"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389</w:t>
            </w:r>
            <w:r w:rsidR="00124DB6" w:rsidRPr="00124DB6">
              <w:rPr>
                <w:rFonts w:ascii="Arial" w:eastAsia="Times New Roman" w:hAnsi="Arial" w:cs="Arial"/>
                <w:sz w:val="18"/>
                <w:szCs w:val="18"/>
                <w:lang w:val="es-ES_tradnl" w:eastAsia="en-US"/>
              </w:rPr>
              <w:t>.</w:t>
            </w:r>
            <w:r>
              <w:rPr>
                <w:rFonts w:ascii="Arial" w:eastAsia="Times New Roman" w:hAnsi="Arial" w:cs="Arial"/>
                <w:sz w:val="18"/>
                <w:szCs w:val="18"/>
                <w:lang w:val="es-ES_tradnl" w:eastAsia="en-US"/>
              </w:rPr>
              <w:t>0</w:t>
            </w:r>
          </w:p>
        </w:tc>
        <w:tc>
          <w:tcPr>
            <w:tcW w:w="1170" w:type="dxa"/>
            <w:vMerge/>
          </w:tcPr>
          <w:p w14:paraId="3BC6CBA2" w14:textId="77777777" w:rsidR="00124DB6" w:rsidRPr="00124DB6" w:rsidRDefault="00124DB6" w:rsidP="00E11317">
            <w:pPr>
              <w:spacing w:after="0" w:line="240" w:lineRule="auto"/>
              <w:jc w:val="center"/>
              <w:rPr>
                <w:rFonts w:ascii="Arial" w:eastAsia="Times New Roman" w:hAnsi="Arial" w:cs="Arial"/>
                <w:sz w:val="18"/>
                <w:szCs w:val="18"/>
                <w:lang w:val="es-ES_tradnl" w:eastAsia="en-US"/>
              </w:rPr>
            </w:pPr>
          </w:p>
        </w:tc>
        <w:tc>
          <w:tcPr>
            <w:tcW w:w="720" w:type="dxa"/>
          </w:tcPr>
          <w:p w14:paraId="25FBE626" w14:textId="7C877DA8" w:rsidR="00124DB6" w:rsidRPr="00124DB6" w:rsidRDefault="00962A92"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54</w:t>
            </w:r>
          </w:p>
        </w:tc>
      </w:tr>
      <w:tr w:rsidR="00BD3F39" w:rsidRPr="006A55A9" w14:paraId="3E1D0E04" w14:textId="77777777" w:rsidTr="00E11317">
        <w:trPr>
          <w:trHeight w:val="288"/>
          <w:jc w:val="right"/>
        </w:trPr>
        <w:tc>
          <w:tcPr>
            <w:tcW w:w="2785" w:type="dxa"/>
            <w:vMerge w:val="restart"/>
            <w:shd w:val="clear" w:color="auto" w:fill="auto"/>
            <w:noWrap/>
            <w:hideMark/>
          </w:tcPr>
          <w:p w14:paraId="51B7C3E6" w14:textId="1001EF38" w:rsidR="00BD3F39" w:rsidRPr="0073400B" w:rsidRDefault="00124DB6" w:rsidP="00E11317">
            <w:pPr>
              <w:spacing w:after="0" w:line="240" w:lineRule="auto"/>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C</w:t>
            </w:r>
            <w:r w:rsidR="00BD3F39">
              <w:rPr>
                <w:rFonts w:ascii="Arial" w:eastAsia="Times New Roman" w:hAnsi="Arial" w:cs="Arial"/>
                <w:sz w:val="18"/>
                <w:szCs w:val="18"/>
                <w:lang w:val="es-ES_tradnl" w:eastAsia="en-US"/>
              </w:rPr>
              <w:t>rédito promedio otorgado con apoyo del programa</w:t>
            </w:r>
          </w:p>
        </w:tc>
        <w:tc>
          <w:tcPr>
            <w:tcW w:w="1530" w:type="dxa"/>
          </w:tcPr>
          <w:p w14:paraId="118B4CAB" w14:textId="612EAE6B" w:rsidR="00BD3F39" w:rsidRPr="0073400B" w:rsidRDefault="00124DB6"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2 </w:t>
            </w:r>
            <w:proofErr w:type="spellStart"/>
            <w:r>
              <w:rPr>
                <w:rFonts w:ascii="Arial" w:eastAsia="Times New Roman" w:hAnsi="Arial" w:cs="Arial"/>
                <w:sz w:val="18"/>
                <w:szCs w:val="18"/>
                <w:lang w:val="es-ES_tradnl" w:eastAsia="en-US"/>
              </w:rPr>
              <w:t>mdp</w:t>
            </w:r>
            <w:proofErr w:type="spellEnd"/>
          </w:p>
        </w:tc>
        <w:tc>
          <w:tcPr>
            <w:tcW w:w="1524" w:type="dxa"/>
            <w:shd w:val="clear" w:color="auto" w:fill="auto"/>
          </w:tcPr>
          <w:p w14:paraId="11E33463" w14:textId="6A1D0663" w:rsidR="00BD3F39" w:rsidRPr="0073400B" w:rsidRDefault="00124DB6"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1,250 </w:t>
            </w:r>
            <w:proofErr w:type="spellStart"/>
            <w:r>
              <w:rPr>
                <w:rFonts w:ascii="Arial" w:eastAsia="Times New Roman" w:hAnsi="Arial" w:cs="Arial"/>
                <w:sz w:val="18"/>
                <w:szCs w:val="18"/>
                <w:lang w:val="es-ES_tradnl" w:eastAsia="en-US"/>
              </w:rPr>
              <w:t>mdp</w:t>
            </w:r>
            <w:proofErr w:type="spellEnd"/>
          </w:p>
        </w:tc>
        <w:tc>
          <w:tcPr>
            <w:tcW w:w="1446" w:type="dxa"/>
            <w:shd w:val="clear" w:color="auto" w:fill="auto"/>
          </w:tcPr>
          <w:p w14:paraId="545D67AC" w14:textId="7F2614D2" w:rsidR="00BD3F39" w:rsidRPr="00124DB6" w:rsidRDefault="00962A92"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293</w:t>
            </w:r>
            <w:r w:rsidR="00124DB6" w:rsidRPr="00124DB6">
              <w:rPr>
                <w:rFonts w:ascii="Arial" w:eastAsia="Times New Roman" w:hAnsi="Arial" w:cs="Arial"/>
                <w:sz w:val="18"/>
                <w:szCs w:val="18"/>
                <w:lang w:val="es-ES_tradnl" w:eastAsia="en-US"/>
              </w:rPr>
              <w:t>.</w:t>
            </w:r>
            <w:r>
              <w:rPr>
                <w:rFonts w:ascii="Arial" w:eastAsia="Times New Roman" w:hAnsi="Arial" w:cs="Arial"/>
                <w:sz w:val="18"/>
                <w:szCs w:val="18"/>
                <w:lang w:val="es-ES_tradnl" w:eastAsia="en-US"/>
              </w:rPr>
              <w:t>8</w:t>
            </w:r>
          </w:p>
        </w:tc>
        <w:tc>
          <w:tcPr>
            <w:tcW w:w="1170" w:type="dxa"/>
            <w:vMerge w:val="restart"/>
          </w:tcPr>
          <w:p w14:paraId="57BC06BA" w14:textId="3FA56234" w:rsidR="00BD3F39" w:rsidRPr="00124DB6" w:rsidRDefault="00AE0B84"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5</w:t>
            </w:r>
            <w:r w:rsidR="00124DB6" w:rsidRPr="00124DB6">
              <w:rPr>
                <w:rFonts w:ascii="Arial" w:eastAsia="Times New Roman" w:hAnsi="Arial" w:cs="Arial"/>
                <w:sz w:val="18"/>
                <w:szCs w:val="18"/>
                <w:lang w:val="es-ES_tradnl" w:eastAsia="en-US"/>
              </w:rPr>
              <w:t>,</w:t>
            </w:r>
            <w:r>
              <w:rPr>
                <w:rFonts w:ascii="Arial" w:eastAsia="Times New Roman" w:hAnsi="Arial" w:cs="Arial"/>
                <w:sz w:val="18"/>
                <w:szCs w:val="18"/>
                <w:lang w:val="es-ES_tradnl" w:eastAsia="en-US"/>
              </w:rPr>
              <w:t>36</w:t>
            </w:r>
            <w:r w:rsidR="00124DB6" w:rsidRPr="00124DB6">
              <w:rPr>
                <w:rFonts w:ascii="Arial" w:eastAsia="Times New Roman" w:hAnsi="Arial" w:cs="Arial"/>
                <w:sz w:val="18"/>
                <w:szCs w:val="18"/>
                <w:lang w:val="es-ES_tradnl" w:eastAsia="en-US"/>
              </w:rPr>
              <w:t xml:space="preserve">0 </w:t>
            </w:r>
            <w:proofErr w:type="spellStart"/>
            <w:r w:rsidR="00124DB6" w:rsidRPr="00124DB6">
              <w:rPr>
                <w:rFonts w:ascii="Arial" w:eastAsia="Times New Roman" w:hAnsi="Arial" w:cs="Arial"/>
                <w:sz w:val="18"/>
                <w:szCs w:val="18"/>
                <w:lang w:val="es-ES_tradnl" w:eastAsia="en-US"/>
              </w:rPr>
              <w:t>mdp</w:t>
            </w:r>
            <w:proofErr w:type="spellEnd"/>
          </w:p>
        </w:tc>
        <w:tc>
          <w:tcPr>
            <w:tcW w:w="720" w:type="dxa"/>
          </w:tcPr>
          <w:p w14:paraId="1E5F03AF" w14:textId="6A0E9245" w:rsidR="00BD3F39" w:rsidRPr="00124DB6" w:rsidRDefault="00962A92"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43</w:t>
            </w:r>
          </w:p>
        </w:tc>
      </w:tr>
      <w:tr w:rsidR="00124DB6" w:rsidRPr="006A55A9" w14:paraId="34B5D761" w14:textId="77777777" w:rsidTr="00E11317">
        <w:trPr>
          <w:trHeight w:val="313"/>
          <w:jc w:val="right"/>
        </w:trPr>
        <w:tc>
          <w:tcPr>
            <w:tcW w:w="2785" w:type="dxa"/>
            <w:vMerge/>
            <w:vAlign w:val="center"/>
            <w:hideMark/>
          </w:tcPr>
          <w:p w14:paraId="7BAF8731" w14:textId="77777777" w:rsidR="00124DB6" w:rsidRPr="0073400B" w:rsidRDefault="00124DB6" w:rsidP="00311442">
            <w:pPr>
              <w:spacing w:after="0" w:line="240" w:lineRule="auto"/>
              <w:rPr>
                <w:rFonts w:ascii="Arial" w:eastAsia="Times New Roman" w:hAnsi="Arial" w:cs="Arial"/>
                <w:sz w:val="18"/>
                <w:szCs w:val="18"/>
                <w:lang w:val="es-ES_tradnl" w:eastAsia="en-US"/>
              </w:rPr>
            </w:pPr>
          </w:p>
        </w:tc>
        <w:tc>
          <w:tcPr>
            <w:tcW w:w="1530" w:type="dxa"/>
          </w:tcPr>
          <w:p w14:paraId="45D16997" w14:textId="00FC3FE1" w:rsidR="00124DB6" w:rsidRPr="0073400B" w:rsidRDefault="00124DB6"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2 </w:t>
            </w:r>
            <w:proofErr w:type="spellStart"/>
            <w:r>
              <w:rPr>
                <w:rFonts w:ascii="Arial" w:eastAsia="Times New Roman" w:hAnsi="Arial" w:cs="Arial"/>
                <w:sz w:val="18"/>
                <w:szCs w:val="18"/>
                <w:lang w:val="es-ES_tradnl" w:eastAsia="en-US"/>
              </w:rPr>
              <w:t>mdp</w:t>
            </w:r>
            <w:proofErr w:type="spellEnd"/>
          </w:p>
        </w:tc>
        <w:tc>
          <w:tcPr>
            <w:tcW w:w="1524" w:type="dxa"/>
            <w:shd w:val="clear" w:color="auto" w:fill="auto"/>
          </w:tcPr>
          <w:p w14:paraId="17E2578B" w14:textId="4A6B7C01" w:rsidR="00124DB6" w:rsidRPr="0073400B" w:rsidRDefault="00124DB6"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 xml:space="preserve">6,120 </w:t>
            </w:r>
            <w:proofErr w:type="spellStart"/>
            <w:r>
              <w:rPr>
                <w:rFonts w:ascii="Arial" w:eastAsia="Times New Roman" w:hAnsi="Arial" w:cs="Arial"/>
                <w:sz w:val="18"/>
                <w:szCs w:val="18"/>
                <w:lang w:val="es-ES_tradnl" w:eastAsia="en-US"/>
              </w:rPr>
              <w:t>mdp</w:t>
            </w:r>
            <w:proofErr w:type="spellEnd"/>
          </w:p>
        </w:tc>
        <w:tc>
          <w:tcPr>
            <w:tcW w:w="1446" w:type="dxa"/>
            <w:shd w:val="clear" w:color="auto" w:fill="auto"/>
          </w:tcPr>
          <w:p w14:paraId="614522F8" w14:textId="654F5F93" w:rsidR="00124DB6" w:rsidRPr="00124DB6" w:rsidRDefault="002636EB"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w:t>
            </w:r>
            <w:r w:rsidR="00124DB6" w:rsidRPr="00124DB6">
              <w:rPr>
                <w:rFonts w:ascii="Arial" w:eastAsia="Times New Roman" w:hAnsi="Arial" w:cs="Arial"/>
                <w:sz w:val="18"/>
                <w:szCs w:val="18"/>
                <w:lang w:val="es-ES_tradnl" w:eastAsia="en-US"/>
              </w:rPr>
              <w:t>1</w:t>
            </w:r>
            <w:r w:rsidR="00962A92">
              <w:rPr>
                <w:rFonts w:ascii="Arial" w:eastAsia="Times New Roman" w:hAnsi="Arial" w:cs="Arial"/>
                <w:sz w:val="18"/>
                <w:szCs w:val="18"/>
                <w:lang w:val="es-ES_tradnl" w:eastAsia="en-US"/>
              </w:rPr>
              <w:t>1</w:t>
            </w:r>
            <w:r w:rsidR="00124DB6" w:rsidRPr="00124DB6">
              <w:rPr>
                <w:rFonts w:ascii="Arial" w:eastAsia="Times New Roman" w:hAnsi="Arial" w:cs="Arial"/>
                <w:sz w:val="18"/>
                <w:szCs w:val="18"/>
                <w:lang w:val="es-ES_tradnl" w:eastAsia="en-US"/>
              </w:rPr>
              <w:t>.</w:t>
            </w:r>
            <w:r w:rsidR="00962A92">
              <w:rPr>
                <w:rFonts w:ascii="Arial" w:eastAsia="Times New Roman" w:hAnsi="Arial" w:cs="Arial"/>
                <w:sz w:val="18"/>
                <w:szCs w:val="18"/>
                <w:lang w:val="es-ES_tradnl" w:eastAsia="en-US"/>
              </w:rPr>
              <w:t>0</w:t>
            </w:r>
          </w:p>
        </w:tc>
        <w:tc>
          <w:tcPr>
            <w:tcW w:w="1170" w:type="dxa"/>
            <w:vMerge/>
          </w:tcPr>
          <w:p w14:paraId="30A341DF" w14:textId="77777777" w:rsidR="00124DB6" w:rsidRPr="00124DB6" w:rsidRDefault="00124DB6" w:rsidP="00E11317">
            <w:pPr>
              <w:spacing w:after="0" w:line="240" w:lineRule="auto"/>
              <w:jc w:val="center"/>
              <w:rPr>
                <w:rFonts w:ascii="Arial" w:eastAsia="Times New Roman" w:hAnsi="Arial" w:cs="Arial"/>
                <w:sz w:val="18"/>
                <w:szCs w:val="18"/>
                <w:lang w:val="es-ES_tradnl" w:eastAsia="en-US"/>
              </w:rPr>
            </w:pPr>
          </w:p>
        </w:tc>
        <w:tc>
          <w:tcPr>
            <w:tcW w:w="720" w:type="dxa"/>
          </w:tcPr>
          <w:p w14:paraId="345B7C21" w14:textId="1C78A6EC" w:rsidR="00124DB6" w:rsidRPr="00124DB6" w:rsidRDefault="00962A92" w:rsidP="00E11317">
            <w:pPr>
              <w:spacing w:after="0" w:line="240" w:lineRule="auto"/>
              <w:jc w:val="center"/>
              <w:rPr>
                <w:rFonts w:ascii="Arial" w:eastAsia="Times New Roman" w:hAnsi="Arial" w:cs="Arial"/>
                <w:sz w:val="18"/>
                <w:szCs w:val="18"/>
                <w:lang w:val="es-ES_tradnl" w:eastAsia="en-US"/>
              </w:rPr>
            </w:pPr>
            <w:r>
              <w:rPr>
                <w:rFonts w:ascii="Arial" w:eastAsia="Times New Roman" w:hAnsi="Arial" w:cs="Arial"/>
                <w:sz w:val="18"/>
                <w:szCs w:val="18"/>
                <w:lang w:val="es-ES_tradnl" w:eastAsia="en-US"/>
              </w:rPr>
              <w:t>10</w:t>
            </w:r>
          </w:p>
        </w:tc>
      </w:tr>
    </w:tbl>
    <w:p w14:paraId="1822AF7F" w14:textId="51823091" w:rsidR="009B346B" w:rsidRPr="00E11317" w:rsidRDefault="00C35ADE" w:rsidP="002636EB">
      <w:pPr>
        <w:pStyle w:val="SubSubPar"/>
        <w:numPr>
          <w:ilvl w:val="0"/>
          <w:numId w:val="0"/>
        </w:numPr>
        <w:tabs>
          <w:tab w:val="clear" w:pos="0"/>
        </w:tabs>
        <w:spacing w:after="240"/>
        <w:ind w:left="187"/>
        <w:rPr>
          <w:rFonts w:ascii="Arial" w:hAnsi="Arial" w:cs="Arial"/>
          <w:bCs/>
          <w:color w:val="000000" w:themeColor="text1"/>
          <w:sz w:val="18"/>
          <w:szCs w:val="14"/>
          <w:lang w:val="es-ES_tradnl"/>
        </w:rPr>
      </w:pPr>
      <w:r w:rsidRPr="00E11317">
        <w:rPr>
          <w:rFonts w:ascii="Arial" w:hAnsi="Arial" w:cs="Arial"/>
          <w:bCs/>
          <w:color w:val="000000" w:themeColor="text1"/>
          <w:sz w:val="18"/>
          <w:szCs w:val="14"/>
          <w:lang w:val="es-ES_tradnl"/>
        </w:rPr>
        <w:t xml:space="preserve">p.p. = puntos porcentuales; </w:t>
      </w:r>
      <w:proofErr w:type="spellStart"/>
      <w:r w:rsidR="002636EB" w:rsidRPr="00E11317">
        <w:rPr>
          <w:rFonts w:ascii="Arial" w:hAnsi="Arial" w:cs="Arial"/>
          <w:bCs/>
          <w:color w:val="000000" w:themeColor="text1"/>
          <w:sz w:val="18"/>
          <w:szCs w:val="14"/>
          <w:lang w:val="es-ES_tradnl"/>
        </w:rPr>
        <w:t>mdp</w:t>
      </w:r>
      <w:proofErr w:type="spellEnd"/>
      <w:r w:rsidR="002636EB" w:rsidRPr="00E11317">
        <w:rPr>
          <w:rFonts w:ascii="Arial" w:hAnsi="Arial" w:cs="Arial"/>
          <w:bCs/>
          <w:color w:val="000000" w:themeColor="text1"/>
          <w:sz w:val="18"/>
          <w:szCs w:val="14"/>
          <w:lang w:val="es-ES_tradnl"/>
        </w:rPr>
        <w:t xml:space="preserve"> = millones de pesos</w:t>
      </w:r>
    </w:p>
    <w:p w14:paraId="1CB65CF8" w14:textId="495866C9" w:rsidR="002636EB" w:rsidRPr="00E11317" w:rsidRDefault="002636EB" w:rsidP="00BF7FD8">
      <w:pPr>
        <w:pStyle w:val="ListParagraph"/>
        <w:numPr>
          <w:ilvl w:val="0"/>
          <w:numId w:val="6"/>
        </w:numPr>
        <w:spacing w:after="240"/>
        <w:ind w:left="630" w:hanging="630"/>
        <w:jc w:val="both"/>
        <w:rPr>
          <w:rFonts w:ascii="Arial" w:hAnsi="Arial" w:cs="Arial"/>
          <w:sz w:val="22"/>
          <w:szCs w:val="18"/>
          <w:lang w:val="es-MX"/>
        </w:rPr>
      </w:pPr>
      <w:r w:rsidRPr="0073400B">
        <w:rPr>
          <w:rFonts w:ascii="Arial" w:hAnsi="Arial" w:cs="Arial"/>
          <w:sz w:val="22"/>
        </w:rPr>
        <w:t>L</w:t>
      </w:r>
      <w:r>
        <w:rPr>
          <w:rFonts w:ascii="Arial" w:hAnsi="Arial" w:cs="Arial"/>
          <w:sz w:val="22"/>
        </w:rPr>
        <w:t>os resultados obtenidos a partir de los escenarios de sensibilidad muestran que el</w:t>
      </w:r>
      <w:r w:rsidR="00D52120">
        <w:rPr>
          <w:rFonts w:ascii="Arial" w:hAnsi="Arial" w:cs="Arial"/>
          <w:sz w:val="22"/>
        </w:rPr>
        <w:t xml:space="preserve"> valor económico del</w:t>
      </w:r>
      <w:r>
        <w:rPr>
          <w:rFonts w:ascii="Arial" w:hAnsi="Arial" w:cs="Arial"/>
          <w:sz w:val="22"/>
        </w:rPr>
        <w:t xml:space="preserve"> programa </w:t>
      </w:r>
      <w:r w:rsidR="00D52120">
        <w:rPr>
          <w:rFonts w:ascii="Arial" w:hAnsi="Arial" w:cs="Arial"/>
          <w:sz w:val="22"/>
        </w:rPr>
        <w:t>tolera</w:t>
      </w:r>
      <w:r>
        <w:rPr>
          <w:rFonts w:ascii="Arial" w:hAnsi="Arial" w:cs="Arial"/>
          <w:sz w:val="22"/>
        </w:rPr>
        <w:t xml:space="preserve"> diferentes rangos de valores para los supuestos</w:t>
      </w:r>
      <w:r w:rsidR="00D52120">
        <w:rPr>
          <w:rFonts w:ascii="Arial" w:hAnsi="Arial" w:cs="Arial"/>
          <w:sz w:val="22"/>
        </w:rPr>
        <w:t>, manteniéndose positivo</w:t>
      </w:r>
      <w:r w:rsidRPr="0073400B">
        <w:rPr>
          <w:rFonts w:ascii="Arial" w:hAnsi="Arial" w:cs="Arial"/>
          <w:sz w:val="22"/>
        </w:rPr>
        <w:t>.</w:t>
      </w:r>
      <w:r w:rsidR="007A48E5">
        <w:rPr>
          <w:rFonts w:ascii="Arial" w:hAnsi="Arial" w:cs="Arial"/>
          <w:sz w:val="22"/>
        </w:rPr>
        <w:t xml:space="preserve"> Se resaltan algunos puntos al respecto de cada uno de los escenarios analizados</w:t>
      </w:r>
      <w:r w:rsidR="00FF6808">
        <w:rPr>
          <w:rFonts w:ascii="Arial" w:hAnsi="Arial" w:cs="Arial"/>
          <w:sz w:val="22"/>
        </w:rPr>
        <w:t>.</w:t>
      </w:r>
    </w:p>
    <w:p w14:paraId="26F1D1CD" w14:textId="77777777" w:rsidR="00E11317" w:rsidRPr="004A1EFB" w:rsidRDefault="00E11317" w:rsidP="00E11317">
      <w:pPr>
        <w:pStyle w:val="ListParagraph"/>
        <w:spacing w:after="240"/>
        <w:jc w:val="both"/>
        <w:rPr>
          <w:rFonts w:ascii="Arial" w:hAnsi="Arial" w:cs="Arial"/>
          <w:sz w:val="22"/>
          <w:szCs w:val="18"/>
          <w:lang w:val="es-MX"/>
        </w:rPr>
      </w:pPr>
    </w:p>
    <w:p w14:paraId="419CC77F" w14:textId="32C1B15B" w:rsidR="007A48E5" w:rsidRPr="00FF6808" w:rsidRDefault="007A48E5" w:rsidP="00BF7FD8">
      <w:pPr>
        <w:pStyle w:val="ListParagraph"/>
        <w:numPr>
          <w:ilvl w:val="0"/>
          <w:numId w:val="6"/>
        </w:numPr>
        <w:spacing w:after="240"/>
        <w:ind w:left="630" w:hanging="630"/>
        <w:jc w:val="both"/>
        <w:rPr>
          <w:rFonts w:ascii="Arial" w:hAnsi="Arial" w:cs="Arial"/>
          <w:sz w:val="22"/>
          <w:szCs w:val="18"/>
          <w:lang w:val="es-MX"/>
        </w:rPr>
      </w:pPr>
      <w:r>
        <w:rPr>
          <w:rFonts w:ascii="Arial" w:hAnsi="Arial" w:cs="Arial"/>
          <w:sz w:val="22"/>
          <w:szCs w:val="18"/>
          <w:lang w:val="es-MX"/>
        </w:rPr>
        <w:t xml:space="preserve">Con relación a la probabilidad de supervivencia, no se analizan variaciones independientes para la probabilidad en cada escenario (con y sin intervención), sino más bien se analiza el diferencial entre ambas probabilidades. Ello debido a que el beneficio del programa </w:t>
      </w:r>
      <w:r w:rsidR="00E648BF">
        <w:rPr>
          <w:rFonts w:ascii="Arial" w:hAnsi="Arial" w:cs="Arial"/>
          <w:sz w:val="22"/>
          <w:szCs w:val="18"/>
          <w:lang w:val="es-MX"/>
        </w:rPr>
        <w:t>resulta,</w:t>
      </w:r>
      <w:r>
        <w:rPr>
          <w:rFonts w:ascii="Arial" w:hAnsi="Arial" w:cs="Arial"/>
          <w:sz w:val="22"/>
          <w:szCs w:val="18"/>
          <w:lang w:val="es-MX"/>
        </w:rPr>
        <w:t xml:space="preserve"> en gran medida</w:t>
      </w:r>
      <w:r w:rsidR="00E648BF">
        <w:rPr>
          <w:rFonts w:ascii="Arial" w:hAnsi="Arial" w:cs="Arial"/>
          <w:sz w:val="22"/>
          <w:szCs w:val="18"/>
          <w:lang w:val="es-MX"/>
        </w:rPr>
        <w:t>,</w:t>
      </w:r>
      <w:r>
        <w:rPr>
          <w:rFonts w:ascii="Arial" w:hAnsi="Arial" w:cs="Arial"/>
          <w:sz w:val="22"/>
          <w:szCs w:val="18"/>
          <w:lang w:val="es-MX"/>
        </w:rPr>
        <w:t xml:space="preserve"> de la capacidad del programa de aminorar el efecto de incremento en las tasas de quiebra, con relación a la situación sin programa. En ese sentido, el supuesto base era que en </w:t>
      </w:r>
      <w:r w:rsidRPr="00F55C6E">
        <w:rPr>
          <w:rFonts w:ascii="Arial" w:hAnsi="Arial" w:cs="Arial"/>
          <w:sz w:val="22"/>
          <w:szCs w:val="22"/>
          <w:lang w:val="es-PE"/>
        </w:rPr>
        <w:t xml:space="preserve">el escenario sin intervención </w:t>
      </w:r>
      <w:r>
        <w:rPr>
          <w:rFonts w:ascii="Arial" w:hAnsi="Arial" w:cs="Arial"/>
          <w:sz w:val="22"/>
          <w:szCs w:val="22"/>
          <w:lang w:val="es-PE"/>
        </w:rPr>
        <w:t xml:space="preserve">las quiebras de PYME crecen </w:t>
      </w:r>
      <w:r w:rsidR="00D52120">
        <w:rPr>
          <w:rFonts w:ascii="Arial" w:hAnsi="Arial" w:cs="Arial"/>
          <w:sz w:val="22"/>
          <w:szCs w:val="22"/>
          <w:lang w:val="es-PE"/>
        </w:rPr>
        <w:t xml:space="preserve">un 30%, </w:t>
      </w:r>
      <w:r>
        <w:rPr>
          <w:rFonts w:ascii="Arial" w:hAnsi="Arial" w:cs="Arial"/>
          <w:sz w:val="22"/>
          <w:szCs w:val="22"/>
          <w:lang w:val="es-PE"/>
        </w:rPr>
        <w:t>un nivel equivalente al efecto observado en el periodo acumulado de la crisis de 2008-2009</w:t>
      </w:r>
      <w:r w:rsidR="00D52120">
        <w:rPr>
          <w:rFonts w:ascii="Arial" w:hAnsi="Arial" w:cs="Arial"/>
          <w:sz w:val="22"/>
          <w:szCs w:val="22"/>
          <w:lang w:val="es-PE"/>
        </w:rPr>
        <w:t>. E</w:t>
      </w:r>
      <w:r>
        <w:rPr>
          <w:rFonts w:ascii="Arial" w:hAnsi="Arial" w:cs="Arial"/>
          <w:sz w:val="22"/>
          <w:szCs w:val="22"/>
          <w:lang w:val="es-PE"/>
        </w:rPr>
        <w:t xml:space="preserve">n el escenario con intervención, el incremento en quiebras era un 10%, equivalente al efecto observado solo en el año 2008. </w:t>
      </w:r>
      <w:r w:rsidR="00D52120">
        <w:rPr>
          <w:rFonts w:ascii="Arial" w:hAnsi="Arial" w:cs="Arial"/>
          <w:sz w:val="22"/>
          <w:szCs w:val="22"/>
          <w:lang w:val="es-PE"/>
        </w:rPr>
        <w:t>Esto supone un</w:t>
      </w:r>
      <w:r>
        <w:rPr>
          <w:rFonts w:ascii="Arial" w:hAnsi="Arial" w:cs="Arial"/>
          <w:sz w:val="22"/>
          <w:szCs w:val="18"/>
          <w:lang w:val="es-MX"/>
        </w:rPr>
        <w:t xml:space="preserve"> diferencial de 1.8 puntos porcentuales </w:t>
      </w:r>
      <w:r w:rsidR="00D52120">
        <w:rPr>
          <w:rFonts w:ascii="Arial" w:hAnsi="Arial" w:cs="Arial"/>
          <w:sz w:val="22"/>
          <w:szCs w:val="18"/>
          <w:lang w:val="es-MX"/>
        </w:rPr>
        <w:t>entre ambos escenarios. La prueba de sensibilidad reduce ese diferencial a 0.</w:t>
      </w:r>
      <w:r>
        <w:rPr>
          <w:rFonts w:ascii="Arial" w:hAnsi="Arial" w:cs="Arial"/>
          <w:sz w:val="22"/>
          <w:szCs w:val="18"/>
          <w:lang w:val="es-MX"/>
        </w:rPr>
        <w:t>9 puntos porcentuales</w:t>
      </w:r>
      <w:r w:rsidR="00D52120">
        <w:rPr>
          <w:rFonts w:ascii="Arial" w:hAnsi="Arial" w:cs="Arial"/>
          <w:sz w:val="22"/>
          <w:szCs w:val="18"/>
          <w:lang w:val="es-MX"/>
        </w:rPr>
        <w:t>, basado en un nuevo supuesto que</w:t>
      </w:r>
      <w:r w:rsidR="00363E3F">
        <w:rPr>
          <w:rFonts w:ascii="Arial" w:hAnsi="Arial" w:cs="Arial"/>
          <w:sz w:val="22"/>
          <w:szCs w:val="18"/>
          <w:lang w:val="es-MX"/>
        </w:rPr>
        <w:t xml:space="preserve"> considera que</w:t>
      </w:r>
      <w:r w:rsidR="00D52120">
        <w:rPr>
          <w:rFonts w:ascii="Arial" w:hAnsi="Arial" w:cs="Arial"/>
          <w:sz w:val="22"/>
          <w:szCs w:val="18"/>
          <w:lang w:val="es-MX"/>
        </w:rPr>
        <w:t xml:space="preserve">, en el escenario con </w:t>
      </w:r>
      <w:r w:rsidR="00C35ADE">
        <w:rPr>
          <w:rFonts w:ascii="Arial" w:hAnsi="Arial" w:cs="Arial"/>
          <w:sz w:val="22"/>
          <w:szCs w:val="18"/>
          <w:lang w:val="es-MX"/>
        </w:rPr>
        <w:t>intervención</w:t>
      </w:r>
      <w:r w:rsidR="00D52120">
        <w:rPr>
          <w:rFonts w:ascii="Arial" w:hAnsi="Arial" w:cs="Arial"/>
          <w:sz w:val="22"/>
          <w:szCs w:val="18"/>
          <w:lang w:val="es-MX"/>
        </w:rPr>
        <w:t xml:space="preserve">, el incremento en quiebras es de 20%, igual al </w:t>
      </w:r>
      <w:r w:rsidR="00D52120">
        <w:rPr>
          <w:rFonts w:ascii="Arial" w:hAnsi="Arial" w:cs="Arial"/>
          <w:sz w:val="22"/>
          <w:szCs w:val="22"/>
          <w:lang w:val="es-MX"/>
        </w:rPr>
        <w:t xml:space="preserve">incremento </w:t>
      </w:r>
      <w:r w:rsidR="00D52120">
        <w:rPr>
          <w:rFonts w:ascii="Arial" w:hAnsi="Arial" w:cs="Arial"/>
          <w:sz w:val="22"/>
          <w:szCs w:val="22"/>
          <w:lang w:val="es-PE"/>
        </w:rPr>
        <w:t>observado en el año 2009</w:t>
      </w:r>
      <w:r w:rsidR="00D52120">
        <w:rPr>
          <w:rFonts w:ascii="Arial" w:hAnsi="Arial" w:cs="Arial"/>
          <w:sz w:val="22"/>
          <w:szCs w:val="18"/>
          <w:lang w:val="es-MX"/>
        </w:rPr>
        <w:t xml:space="preserve">, considerado </w:t>
      </w:r>
      <w:r w:rsidR="00D52120">
        <w:rPr>
          <w:rFonts w:ascii="Arial" w:hAnsi="Arial" w:cs="Arial"/>
          <w:sz w:val="22"/>
          <w:szCs w:val="22"/>
          <w:lang w:val="es-PE"/>
        </w:rPr>
        <w:t xml:space="preserve">el pico de la crisis. En este escenario, el VPN se reduce considerablemente, demostrando una relativa alta sensibilidad del programa al diferencial de sobrevivencia con y sin </w:t>
      </w:r>
      <w:r w:rsidR="00C35ADE">
        <w:rPr>
          <w:rFonts w:ascii="Arial" w:hAnsi="Arial" w:cs="Arial"/>
          <w:sz w:val="22"/>
          <w:szCs w:val="22"/>
          <w:lang w:val="es-PE"/>
        </w:rPr>
        <w:t>intervención</w:t>
      </w:r>
      <w:r w:rsidR="00D52120">
        <w:rPr>
          <w:rFonts w:ascii="Arial" w:hAnsi="Arial" w:cs="Arial"/>
          <w:sz w:val="22"/>
          <w:szCs w:val="22"/>
          <w:lang w:val="es-PE"/>
        </w:rPr>
        <w:t>.</w:t>
      </w:r>
      <w:r w:rsidR="00363E3F">
        <w:rPr>
          <w:rFonts w:ascii="Arial" w:hAnsi="Arial" w:cs="Arial"/>
          <w:sz w:val="22"/>
          <w:szCs w:val="22"/>
          <w:lang w:val="es-PE"/>
        </w:rPr>
        <w:t xml:space="preserve"> </w:t>
      </w:r>
      <w:r w:rsidR="00C35ADE">
        <w:rPr>
          <w:rFonts w:ascii="Arial" w:hAnsi="Arial" w:cs="Arial"/>
          <w:sz w:val="22"/>
          <w:szCs w:val="22"/>
          <w:lang w:val="es-PE"/>
        </w:rPr>
        <w:lastRenderedPageBreak/>
        <w:t>E</w:t>
      </w:r>
      <w:r w:rsidR="00363E3F">
        <w:rPr>
          <w:rFonts w:ascii="Arial" w:hAnsi="Arial" w:cs="Arial"/>
          <w:sz w:val="22"/>
          <w:szCs w:val="22"/>
          <w:lang w:val="es-PE"/>
        </w:rPr>
        <w:t>l punto de equilibrio para este diferencial es de 0.</w:t>
      </w:r>
      <w:r w:rsidR="00962A92">
        <w:rPr>
          <w:rFonts w:ascii="Arial" w:hAnsi="Arial" w:cs="Arial"/>
          <w:sz w:val="22"/>
          <w:szCs w:val="22"/>
          <w:lang w:val="es-PE"/>
        </w:rPr>
        <w:t>6</w:t>
      </w:r>
      <w:r w:rsidR="00363E3F">
        <w:rPr>
          <w:rFonts w:ascii="Arial" w:hAnsi="Arial" w:cs="Arial"/>
          <w:sz w:val="22"/>
          <w:szCs w:val="22"/>
          <w:lang w:val="es-PE"/>
        </w:rPr>
        <w:t xml:space="preserve"> puntos porcentu</w:t>
      </w:r>
      <w:r w:rsidR="00C35ADE">
        <w:rPr>
          <w:rFonts w:ascii="Arial" w:hAnsi="Arial" w:cs="Arial"/>
          <w:sz w:val="22"/>
          <w:szCs w:val="22"/>
          <w:lang w:val="es-PE"/>
        </w:rPr>
        <w:t>a</w:t>
      </w:r>
      <w:r w:rsidR="00363E3F">
        <w:rPr>
          <w:rFonts w:ascii="Arial" w:hAnsi="Arial" w:cs="Arial"/>
          <w:sz w:val="22"/>
          <w:szCs w:val="22"/>
          <w:lang w:val="es-PE"/>
        </w:rPr>
        <w:t>l</w:t>
      </w:r>
      <w:r w:rsidR="00C35ADE">
        <w:rPr>
          <w:rFonts w:ascii="Arial" w:hAnsi="Arial" w:cs="Arial"/>
          <w:sz w:val="22"/>
          <w:szCs w:val="22"/>
          <w:lang w:val="es-PE"/>
        </w:rPr>
        <w:t>e</w:t>
      </w:r>
      <w:r w:rsidR="00363E3F">
        <w:rPr>
          <w:rFonts w:ascii="Arial" w:hAnsi="Arial" w:cs="Arial"/>
          <w:sz w:val="22"/>
          <w:szCs w:val="22"/>
          <w:lang w:val="es-PE"/>
        </w:rPr>
        <w:t>s</w:t>
      </w:r>
      <w:r w:rsidR="00C35ADE">
        <w:rPr>
          <w:rFonts w:ascii="Arial" w:hAnsi="Arial" w:cs="Arial"/>
          <w:sz w:val="22"/>
          <w:szCs w:val="22"/>
          <w:lang w:val="es-PE"/>
        </w:rPr>
        <w:t>, lo que corresponde a menos de la mitad del diferencial asumido en el análisis base.</w:t>
      </w:r>
    </w:p>
    <w:p w14:paraId="4BBDC780" w14:textId="77777777" w:rsidR="00FF6808" w:rsidRPr="004A1EFB" w:rsidRDefault="00FF6808" w:rsidP="00FF6808">
      <w:pPr>
        <w:pStyle w:val="ListParagraph"/>
        <w:spacing w:after="240"/>
        <w:jc w:val="both"/>
        <w:rPr>
          <w:rFonts w:ascii="Arial" w:hAnsi="Arial" w:cs="Arial"/>
          <w:sz w:val="22"/>
          <w:szCs w:val="18"/>
          <w:lang w:val="es-MX"/>
        </w:rPr>
      </w:pPr>
    </w:p>
    <w:p w14:paraId="2FA474E9" w14:textId="5DA5D69A" w:rsidR="00C35ADE" w:rsidRDefault="00C35ADE" w:rsidP="00BF7FD8">
      <w:pPr>
        <w:pStyle w:val="ListParagraph"/>
        <w:numPr>
          <w:ilvl w:val="0"/>
          <w:numId w:val="6"/>
        </w:numPr>
        <w:spacing w:after="240"/>
        <w:ind w:left="630" w:hanging="630"/>
        <w:jc w:val="both"/>
        <w:rPr>
          <w:rFonts w:ascii="Arial" w:hAnsi="Arial" w:cs="Arial"/>
          <w:sz w:val="22"/>
          <w:szCs w:val="18"/>
          <w:lang w:val="es-MX"/>
        </w:rPr>
      </w:pPr>
      <w:r>
        <w:rPr>
          <w:rFonts w:ascii="Arial" w:hAnsi="Arial" w:cs="Arial"/>
          <w:sz w:val="22"/>
          <w:szCs w:val="18"/>
          <w:lang w:val="es-MX"/>
        </w:rPr>
        <w:t xml:space="preserve">A continuación, se hace una evaluación del parámetro de caída en ventas como resultado de la crisis en ambos escenarios. Dado que existen </w:t>
      </w:r>
      <w:r w:rsidR="00C77237">
        <w:rPr>
          <w:rFonts w:ascii="Arial" w:hAnsi="Arial" w:cs="Arial"/>
          <w:sz w:val="22"/>
          <w:szCs w:val="18"/>
          <w:lang w:val="es-MX"/>
        </w:rPr>
        <w:t>fuentes que citan</w:t>
      </w:r>
      <w:r>
        <w:rPr>
          <w:rFonts w:ascii="Arial" w:hAnsi="Arial" w:cs="Arial"/>
          <w:sz w:val="22"/>
          <w:szCs w:val="18"/>
          <w:lang w:val="es-MX"/>
        </w:rPr>
        <w:t xml:space="preserve"> caídas </w:t>
      </w:r>
      <w:r w:rsidR="00E648BF">
        <w:rPr>
          <w:rFonts w:ascii="Arial" w:hAnsi="Arial" w:cs="Arial"/>
          <w:sz w:val="22"/>
          <w:szCs w:val="18"/>
          <w:lang w:val="es-MX"/>
        </w:rPr>
        <w:t xml:space="preserve">potenciales </w:t>
      </w:r>
      <w:r>
        <w:rPr>
          <w:rFonts w:ascii="Arial" w:hAnsi="Arial" w:cs="Arial"/>
          <w:sz w:val="22"/>
          <w:szCs w:val="18"/>
          <w:lang w:val="es-MX"/>
        </w:rPr>
        <w:t>de hasta 60% y 90% en los ingresos de empresas pequeñas y micro en México a inicios de la crisis, se incrementa el valor de caída en el escenario sin intervención al 30%. Consistentemente,</w:t>
      </w:r>
      <w:r w:rsidR="00E648BF">
        <w:rPr>
          <w:rFonts w:ascii="Arial" w:hAnsi="Arial" w:cs="Arial"/>
          <w:sz w:val="22"/>
          <w:szCs w:val="18"/>
          <w:lang w:val="es-MX"/>
        </w:rPr>
        <w:t xml:space="preserve"> en</w:t>
      </w:r>
      <w:r>
        <w:rPr>
          <w:rFonts w:ascii="Arial" w:hAnsi="Arial" w:cs="Arial"/>
          <w:sz w:val="22"/>
          <w:szCs w:val="18"/>
          <w:lang w:val="es-MX"/>
        </w:rPr>
        <w:t xml:space="preserve"> el escenario </w:t>
      </w:r>
      <w:r w:rsidR="00C77237">
        <w:rPr>
          <w:rFonts w:ascii="Arial" w:hAnsi="Arial" w:cs="Arial"/>
          <w:sz w:val="22"/>
          <w:szCs w:val="18"/>
          <w:lang w:val="es-MX"/>
        </w:rPr>
        <w:t xml:space="preserve">con intervención se aumenta la caída a 28.5%. Se observa un ligero aumento en el VPN, a raíz de que el diferencial entre el escenario con y sin intervención crece en proporción a la variación de la caída. </w:t>
      </w:r>
      <w:r>
        <w:rPr>
          <w:rFonts w:ascii="Arial" w:hAnsi="Arial" w:cs="Arial"/>
          <w:sz w:val="22"/>
          <w:szCs w:val="18"/>
          <w:lang w:val="es-MX"/>
        </w:rPr>
        <w:t xml:space="preserve">Puesto que el diferencial entre un escenario y otro en el análisis base es ya bastante reducido, el </w:t>
      </w:r>
      <w:r w:rsidR="00E648BF">
        <w:rPr>
          <w:rFonts w:ascii="Arial" w:hAnsi="Arial" w:cs="Arial"/>
          <w:sz w:val="22"/>
          <w:szCs w:val="18"/>
          <w:lang w:val="es-MX"/>
        </w:rPr>
        <w:t xml:space="preserve">efecto </w:t>
      </w:r>
      <w:r>
        <w:rPr>
          <w:rFonts w:ascii="Arial" w:hAnsi="Arial" w:cs="Arial"/>
          <w:sz w:val="22"/>
          <w:szCs w:val="18"/>
          <w:lang w:val="es-MX"/>
        </w:rPr>
        <w:t xml:space="preserve">de </w:t>
      </w:r>
      <w:r w:rsidR="00E648BF">
        <w:rPr>
          <w:rFonts w:ascii="Arial" w:hAnsi="Arial" w:cs="Arial"/>
          <w:sz w:val="22"/>
          <w:szCs w:val="18"/>
          <w:lang w:val="es-MX"/>
        </w:rPr>
        <w:t>rebajar</w:t>
      </w:r>
      <w:r>
        <w:rPr>
          <w:rFonts w:ascii="Arial" w:hAnsi="Arial" w:cs="Arial"/>
          <w:sz w:val="22"/>
          <w:szCs w:val="18"/>
          <w:lang w:val="es-MX"/>
        </w:rPr>
        <w:t xml:space="preserve"> </w:t>
      </w:r>
      <w:r w:rsidR="00E648BF">
        <w:rPr>
          <w:rFonts w:ascii="Arial" w:hAnsi="Arial" w:cs="Arial"/>
          <w:sz w:val="22"/>
          <w:szCs w:val="18"/>
          <w:lang w:val="es-MX"/>
        </w:rPr>
        <w:t>dicho</w:t>
      </w:r>
      <w:r>
        <w:rPr>
          <w:rFonts w:ascii="Arial" w:hAnsi="Arial" w:cs="Arial"/>
          <w:sz w:val="22"/>
          <w:szCs w:val="18"/>
          <w:lang w:val="es-MX"/>
        </w:rPr>
        <w:t xml:space="preserve"> diferencial </w:t>
      </w:r>
      <w:r w:rsidR="00E648BF">
        <w:rPr>
          <w:rFonts w:ascii="Arial" w:hAnsi="Arial" w:cs="Arial"/>
          <w:sz w:val="22"/>
          <w:szCs w:val="18"/>
          <w:lang w:val="es-MX"/>
        </w:rPr>
        <w:t xml:space="preserve">aún más </w:t>
      </w:r>
      <w:r>
        <w:rPr>
          <w:rFonts w:ascii="Arial" w:hAnsi="Arial" w:cs="Arial"/>
          <w:sz w:val="22"/>
          <w:szCs w:val="18"/>
          <w:lang w:val="es-MX"/>
        </w:rPr>
        <w:t>no se considera relevante</w:t>
      </w:r>
      <w:r w:rsidR="00C77237">
        <w:rPr>
          <w:rFonts w:ascii="Arial" w:hAnsi="Arial" w:cs="Arial"/>
          <w:sz w:val="22"/>
          <w:szCs w:val="18"/>
          <w:lang w:val="es-MX"/>
        </w:rPr>
        <w:t xml:space="preserve"> para este análisis</w:t>
      </w:r>
      <w:r>
        <w:rPr>
          <w:rFonts w:ascii="Arial" w:hAnsi="Arial" w:cs="Arial"/>
          <w:sz w:val="22"/>
          <w:szCs w:val="18"/>
          <w:lang w:val="es-MX"/>
        </w:rPr>
        <w:t>.</w:t>
      </w:r>
    </w:p>
    <w:p w14:paraId="6FE069ED" w14:textId="77777777" w:rsidR="00FF6808" w:rsidRPr="00FF6808" w:rsidRDefault="00FF6808" w:rsidP="00FF6808">
      <w:pPr>
        <w:pStyle w:val="ListParagraph"/>
        <w:rPr>
          <w:rFonts w:ascii="Arial" w:hAnsi="Arial" w:cs="Arial"/>
          <w:sz w:val="22"/>
          <w:szCs w:val="18"/>
          <w:lang w:val="es-MX"/>
        </w:rPr>
      </w:pPr>
    </w:p>
    <w:p w14:paraId="50625F04" w14:textId="41F54926" w:rsidR="00C77237" w:rsidRDefault="00C77237" w:rsidP="00BF7FD8">
      <w:pPr>
        <w:pStyle w:val="ListParagraph"/>
        <w:numPr>
          <w:ilvl w:val="0"/>
          <w:numId w:val="6"/>
        </w:numPr>
        <w:spacing w:after="240"/>
        <w:ind w:left="630" w:hanging="630"/>
        <w:jc w:val="both"/>
        <w:rPr>
          <w:rFonts w:ascii="Arial" w:hAnsi="Arial" w:cs="Arial"/>
          <w:sz w:val="22"/>
          <w:szCs w:val="18"/>
          <w:lang w:val="es-MX"/>
        </w:rPr>
      </w:pPr>
      <w:r>
        <w:rPr>
          <w:rFonts w:ascii="Arial" w:hAnsi="Arial" w:cs="Arial"/>
          <w:sz w:val="22"/>
          <w:szCs w:val="18"/>
          <w:lang w:val="es-MX"/>
        </w:rPr>
        <w:t xml:space="preserve">En una tercera prueba, se analiza la variación de los resultados al modificar el valor de las ventas promedio de las empresas beneficiarias. Utilizando los rangos mínimo y máximo </w:t>
      </w:r>
      <w:r w:rsidR="00E648BF">
        <w:rPr>
          <w:rFonts w:ascii="Arial" w:hAnsi="Arial" w:cs="Arial"/>
          <w:sz w:val="22"/>
          <w:szCs w:val="18"/>
          <w:lang w:val="es-MX"/>
        </w:rPr>
        <w:t>del</w:t>
      </w:r>
      <w:r>
        <w:rPr>
          <w:rFonts w:ascii="Arial" w:hAnsi="Arial" w:cs="Arial"/>
          <w:sz w:val="22"/>
          <w:szCs w:val="18"/>
          <w:lang w:val="es-MX"/>
        </w:rPr>
        <w:t xml:space="preserve"> sector </w:t>
      </w:r>
      <w:r w:rsidR="00E648BF">
        <w:rPr>
          <w:rFonts w:ascii="Arial" w:hAnsi="Arial" w:cs="Arial"/>
          <w:sz w:val="22"/>
          <w:szCs w:val="18"/>
          <w:lang w:val="es-MX"/>
        </w:rPr>
        <w:t>para</w:t>
      </w:r>
      <w:r>
        <w:rPr>
          <w:rFonts w:ascii="Arial" w:hAnsi="Arial" w:cs="Arial"/>
          <w:sz w:val="22"/>
          <w:szCs w:val="18"/>
          <w:lang w:val="es-MX"/>
        </w:rPr>
        <w:t xml:space="preserve"> la cartera </w:t>
      </w:r>
      <w:r w:rsidR="00E648BF">
        <w:rPr>
          <w:rFonts w:ascii="Arial" w:hAnsi="Arial" w:cs="Arial"/>
          <w:sz w:val="22"/>
          <w:szCs w:val="18"/>
          <w:lang w:val="es-MX"/>
        </w:rPr>
        <w:t>de</w:t>
      </w:r>
      <w:r>
        <w:rPr>
          <w:rFonts w:ascii="Arial" w:hAnsi="Arial" w:cs="Arial"/>
          <w:sz w:val="22"/>
          <w:szCs w:val="18"/>
          <w:lang w:val="es-MX"/>
        </w:rPr>
        <w:t xml:space="preserve"> FIRA</w:t>
      </w:r>
      <w:r w:rsidR="00544E23">
        <w:rPr>
          <w:rFonts w:ascii="Arial" w:hAnsi="Arial" w:cs="Arial"/>
          <w:sz w:val="22"/>
          <w:szCs w:val="18"/>
          <w:lang w:val="es-MX"/>
        </w:rPr>
        <w:t xml:space="preserve"> (ver anexo I)</w:t>
      </w:r>
      <w:r>
        <w:rPr>
          <w:rFonts w:ascii="Arial" w:hAnsi="Arial" w:cs="Arial"/>
          <w:sz w:val="22"/>
          <w:szCs w:val="18"/>
          <w:lang w:val="es-MX"/>
        </w:rPr>
        <w:t xml:space="preserve">, se calcula el efecto en el VPN. </w:t>
      </w:r>
      <w:r w:rsidR="00544E23">
        <w:rPr>
          <w:rFonts w:ascii="Arial" w:hAnsi="Arial" w:cs="Arial"/>
          <w:sz w:val="22"/>
          <w:szCs w:val="18"/>
          <w:lang w:val="es-MX"/>
        </w:rPr>
        <w:t>A</w:t>
      </w:r>
      <w:r>
        <w:rPr>
          <w:rFonts w:ascii="Arial" w:hAnsi="Arial" w:cs="Arial"/>
          <w:sz w:val="22"/>
          <w:szCs w:val="18"/>
          <w:lang w:val="es-MX"/>
        </w:rPr>
        <w:t xml:space="preserve"> mayor nivel de ventas</w:t>
      </w:r>
      <w:r w:rsidR="00544E23">
        <w:rPr>
          <w:rFonts w:ascii="Arial" w:hAnsi="Arial" w:cs="Arial"/>
          <w:sz w:val="22"/>
          <w:szCs w:val="18"/>
          <w:lang w:val="es-MX"/>
        </w:rPr>
        <w:t xml:space="preserve"> inicial</w:t>
      </w:r>
      <w:r>
        <w:rPr>
          <w:rFonts w:ascii="Arial" w:hAnsi="Arial" w:cs="Arial"/>
          <w:sz w:val="22"/>
          <w:szCs w:val="18"/>
          <w:lang w:val="es-MX"/>
        </w:rPr>
        <w:t xml:space="preserve">, mayor el beneficio </w:t>
      </w:r>
      <w:r w:rsidR="00544E23">
        <w:rPr>
          <w:rFonts w:ascii="Arial" w:hAnsi="Arial" w:cs="Arial"/>
          <w:sz w:val="22"/>
          <w:szCs w:val="18"/>
          <w:lang w:val="es-MX"/>
        </w:rPr>
        <w:t>que se alcanza con la intervención</w:t>
      </w:r>
      <w:r w:rsidR="00E648BF">
        <w:rPr>
          <w:rFonts w:ascii="Arial" w:hAnsi="Arial" w:cs="Arial"/>
          <w:sz w:val="22"/>
          <w:szCs w:val="18"/>
          <w:lang w:val="es-MX"/>
        </w:rPr>
        <w:t>, pues se espera</w:t>
      </w:r>
      <w:r>
        <w:rPr>
          <w:rFonts w:ascii="Arial" w:hAnsi="Arial" w:cs="Arial"/>
          <w:sz w:val="22"/>
          <w:szCs w:val="18"/>
          <w:lang w:val="es-MX"/>
        </w:rPr>
        <w:t xml:space="preserve"> mantener</w:t>
      </w:r>
      <w:r w:rsidR="00544E23">
        <w:rPr>
          <w:rFonts w:ascii="Arial" w:hAnsi="Arial" w:cs="Arial"/>
          <w:sz w:val="22"/>
          <w:szCs w:val="18"/>
          <w:lang w:val="es-MX"/>
        </w:rPr>
        <w:t>las</w:t>
      </w:r>
      <w:r>
        <w:rPr>
          <w:rFonts w:ascii="Arial" w:hAnsi="Arial" w:cs="Arial"/>
          <w:sz w:val="22"/>
          <w:szCs w:val="18"/>
          <w:lang w:val="es-MX"/>
        </w:rPr>
        <w:t xml:space="preserve"> con caídas relativamente menores y </w:t>
      </w:r>
      <w:r w:rsidR="00544E23">
        <w:rPr>
          <w:rFonts w:ascii="Arial" w:hAnsi="Arial" w:cs="Arial"/>
          <w:sz w:val="22"/>
          <w:szCs w:val="18"/>
          <w:lang w:val="es-MX"/>
        </w:rPr>
        <w:t xml:space="preserve">para </w:t>
      </w:r>
      <w:r>
        <w:rPr>
          <w:rFonts w:ascii="Arial" w:hAnsi="Arial" w:cs="Arial"/>
          <w:sz w:val="22"/>
          <w:szCs w:val="18"/>
          <w:lang w:val="es-MX"/>
        </w:rPr>
        <w:t xml:space="preserve">un mayor número de empresas sobrevivientes. </w:t>
      </w:r>
      <w:r w:rsidR="00544E23">
        <w:rPr>
          <w:rFonts w:ascii="Arial" w:hAnsi="Arial" w:cs="Arial"/>
          <w:sz w:val="22"/>
          <w:szCs w:val="18"/>
          <w:lang w:val="es-MX"/>
        </w:rPr>
        <w:t xml:space="preserve">Por el contrario, un menor nivel inicial de </w:t>
      </w:r>
      <w:r w:rsidR="0076625D">
        <w:rPr>
          <w:rFonts w:ascii="Arial" w:hAnsi="Arial" w:cs="Arial"/>
          <w:sz w:val="22"/>
          <w:szCs w:val="18"/>
          <w:lang w:val="es-MX"/>
        </w:rPr>
        <w:t>ventas</w:t>
      </w:r>
      <w:r w:rsidR="00544E23">
        <w:rPr>
          <w:rFonts w:ascii="Arial" w:hAnsi="Arial" w:cs="Arial"/>
          <w:sz w:val="22"/>
          <w:szCs w:val="18"/>
          <w:lang w:val="es-MX"/>
        </w:rPr>
        <w:t xml:space="preserve"> reduce el beneficio </w:t>
      </w:r>
      <w:r w:rsidR="004A1EFB">
        <w:rPr>
          <w:rFonts w:ascii="Arial" w:hAnsi="Arial" w:cs="Arial"/>
          <w:sz w:val="22"/>
          <w:szCs w:val="18"/>
          <w:lang w:val="es-MX"/>
        </w:rPr>
        <w:t>y, en consecuencia, el VPN, pues</w:t>
      </w:r>
      <w:r w:rsidR="00544E23">
        <w:rPr>
          <w:rFonts w:ascii="Arial" w:hAnsi="Arial" w:cs="Arial"/>
          <w:sz w:val="22"/>
          <w:szCs w:val="18"/>
          <w:lang w:val="es-MX"/>
        </w:rPr>
        <w:t xml:space="preserve"> los costos se mantienen</w:t>
      </w:r>
      <w:r w:rsidR="004A1EFB">
        <w:rPr>
          <w:rFonts w:ascii="Arial" w:hAnsi="Arial" w:cs="Arial"/>
          <w:sz w:val="22"/>
          <w:szCs w:val="18"/>
          <w:lang w:val="es-MX"/>
        </w:rPr>
        <w:t>.</w:t>
      </w:r>
      <w:r w:rsidR="00544E23">
        <w:rPr>
          <w:rFonts w:ascii="Arial" w:hAnsi="Arial" w:cs="Arial"/>
          <w:sz w:val="22"/>
          <w:szCs w:val="18"/>
          <w:lang w:val="es-MX"/>
        </w:rPr>
        <w:t xml:space="preserve"> </w:t>
      </w:r>
      <w:r w:rsidR="004A1EFB">
        <w:rPr>
          <w:rFonts w:ascii="Arial" w:hAnsi="Arial" w:cs="Arial"/>
          <w:sz w:val="22"/>
          <w:szCs w:val="18"/>
          <w:lang w:val="es-MX"/>
        </w:rPr>
        <w:t>A pesar de ello,</w:t>
      </w:r>
      <w:r w:rsidR="00544E23">
        <w:rPr>
          <w:rFonts w:ascii="Arial" w:hAnsi="Arial" w:cs="Arial"/>
          <w:sz w:val="22"/>
          <w:szCs w:val="18"/>
          <w:lang w:val="es-MX"/>
        </w:rPr>
        <w:t xml:space="preserve"> el VPN se mantiene positivo incluso para el valor mínimo de ventas registrado dentro de la cartera objetivo. El valor de punto de equilibro para </w:t>
      </w:r>
      <w:r w:rsidR="004A1EFB">
        <w:rPr>
          <w:rFonts w:ascii="Arial" w:hAnsi="Arial" w:cs="Arial"/>
          <w:sz w:val="22"/>
          <w:szCs w:val="18"/>
          <w:lang w:val="es-MX"/>
        </w:rPr>
        <w:t>las</w:t>
      </w:r>
      <w:r w:rsidR="00544E23">
        <w:rPr>
          <w:rFonts w:ascii="Arial" w:hAnsi="Arial" w:cs="Arial"/>
          <w:sz w:val="22"/>
          <w:szCs w:val="18"/>
          <w:lang w:val="es-MX"/>
        </w:rPr>
        <w:t xml:space="preserve"> ventas iniciales </w:t>
      </w:r>
      <w:r w:rsidR="004A1EFB">
        <w:rPr>
          <w:rFonts w:ascii="Arial" w:hAnsi="Arial" w:cs="Arial"/>
          <w:sz w:val="22"/>
          <w:szCs w:val="18"/>
          <w:lang w:val="es-MX"/>
        </w:rPr>
        <w:t xml:space="preserve">es </w:t>
      </w:r>
      <w:r w:rsidR="00544E23">
        <w:rPr>
          <w:rFonts w:ascii="Arial" w:hAnsi="Arial" w:cs="Arial"/>
          <w:sz w:val="22"/>
          <w:szCs w:val="18"/>
          <w:lang w:val="es-MX"/>
        </w:rPr>
        <w:t>de $1</w:t>
      </w:r>
      <w:r w:rsidR="00962A92">
        <w:rPr>
          <w:rFonts w:ascii="Arial" w:hAnsi="Arial" w:cs="Arial"/>
          <w:sz w:val="22"/>
          <w:szCs w:val="18"/>
          <w:lang w:val="es-MX"/>
        </w:rPr>
        <w:t>0</w:t>
      </w:r>
      <w:r w:rsidR="00544E23">
        <w:rPr>
          <w:rFonts w:ascii="Arial" w:hAnsi="Arial" w:cs="Arial"/>
          <w:sz w:val="22"/>
          <w:szCs w:val="18"/>
          <w:lang w:val="es-MX"/>
        </w:rPr>
        <w:t>.</w:t>
      </w:r>
      <w:r w:rsidR="00962A92">
        <w:rPr>
          <w:rFonts w:ascii="Arial" w:hAnsi="Arial" w:cs="Arial"/>
          <w:sz w:val="22"/>
          <w:szCs w:val="18"/>
          <w:lang w:val="es-MX"/>
        </w:rPr>
        <w:t>3</w:t>
      </w:r>
      <w:r w:rsidR="00544E23">
        <w:rPr>
          <w:rFonts w:ascii="Arial" w:hAnsi="Arial" w:cs="Arial"/>
          <w:sz w:val="22"/>
          <w:szCs w:val="18"/>
          <w:lang w:val="es-MX"/>
        </w:rPr>
        <w:t xml:space="preserve"> millones de pesos.</w:t>
      </w:r>
    </w:p>
    <w:p w14:paraId="7F39F90A" w14:textId="77777777" w:rsidR="00FF6808" w:rsidRPr="00FF6808" w:rsidRDefault="00FF6808" w:rsidP="00FF6808">
      <w:pPr>
        <w:pStyle w:val="ListParagraph"/>
        <w:rPr>
          <w:rFonts w:ascii="Arial" w:hAnsi="Arial" w:cs="Arial"/>
          <w:sz w:val="22"/>
          <w:szCs w:val="18"/>
          <w:lang w:val="es-MX"/>
        </w:rPr>
      </w:pPr>
    </w:p>
    <w:p w14:paraId="5E35BC93" w14:textId="5B4CD062" w:rsidR="00544E23" w:rsidRPr="00FF6808" w:rsidRDefault="00544E23" w:rsidP="00BF7FD8">
      <w:pPr>
        <w:pStyle w:val="ListParagraph"/>
        <w:numPr>
          <w:ilvl w:val="0"/>
          <w:numId w:val="6"/>
        </w:numPr>
        <w:spacing w:after="240"/>
        <w:ind w:left="630" w:hanging="630"/>
        <w:jc w:val="both"/>
        <w:rPr>
          <w:rFonts w:ascii="Arial" w:hAnsi="Arial" w:cs="Arial"/>
          <w:sz w:val="22"/>
          <w:szCs w:val="18"/>
          <w:lang w:val="es-MX"/>
        </w:rPr>
      </w:pPr>
      <w:r w:rsidRPr="00FF6808">
        <w:rPr>
          <w:rFonts w:ascii="Arial" w:hAnsi="Arial" w:cs="Arial"/>
          <w:sz w:val="22"/>
          <w:szCs w:val="18"/>
          <w:lang w:val="es-MX"/>
        </w:rPr>
        <w:t>Finalmente, de manera similar al análisis realizado sobre el parámetro de ventas promedio, se analiza el crédito promedio</w:t>
      </w:r>
      <w:r w:rsidR="004A1EFB" w:rsidRPr="00FF6808">
        <w:rPr>
          <w:rFonts w:ascii="Arial" w:hAnsi="Arial" w:cs="Arial"/>
          <w:sz w:val="22"/>
          <w:szCs w:val="18"/>
          <w:lang w:val="es-MX"/>
        </w:rPr>
        <w:t xml:space="preserve">. Este parámetro </w:t>
      </w:r>
      <w:r w:rsidRPr="00FF6808">
        <w:rPr>
          <w:rFonts w:ascii="Arial" w:hAnsi="Arial" w:cs="Arial"/>
          <w:sz w:val="22"/>
          <w:szCs w:val="18"/>
          <w:lang w:val="es-MX"/>
        </w:rPr>
        <w:t>incide significativamente en el número de empresas beneficiarias y</w:t>
      </w:r>
      <w:r w:rsidR="004A1EFB" w:rsidRPr="00FF6808">
        <w:rPr>
          <w:rFonts w:ascii="Arial" w:hAnsi="Arial" w:cs="Arial"/>
          <w:sz w:val="22"/>
          <w:szCs w:val="18"/>
          <w:lang w:val="es-MX"/>
        </w:rPr>
        <w:t>,</w:t>
      </w:r>
      <w:r w:rsidRPr="00FF6808">
        <w:rPr>
          <w:rFonts w:ascii="Arial" w:hAnsi="Arial" w:cs="Arial"/>
          <w:sz w:val="22"/>
          <w:szCs w:val="18"/>
          <w:lang w:val="es-MX"/>
        </w:rPr>
        <w:t xml:space="preserve"> por tanto</w:t>
      </w:r>
      <w:r w:rsidR="004A1EFB" w:rsidRPr="00FF6808">
        <w:rPr>
          <w:rFonts w:ascii="Arial" w:hAnsi="Arial" w:cs="Arial"/>
          <w:sz w:val="22"/>
          <w:szCs w:val="18"/>
          <w:lang w:val="es-MX"/>
        </w:rPr>
        <w:t>,</w:t>
      </w:r>
      <w:r w:rsidRPr="00FF6808">
        <w:rPr>
          <w:rFonts w:ascii="Arial" w:hAnsi="Arial" w:cs="Arial"/>
          <w:sz w:val="22"/>
          <w:szCs w:val="18"/>
          <w:lang w:val="es-MX"/>
        </w:rPr>
        <w:t xml:space="preserve"> en el volumen de beneficios alcanzados con los recursos del programa. Nuevamente, utilizando los rangos inferior y superior según reporte de la cartera de FIRA (ver anexo II)</w:t>
      </w:r>
      <w:r>
        <w:rPr>
          <w:rStyle w:val="FootnoteReference"/>
          <w:rFonts w:ascii="Arial" w:hAnsi="Arial" w:cs="Arial"/>
          <w:sz w:val="22"/>
          <w:szCs w:val="18"/>
          <w:lang w:val="es-MX"/>
        </w:rPr>
        <w:footnoteReference w:id="55"/>
      </w:r>
      <w:r w:rsidRPr="00FF6808">
        <w:rPr>
          <w:rFonts w:ascii="Arial" w:hAnsi="Arial" w:cs="Arial"/>
          <w:sz w:val="22"/>
          <w:szCs w:val="18"/>
          <w:lang w:val="es-MX"/>
        </w:rPr>
        <w:t xml:space="preserve">, se mide la variación en el VPN del programa. A menor valor de crédito promedio, mayor será el </w:t>
      </w:r>
      <w:r w:rsidR="004A1EFB" w:rsidRPr="00FF6808">
        <w:rPr>
          <w:rFonts w:ascii="Arial" w:hAnsi="Arial" w:cs="Arial"/>
          <w:sz w:val="22"/>
          <w:szCs w:val="18"/>
          <w:lang w:val="es-MX"/>
        </w:rPr>
        <w:t>número</w:t>
      </w:r>
      <w:r w:rsidRPr="00FF6808">
        <w:rPr>
          <w:rFonts w:ascii="Arial" w:hAnsi="Arial" w:cs="Arial"/>
          <w:sz w:val="22"/>
          <w:szCs w:val="18"/>
          <w:lang w:val="es-MX"/>
        </w:rPr>
        <w:t xml:space="preserve"> de beneficiarios</w:t>
      </w:r>
      <w:r w:rsidR="004A1EFB" w:rsidRPr="00FF6808">
        <w:rPr>
          <w:rFonts w:ascii="Arial" w:hAnsi="Arial" w:cs="Arial"/>
          <w:sz w:val="22"/>
          <w:szCs w:val="18"/>
          <w:lang w:val="es-MX"/>
        </w:rPr>
        <w:t xml:space="preserve"> que se puede atender con los US$100 millones del programa</w:t>
      </w:r>
      <w:r w:rsidRPr="00FF6808">
        <w:rPr>
          <w:rFonts w:ascii="Arial" w:hAnsi="Arial" w:cs="Arial"/>
          <w:sz w:val="22"/>
          <w:szCs w:val="18"/>
          <w:lang w:val="es-MX"/>
        </w:rPr>
        <w:t xml:space="preserve"> y, por tanto, mayores los beneficios </w:t>
      </w:r>
      <w:r w:rsidR="00E648BF" w:rsidRPr="00FF6808">
        <w:rPr>
          <w:rFonts w:ascii="Arial" w:hAnsi="Arial" w:cs="Arial"/>
          <w:sz w:val="22"/>
          <w:szCs w:val="18"/>
          <w:lang w:val="es-MX"/>
        </w:rPr>
        <w:t>esperados</w:t>
      </w:r>
      <w:r w:rsidR="004A1EFB" w:rsidRPr="00FF6808">
        <w:rPr>
          <w:rFonts w:ascii="Arial" w:hAnsi="Arial" w:cs="Arial"/>
          <w:sz w:val="22"/>
          <w:szCs w:val="18"/>
          <w:lang w:val="es-MX"/>
        </w:rPr>
        <w:t xml:space="preserve">. Por ello, </w:t>
      </w:r>
      <w:r w:rsidR="00E648BF" w:rsidRPr="00FF6808">
        <w:rPr>
          <w:rFonts w:ascii="Arial" w:hAnsi="Arial" w:cs="Arial"/>
          <w:sz w:val="22"/>
          <w:szCs w:val="18"/>
          <w:lang w:val="es-MX"/>
        </w:rPr>
        <w:t>resulta importante observar más bien el efecto de incrementar el crédito promedio. Usando el valor máximo, el VPN se torna negativo y se calcula que el punto de equilibrio se alcanza con un crédito promedio de $</w:t>
      </w:r>
      <w:r w:rsidR="00AE0B84" w:rsidRPr="00FF6808">
        <w:rPr>
          <w:rFonts w:ascii="Arial" w:hAnsi="Arial" w:cs="Arial"/>
          <w:sz w:val="22"/>
          <w:szCs w:val="18"/>
          <w:lang w:val="es-MX"/>
        </w:rPr>
        <w:t>5</w:t>
      </w:r>
      <w:r w:rsidR="00E648BF" w:rsidRPr="00FF6808">
        <w:rPr>
          <w:rFonts w:ascii="Arial" w:hAnsi="Arial" w:cs="Arial"/>
          <w:sz w:val="22"/>
          <w:szCs w:val="18"/>
          <w:lang w:val="es-MX"/>
        </w:rPr>
        <w:t>.</w:t>
      </w:r>
      <w:r w:rsidR="00AE0B84" w:rsidRPr="00FF6808">
        <w:rPr>
          <w:rFonts w:ascii="Arial" w:hAnsi="Arial" w:cs="Arial"/>
          <w:sz w:val="22"/>
          <w:szCs w:val="18"/>
          <w:lang w:val="es-MX"/>
        </w:rPr>
        <w:t>36</w:t>
      </w:r>
      <w:r w:rsidR="00E648BF" w:rsidRPr="00FF6808">
        <w:rPr>
          <w:rFonts w:ascii="Arial" w:hAnsi="Arial" w:cs="Arial"/>
          <w:sz w:val="22"/>
          <w:szCs w:val="18"/>
          <w:lang w:val="es-MX"/>
        </w:rPr>
        <w:t xml:space="preserve"> millones de pesos. Esta información es relevante para la definición de montos máximos de crédito a ser otorgados bajo el programa, que se contempla en el reglamento de crédito.</w:t>
      </w:r>
    </w:p>
    <w:p w14:paraId="2C047623" w14:textId="7732547C" w:rsidR="004841B6" w:rsidRDefault="00967C1D" w:rsidP="000F0F47">
      <w:pPr>
        <w:pStyle w:val="Chapter"/>
        <w:tabs>
          <w:tab w:val="clear" w:pos="1440"/>
          <w:tab w:val="left" w:pos="90"/>
        </w:tabs>
        <w:ind w:left="540" w:hanging="540"/>
        <w:rPr>
          <w:rFonts w:ascii="Arial" w:hAnsi="Arial" w:cs="Arial"/>
          <w:szCs w:val="24"/>
          <w:lang w:val="es-ES_tradnl"/>
        </w:rPr>
      </w:pPr>
      <w:bookmarkStart w:id="22" w:name="_Toc38625756"/>
      <w:r w:rsidRPr="00FF6808">
        <w:rPr>
          <w:rFonts w:ascii="Arial" w:hAnsi="Arial" w:cs="Arial"/>
          <w:szCs w:val="24"/>
          <w:lang w:val="es-ES_tradnl"/>
        </w:rPr>
        <w:t>Conclusiones</w:t>
      </w:r>
      <w:bookmarkEnd w:id="22"/>
    </w:p>
    <w:p w14:paraId="4234EFCF" w14:textId="3DB3E4A9" w:rsidR="004841B6" w:rsidRPr="00FF6808" w:rsidRDefault="00416F7C" w:rsidP="00BF7FD8">
      <w:pPr>
        <w:pStyle w:val="ListParagraph"/>
        <w:numPr>
          <w:ilvl w:val="0"/>
          <w:numId w:val="7"/>
        </w:numPr>
        <w:ind w:left="630" w:hanging="630"/>
        <w:jc w:val="both"/>
      </w:pPr>
      <w:r w:rsidRPr="00FF6808">
        <w:rPr>
          <w:rFonts w:ascii="Arial" w:hAnsi="Arial" w:cs="Arial"/>
          <w:sz w:val="22"/>
        </w:rPr>
        <w:t>Del presente análisis se espera que el programa genere un beneficio neto agregado de US$</w:t>
      </w:r>
      <w:r w:rsidR="00AE0B84" w:rsidRPr="00FF6808">
        <w:rPr>
          <w:rFonts w:ascii="Arial" w:hAnsi="Arial" w:cs="Arial"/>
          <w:sz w:val="22"/>
        </w:rPr>
        <w:t>150</w:t>
      </w:r>
      <w:r w:rsidR="00E702F6" w:rsidRPr="00FF6808">
        <w:rPr>
          <w:rFonts w:ascii="Arial" w:hAnsi="Arial" w:cs="Arial"/>
          <w:sz w:val="22"/>
        </w:rPr>
        <w:t>.</w:t>
      </w:r>
      <w:r w:rsidR="00AE0B84" w:rsidRPr="00FF6808">
        <w:rPr>
          <w:rFonts w:ascii="Arial" w:hAnsi="Arial" w:cs="Arial"/>
          <w:sz w:val="22"/>
        </w:rPr>
        <w:t>4</w:t>
      </w:r>
      <w:r w:rsidR="00E702F6" w:rsidRPr="00FF6808">
        <w:rPr>
          <w:rFonts w:ascii="Arial" w:hAnsi="Arial" w:cs="Arial"/>
          <w:sz w:val="22"/>
        </w:rPr>
        <w:t xml:space="preserve"> millones</w:t>
      </w:r>
      <w:r w:rsidRPr="00FF6808">
        <w:rPr>
          <w:rFonts w:ascii="Arial" w:hAnsi="Arial" w:cs="Arial"/>
          <w:sz w:val="22"/>
        </w:rPr>
        <w:t xml:space="preserve">, con una TIR del </w:t>
      </w:r>
      <w:r w:rsidR="00E702F6" w:rsidRPr="00FF6808">
        <w:rPr>
          <w:rFonts w:ascii="Arial" w:hAnsi="Arial" w:cs="Arial"/>
          <w:sz w:val="22"/>
        </w:rPr>
        <w:t>2</w:t>
      </w:r>
      <w:r w:rsidR="00AE0B84" w:rsidRPr="00FF6808">
        <w:rPr>
          <w:rFonts w:ascii="Arial" w:hAnsi="Arial" w:cs="Arial"/>
          <w:sz w:val="22"/>
        </w:rPr>
        <w:t>9</w:t>
      </w:r>
      <w:r w:rsidRPr="00FF6808">
        <w:rPr>
          <w:rFonts w:ascii="Arial" w:hAnsi="Arial" w:cs="Arial"/>
          <w:sz w:val="22"/>
        </w:rPr>
        <w:t>%.</w:t>
      </w:r>
      <w:r w:rsidR="002636EB" w:rsidRPr="00FF6808">
        <w:rPr>
          <w:rFonts w:ascii="Arial" w:hAnsi="Arial" w:cs="Arial"/>
          <w:sz w:val="22"/>
        </w:rPr>
        <w:t xml:space="preserve"> De acuerdo con las pruebas de sensibilización realizadas, </w:t>
      </w:r>
      <w:bookmarkStart w:id="23" w:name="_Hlk38626306"/>
      <w:r w:rsidR="002636EB" w:rsidRPr="00FF6808">
        <w:rPr>
          <w:rFonts w:ascii="Arial" w:hAnsi="Arial" w:cs="Arial"/>
          <w:sz w:val="22"/>
        </w:rPr>
        <w:t>el VPN del programa se mantiene positivo en un rango razonable de valores de los parámetros considerados clave para el análisis</w:t>
      </w:r>
      <w:bookmarkEnd w:id="23"/>
      <w:r w:rsidR="00B72812" w:rsidRPr="00FF6808">
        <w:rPr>
          <w:rFonts w:ascii="Arial" w:hAnsi="Arial" w:cs="Arial"/>
          <w:sz w:val="22"/>
        </w:rPr>
        <w:t>.</w:t>
      </w:r>
    </w:p>
    <w:p w14:paraId="4DB328C7" w14:textId="07CBD5B1" w:rsidR="00DA469C" w:rsidRPr="006A77B8" w:rsidRDefault="00DA469C" w:rsidP="006A77B8">
      <w:pPr>
        <w:jc w:val="center"/>
        <w:rPr>
          <w:rFonts w:ascii="Arial" w:hAnsi="Arial" w:cs="Arial"/>
          <w:b/>
          <w:bCs/>
          <w:szCs w:val="18"/>
          <w:lang w:val="es-MX"/>
        </w:rPr>
      </w:pPr>
    </w:p>
    <w:p w14:paraId="18C8869C" w14:textId="77777777" w:rsidR="00EE6203" w:rsidRDefault="00EE6203">
      <w:pPr>
        <w:rPr>
          <w:sz w:val="20"/>
          <w:szCs w:val="20"/>
          <w:lang w:val="es-ES_tradnl"/>
        </w:rPr>
        <w:sectPr w:rsidR="00EE6203" w:rsidSect="000F0F47">
          <w:pgSz w:w="12240" w:h="15840"/>
          <w:pgMar w:top="1440" w:right="1800" w:bottom="1440" w:left="1800" w:header="720" w:footer="720" w:gutter="0"/>
          <w:cols w:space="720"/>
          <w:docGrid w:linePitch="360"/>
        </w:sectPr>
      </w:pPr>
    </w:p>
    <w:p w14:paraId="2F3EBEB6" w14:textId="47B81ED4" w:rsidR="00EE6203" w:rsidRPr="00FF6808" w:rsidRDefault="00EE6203">
      <w:pPr>
        <w:rPr>
          <w:rFonts w:ascii="Arial" w:hAnsi="Arial" w:cs="Arial"/>
          <w:b/>
          <w:bCs/>
          <w:sz w:val="20"/>
          <w:szCs w:val="20"/>
          <w:lang w:val="es-ES_tradnl"/>
        </w:rPr>
      </w:pPr>
      <w:r w:rsidRPr="00FF6808">
        <w:rPr>
          <w:rFonts w:ascii="Arial" w:hAnsi="Arial" w:cs="Arial"/>
          <w:b/>
          <w:bCs/>
          <w:sz w:val="20"/>
          <w:szCs w:val="20"/>
          <w:lang w:val="es-ES_tradnl"/>
        </w:rPr>
        <w:lastRenderedPageBreak/>
        <w:t>Anexo 1.- Valores de ventas y personal ocupado por unidad económica en el sector objetivo</w:t>
      </w:r>
    </w:p>
    <w:tbl>
      <w:tblPr>
        <w:tblW w:w="8984" w:type="dxa"/>
        <w:tblLook w:val="04A0" w:firstRow="1" w:lastRow="0" w:firstColumn="1" w:lastColumn="0" w:noHBand="0" w:noVBand="1"/>
      </w:tblPr>
      <w:tblGrid>
        <w:gridCol w:w="2070"/>
        <w:gridCol w:w="2340"/>
        <w:gridCol w:w="1980"/>
        <w:gridCol w:w="2594"/>
      </w:tblGrid>
      <w:tr w:rsidR="00DF2DC6" w:rsidRPr="008579AE" w14:paraId="10597A99" w14:textId="77777777" w:rsidTr="00DF2DC6">
        <w:trPr>
          <w:trHeight w:val="285"/>
        </w:trPr>
        <w:tc>
          <w:tcPr>
            <w:tcW w:w="8984" w:type="dxa"/>
            <w:gridSpan w:val="4"/>
            <w:tcBorders>
              <w:top w:val="nil"/>
              <w:left w:val="nil"/>
              <w:bottom w:val="nil"/>
            </w:tcBorders>
            <w:shd w:val="clear" w:color="auto" w:fill="auto"/>
            <w:vAlign w:val="bottom"/>
          </w:tcPr>
          <w:p w14:paraId="58250182" w14:textId="2B00DE65" w:rsidR="00DF2DC6" w:rsidRPr="00E648BF" w:rsidRDefault="00DF2DC6" w:rsidP="00DF2DC6">
            <w:pPr>
              <w:spacing w:before="80" w:after="80" w:line="240" w:lineRule="auto"/>
              <w:rPr>
                <w:rFonts w:ascii="Arial" w:eastAsia="Times New Roman" w:hAnsi="Arial" w:cs="Arial"/>
                <w:lang w:val="es-ES" w:eastAsia="en-US"/>
              </w:rPr>
            </w:pPr>
            <w:r w:rsidRPr="00E648BF">
              <w:rPr>
                <w:rFonts w:ascii="Arial" w:eastAsia="Times New Roman" w:hAnsi="Arial" w:cs="Arial"/>
                <w:lang w:val="es-ES" w:eastAsia="en-US"/>
              </w:rPr>
              <w:t>Datos del total industria de alimentos, bebidas y tabaco (subsectores 311 y 312)</w:t>
            </w:r>
          </w:p>
        </w:tc>
      </w:tr>
      <w:tr w:rsidR="00DF2DC6" w:rsidRPr="00E648BF" w14:paraId="7430B464" w14:textId="77777777" w:rsidTr="00E648BF">
        <w:trPr>
          <w:trHeight w:val="656"/>
        </w:trPr>
        <w:tc>
          <w:tcPr>
            <w:tcW w:w="2070" w:type="dxa"/>
            <w:tcBorders>
              <w:top w:val="single" w:sz="4" w:space="0" w:color="auto"/>
              <w:left w:val="single" w:sz="4" w:space="0" w:color="auto"/>
              <w:bottom w:val="single" w:sz="4" w:space="0" w:color="auto"/>
              <w:right w:val="single" w:sz="4" w:space="0" w:color="auto"/>
            </w:tcBorders>
            <w:shd w:val="clear" w:color="auto" w:fill="BDD6EE" w:themeFill="accent5" w:themeFillTint="66"/>
            <w:vAlign w:val="center"/>
          </w:tcPr>
          <w:p w14:paraId="53C0F1DC" w14:textId="50F0BC66" w:rsidR="00DF2DC6" w:rsidRPr="00E648BF" w:rsidRDefault="00DF2DC6" w:rsidP="00DF2DC6">
            <w:pPr>
              <w:spacing w:before="80" w:after="80" w:line="240" w:lineRule="auto"/>
              <w:jc w:val="center"/>
              <w:rPr>
                <w:rFonts w:ascii="Arial" w:eastAsia="Times New Roman" w:hAnsi="Arial" w:cs="Arial"/>
                <w:color w:val="000000"/>
                <w:lang w:val="es-ES" w:eastAsia="en-US"/>
              </w:rPr>
            </w:pPr>
          </w:p>
        </w:tc>
        <w:tc>
          <w:tcPr>
            <w:tcW w:w="234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4A8FD866" w14:textId="31FFE574"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Número de unidades económicas (UE)</w:t>
            </w:r>
          </w:p>
        </w:tc>
        <w:tc>
          <w:tcPr>
            <w:tcW w:w="1980"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1649CF64" w14:textId="77777777"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Ventas promedio ($ millones/UE)</w:t>
            </w:r>
          </w:p>
        </w:tc>
        <w:tc>
          <w:tcPr>
            <w:tcW w:w="2594" w:type="dxa"/>
            <w:tcBorders>
              <w:top w:val="single" w:sz="4" w:space="0" w:color="auto"/>
              <w:left w:val="nil"/>
              <w:bottom w:val="single" w:sz="4" w:space="0" w:color="auto"/>
              <w:right w:val="single" w:sz="4" w:space="0" w:color="auto"/>
            </w:tcBorders>
            <w:shd w:val="clear" w:color="auto" w:fill="BDD6EE" w:themeFill="accent5" w:themeFillTint="66"/>
            <w:vAlign w:val="center"/>
            <w:hideMark/>
          </w:tcPr>
          <w:p w14:paraId="28A5F23E" w14:textId="77777777"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Personal ocupado/UE (número de personas)</w:t>
            </w:r>
          </w:p>
        </w:tc>
      </w:tr>
      <w:tr w:rsidR="00DF2DC6" w:rsidRPr="00E648BF" w14:paraId="2BCC3724" w14:textId="77777777" w:rsidTr="00DF2DC6">
        <w:trPr>
          <w:trHeight w:val="285"/>
        </w:trPr>
        <w:tc>
          <w:tcPr>
            <w:tcW w:w="2070" w:type="dxa"/>
            <w:tcBorders>
              <w:top w:val="nil"/>
              <w:left w:val="single" w:sz="4" w:space="0" w:color="auto"/>
              <w:bottom w:val="single" w:sz="4" w:space="0" w:color="auto"/>
              <w:right w:val="single" w:sz="4" w:space="0" w:color="auto"/>
            </w:tcBorders>
            <w:shd w:val="clear" w:color="auto" w:fill="auto"/>
            <w:vAlign w:val="center"/>
            <w:hideMark/>
          </w:tcPr>
          <w:p w14:paraId="0B8548B5" w14:textId="77777777" w:rsidR="00DF2DC6" w:rsidRPr="00E648BF" w:rsidRDefault="00DF2DC6" w:rsidP="00DF2DC6">
            <w:pPr>
              <w:spacing w:before="80" w:after="80" w:line="240" w:lineRule="auto"/>
              <w:rPr>
                <w:rFonts w:ascii="Arial" w:eastAsia="Times New Roman" w:hAnsi="Arial" w:cs="Arial"/>
                <w:color w:val="000000"/>
                <w:lang w:val="es-ES" w:eastAsia="en-US"/>
              </w:rPr>
            </w:pPr>
            <w:r w:rsidRPr="00E648BF">
              <w:rPr>
                <w:rFonts w:ascii="Arial" w:eastAsia="Times New Roman" w:hAnsi="Arial" w:cs="Arial"/>
                <w:color w:val="000000"/>
                <w:lang w:val="es-ES" w:eastAsia="en-US"/>
              </w:rPr>
              <w:t>Micro</w:t>
            </w:r>
          </w:p>
        </w:tc>
        <w:tc>
          <w:tcPr>
            <w:tcW w:w="2340" w:type="dxa"/>
            <w:tcBorders>
              <w:top w:val="nil"/>
              <w:left w:val="nil"/>
              <w:bottom w:val="single" w:sz="4" w:space="0" w:color="auto"/>
              <w:right w:val="single" w:sz="4" w:space="0" w:color="auto"/>
            </w:tcBorders>
            <w:shd w:val="clear" w:color="auto" w:fill="auto"/>
            <w:vAlign w:val="center"/>
            <w:hideMark/>
          </w:tcPr>
          <w:p w14:paraId="0BD5164C" w14:textId="77777777"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185,115</w:t>
            </w:r>
          </w:p>
        </w:tc>
        <w:tc>
          <w:tcPr>
            <w:tcW w:w="1980" w:type="dxa"/>
            <w:tcBorders>
              <w:top w:val="nil"/>
              <w:left w:val="nil"/>
              <w:bottom w:val="single" w:sz="4" w:space="0" w:color="auto"/>
              <w:right w:val="single" w:sz="4" w:space="0" w:color="auto"/>
            </w:tcBorders>
            <w:shd w:val="clear" w:color="auto" w:fill="auto"/>
            <w:vAlign w:val="center"/>
            <w:hideMark/>
          </w:tcPr>
          <w:p w14:paraId="36C3EE08" w14:textId="77777777"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0.5</w:t>
            </w:r>
          </w:p>
        </w:tc>
        <w:tc>
          <w:tcPr>
            <w:tcW w:w="2594" w:type="dxa"/>
            <w:tcBorders>
              <w:top w:val="single" w:sz="4" w:space="0" w:color="auto"/>
              <w:left w:val="nil"/>
              <w:bottom w:val="single" w:sz="4" w:space="0" w:color="auto"/>
              <w:right w:val="single" w:sz="4" w:space="0" w:color="auto"/>
            </w:tcBorders>
            <w:shd w:val="clear" w:color="auto" w:fill="auto"/>
            <w:noWrap/>
            <w:vAlign w:val="center"/>
            <w:hideMark/>
          </w:tcPr>
          <w:p w14:paraId="158F8752" w14:textId="3EE94162"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2.39</w:t>
            </w:r>
          </w:p>
        </w:tc>
      </w:tr>
      <w:tr w:rsidR="00DF2DC6" w:rsidRPr="00E648BF" w14:paraId="08FB09E8" w14:textId="77777777" w:rsidTr="00DF2DC6">
        <w:trPr>
          <w:trHeight w:val="285"/>
        </w:trPr>
        <w:tc>
          <w:tcPr>
            <w:tcW w:w="2070" w:type="dxa"/>
            <w:tcBorders>
              <w:top w:val="nil"/>
              <w:left w:val="single" w:sz="4" w:space="0" w:color="auto"/>
              <w:bottom w:val="single" w:sz="4" w:space="0" w:color="auto"/>
              <w:right w:val="single" w:sz="4" w:space="0" w:color="auto"/>
            </w:tcBorders>
            <w:shd w:val="clear" w:color="auto" w:fill="auto"/>
            <w:vAlign w:val="center"/>
            <w:hideMark/>
          </w:tcPr>
          <w:p w14:paraId="546C351F" w14:textId="77777777" w:rsidR="00DF2DC6" w:rsidRPr="00E648BF" w:rsidRDefault="00DF2DC6" w:rsidP="00DF2DC6">
            <w:pPr>
              <w:spacing w:before="80" w:after="80" w:line="240" w:lineRule="auto"/>
              <w:rPr>
                <w:rFonts w:ascii="Arial" w:eastAsia="Times New Roman" w:hAnsi="Arial" w:cs="Arial"/>
                <w:color w:val="000000"/>
                <w:lang w:val="es-ES" w:eastAsia="en-US"/>
              </w:rPr>
            </w:pPr>
            <w:r w:rsidRPr="00E648BF">
              <w:rPr>
                <w:rFonts w:ascii="Arial" w:eastAsia="Times New Roman" w:hAnsi="Arial" w:cs="Arial"/>
                <w:color w:val="000000"/>
                <w:lang w:val="es-ES" w:eastAsia="en-US"/>
              </w:rPr>
              <w:t>Pequeña</w:t>
            </w:r>
          </w:p>
        </w:tc>
        <w:tc>
          <w:tcPr>
            <w:tcW w:w="2340" w:type="dxa"/>
            <w:tcBorders>
              <w:top w:val="nil"/>
              <w:left w:val="nil"/>
              <w:bottom w:val="single" w:sz="4" w:space="0" w:color="auto"/>
              <w:right w:val="single" w:sz="4" w:space="0" w:color="auto"/>
            </w:tcBorders>
            <w:shd w:val="clear" w:color="auto" w:fill="auto"/>
            <w:vAlign w:val="center"/>
            <w:hideMark/>
          </w:tcPr>
          <w:p w14:paraId="414B0C62" w14:textId="77777777"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4,376</w:t>
            </w:r>
          </w:p>
        </w:tc>
        <w:tc>
          <w:tcPr>
            <w:tcW w:w="1980" w:type="dxa"/>
            <w:tcBorders>
              <w:top w:val="nil"/>
              <w:left w:val="nil"/>
              <w:bottom w:val="single" w:sz="4" w:space="0" w:color="auto"/>
              <w:right w:val="single" w:sz="4" w:space="0" w:color="auto"/>
            </w:tcBorders>
            <w:shd w:val="clear" w:color="auto" w:fill="auto"/>
            <w:vAlign w:val="center"/>
            <w:hideMark/>
          </w:tcPr>
          <w:p w14:paraId="6F3F6DA0" w14:textId="77777777"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19.0</w:t>
            </w:r>
          </w:p>
        </w:tc>
        <w:tc>
          <w:tcPr>
            <w:tcW w:w="2594" w:type="dxa"/>
            <w:tcBorders>
              <w:top w:val="single" w:sz="4" w:space="0" w:color="auto"/>
              <w:left w:val="nil"/>
              <w:bottom w:val="single" w:sz="4" w:space="0" w:color="auto"/>
              <w:right w:val="single" w:sz="4" w:space="0" w:color="auto"/>
            </w:tcBorders>
            <w:shd w:val="clear" w:color="auto" w:fill="auto"/>
            <w:noWrap/>
            <w:vAlign w:val="center"/>
            <w:hideMark/>
          </w:tcPr>
          <w:p w14:paraId="6F5D762D" w14:textId="2139E9E2"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20.71</w:t>
            </w:r>
          </w:p>
        </w:tc>
      </w:tr>
      <w:tr w:rsidR="00DF2DC6" w:rsidRPr="00E648BF" w14:paraId="55BE5388" w14:textId="77777777" w:rsidTr="00DF2DC6">
        <w:trPr>
          <w:trHeight w:val="285"/>
        </w:trPr>
        <w:tc>
          <w:tcPr>
            <w:tcW w:w="2070" w:type="dxa"/>
            <w:tcBorders>
              <w:top w:val="nil"/>
              <w:left w:val="single" w:sz="4" w:space="0" w:color="auto"/>
              <w:bottom w:val="single" w:sz="4" w:space="0" w:color="auto"/>
              <w:right w:val="single" w:sz="4" w:space="0" w:color="auto"/>
            </w:tcBorders>
            <w:shd w:val="clear" w:color="auto" w:fill="auto"/>
            <w:vAlign w:val="center"/>
            <w:hideMark/>
          </w:tcPr>
          <w:p w14:paraId="21B7C800" w14:textId="77777777" w:rsidR="00DF2DC6" w:rsidRPr="00E648BF" w:rsidRDefault="00DF2DC6" w:rsidP="00DF2DC6">
            <w:pPr>
              <w:spacing w:before="80" w:after="80" w:line="240" w:lineRule="auto"/>
              <w:rPr>
                <w:rFonts w:ascii="Arial" w:eastAsia="Times New Roman" w:hAnsi="Arial" w:cs="Arial"/>
                <w:color w:val="000000"/>
                <w:lang w:val="es-ES" w:eastAsia="en-US"/>
              </w:rPr>
            </w:pPr>
            <w:r w:rsidRPr="00E648BF">
              <w:rPr>
                <w:rFonts w:ascii="Arial" w:eastAsia="Times New Roman" w:hAnsi="Arial" w:cs="Arial"/>
                <w:color w:val="000000"/>
                <w:lang w:val="es-ES" w:eastAsia="en-US"/>
              </w:rPr>
              <w:t>Mediana</w:t>
            </w:r>
          </w:p>
        </w:tc>
        <w:tc>
          <w:tcPr>
            <w:tcW w:w="2340" w:type="dxa"/>
            <w:tcBorders>
              <w:top w:val="nil"/>
              <w:left w:val="nil"/>
              <w:bottom w:val="single" w:sz="4" w:space="0" w:color="auto"/>
              <w:right w:val="single" w:sz="4" w:space="0" w:color="auto"/>
            </w:tcBorders>
            <w:shd w:val="clear" w:color="auto" w:fill="auto"/>
            <w:vAlign w:val="center"/>
            <w:hideMark/>
          </w:tcPr>
          <w:p w14:paraId="317306CB" w14:textId="77777777"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1,261</w:t>
            </w:r>
          </w:p>
        </w:tc>
        <w:tc>
          <w:tcPr>
            <w:tcW w:w="1980" w:type="dxa"/>
            <w:tcBorders>
              <w:top w:val="nil"/>
              <w:left w:val="nil"/>
              <w:bottom w:val="single" w:sz="4" w:space="0" w:color="auto"/>
              <w:right w:val="single" w:sz="4" w:space="0" w:color="auto"/>
            </w:tcBorders>
            <w:shd w:val="clear" w:color="auto" w:fill="auto"/>
            <w:vAlign w:val="center"/>
            <w:hideMark/>
          </w:tcPr>
          <w:p w14:paraId="7CDB6092" w14:textId="77777777"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215.3</w:t>
            </w:r>
          </w:p>
        </w:tc>
        <w:tc>
          <w:tcPr>
            <w:tcW w:w="2594" w:type="dxa"/>
            <w:tcBorders>
              <w:top w:val="single" w:sz="4" w:space="0" w:color="auto"/>
              <w:left w:val="nil"/>
              <w:bottom w:val="single" w:sz="4" w:space="0" w:color="auto"/>
              <w:right w:val="single" w:sz="4" w:space="0" w:color="auto"/>
            </w:tcBorders>
            <w:shd w:val="clear" w:color="auto" w:fill="auto"/>
            <w:noWrap/>
            <w:vAlign w:val="center"/>
            <w:hideMark/>
          </w:tcPr>
          <w:p w14:paraId="0714AE5D" w14:textId="1635793B" w:rsidR="00DF2DC6" w:rsidRPr="00E648BF" w:rsidRDefault="00DF2DC6" w:rsidP="00DF2DC6">
            <w:pPr>
              <w:spacing w:before="80" w:after="80" w:line="240" w:lineRule="auto"/>
              <w:jc w:val="center"/>
              <w:rPr>
                <w:rFonts w:ascii="Arial" w:eastAsia="Times New Roman" w:hAnsi="Arial" w:cs="Arial"/>
                <w:color w:val="000000"/>
                <w:lang w:val="es-ES" w:eastAsia="en-US"/>
              </w:rPr>
            </w:pPr>
            <w:r w:rsidRPr="00E648BF">
              <w:rPr>
                <w:rFonts w:ascii="Arial" w:eastAsia="Times New Roman" w:hAnsi="Arial" w:cs="Arial"/>
                <w:color w:val="000000"/>
                <w:lang w:val="es-ES" w:eastAsia="en-US"/>
              </w:rPr>
              <w:t>112.28</w:t>
            </w:r>
          </w:p>
        </w:tc>
      </w:tr>
      <w:tr w:rsidR="00DF2DC6" w:rsidRPr="008579AE" w14:paraId="423197EF" w14:textId="77777777" w:rsidTr="00DF2DC6">
        <w:trPr>
          <w:trHeight w:val="285"/>
        </w:trPr>
        <w:tc>
          <w:tcPr>
            <w:tcW w:w="8984" w:type="dxa"/>
            <w:gridSpan w:val="4"/>
            <w:tcBorders>
              <w:top w:val="nil"/>
              <w:left w:val="single" w:sz="4" w:space="0" w:color="auto"/>
              <w:bottom w:val="single" w:sz="4" w:space="0" w:color="auto"/>
              <w:right w:val="single" w:sz="4" w:space="0" w:color="auto"/>
            </w:tcBorders>
            <w:shd w:val="clear" w:color="auto" w:fill="auto"/>
            <w:vAlign w:val="center"/>
          </w:tcPr>
          <w:p w14:paraId="07BB9436" w14:textId="5A2300E8" w:rsidR="00DF2DC6" w:rsidRPr="00E648BF" w:rsidRDefault="00DF2DC6" w:rsidP="00DF2DC6">
            <w:pPr>
              <w:spacing w:before="80" w:after="80" w:line="240" w:lineRule="auto"/>
              <w:rPr>
                <w:rFonts w:ascii="Arial" w:eastAsia="Times New Roman" w:hAnsi="Arial" w:cs="Arial"/>
                <w:color w:val="000000"/>
                <w:sz w:val="18"/>
                <w:szCs w:val="18"/>
                <w:lang w:val="es-ES" w:eastAsia="en-US"/>
              </w:rPr>
            </w:pPr>
            <w:r w:rsidRPr="00E648BF">
              <w:rPr>
                <w:rFonts w:ascii="Arial" w:eastAsia="Times New Roman" w:hAnsi="Arial" w:cs="Arial"/>
                <w:color w:val="000000"/>
                <w:sz w:val="18"/>
                <w:szCs w:val="18"/>
                <w:lang w:val="es-ES" w:eastAsia="en-US"/>
              </w:rPr>
              <w:t>Fuente: INEGI. Censos Económicos 2014, fecha de actualización: 03/05/2016</w:t>
            </w:r>
          </w:p>
        </w:tc>
      </w:tr>
      <w:tr w:rsidR="00DF2DC6" w:rsidRPr="008579AE" w14:paraId="095BE89D" w14:textId="77777777" w:rsidTr="00DF2DC6">
        <w:trPr>
          <w:trHeight w:val="285"/>
        </w:trPr>
        <w:tc>
          <w:tcPr>
            <w:tcW w:w="8984" w:type="dxa"/>
            <w:gridSpan w:val="4"/>
            <w:tcBorders>
              <w:top w:val="nil"/>
              <w:left w:val="single" w:sz="4" w:space="0" w:color="auto"/>
              <w:bottom w:val="single" w:sz="4" w:space="0" w:color="auto"/>
              <w:right w:val="single" w:sz="4" w:space="0" w:color="auto"/>
            </w:tcBorders>
            <w:shd w:val="clear" w:color="auto" w:fill="auto"/>
            <w:vAlign w:val="center"/>
          </w:tcPr>
          <w:p w14:paraId="31118D06" w14:textId="77777777" w:rsidR="00DF2DC6" w:rsidRPr="00E648BF" w:rsidRDefault="00DF2DC6" w:rsidP="00DF2DC6">
            <w:pPr>
              <w:spacing w:before="80" w:after="80" w:line="240" w:lineRule="auto"/>
              <w:rPr>
                <w:rFonts w:ascii="Arial" w:eastAsia="Times New Roman" w:hAnsi="Arial" w:cs="Arial"/>
                <w:color w:val="000000"/>
                <w:sz w:val="18"/>
                <w:szCs w:val="18"/>
                <w:lang w:val="es-ES" w:eastAsia="en-US"/>
              </w:rPr>
            </w:pPr>
          </w:p>
        </w:tc>
      </w:tr>
      <w:tr w:rsidR="00DF2DC6" w:rsidRPr="00E648BF" w14:paraId="51F4DAC8" w14:textId="77777777" w:rsidTr="00DF2DC6">
        <w:trPr>
          <w:trHeight w:val="285"/>
        </w:trPr>
        <w:tc>
          <w:tcPr>
            <w:tcW w:w="8984" w:type="dxa"/>
            <w:gridSpan w:val="4"/>
            <w:tcBorders>
              <w:top w:val="nil"/>
              <w:left w:val="single" w:sz="4" w:space="0" w:color="auto"/>
              <w:bottom w:val="single" w:sz="4" w:space="0" w:color="auto"/>
              <w:right w:val="single" w:sz="4" w:space="0" w:color="auto"/>
            </w:tcBorders>
            <w:shd w:val="clear" w:color="auto" w:fill="auto"/>
            <w:vAlign w:val="center"/>
          </w:tcPr>
          <w:p w14:paraId="4B929898" w14:textId="67AF9BA7" w:rsidR="00DF2DC6" w:rsidRPr="00E648BF" w:rsidRDefault="00DF2DC6" w:rsidP="00DF2DC6">
            <w:pPr>
              <w:spacing w:before="80" w:after="80" w:line="240" w:lineRule="auto"/>
              <w:rPr>
                <w:rFonts w:ascii="Arial" w:eastAsia="Times New Roman" w:hAnsi="Arial" w:cs="Arial"/>
                <w:color w:val="000000"/>
                <w:lang w:val="es-ES" w:eastAsia="en-US"/>
              </w:rPr>
            </w:pPr>
            <w:r w:rsidRPr="00E648BF">
              <w:rPr>
                <w:rFonts w:ascii="Arial" w:eastAsia="Times New Roman" w:hAnsi="Arial" w:cs="Arial"/>
                <w:color w:val="000000"/>
                <w:lang w:val="es-ES" w:eastAsia="en-US"/>
              </w:rPr>
              <w:t>Supuestos del programa</w:t>
            </w:r>
          </w:p>
        </w:tc>
      </w:tr>
      <w:tr w:rsidR="00DF2DC6" w:rsidRPr="00E648BF" w14:paraId="1D66DF48" w14:textId="77777777" w:rsidTr="00DF2DC6">
        <w:trPr>
          <w:trHeight w:val="285"/>
        </w:trPr>
        <w:tc>
          <w:tcPr>
            <w:tcW w:w="207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1975E5A" w14:textId="30518F56" w:rsidR="00DF2DC6" w:rsidRPr="00E648BF" w:rsidRDefault="00DF2DC6" w:rsidP="00DF2DC6">
            <w:pPr>
              <w:spacing w:before="80" w:after="80" w:line="240" w:lineRule="auto"/>
              <w:rPr>
                <w:rFonts w:ascii="Arial" w:eastAsia="Times New Roman" w:hAnsi="Arial" w:cs="Arial"/>
                <w:lang w:val="es-ES" w:eastAsia="en-US"/>
              </w:rPr>
            </w:pPr>
            <w:r w:rsidRPr="00E648BF">
              <w:rPr>
                <w:rFonts w:ascii="Arial" w:eastAsia="Times New Roman" w:hAnsi="Arial" w:cs="Arial"/>
                <w:lang w:val="es-ES" w:eastAsia="en-US"/>
              </w:rPr>
              <w:t>Valores promedio</w:t>
            </w:r>
          </w:p>
        </w:tc>
        <w:tc>
          <w:tcPr>
            <w:tcW w:w="23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ECB106" w14:textId="2E5B3FA8" w:rsidR="00DF2DC6" w:rsidRPr="00E648BF" w:rsidRDefault="00DF2DC6" w:rsidP="00DF2DC6">
            <w:pPr>
              <w:spacing w:before="80" w:after="80" w:line="240" w:lineRule="auto"/>
              <w:jc w:val="center"/>
              <w:rPr>
                <w:rFonts w:ascii="Arial" w:eastAsia="Times New Roman" w:hAnsi="Arial" w:cs="Arial"/>
                <w:color w:val="000000"/>
                <w:lang w:val="es-ES" w:eastAsia="en-US"/>
              </w:rPr>
            </w:pPr>
          </w:p>
        </w:tc>
        <w:tc>
          <w:tcPr>
            <w:tcW w:w="19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EE8459" w14:textId="5A16BCE2" w:rsidR="00DF2DC6" w:rsidRPr="00E648BF" w:rsidRDefault="00DF2DC6" w:rsidP="00DF2DC6">
            <w:pPr>
              <w:spacing w:before="80" w:after="80" w:line="240" w:lineRule="auto"/>
              <w:jc w:val="center"/>
              <w:rPr>
                <w:rFonts w:ascii="Arial" w:eastAsia="Times New Roman" w:hAnsi="Arial" w:cs="Arial"/>
                <w:lang w:val="es-ES" w:eastAsia="en-US"/>
              </w:rPr>
            </w:pPr>
            <w:r w:rsidRPr="00E648BF">
              <w:rPr>
                <w:rFonts w:ascii="Arial" w:eastAsia="Times New Roman" w:hAnsi="Arial" w:cs="Arial"/>
                <w:lang w:val="es-ES" w:eastAsia="en-US"/>
              </w:rPr>
              <w:t>30.82</w:t>
            </w:r>
          </w:p>
        </w:tc>
        <w:tc>
          <w:tcPr>
            <w:tcW w:w="25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581471" w14:textId="623F2C28" w:rsidR="00DF2DC6" w:rsidRPr="00E648BF" w:rsidRDefault="00DF2DC6" w:rsidP="00DF2DC6">
            <w:pPr>
              <w:spacing w:before="80" w:after="80" w:line="240" w:lineRule="auto"/>
              <w:jc w:val="center"/>
              <w:rPr>
                <w:rFonts w:ascii="Arial" w:eastAsia="Times New Roman" w:hAnsi="Arial" w:cs="Arial"/>
                <w:lang w:val="es-ES" w:eastAsia="en-US"/>
              </w:rPr>
            </w:pPr>
            <w:r w:rsidRPr="00E648BF">
              <w:rPr>
                <w:rFonts w:ascii="Arial" w:eastAsia="Times New Roman" w:hAnsi="Arial" w:cs="Arial"/>
                <w:lang w:val="es-ES" w:eastAsia="en-US"/>
              </w:rPr>
              <w:t>26.20</w:t>
            </w:r>
          </w:p>
        </w:tc>
      </w:tr>
      <w:tr w:rsidR="00DF2DC6" w:rsidRPr="008579AE" w14:paraId="2807ADCA" w14:textId="77777777" w:rsidTr="00DF2DC6">
        <w:trPr>
          <w:trHeight w:val="285"/>
        </w:trPr>
        <w:tc>
          <w:tcPr>
            <w:tcW w:w="8984" w:type="dxa"/>
            <w:gridSpan w:val="4"/>
            <w:tcBorders>
              <w:top w:val="single" w:sz="4" w:space="0" w:color="auto"/>
              <w:left w:val="nil"/>
              <w:bottom w:val="nil"/>
              <w:right w:val="nil"/>
            </w:tcBorders>
            <w:shd w:val="clear" w:color="auto" w:fill="auto"/>
            <w:noWrap/>
            <w:vAlign w:val="bottom"/>
            <w:hideMark/>
          </w:tcPr>
          <w:p w14:paraId="15AF7716" w14:textId="2D187139" w:rsidR="00DF2DC6" w:rsidRPr="00E648BF" w:rsidRDefault="00DF2DC6" w:rsidP="00DF2DC6">
            <w:pPr>
              <w:spacing w:before="80" w:after="80" w:line="240" w:lineRule="auto"/>
              <w:rPr>
                <w:rFonts w:ascii="Arial" w:eastAsia="Times New Roman" w:hAnsi="Arial" w:cs="Arial"/>
                <w:sz w:val="18"/>
                <w:szCs w:val="18"/>
                <w:lang w:val="es-ES" w:eastAsia="en-US"/>
              </w:rPr>
            </w:pPr>
            <w:r w:rsidRPr="00E648BF">
              <w:rPr>
                <w:rFonts w:ascii="Arial" w:eastAsia="Times New Roman" w:hAnsi="Arial" w:cs="Arial"/>
                <w:color w:val="000000"/>
                <w:sz w:val="18"/>
                <w:szCs w:val="18"/>
                <w:lang w:val="es-ES" w:eastAsia="en-US"/>
              </w:rPr>
              <w:t>Distribución esperada por tamaño de firma: 95% pequeña, 5% mediana</w:t>
            </w:r>
          </w:p>
        </w:tc>
      </w:tr>
    </w:tbl>
    <w:p w14:paraId="1D4F363B" w14:textId="6548C37F" w:rsidR="00EE6203" w:rsidRDefault="00EE6203">
      <w:pPr>
        <w:rPr>
          <w:sz w:val="20"/>
          <w:szCs w:val="20"/>
          <w:lang w:val="es-PE"/>
        </w:rPr>
      </w:pPr>
    </w:p>
    <w:tbl>
      <w:tblPr>
        <w:tblW w:w="899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3"/>
        <w:gridCol w:w="1985"/>
        <w:gridCol w:w="2605"/>
      </w:tblGrid>
      <w:tr w:rsidR="00E648BF" w:rsidRPr="008579AE" w14:paraId="7A86AEE9" w14:textId="77777777" w:rsidTr="00E648BF">
        <w:trPr>
          <w:trHeight w:val="315"/>
        </w:trPr>
        <w:tc>
          <w:tcPr>
            <w:tcW w:w="8993" w:type="dxa"/>
            <w:gridSpan w:val="3"/>
            <w:shd w:val="clear" w:color="auto" w:fill="BDD6EE" w:themeFill="accent5" w:themeFillTint="66"/>
            <w:noWrap/>
            <w:tcMar>
              <w:top w:w="0" w:type="dxa"/>
              <w:left w:w="70" w:type="dxa"/>
              <w:bottom w:w="0" w:type="dxa"/>
              <w:right w:w="70" w:type="dxa"/>
            </w:tcMar>
            <w:vAlign w:val="center"/>
          </w:tcPr>
          <w:p w14:paraId="54FFF5D4" w14:textId="585C1FA2" w:rsidR="00E1538C" w:rsidRPr="00E648BF" w:rsidRDefault="00E1538C" w:rsidP="00E1538C">
            <w:pPr>
              <w:spacing w:before="80" w:after="80"/>
              <w:rPr>
                <w:rFonts w:ascii="Arial" w:hAnsi="Arial" w:cs="Arial"/>
                <w:lang w:val="es-ES"/>
              </w:rPr>
            </w:pPr>
            <w:r w:rsidRPr="00E648BF">
              <w:rPr>
                <w:rFonts w:ascii="Arial" w:hAnsi="Arial" w:cs="Arial"/>
                <w:lang w:val="es-ES"/>
              </w:rPr>
              <w:t>Datos referenciales de cartera de FIRA</w:t>
            </w:r>
          </w:p>
        </w:tc>
      </w:tr>
      <w:tr w:rsidR="00E648BF" w:rsidRPr="00E648BF" w14:paraId="027DADB6" w14:textId="77777777" w:rsidTr="00E648BF">
        <w:trPr>
          <w:trHeight w:val="315"/>
        </w:trPr>
        <w:tc>
          <w:tcPr>
            <w:tcW w:w="4403" w:type="dxa"/>
            <w:shd w:val="clear" w:color="auto" w:fill="BDD6EE" w:themeFill="accent5" w:themeFillTint="66"/>
            <w:noWrap/>
            <w:tcMar>
              <w:top w:w="0" w:type="dxa"/>
              <w:left w:w="70" w:type="dxa"/>
              <w:bottom w:w="0" w:type="dxa"/>
              <w:right w:w="70" w:type="dxa"/>
            </w:tcMar>
            <w:vAlign w:val="center"/>
            <w:hideMark/>
          </w:tcPr>
          <w:p w14:paraId="637ED36A" w14:textId="77777777" w:rsidR="00DF2DC6" w:rsidRPr="00E648BF" w:rsidRDefault="00DF2DC6" w:rsidP="00E1538C">
            <w:pPr>
              <w:spacing w:before="80" w:after="80"/>
              <w:jc w:val="center"/>
              <w:rPr>
                <w:rFonts w:ascii="Arial" w:hAnsi="Arial" w:cs="Arial"/>
                <w:lang w:val="es-ES"/>
              </w:rPr>
            </w:pPr>
            <w:r w:rsidRPr="00E648BF">
              <w:rPr>
                <w:rFonts w:ascii="Arial" w:hAnsi="Arial" w:cs="Arial"/>
                <w:lang w:val="es-ES"/>
              </w:rPr>
              <w:t>Actividad</w:t>
            </w:r>
          </w:p>
        </w:tc>
        <w:tc>
          <w:tcPr>
            <w:tcW w:w="1985" w:type="dxa"/>
            <w:shd w:val="clear" w:color="auto" w:fill="BDD6EE" w:themeFill="accent5" w:themeFillTint="66"/>
            <w:noWrap/>
            <w:tcMar>
              <w:top w:w="0" w:type="dxa"/>
              <w:left w:w="70" w:type="dxa"/>
              <w:bottom w:w="0" w:type="dxa"/>
              <w:right w:w="70" w:type="dxa"/>
            </w:tcMar>
            <w:vAlign w:val="center"/>
            <w:hideMark/>
          </w:tcPr>
          <w:p w14:paraId="13818238" w14:textId="23154CC8" w:rsidR="00DF2DC6" w:rsidRPr="00E648BF" w:rsidRDefault="00DF2DC6" w:rsidP="00E1538C">
            <w:pPr>
              <w:spacing w:before="80" w:after="80"/>
              <w:jc w:val="center"/>
              <w:rPr>
                <w:rFonts w:ascii="Arial" w:hAnsi="Arial" w:cs="Arial"/>
                <w:lang w:val="es-ES"/>
              </w:rPr>
            </w:pPr>
            <w:r w:rsidRPr="00E648BF">
              <w:rPr>
                <w:rFonts w:ascii="Arial" w:hAnsi="Arial" w:cs="Arial"/>
                <w:lang w:val="es-ES"/>
              </w:rPr>
              <w:t>Ventas netas anuales (</w:t>
            </w:r>
            <w:r w:rsidR="00E1538C" w:rsidRPr="00E648BF">
              <w:rPr>
                <w:rFonts w:ascii="Arial" w:hAnsi="Arial" w:cs="Arial"/>
                <w:lang w:val="es-ES"/>
              </w:rPr>
              <w:t>$ millones</w:t>
            </w:r>
            <w:r w:rsidRPr="00E648BF">
              <w:rPr>
                <w:rFonts w:ascii="Arial" w:hAnsi="Arial" w:cs="Arial"/>
                <w:lang w:val="es-ES"/>
              </w:rPr>
              <w:t>)</w:t>
            </w:r>
          </w:p>
        </w:tc>
        <w:tc>
          <w:tcPr>
            <w:tcW w:w="2605" w:type="dxa"/>
            <w:shd w:val="clear" w:color="auto" w:fill="BDD6EE" w:themeFill="accent5" w:themeFillTint="66"/>
            <w:noWrap/>
            <w:tcMar>
              <w:top w:w="0" w:type="dxa"/>
              <w:left w:w="70" w:type="dxa"/>
              <w:bottom w:w="0" w:type="dxa"/>
              <w:right w:w="70" w:type="dxa"/>
            </w:tcMar>
            <w:vAlign w:val="center"/>
            <w:hideMark/>
          </w:tcPr>
          <w:p w14:paraId="6A6D69B8" w14:textId="77777777" w:rsidR="00DF2DC6" w:rsidRPr="00E648BF" w:rsidRDefault="00DF2DC6" w:rsidP="00E1538C">
            <w:pPr>
              <w:spacing w:before="80" w:after="80"/>
              <w:jc w:val="center"/>
              <w:rPr>
                <w:rFonts w:ascii="Arial" w:hAnsi="Arial" w:cs="Arial"/>
                <w:lang w:val="es-ES"/>
              </w:rPr>
            </w:pPr>
            <w:r w:rsidRPr="00E648BF">
              <w:rPr>
                <w:rFonts w:ascii="Arial" w:hAnsi="Arial" w:cs="Arial"/>
                <w:lang w:val="es-ES"/>
              </w:rPr>
              <w:t>Número de Empleados</w:t>
            </w:r>
          </w:p>
        </w:tc>
      </w:tr>
      <w:tr w:rsidR="00DF2DC6" w:rsidRPr="00E648BF" w14:paraId="5642C3DF" w14:textId="77777777" w:rsidTr="00E1538C">
        <w:trPr>
          <w:trHeight w:val="315"/>
        </w:trPr>
        <w:tc>
          <w:tcPr>
            <w:tcW w:w="4403" w:type="dxa"/>
            <w:noWrap/>
            <w:tcMar>
              <w:top w:w="0" w:type="dxa"/>
              <w:left w:w="70" w:type="dxa"/>
              <w:bottom w:w="0" w:type="dxa"/>
              <w:right w:w="70" w:type="dxa"/>
            </w:tcMar>
            <w:vAlign w:val="center"/>
            <w:hideMark/>
          </w:tcPr>
          <w:p w14:paraId="2A7DC7E1" w14:textId="77777777" w:rsidR="00DF2DC6" w:rsidRPr="00E648BF" w:rsidRDefault="00DF2DC6" w:rsidP="00E1538C">
            <w:pPr>
              <w:spacing w:before="80" w:after="80"/>
              <w:rPr>
                <w:rFonts w:ascii="Arial" w:hAnsi="Arial" w:cs="Arial"/>
                <w:color w:val="000000"/>
                <w:lang w:val="es-ES"/>
              </w:rPr>
            </w:pPr>
            <w:r w:rsidRPr="00E648BF">
              <w:rPr>
                <w:rFonts w:ascii="Arial" w:hAnsi="Arial" w:cs="Arial"/>
                <w:color w:val="000000"/>
                <w:lang w:val="es-ES"/>
              </w:rPr>
              <w:t>Elaboración de dulces y chocolates</w:t>
            </w:r>
          </w:p>
        </w:tc>
        <w:tc>
          <w:tcPr>
            <w:tcW w:w="1985" w:type="dxa"/>
            <w:noWrap/>
            <w:tcMar>
              <w:top w:w="0" w:type="dxa"/>
              <w:left w:w="70" w:type="dxa"/>
              <w:bottom w:w="0" w:type="dxa"/>
              <w:right w:w="70" w:type="dxa"/>
            </w:tcMar>
            <w:vAlign w:val="center"/>
            <w:hideMark/>
          </w:tcPr>
          <w:p w14:paraId="3669D563" w14:textId="77777777" w:rsidR="00DF2DC6" w:rsidRPr="00E648BF" w:rsidRDefault="00DF2DC6" w:rsidP="00E1538C">
            <w:pPr>
              <w:spacing w:before="80" w:after="80"/>
              <w:jc w:val="center"/>
              <w:rPr>
                <w:rFonts w:ascii="Arial" w:hAnsi="Arial" w:cs="Arial"/>
                <w:color w:val="000000"/>
                <w:lang w:val="es-ES"/>
              </w:rPr>
            </w:pPr>
            <w:r w:rsidRPr="00E648BF">
              <w:rPr>
                <w:rFonts w:ascii="Arial" w:hAnsi="Arial" w:cs="Arial"/>
                <w:color w:val="000000"/>
                <w:lang w:val="es-ES"/>
              </w:rPr>
              <w:t>16.00</w:t>
            </w:r>
          </w:p>
        </w:tc>
        <w:tc>
          <w:tcPr>
            <w:tcW w:w="2605" w:type="dxa"/>
            <w:noWrap/>
            <w:tcMar>
              <w:top w:w="0" w:type="dxa"/>
              <w:left w:w="70" w:type="dxa"/>
              <w:bottom w:w="0" w:type="dxa"/>
              <w:right w:w="70" w:type="dxa"/>
            </w:tcMar>
            <w:vAlign w:val="center"/>
            <w:hideMark/>
          </w:tcPr>
          <w:p w14:paraId="152C0EDC" w14:textId="77777777" w:rsidR="00DF2DC6" w:rsidRPr="00E648BF" w:rsidRDefault="00DF2DC6" w:rsidP="00E1538C">
            <w:pPr>
              <w:spacing w:before="80" w:after="80"/>
              <w:jc w:val="center"/>
              <w:rPr>
                <w:rFonts w:ascii="Arial" w:hAnsi="Arial" w:cs="Arial"/>
                <w:color w:val="000000"/>
                <w:lang w:val="es-ES"/>
              </w:rPr>
            </w:pPr>
            <w:r w:rsidRPr="00E648BF">
              <w:rPr>
                <w:rFonts w:ascii="Arial" w:hAnsi="Arial" w:cs="Arial"/>
                <w:color w:val="000000"/>
                <w:lang w:val="es-ES"/>
              </w:rPr>
              <w:t>28</w:t>
            </w:r>
          </w:p>
        </w:tc>
      </w:tr>
      <w:tr w:rsidR="00DF2DC6" w:rsidRPr="00E648BF" w14:paraId="3BA9D4B8" w14:textId="77777777" w:rsidTr="00E1538C">
        <w:trPr>
          <w:trHeight w:val="315"/>
        </w:trPr>
        <w:tc>
          <w:tcPr>
            <w:tcW w:w="4403" w:type="dxa"/>
            <w:noWrap/>
            <w:tcMar>
              <w:top w:w="0" w:type="dxa"/>
              <w:left w:w="70" w:type="dxa"/>
              <w:bottom w:w="0" w:type="dxa"/>
              <w:right w:w="70" w:type="dxa"/>
            </w:tcMar>
            <w:vAlign w:val="center"/>
            <w:hideMark/>
          </w:tcPr>
          <w:p w14:paraId="6DB28858" w14:textId="77777777" w:rsidR="00DF2DC6" w:rsidRPr="00E648BF" w:rsidRDefault="00DF2DC6" w:rsidP="00E1538C">
            <w:pPr>
              <w:spacing w:before="80" w:after="80"/>
              <w:rPr>
                <w:rFonts w:ascii="Arial" w:hAnsi="Arial" w:cs="Arial"/>
                <w:color w:val="000000"/>
                <w:lang w:val="es-ES"/>
              </w:rPr>
            </w:pPr>
            <w:r w:rsidRPr="00E648BF">
              <w:rPr>
                <w:rFonts w:ascii="Arial" w:hAnsi="Arial" w:cs="Arial"/>
                <w:color w:val="000000"/>
                <w:lang w:val="es-ES"/>
              </w:rPr>
              <w:t>Muebles</w:t>
            </w:r>
          </w:p>
        </w:tc>
        <w:tc>
          <w:tcPr>
            <w:tcW w:w="1985" w:type="dxa"/>
            <w:noWrap/>
            <w:tcMar>
              <w:top w:w="0" w:type="dxa"/>
              <w:left w:w="70" w:type="dxa"/>
              <w:bottom w:w="0" w:type="dxa"/>
              <w:right w:w="70" w:type="dxa"/>
            </w:tcMar>
            <w:vAlign w:val="center"/>
            <w:hideMark/>
          </w:tcPr>
          <w:p w14:paraId="7525904D" w14:textId="77777777" w:rsidR="00DF2DC6" w:rsidRPr="00E648BF" w:rsidRDefault="00DF2DC6" w:rsidP="00E1538C">
            <w:pPr>
              <w:spacing w:before="80" w:after="80"/>
              <w:jc w:val="center"/>
              <w:rPr>
                <w:rFonts w:ascii="Arial" w:hAnsi="Arial" w:cs="Arial"/>
                <w:color w:val="000000"/>
                <w:lang w:val="es-ES"/>
              </w:rPr>
            </w:pPr>
            <w:r w:rsidRPr="00E648BF">
              <w:rPr>
                <w:rFonts w:ascii="Arial" w:hAnsi="Arial" w:cs="Arial"/>
                <w:color w:val="000000"/>
                <w:lang w:val="es-ES"/>
              </w:rPr>
              <w:t>31.80</w:t>
            </w:r>
          </w:p>
        </w:tc>
        <w:tc>
          <w:tcPr>
            <w:tcW w:w="2605" w:type="dxa"/>
            <w:noWrap/>
            <w:tcMar>
              <w:top w:w="0" w:type="dxa"/>
              <w:left w:w="70" w:type="dxa"/>
              <w:bottom w:w="0" w:type="dxa"/>
              <w:right w:w="70" w:type="dxa"/>
            </w:tcMar>
            <w:vAlign w:val="center"/>
            <w:hideMark/>
          </w:tcPr>
          <w:p w14:paraId="3D1DCF63" w14:textId="77777777" w:rsidR="00DF2DC6" w:rsidRPr="00E648BF" w:rsidRDefault="00DF2DC6" w:rsidP="00E1538C">
            <w:pPr>
              <w:spacing w:before="80" w:after="80"/>
              <w:jc w:val="center"/>
              <w:rPr>
                <w:rFonts w:ascii="Arial" w:hAnsi="Arial" w:cs="Arial"/>
                <w:color w:val="000000"/>
                <w:lang w:val="es-ES"/>
              </w:rPr>
            </w:pPr>
            <w:r w:rsidRPr="00E648BF">
              <w:rPr>
                <w:rFonts w:ascii="Arial" w:hAnsi="Arial" w:cs="Arial"/>
                <w:color w:val="000000"/>
                <w:lang w:val="es-ES"/>
              </w:rPr>
              <w:t>18</w:t>
            </w:r>
          </w:p>
        </w:tc>
      </w:tr>
      <w:tr w:rsidR="00DF2DC6" w:rsidRPr="00E648BF" w14:paraId="62EC1160" w14:textId="77777777" w:rsidTr="00E1538C">
        <w:trPr>
          <w:trHeight w:val="315"/>
        </w:trPr>
        <w:tc>
          <w:tcPr>
            <w:tcW w:w="4403" w:type="dxa"/>
            <w:noWrap/>
            <w:tcMar>
              <w:top w:w="0" w:type="dxa"/>
              <w:left w:w="70" w:type="dxa"/>
              <w:bottom w:w="0" w:type="dxa"/>
              <w:right w:w="70" w:type="dxa"/>
            </w:tcMar>
            <w:vAlign w:val="center"/>
            <w:hideMark/>
          </w:tcPr>
          <w:p w14:paraId="7D5262D1" w14:textId="77777777" w:rsidR="00DF2DC6" w:rsidRPr="00E648BF" w:rsidRDefault="00DF2DC6" w:rsidP="00E1538C">
            <w:pPr>
              <w:spacing w:before="80" w:after="80"/>
              <w:rPr>
                <w:rFonts w:ascii="Arial" w:hAnsi="Arial" w:cs="Arial"/>
                <w:color w:val="000000"/>
                <w:lang w:val="es-ES"/>
              </w:rPr>
            </w:pPr>
            <w:r w:rsidRPr="00E648BF">
              <w:rPr>
                <w:rFonts w:ascii="Arial" w:hAnsi="Arial" w:cs="Arial"/>
                <w:color w:val="000000"/>
                <w:lang w:val="es-ES"/>
              </w:rPr>
              <w:t>Calzado</w:t>
            </w:r>
          </w:p>
        </w:tc>
        <w:tc>
          <w:tcPr>
            <w:tcW w:w="1985" w:type="dxa"/>
            <w:noWrap/>
            <w:tcMar>
              <w:top w:w="0" w:type="dxa"/>
              <w:left w:w="70" w:type="dxa"/>
              <w:bottom w:w="0" w:type="dxa"/>
              <w:right w:w="70" w:type="dxa"/>
            </w:tcMar>
            <w:vAlign w:val="center"/>
            <w:hideMark/>
          </w:tcPr>
          <w:p w14:paraId="5CA5F32C" w14:textId="77777777" w:rsidR="00DF2DC6" w:rsidRPr="00E648BF" w:rsidRDefault="00DF2DC6" w:rsidP="00E1538C">
            <w:pPr>
              <w:spacing w:before="80" w:after="80"/>
              <w:jc w:val="center"/>
              <w:rPr>
                <w:rFonts w:ascii="Arial" w:hAnsi="Arial" w:cs="Arial"/>
                <w:color w:val="000000"/>
                <w:lang w:val="es-ES"/>
              </w:rPr>
            </w:pPr>
            <w:r w:rsidRPr="00E648BF">
              <w:rPr>
                <w:rFonts w:ascii="Arial" w:hAnsi="Arial" w:cs="Arial"/>
                <w:color w:val="000000"/>
                <w:lang w:val="es-ES"/>
              </w:rPr>
              <w:t>23.10</w:t>
            </w:r>
          </w:p>
        </w:tc>
        <w:tc>
          <w:tcPr>
            <w:tcW w:w="2605" w:type="dxa"/>
            <w:noWrap/>
            <w:tcMar>
              <w:top w:w="0" w:type="dxa"/>
              <w:left w:w="70" w:type="dxa"/>
              <w:bottom w:w="0" w:type="dxa"/>
              <w:right w:w="70" w:type="dxa"/>
            </w:tcMar>
            <w:vAlign w:val="center"/>
            <w:hideMark/>
          </w:tcPr>
          <w:p w14:paraId="656EB394" w14:textId="77777777" w:rsidR="00DF2DC6" w:rsidRPr="00E648BF" w:rsidRDefault="00DF2DC6" w:rsidP="00E1538C">
            <w:pPr>
              <w:spacing w:before="80" w:after="80"/>
              <w:jc w:val="center"/>
              <w:rPr>
                <w:rFonts w:ascii="Arial" w:hAnsi="Arial" w:cs="Arial"/>
                <w:color w:val="000000"/>
                <w:lang w:val="es-ES"/>
              </w:rPr>
            </w:pPr>
            <w:r w:rsidRPr="00E648BF">
              <w:rPr>
                <w:rFonts w:ascii="Arial" w:hAnsi="Arial" w:cs="Arial"/>
                <w:color w:val="000000"/>
                <w:lang w:val="es-ES"/>
              </w:rPr>
              <w:t>25</w:t>
            </w:r>
          </w:p>
        </w:tc>
      </w:tr>
      <w:tr w:rsidR="00DF2DC6" w:rsidRPr="00E648BF" w14:paraId="7B0BB8E4" w14:textId="77777777" w:rsidTr="00E1538C">
        <w:trPr>
          <w:trHeight w:val="315"/>
        </w:trPr>
        <w:tc>
          <w:tcPr>
            <w:tcW w:w="4403" w:type="dxa"/>
            <w:noWrap/>
            <w:tcMar>
              <w:top w:w="0" w:type="dxa"/>
              <w:left w:w="70" w:type="dxa"/>
              <w:bottom w:w="0" w:type="dxa"/>
              <w:right w:w="70" w:type="dxa"/>
            </w:tcMar>
            <w:vAlign w:val="center"/>
            <w:hideMark/>
          </w:tcPr>
          <w:p w14:paraId="15637D33" w14:textId="77777777" w:rsidR="00DF2DC6" w:rsidRPr="00E648BF" w:rsidRDefault="00DF2DC6" w:rsidP="00E1538C">
            <w:pPr>
              <w:spacing w:before="80" w:after="80"/>
              <w:rPr>
                <w:rFonts w:ascii="Arial" w:hAnsi="Arial" w:cs="Arial"/>
                <w:color w:val="000000"/>
                <w:lang w:val="es-ES"/>
              </w:rPr>
            </w:pPr>
            <w:r w:rsidRPr="00E648BF">
              <w:rPr>
                <w:rFonts w:ascii="Arial" w:hAnsi="Arial" w:cs="Arial"/>
                <w:color w:val="000000"/>
                <w:lang w:val="es-ES"/>
              </w:rPr>
              <w:t>Tequilera</w:t>
            </w:r>
          </w:p>
        </w:tc>
        <w:tc>
          <w:tcPr>
            <w:tcW w:w="1985" w:type="dxa"/>
            <w:noWrap/>
            <w:tcMar>
              <w:top w:w="0" w:type="dxa"/>
              <w:left w:w="70" w:type="dxa"/>
              <w:bottom w:w="0" w:type="dxa"/>
              <w:right w:w="70" w:type="dxa"/>
            </w:tcMar>
            <w:vAlign w:val="center"/>
            <w:hideMark/>
          </w:tcPr>
          <w:p w14:paraId="24C6C188" w14:textId="77777777" w:rsidR="00DF2DC6" w:rsidRPr="00E648BF" w:rsidRDefault="00DF2DC6" w:rsidP="00E1538C">
            <w:pPr>
              <w:spacing w:before="80" w:after="80"/>
              <w:jc w:val="center"/>
              <w:rPr>
                <w:rFonts w:ascii="Arial" w:hAnsi="Arial" w:cs="Arial"/>
                <w:color w:val="000000"/>
                <w:lang w:val="es-ES"/>
              </w:rPr>
            </w:pPr>
            <w:r w:rsidRPr="00E648BF">
              <w:rPr>
                <w:rFonts w:ascii="Arial" w:hAnsi="Arial" w:cs="Arial"/>
                <w:color w:val="000000"/>
                <w:lang w:val="es-ES"/>
              </w:rPr>
              <w:t>58.60</w:t>
            </w:r>
          </w:p>
        </w:tc>
        <w:tc>
          <w:tcPr>
            <w:tcW w:w="2605" w:type="dxa"/>
            <w:noWrap/>
            <w:tcMar>
              <w:top w:w="0" w:type="dxa"/>
              <w:left w:w="70" w:type="dxa"/>
              <w:bottom w:w="0" w:type="dxa"/>
              <w:right w:w="70" w:type="dxa"/>
            </w:tcMar>
            <w:vAlign w:val="center"/>
            <w:hideMark/>
          </w:tcPr>
          <w:p w14:paraId="77FB3420" w14:textId="77777777" w:rsidR="00DF2DC6" w:rsidRPr="00E648BF" w:rsidRDefault="00DF2DC6" w:rsidP="00E1538C">
            <w:pPr>
              <w:spacing w:before="80" w:after="80"/>
              <w:jc w:val="center"/>
              <w:rPr>
                <w:rFonts w:ascii="Arial" w:hAnsi="Arial" w:cs="Arial"/>
                <w:color w:val="000000"/>
                <w:lang w:val="es-ES"/>
              </w:rPr>
            </w:pPr>
            <w:r w:rsidRPr="00E648BF">
              <w:rPr>
                <w:rFonts w:ascii="Arial" w:hAnsi="Arial" w:cs="Arial"/>
                <w:color w:val="000000"/>
                <w:lang w:val="es-ES"/>
              </w:rPr>
              <w:t>30</w:t>
            </w:r>
          </w:p>
        </w:tc>
      </w:tr>
    </w:tbl>
    <w:p w14:paraId="0BC0FA0B" w14:textId="5B6B0DCF" w:rsidR="00DF2DC6" w:rsidRPr="00E648BF" w:rsidRDefault="00DF2DC6" w:rsidP="00DF2DC6">
      <w:pPr>
        <w:rPr>
          <w:rFonts w:ascii="Arial" w:hAnsi="Arial" w:cs="Arial"/>
          <w:sz w:val="18"/>
          <w:szCs w:val="18"/>
          <w:lang w:val="es-MX"/>
        </w:rPr>
      </w:pPr>
      <w:r w:rsidRPr="00E648BF">
        <w:rPr>
          <w:rFonts w:ascii="Arial" w:hAnsi="Arial" w:cs="Arial"/>
          <w:sz w:val="18"/>
          <w:szCs w:val="18"/>
          <w:lang w:val="es-MX"/>
        </w:rPr>
        <w:t>Fuente: FIRA, a partir de consulta directa a empresas ubicadas en Jalisco (municipios de Guadalajara, Zapopan, Tlajomulco y Amatitlán)</w:t>
      </w:r>
    </w:p>
    <w:p w14:paraId="47AE5E61" w14:textId="77777777" w:rsidR="00E430E1" w:rsidRPr="00E648BF" w:rsidRDefault="00E430E1">
      <w:pPr>
        <w:rPr>
          <w:sz w:val="20"/>
          <w:szCs w:val="20"/>
          <w:lang w:val="es-PE"/>
        </w:rPr>
        <w:sectPr w:rsidR="00E430E1" w:rsidRPr="00E648BF">
          <w:pgSz w:w="12240" w:h="15840"/>
          <w:pgMar w:top="1440" w:right="1440" w:bottom="1440" w:left="1440" w:header="720" w:footer="720" w:gutter="0"/>
          <w:cols w:space="720"/>
          <w:docGrid w:linePitch="360"/>
        </w:sectPr>
      </w:pPr>
    </w:p>
    <w:p w14:paraId="0D25D675" w14:textId="49C1CFCC" w:rsidR="00DF2DC6" w:rsidRPr="00FF6808" w:rsidRDefault="00E430E1" w:rsidP="00E430E1">
      <w:pPr>
        <w:jc w:val="both"/>
        <w:rPr>
          <w:rFonts w:ascii="Arial" w:hAnsi="Arial" w:cs="Arial"/>
          <w:b/>
          <w:bCs/>
          <w:sz w:val="20"/>
          <w:szCs w:val="20"/>
          <w:lang w:val="es-PE"/>
        </w:rPr>
      </w:pPr>
      <w:r w:rsidRPr="00FF6808">
        <w:rPr>
          <w:rFonts w:ascii="Arial" w:hAnsi="Arial" w:cs="Arial"/>
          <w:b/>
          <w:bCs/>
          <w:sz w:val="20"/>
          <w:szCs w:val="20"/>
          <w:lang w:val="es-PE"/>
        </w:rPr>
        <w:lastRenderedPageBreak/>
        <w:t xml:space="preserve">Anexo 2.- </w:t>
      </w:r>
      <w:r w:rsidRPr="00FF6808">
        <w:rPr>
          <w:rFonts w:ascii="Arial" w:hAnsi="Arial" w:cs="Arial"/>
          <w:b/>
          <w:bCs/>
          <w:sz w:val="20"/>
          <w:szCs w:val="20"/>
          <w:lang w:val="es-MX"/>
        </w:rPr>
        <w:t xml:space="preserve">Información general de financiamiento de FIRA a la actividad Industrialización </w:t>
      </w:r>
      <w:r w:rsidRPr="00FF6808">
        <w:rPr>
          <w:rFonts w:ascii="Arial" w:hAnsi="Arial" w:cs="Arial"/>
          <w:b/>
          <w:bCs/>
          <w:sz w:val="20"/>
          <w:szCs w:val="20"/>
          <w:lang w:val="es-PE"/>
        </w:rPr>
        <w:t>para el cálculo del valor del crédito promedio</w:t>
      </w:r>
    </w:p>
    <w:p w14:paraId="6AA641CA" w14:textId="3D65B514" w:rsidR="00E430E1" w:rsidRPr="00E430E1" w:rsidRDefault="00E430E1" w:rsidP="00E430E1">
      <w:pPr>
        <w:jc w:val="both"/>
        <w:rPr>
          <w:rFonts w:ascii="Arial" w:hAnsi="Arial" w:cs="Arial"/>
          <w:lang w:val="es-MX"/>
        </w:rPr>
      </w:pPr>
      <w:r w:rsidRPr="00E430E1">
        <w:rPr>
          <w:rFonts w:ascii="Arial" w:hAnsi="Arial" w:cs="Arial"/>
          <w:lang w:val="es-MX"/>
        </w:rPr>
        <w:t xml:space="preserve">En 2019 el crédito promedio en industrialización fue de </w:t>
      </w:r>
      <w:r w:rsidRPr="00E430E1">
        <w:rPr>
          <w:rFonts w:ascii="Arial" w:hAnsi="Arial" w:cs="Arial"/>
          <w:b/>
          <w:lang w:val="es-MX"/>
        </w:rPr>
        <w:t>2 millones 339 mil pesos</w:t>
      </w:r>
      <w:r w:rsidRPr="00E430E1">
        <w:rPr>
          <w:rFonts w:ascii="Arial" w:hAnsi="Arial" w:cs="Arial"/>
          <w:lang w:val="es-MX"/>
        </w:rPr>
        <w:t xml:space="preserve">. Si se analiza la cartera de industrialización por rama, el crédito promedio más bajo esta en ganadería </w:t>
      </w:r>
      <w:r w:rsidRPr="00E430E1">
        <w:rPr>
          <w:rFonts w:ascii="Arial" w:hAnsi="Arial" w:cs="Arial"/>
          <w:bCs/>
          <w:lang w:val="es-MX"/>
        </w:rPr>
        <w:t>con 1</w:t>
      </w:r>
      <w:r w:rsidR="003339D7">
        <w:rPr>
          <w:rFonts w:ascii="Arial" w:hAnsi="Arial" w:cs="Arial"/>
          <w:bCs/>
          <w:lang w:val="es-MX"/>
        </w:rPr>
        <w:t> </w:t>
      </w:r>
      <w:r w:rsidRPr="00E430E1">
        <w:rPr>
          <w:rFonts w:ascii="Arial" w:hAnsi="Arial" w:cs="Arial"/>
          <w:bCs/>
          <w:lang w:val="es-MX"/>
        </w:rPr>
        <w:t>millón 258 mil pesos y el más alto en pesca con 48 millones 168 mil pesos.</w:t>
      </w:r>
    </w:p>
    <w:tbl>
      <w:tblPr>
        <w:tblW w:w="5000" w:type="pct"/>
        <w:tblLayout w:type="fixed"/>
        <w:tblCellMar>
          <w:left w:w="70" w:type="dxa"/>
          <w:right w:w="70" w:type="dxa"/>
        </w:tblCellMar>
        <w:tblLook w:val="04A0" w:firstRow="1" w:lastRow="0" w:firstColumn="1" w:lastColumn="0" w:noHBand="0" w:noVBand="1"/>
      </w:tblPr>
      <w:tblGrid>
        <w:gridCol w:w="1971"/>
        <w:gridCol w:w="1530"/>
        <w:gridCol w:w="1528"/>
        <w:gridCol w:w="1438"/>
        <w:gridCol w:w="1331"/>
        <w:gridCol w:w="1543"/>
        <w:gridCol w:w="9"/>
      </w:tblGrid>
      <w:tr w:rsidR="00E648BF" w:rsidRPr="008579AE" w14:paraId="2C1FB0D8" w14:textId="77777777" w:rsidTr="00E648BF">
        <w:trPr>
          <w:trHeight w:val="315"/>
        </w:trPr>
        <w:tc>
          <w:tcPr>
            <w:tcW w:w="5000" w:type="pct"/>
            <w:gridSpan w:val="7"/>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2A66282B" w14:textId="7013CDDD" w:rsidR="00E430E1" w:rsidRPr="00E648BF" w:rsidRDefault="00E430E1" w:rsidP="00E430E1">
            <w:pPr>
              <w:jc w:val="both"/>
              <w:rPr>
                <w:rFonts w:ascii="Arial" w:hAnsi="Arial" w:cs="Arial"/>
                <w:lang w:val="es-MX"/>
              </w:rPr>
            </w:pPr>
            <w:r w:rsidRPr="00E648BF">
              <w:rPr>
                <w:rFonts w:ascii="Arial" w:hAnsi="Arial" w:cs="Arial"/>
                <w:lang w:val="es-MX"/>
              </w:rPr>
              <w:t>Crédito promedio en industrialización 2019 (miles de pesos)</w:t>
            </w:r>
          </w:p>
        </w:tc>
      </w:tr>
      <w:tr w:rsidR="00E648BF" w:rsidRPr="00E648BF" w14:paraId="6225EB3D" w14:textId="77777777" w:rsidTr="00E648BF">
        <w:trPr>
          <w:gridAfter w:val="1"/>
          <w:wAfter w:w="4" w:type="pct"/>
          <w:trHeight w:val="315"/>
        </w:trPr>
        <w:tc>
          <w:tcPr>
            <w:tcW w:w="1054" w:type="pct"/>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09E6990A" w14:textId="3934C74D" w:rsidR="00E430E1" w:rsidRPr="00E648BF" w:rsidRDefault="00E430E1" w:rsidP="00662884">
            <w:pPr>
              <w:jc w:val="center"/>
              <w:rPr>
                <w:rFonts w:ascii="Arial" w:hAnsi="Arial" w:cs="Arial"/>
                <w:b/>
                <w:bCs/>
                <w:lang w:val="es-MX"/>
              </w:rPr>
            </w:pPr>
            <w:r w:rsidRPr="00E648BF">
              <w:rPr>
                <w:rFonts w:ascii="Arial" w:hAnsi="Arial" w:cs="Arial"/>
                <w:b/>
                <w:bCs/>
                <w:lang w:val="es-MX"/>
              </w:rPr>
              <w:t>Promedio total</w:t>
            </w:r>
          </w:p>
        </w:tc>
        <w:tc>
          <w:tcPr>
            <w:tcW w:w="818" w:type="pct"/>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6E89CF39" w14:textId="77777777" w:rsidR="00E430E1" w:rsidRPr="00E648BF" w:rsidRDefault="00E430E1" w:rsidP="00662884">
            <w:pPr>
              <w:jc w:val="center"/>
              <w:rPr>
                <w:rFonts w:ascii="Arial" w:hAnsi="Arial" w:cs="Arial"/>
                <w:lang w:val="es-MX"/>
              </w:rPr>
            </w:pPr>
            <w:r w:rsidRPr="00E648BF">
              <w:rPr>
                <w:rFonts w:ascii="Arial" w:hAnsi="Arial" w:cs="Arial"/>
                <w:lang w:val="es-MX"/>
              </w:rPr>
              <w:t>Agricultura</w:t>
            </w:r>
          </w:p>
        </w:tc>
        <w:tc>
          <w:tcPr>
            <w:tcW w:w="817" w:type="pct"/>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37DFBF8F" w14:textId="77777777" w:rsidR="00E430E1" w:rsidRPr="00E648BF" w:rsidRDefault="00E430E1" w:rsidP="00662884">
            <w:pPr>
              <w:jc w:val="center"/>
              <w:rPr>
                <w:rFonts w:ascii="Arial" w:hAnsi="Arial" w:cs="Arial"/>
                <w:lang w:val="es-MX"/>
              </w:rPr>
            </w:pPr>
            <w:r w:rsidRPr="00E648BF">
              <w:rPr>
                <w:rFonts w:ascii="Arial" w:hAnsi="Arial" w:cs="Arial"/>
                <w:lang w:val="es-MX"/>
              </w:rPr>
              <w:t>Ganadería</w:t>
            </w:r>
          </w:p>
        </w:tc>
        <w:tc>
          <w:tcPr>
            <w:tcW w:w="769" w:type="pct"/>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1DC4A28C" w14:textId="77777777" w:rsidR="00E430E1" w:rsidRPr="00E648BF" w:rsidRDefault="00E430E1" w:rsidP="00662884">
            <w:pPr>
              <w:jc w:val="center"/>
              <w:rPr>
                <w:rFonts w:ascii="Arial" w:hAnsi="Arial" w:cs="Arial"/>
                <w:lang w:val="es-MX"/>
              </w:rPr>
            </w:pPr>
            <w:r w:rsidRPr="00E648BF">
              <w:rPr>
                <w:rFonts w:ascii="Arial" w:hAnsi="Arial" w:cs="Arial"/>
                <w:lang w:val="es-MX"/>
              </w:rPr>
              <w:t>Forestal</w:t>
            </w:r>
          </w:p>
        </w:tc>
        <w:tc>
          <w:tcPr>
            <w:tcW w:w="712" w:type="pct"/>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1B9CA748" w14:textId="77777777" w:rsidR="00E430E1" w:rsidRPr="00E648BF" w:rsidRDefault="00E430E1" w:rsidP="00662884">
            <w:pPr>
              <w:jc w:val="center"/>
              <w:rPr>
                <w:rFonts w:ascii="Arial" w:hAnsi="Arial" w:cs="Arial"/>
                <w:lang w:val="es-MX"/>
              </w:rPr>
            </w:pPr>
            <w:r w:rsidRPr="00E648BF">
              <w:rPr>
                <w:rFonts w:ascii="Arial" w:hAnsi="Arial" w:cs="Arial"/>
                <w:lang w:val="es-MX"/>
              </w:rPr>
              <w:t>Pesca</w:t>
            </w:r>
          </w:p>
        </w:tc>
        <w:tc>
          <w:tcPr>
            <w:tcW w:w="825" w:type="pct"/>
            <w:tcBorders>
              <w:top w:val="single" w:sz="4" w:space="0" w:color="auto"/>
              <w:left w:val="single" w:sz="4" w:space="0" w:color="auto"/>
              <w:bottom w:val="single" w:sz="4" w:space="0" w:color="auto"/>
              <w:right w:val="single" w:sz="4" w:space="0" w:color="auto"/>
            </w:tcBorders>
            <w:shd w:val="clear" w:color="auto" w:fill="BDD6EE" w:themeFill="accent5" w:themeFillTint="66"/>
            <w:noWrap/>
            <w:vAlign w:val="center"/>
            <w:hideMark/>
          </w:tcPr>
          <w:p w14:paraId="63CA4780" w14:textId="5C93229B" w:rsidR="00E430E1" w:rsidRPr="00E648BF" w:rsidRDefault="00E430E1" w:rsidP="00662884">
            <w:pPr>
              <w:jc w:val="center"/>
              <w:rPr>
                <w:rFonts w:ascii="Arial" w:hAnsi="Arial" w:cs="Arial"/>
                <w:lang w:val="es-MX"/>
              </w:rPr>
            </w:pPr>
            <w:r w:rsidRPr="00E648BF">
              <w:rPr>
                <w:rFonts w:ascii="Arial" w:hAnsi="Arial" w:cs="Arial"/>
                <w:lang w:val="es-MX"/>
              </w:rPr>
              <w:t>Rural</w:t>
            </w:r>
          </w:p>
        </w:tc>
      </w:tr>
      <w:tr w:rsidR="00E648BF" w:rsidRPr="00E648BF" w14:paraId="6B478223" w14:textId="77777777" w:rsidTr="00E648BF">
        <w:trPr>
          <w:gridAfter w:val="1"/>
          <w:wAfter w:w="4" w:type="pct"/>
          <w:trHeight w:val="283"/>
        </w:trPr>
        <w:tc>
          <w:tcPr>
            <w:tcW w:w="105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8EFEE6" w14:textId="04B64094" w:rsidR="00E430E1" w:rsidRPr="00E648BF" w:rsidRDefault="00E430E1" w:rsidP="00E430E1">
            <w:pPr>
              <w:jc w:val="center"/>
              <w:rPr>
                <w:rFonts w:ascii="Arial" w:hAnsi="Arial" w:cs="Arial"/>
                <w:b/>
                <w:bCs/>
                <w:lang w:val="es-MX"/>
              </w:rPr>
            </w:pPr>
            <w:r w:rsidRPr="00E648BF">
              <w:rPr>
                <w:rFonts w:ascii="Arial" w:hAnsi="Arial" w:cs="Arial"/>
                <w:b/>
                <w:bCs/>
                <w:lang w:val="es-MX"/>
              </w:rPr>
              <w:t>2,338.9</w:t>
            </w:r>
          </w:p>
        </w:tc>
        <w:tc>
          <w:tcPr>
            <w:tcW w:w="8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5B2BF" w14:textId="22E7EB90" w:rsidR="00E430E1" w:rsidRPr="00E648BF" w:rsidRDefault="00E430E1" w:rsidP="00E430E1">
            <w:pPr>
              <w:jc w:val="center"/>
              <w:rPr>
                <w:rFonts w:ascii="Arial" w:hAnsi="Arial" w:cs="Arial"/>
                <w:lang w:val="es-MX"/>
              </w:rPr>
            </w:pPr>
            <w:r w:rsidRPr="00E648BF">
              <w:rPr>
                <w:rFonts w:ascii="Arial" w:hAnsi="Arial" w:cs="Arial"/>
                <w:lang w:val="es-MX"/>
              </w:rPr>
              <w:t>2,540.0</w:t>
            </w:r>
          </w:p>
        </w:tc>
        <w:tc>
          <w:tcPr>
            <w:tcW w:w="81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370028" w14:textId="0423D506" w:rsidR="00E430E1" w:rsidRPr="00E648BF" w:rsidRDefault="00E430E1" w:rsidP="00E430E1">
            <w:pPr>
              <w:jc w:val="center"/>
              <w:rPr>
                <w:rFonts w:ascii="Arial" w:hAnsi="Arial" w:cs="Arial"/>
                <w:lang w:val="es-MX"/>
              </w:rPr>
            </w:pPr>
            <w:r w:rsidRPr="00E648BF">
              <w:rPr>
                <w:rFonts w:ascii="Arial" w:hAnsi="Arial" w:cs="Arial"/>
                <w:lang w:val="es-MX"/>
              </w:rPr>
              <w:t>1,258.1</w:t>
            </w:r>
          </w:p>
        </w:tc>
        <w:tc>
          <w:tcPr>
            <w:tcW w:w="76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0DF644" w14:textId="114726B1" w:rsidR="00E430E1" w:rsidRPr="00E648BF" w:rsidRDefault="00E430E1" w:rsidP="00E430E1">
            <w:pPr>
              <w:jc w:val="center"/>
              <w:rPr>
                <w:rFonts w:ascii="Arial" w:hAnsi="Arial" w:cs="Arial"/>
                <w:lang w:val="es-MX"/>
              </w:rPr>
            </w:pPr>
            <w:r w:rsidRPr="00E648BF">
              <w:rPr>
                <w:rFonts w:ascii="Arial" w:hAnsi="Arial" w:cs="Arial"/>
                <w:lang w:val="es-MX"/>
              </w:rPr>
              <w:t>2,656.9</w:t>
            </w:r>
          </w:p>
        </w:tc>
        <w:tc>
          <w:tcPr>
            <w:tcW w:w="71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AD72BB" w14:textId="3E3B1E69" w:rsidR="00E430E1" w:rsidRPr="00E648BF" w:rsidRDefault="00E430E1" w:rsidP="00E430E1">
            <w:pPr>
              <w:jc w:val="center"/>
              <w:rPr>
                <w:rFonts w:ascii="Arial" w:hAnsi="Arial" w:cs="Arial"/>
                <w:lang w:val="es-MX"/>
              </w:rPr>
            </w:pPr>
            <w:r w:rsidRPr="00E648BF">
              <w:rPr>
                <w:rFonts w:ascii="Arial" w:hAnsi="Arial" w:cs="Arial"/>
                <w:lang w:val="es-MX"/>
              </w:rPr>
              <w:t>48,167.6</w:t>
            </w:r>
          </w:p>
        </w:tc>
        <w:tc>
          <w:tcPr>
            <w:tcW w:w="82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175C95" w14:textId="17A7B42F" w:rsidR="00E430E1" w:rsidRPr="00E648BF" w:rsidRDefault="00E430E1" w:rsidP="00E430E1">
            <w:pPr>
              <w:jc w:val="center"/>
              <w:rPr>
                <w:rFonts w:ascii="Arial" w:hAnsi="Arial" w:cs="Arial"/>
                <w:lang w:val="es-MX"/>
              </w:rPr>
            </w:pPr>
            <w:r w:rsidRPr="00E648BF">
              <w:rPr>
                <w:rFonts w:ascii="Arial" w:hAnsi="Arial" w:cs="Arial"/>
                <w:lang w:val="es-MX"/>
              </w:rPr>
              <w:t>6,122.1</w:t>
            </w:r>
          </w:p>
        </w:tc>
      </w:tr>
    </w:tbl>
    <w:p w14:paraId="759DBD9F" w14:textId="72458532" w:rsidR="00E430E1" w:rsidRPr="00E430E1" w:rsidRDefault="00E430E1" w:rsidP="00E430E1">
      <w:pPr>
        <w:jc w:val="both"/>
        <w:rPr>
          <w:rFonts w:ascii="Arial" w:hAnsi="Arial" w:cs="Arial"/>
          <w:sz w:val="18"/>
          <w:szCs w:val="18"/>
          <w:lang w:val="es-PE"/>
        </w:rPr>
      </w:pPr>
      <w:r>
        <w:rPr>
          <w:rFonts w:ascii="Arial" w:hAnsi="Arial" w:cs="Arial"/>
          <w:sz w:val="18"/>
          <w:szCs w:val="18"/>
          <w:lang w:val="es-MX"/>
        </w:rPr>
        <w:t xml:space="preserve">Fuente: FIRA. </w:t>
      </w:r>
      <w:r w:rsidRPr="00E430E1">
        <w:rPr>
          <w:rFonts w:ascii="Arial" w:hAnsi="Arial" w:cs="Arial"/>
          <w:sz w:val="18"/>
          <w:szCs w:val="18"/>
          <w:lang w:val="es-MX"/>
        </w:rPr>
        <w:t>Los promedios se obtienen a partir del monto de financiamiento otorgado en 2019 y el número preliminar de acreditados 2019, cada variable con el desglosado por estrato de empresas y rama.</w:t>
      </w:r>
    </w:p>
    <w:sectPr w:rsidR="00E430E1" w:rsidRPr="00E430E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4DE2F8" w14:textId="77777777" w:rsidR="004629AF" w:rsidRDefault="004629AF" w:rsidP="004B2BA4">
      <w:pPr>
        <w:spacing w:after="0" w:line="240" w:lineRule="auto"/>
      </w:pPr>
      <w:r>
        <w:separator/>
      </w:r>
    </w:p>
  </w:endnote>
  <w:endnote w:type="continuationSeparator" w:id="0">
    <w:p w14:paraId="52054B91" w14:textId="77777777" w:rsidR="004629AF" w:rsidRDefault="004629AF" w:rsidP="004B2BA4">
      <w:pPr>
        <w:spacing w:after="0" w:line="240" w:lineRule="auto"/>
      </w:pPr>
      <w:r>
        <w:continuationSeparator/>
      </w:r>
    </w:p>
  </w:endnote>
  <w:endnote w:type="continuationNotice" w:id="1">
    <w:p w14:paraId="5FCCD6FB" w14:textId="77777777" w:rsidR="004629AF" w:rsidRDefault="004629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14:paraId="571F72B3" w14:textId="77777777" w:rsidR="006D33D3" w:rsidRPr="00352714" w:rsidRDefault="006D33D3">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14:paraId="6C80106C" w14:textId="77777777" w:rsidR="006D33D3" w:rsidRDefault="006D33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7059657"/>
      <w:docPartObj>
        <w:docPartGallery w:val="Page Numbers (Bottom of Page)"/>
        <w:docPartUnique/>
      </w:docPartObj>
    </w:sdtPr>
    <w:sdtEndPr>
      <w:rPr>
        <w:noProof/>
        <w:sz w:val="18"/>
      </w:rPr>
    </w:sdtEndPr>
    <w:sdtContent>
      <w:p w14:paraId="7142D494" w14:textId="77777777" w:rsidR="006D33D3" w:rsidRPr="00EA2920" w:rsidRDefault="006D33D3">
        <w:pPr>
          <w:pStyle w:val="Footer"/>
          <w:jc w:val="center"/>
          <w:rPr>
            <w:rFonts w:ascii="Arial" w:hAnsi="Arial" w:cs="Arial"/>
            <w:sz w:val="18"/>
          </w:rPr>
        </w:pPr>
        <w:r w:rsidRPr="00EA2920">
          <w:rPr>
            <w:rFonts w:ascii="Arial" w:hAnsi="Arial" w:cs="Arial"/>
            <w:sz w:val="18"/>
          </w:rPr>
          <w:t>-</w:t>
        </w:r>
        <w:r w:rsidRPr="00EA2920">
          <w:rPr>
            <w:rFonts w:ascii="Arial" w:hAnsi="Arial" w:cs="Arial"/>
            <w:sz w:val="18"/>
          </w:rPr>
          <w:fldChar w:fldCharType="begin"/>
        </w:r>
        <w:r w:rsidRPr="00EA2920">
          <w:rPr>
            <w:rFonts w:ascii="Arial" w:hAnsi="Arial" w:cs="Arial"/>
            <w:sz w:val="18"/>
          </w:rPr>
          <w:instrText xml:space="preserve"> PAGE   \* MERGEFORMAT </w:instrText>
        </w:r>
        <w:r w:rsidRPr="00EA2920">
          <w:rPr>
            <w:rFonts w:ascii="Arial" w:hAnsi="Arial" w:cs="Arial"/>
            <w:sz w:val="18"/>
          </w:rPr>
          <w:fldChar w:fldCharType="separate"/>
        </w:r>
        <w:r w:rsidRPr="00EA2920">
          <w:rPr>
            <w:rFonts w:ascii="Arial" w:hAnsi="Arial" w:cs="Arial"/>
            <w:noProof/>
            <w:sz w:val="18"/>
          </w:rPr>
          <w:t>10</w:t>
        </w:r>
        <w:r w:rsidRPr="00EA2920">
          <w:rPr>
            <w:rFonts w:ascii="Arial" w:hAnsi="Arial" w:cs="Arial"/>
            <w:noProof/>
            <w:sz w:val="18"/>
          </w:rPr>
          <w:fldChar w:fldCharType="end"/>
        </w:r>
        <w:r w:rsidRPr="00EA2920">
          <w:rPr>
            <w:rFonts w:ascii="Arial" w:hAnsi="Arial" w:cs="Arial"/>
            <w:noProof/>
            <w:sz w:val="18"/>
          </w:rPr>
          <w:t>-</w:t>
        </w:r>
      </w:p>
    </w:sdtContent>
  </w:sdt>
  <w:p w14:paraId="2BE22C80" w14:textId="77777777" w:rsidR="006D33D3" w:rsidRDefault="006D33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D3F12C" w14:textId="77777777" w:rsidR="004629AF" w:rsidRDefault="004629AF" w:rsidP="004B2BA4">
      <w:pPr>
        <w:spacing w:after="0" w:line="240" w:lineRule="auto"/>
      </w:pPr>
      <w:r>
        <w:separator/>
      </w:r>
    </w:p>
  </w:footnote>
  <w:footnote w:type="continuationSeparator" w:id="0">
    <w:p w14:paraId="5DDE4DB7" w14:textId="77777777" w:rsidR="004629AF" w:rsidRDefault="004629AF" w:rsidP="004B2BA4">
      <w:pPr>
        <w:spacing w:after="0" w:line="240" w:lineRule="auto"/>
      </w:pPr>
      <w:r>
        <w:continuationSeparator/>
      </w:r>
    </w:p>
  </w:footnote>
  <w:footnote w:type="continuationNotice" w:id="1">
    <w:p w14:paraId="39FD6D64" w14:textId="77777777" w:rsidR="004629AF" w:rsidRDefault="004629AF">
      <w:pPr>
        <w:spacing w:after="0" w:line="240" w:lineRule="auto"/>
      </w:pPr>
    </w:p>
  </w:footnote>
  <w:footnote w:id="2">
    <w:p w14:paraId="09675320" w14:textId="77777777" w:rsidR="00CC3828" w:rsidRPr="00C5767E" w:rsidRDefault="00CC3828" w:rsidP="00CC3828">
      <w:pPr>
        <w:pStyle w:val="FootnoteText"/>
        <w:spacing w:after="0"/>
        <w:ind w:left="274" w:hanging="274"/>
        <w:rPr>
          <w:rFonts w:ascii="Arial" w:hAnsi="Arial" w:cs="Arial"/>
          <w:sz w:val="18"/>
          <w:szCs w:val="18"/>
        </w:rPr>
      </w:pPr>
      <w:r w:rsidRPr="00E00595">
        <w:rPr>
          <w:rStyle w:val="FootnoteReference"/>
          <w:rFonts w:ascii="Arial" w:hAnsi="Arial" w:cs="Arial"/>
          <w:sz w:val="18"/>
          <w:szCs w:val="18"/>
          <w:lang w:val="es-ES"/>
        </w:rPr>
        <w:footnoteRef/>
      </w:r>
      <w:r w:rsidRPr="00C5767E">
        <w:rPr>
          <w:rFonts w:ascii="Arial" w:hAnsi="Arial" w:cs="Arial"/>
          <w:sz w:val="18"/>
          <w:szCs w:val="18"/>
        </w:rPr>
        <w:t xml:space="preserve"> </w:t>
      </w:r>
      <w:r w:rsidRPr="00C5767E">
        <w:rPr>
          <w:rFonts w:ascii="Arial" w:hAnsi="Arial" w:cs="Arial"/>
          <w:sz w:val="18"/>
          <w:szCs w:val="18"/>
        </w:rPr>
        <w:tab/>
      </w:r>
      <w:hyperlink r:id="rId1" w:history="1">
        <w:r w:rsidRPr="006F28DB">
          <w:rPr>
            <w:rStyle w:val="Hyperlink"/>
            <w:rFonts w:ascii="Arial" w:hAnsi="Arial" w:cs="Arial"/>
            <w:sz w:val="18"/>
            <w:szCs w:val="18"/>
          </w:rPr>
          <w:t>WHO</w:t>
        </w:r>
        <w:r>
          <w:rPr>
            <w:rStyle w:val="Hyperlink"/>
            <w:rFonts w:ascii="Arial" w:hAnsi="Arial" w:cs="Arial"/>
            <w:i/>
            <w:iCs/>
            <w:sz w:val="18"/>
            <w:szCs w:val="18"/>
          </w:rPr>
          <w:t xml:space="preserve"> Coronavirus Disease (COVID-19) Dashboard</w:t>
        </w:r>
      </w:hyperlink>
      <w:r>
        <w:rPr>
          <w:rFonts w:ascii="Arial" w:hAnsi="Arial" w:cs="Arial"/>
          <w:sz w:val="18"/>
          <w:szCs w:val="18"/>
        </w:rPr>
        <w:t>.</w:t>
      </w:r>
      <w:r w:rsidRPr="00C5767E">
        <w:rPr>
          <w:rFonts w:ascii="Arial" w:hAnsi="Arial" w:cs="Arial"/>
          <w:sz w:val="18"/>
          <w:szCs w:val="18"/>
        </w:rPr>
        <w:t xml:space="preserve"> </w:t>
      </w:r>
    </w:p>
  </w:footnote>
  <w:footnote w:id="3">
    <w:p w14:paraId="5BECA1D4" w14:textId="77777777" w:rsidR="00CC3828" w:rsidRPr="000D0FA6" w:rsidRDefault="00CC3828" w:rsidP="00CC3828">
      <w:pPr>
        <w:pStyle w:val="FootnoteText"/>
        <w:spacing w:after="0"/>
        <w:ind w:left="274" w:hanging="274"/>
        <w:rPr>
          <w:rFonts w:ascii="Arial" w:hAnsi="Arial" w:cs="Arial"/>
          <w:sz w:val="18"/>
          <w:szCs w:val="18"/>
        </w:rPr>
      </w:pPr>
      <w:r w:rsidRPr="00B634AE">
        <w:rPr>
          <w:rStyle w:val="FootnoteReference"/>
          <w:rFonts w:ascii="Arial" w:hAnsi="Arial" w:cs="Arial"/>
          <w:sz w:val="18"/>
          <w:szCs w:val="18"/>
          <w:lang w:val="es-ES"/>
        </w:rPr>
        <w:footnoteRef/>
      </w:r>
      <w:r w:rsidRPr="000D0FA6">
        <w:rPr>
          <w:rFonts w:ascii="Arial" w:hAnsi="Arial" w:cs="Arial"/>
          <w:sz w:val="18"/>
          <w:szCs w:val="18"/>
        </w:rPr>
        <w:t xml:space="preserve"> </w:t>
      </w:r>
      <w:r w:rsidRPr="000D0FA6">
        <w:rPr>
          <w:rFonts w:ascii="Arial" w:hAnsi="Arial" w:cs="Arial"/>
          <w:sz w:val="18"/>
          <w:szCs w:val="18"/>
        </w:rPr>
        <w:tab/>
      </w:r>
      <w:hyperlink r:id="rId2" w:history="1">
        <w:r>
          <w:rPr>
            <w:rStyle w:val="Hyperlink"/>
            <w:rFonts w:ascii="Arial" w:hAnsi="Arial" w:cs="Arial"/>
            <w:sz w:val="18"/>
            <w:szCs w:val="18"/>
          </w:rPr>
          <w:t xml:space="preserve">COVID-19 </w:t>
        </w:r>
        <w:r w:rsidRPr="00883C9F">
          <w:rPr>
            <w:rStyle w:val="Hyperlink"/>
            <w:rFonts w:ascii="Arial" w:hAnsi="Arial" w:cs="Arial"/>
            <w:i/>
            <w:iCs/>
            <w:sz w:val="18"/>
            <w:szCs w:val="18"/>
          </w:rPr>
          <w:t>Situation in the Region of the Americas</w:t>
        </w:r>
        <w:r w:rsidRPr="00883C9F">
          <w:rPr>
            <w:rStyle w:val="Hyperlink"/>
            <w:rFonts w:ascii="Arial" w:hAnsi="Arial" w:cs="Arial"/>
            <w:sz w:val="18"/>
            <w:szCs w:val="18"/>
          </w:rPr>
          <w:t xml:space="preserve">. </w:t>
        </w:r>
      </w:hyperlink>
      <w:proofErr w:type="spellStart"/>
      <w:r w:rsidRPr="00883C9F">
        <w:rPr>
          <w:rStyle w:val="Hyperlink"/>
          <w:rFonts w:ascii="Arial" w:hAnsi="Arial" w:cs="Arial"/>
          <w:sz w:val="18"/>
          <w:szCs w:val="18"/>
        </w:rPr>
        <w:t>Reporte</w:t>
      </w:r>
      <w:proofErr w:type="spellEnd"/>
      <w:r w:rsidRPr="00883C9F">
        <w:rPr>
          <w:rStyle w:val="Hyperlink"/>
          <w:rFonts w:ascii="Arial" w:hAnsi="Arial" w:cs="Arial"/>
          <w:sz w:val="18"/>
          <w:szCs w:val="18"/>
        </w:rPr>
        <w:t xml:space="preserve"> de Pan American Health Organization (PAHO).</w:t>
      </w:r>
      <w:r w:rsidRPr="00883C9F">
        <w:rPr>
          <w:rFonts w:ascii="Arial" w:hAnsi="Arial" w:cs="Arial"/>
          <w:sz w:val="18"/>
          <w:szCs w:val="18"/>
        </w:rPr>
        <w:t xml:space="preserve"> </w:t>
      </w:r>
    </w:p>
  </w:footnote>
  <w:footnote w:id="4">
    <w:p w14:paraId="20092C7E" w14:textId="77777777" w:rsidR="00CC3828" w:rsidRPr="00421C6B" w:rsidRDefault="00CC3828" w:rsidP="00CC3828">
      <w:pPr>
        <w:pStyle w:val="FootnoteText"/>
        <w:spacing w:after="0"/>
        <w:ind w:left="274" w:hanging="274"/>
        <w:rPr>
          <w:lang w:val="es-CO"/>
        </w:rPr>
      </w:pPr>
      <w:r w:rsidRPr="008E5CF3">
        <w:rPr>
          <w:rStyle w:val="FootnoteReference"/>
          <w:rFonts w:ascii="Arial" w:hAnsi="Arial" w:cs="Arial"/>
          <w:sz w:val="18"/>
          <w:szCs w:val="18"/>
        </w:rPr>
        <w:footnoteRef/>
      </w:r>
      <w:r w:rsidRPr="008E5CF3">
        <w:rPr>
          <w:rFonts w:ascii="Arial" w:hAnsi="Arial" w:cs="Arial"/>
          <w:sz w:val="18"/>
          <w:szCs w:val="18"/>
        </w:rPr>
        <w:t xml:space="preserve"> </w:t>
      </w:r>
      <w:r>
        <w:t xml:space="preserve"> </w:t>
      </w:r>
      <w:r>
        <w:tab/>
      </w:r>
      <w:hyperlink r:id="rId3" w:history="1">
        <w:r w:rsidRPr="00B078D2">
          <w:rPr>
            <w:rStyle w:val="Hyperlink"/>
            <w:rFonts w:ascii="Arial" w:eastAsiaTheme="minorHAnsi" w:hAnsi="Arial" w:cs="Arial"/>
            <w:sz w:val="18"/>
            <w:szCs w:val="18"/>
          </w:rPr>
          <w:t xml:space="preserve">WHO COVID-19 </w:t>
        </w:r>
        <w:r w:rsidRPr="00B078D2">
          <w:rPr>
            <w:rStyle w:val="Hyperlink"/>
            <w:rFonts w:ascii="Arial" w:eastAsiaTheme="minorHAnsi" w:hAnsi="Arial" w:cs="Arial"/>
            <w:i/>
            <w:iCs/>
            <w:sz w:val="18"/>
            <w:szCs w:val="18"/>
          </w:rPr>
          <w:t>Country Preparedness and Response Status for</w:t>
        </w:r>
        <w:r w:rsidRPr="00B078D2">
          <w:rPr>
            <w:rStyle w:val="Hyperlink"/>
            <w:rFonts w:ascii="Arial" w:eastAsiaTheme="minorHAnsi" w:hAnsi="Arial" w:cs="Arial"/>
            <w:sz w:val="18"/>
            <w:szCs w:val="18"/>
          </w:rPr>
          <w:t xml:space="preserve"> COVID-19.</w:t>
        </w:r>
      </w:hyperlink>
      <w:r>
        <w:rPr>
          <w:rFonts w:ascii="Arial" w:eastAsiaTheme="minorHAnsi" w:hAnsi="Arial" w:cs="Arial"/>
          <w:sz w:val="18"/>
          <w:szCs w:val="18"/>
        </w:rPr>
        <w:t xml:space="preserve"> </w:t>
      </w:r>
      <w:r w:rsidRPr="00421C6B">
        <w:rPr>
          <w:rFonts w:ascii="Arial" w:eastAsiaTheme="minorHAnsi" w:hAnsi="Arial" w:cs="Arial"/>
          <w:sz w:val="18"/>
          <w:szCs w:val="18"/>
          <w:lang w:val="es-CO"/>
        </w:rPr>
        <w:t xml:space="preserve">Basado en 5 niveles de evaluación de capacidad operacional, frente a una categoría de respuesta, siendo 5 el de mayor capacidad.  </w:t>
      </w:r>
    </w:p>
  </w:footnote>
  <w:footnote w:id="5">
    <w:p w14:paraId="0CC489C9" w14:textId="77777777" w:rsidR="00421C6B" w:rsidRPr="006B59E8" w:rsidRDefault="00421C6B" w:rsidP="00421C6B">
      <w:pPr>
        <w:pStyle w:val="FootnoteText"/>
        <w:spacing w:after="0"/>
        <w:ind w:left="274" w:hanging="274"/>
        <w:rPr>
          <w:rFonts w:ascii="Arial" w:hAnsi="Arial" w:cs="Arial"/>
          <w:sz w:val="18"/>
          <w:szCs w:val="18"/>
          <w:lang w:val="es-CO"/>
        </w:rPr>
      </w:pPr>
      <w:r w:rsidRPr="00B634AE">
        <w:rPr>
          <w:rStyle w:val="FootnoteReference"/>
          <w:rFonts w:ascii="Arial" w:hAnsi="Arial" w:cs="Arial"/>
          <w:sz w:val="18"/>
          <w:szCs w:val="18"/>
          <w:lang w:val="es-ES"/>
        </w:rPr>
        <w:footnoteRef/>
      </w:r>
      <w:r w:rsidRPr="00B634AE">
        <w:rPr>
          <w:rFonts w:ascii="Arial" w:hAnsi="Arial" w:cs="Arial"/>
          <w:sz w:val="18"/>
          <w:szCs w:val="18"/>
          <w:lang w:val="es-ES"/>
        </w:rPr>
        <w:t xml:space="preserve"> </w:t>
      </w:r>
      <w:r w:rsidRPr="00B634AE">
        <w:rPr>
          <w:rFonts w:ascii="Arial" w:hAnsi="Arial" w:cs="Arial"/>
          <w:sz w:val="18"/>
          <w:szCs w:val="18"/>
          <w:lang w:val="es-ES"/>
        </w:rPr>
        <w:tab/>
      </w:r>
      <w:hyperlink r:id="rId4" w:history="1">
        <w:r w:rsidRPr="00B634AE">
          <w:rPr>
            <w:rStyle w:val="Hyperlink"/>
            <w:rFonts w:ascii="Arial" w:hAnsi="Arial" w:cs="Arial"/>
            <w:sz w:val="18"/>
            <w:szCs w:val="18"/>
            <w:lang w:val="es-ES"/>
          </w:rPr>
          <w:t>Comunicado de CEPAL</w:t>
        </w:r>
      </w:hyperlink>
      <w:r w:rsidRPr="00B634AE">
        <w:rPr>
          <w:rFonts w:ascii="Arial" w:hAnsi="Arial" w:cs="Arial"/>
          <w:sz w:val="18"/>
          <w:szCs w:val="18"/>
          <w:lang w:val="es-ES"/>
        </w:rPr>
        <w:t xml:space="preserve"> (19 de marzo 2020)</w:t>
      </w:r>
      <w:r>
        <w:rPr>
          <w:rFonts w:ascii="Arial" w:hAnsi="Arial" w:cs="Arial"/>
          <w:sz w:val="18"/>
          <w:szCs w:val="18"/>
          <w:lang w:val="es-ES"/>
        </w:rPr>
        <w:t>.</w:t>
      </w:r>
    </w:p>
  </w:footnote>
  <w:footnote w:id="6">
    <w:p w14:paraId="6AE697CB" w14:textId="77777777" w:rsidR="00421C6B" w:rsidRPr="006B59E8" w:rsidRDefault="00421C6B" w:rsidP="00421C6B">
      <w:pPr>
        <w:pStyle w:val="FootnoteText"/>
        <w:spacing w:after="0"/>
        <w:ind w:left="274" w:hanging="274"/>
        <w:rPr>
          <w:rFonts w:ascii="Arial" w:hAnsi="Arial" w:cs="Arial"/>
          <w:sz w:val="18"/>
          <w:szCs w:val="18"/>
          <w:lang w:val="es-CO"/>
        </w:rPr>
      </w:pPr>
      <w:r w:rsidRPr="00AD2CA3">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 xml:space="preserve">FMI, </w:t>
      </w:r>
      <w:proofErr w:type="spellStart"/>
      <w:r w:rsidRPr="006B59E8">
        <w:rPr>
          <w:rFonts w:ascii="Arial" w:hAnsi="Arial" w:cs="Arial"/>
          <w:i/>
          <w:iCs/>
          <w:sz w:val="18"/>
          <w:szCs w:val="18"/>
          <w:lang w:val="es-CO"/>
        </w:rPr>
        <w:t>World</w:t>
      </w:r>
      <w:proofErr w:type="spellEnd"/>
      <w:r w:rsidRPr="006B59E8">
        <w:rPr>
          <w:rFonts w:ascii="Arial" w:hAnsi="Arial" w:cs="Arial"/>
          <w:i/>
          <w:iCs/>
          <w:sz w:val="18"/>
          <w:szCs w:val="18"/>
          <w:lang w:val="es-CO"/>
        </w:rPr>
        <w:t xml:space="preserve"> </w:t>
      </w:r>
      <w:proofErr w:type="spellStart"/>
      <w:r w:rsidRPr="006B59E8">
        <w:rPr>
          <w:rFonts w:ascii="Arial" w:hAnsi="Arial" w:cs="Arial"/>
          <w:i/>
          <w:iCs/>
          <w:sz w:val="18"/>
          <w:szCs w:val="18"/>
          <w:lang w:val="es-CO"/>
        </w:rPr>
        <w:t>Economic</w:t>
      </w:r>
      <w:proofErr w:type="spellEnd"/>
      <w:r w:rsidRPr="006B59E8">
        <w:rPr>
          <w:rFonts w:ascii="Arial" w:hAnsi="Arial" w:cs="Arial"/>
          <w:i/>
          <w:iCs/>
          <w:sz w:val="18"/>
          <w:szCs w:val="18"/>
          <w:lang w:val="es-CO"/>
        </w:rPr>
        <w:t xml:space="preserve"> Outlook</w:t>
      </w:r>
      <w:r w:rsidRPr="006B59E8">
        <w:rPr>
          <w:rFonts w:ascii="Arial" w:hAnsi="Arial" w:cs="Arial"/>
          <w:sz w:val="18"/>
          <w:szCs w:val="18"/>
          <w:lang w:val="es-CO"/>
        </w:rPr>
        <w:t xml:space="preserve"> 2020. Para fines comparativos, en 2009, por ejemplo, el PIB de México disminuyó en 5%.</w:t>
      </w:r>
    </w:p>
  </w:footnote>
  <w:footnote w:id="7">
    <w:p w14:paraId="2B5A344B" w14:textId="77777777" w:rsidR="00421C6B" w:rsidRPr="006B59E8" w:rsidRDefault="00421C6B" w:rsidP="00421C6B">
      <w:pPr>
        <w:pStyle w:val="FootnoteText"/>
        <w:spacing w:after="0"/>
        <w:ind w:left="274" w:hanging="274"/>
        <w:rPr>
          <w:rFonts w:ascii="Arial" w:hAnsi="Arial" w:cs="Arial"/>
          <w:sz w:val="18"/>
          <w:szCs w:val="18"/>
          <w:lang w:val="es-CO"/>
        </w:rPr>
      </w:pPr>
      <w:r w:rsidRPr="00C5767E">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 xml:space="preserve">BID (2020). </w:t>
      </w:r>
      <w:hyperlink r:id="rId5" w:history="1">
        <w:r w:rsidRPr="006B59E8">
          <w:rPr>
            <w:rStyle w:val="Hyperlink"/>
            <w:rFonts w:ascii="Arial" w:hAnsi="Arial" w:cs="Arial"/>
            <w:sz w:val="18"/>
            <w:szCs w:val="18"/>
            <w:lang w:val="es-CO"/>
          </w:rPr>
          <w:t>El impacto del COVID-19 en las economías de la región (Centroamérica)</w:t>
        </w:r>
      </w:hyperlink>
      <w:r w:rsidRPr="006B59E8">
        <w:rPr>
          <w:rStyle w:val="Hyperlink"/>
          <w:rFonts w:ascii="Arial" w:hAnsi="Arial" w:cs="Arial"/>
          <w:sz w:val="18"/>
          <w:szCs w:val="18"/>
          <w:lang w:val="es-CO"/>
        </w:rPr>
        <w:t xml:space="preserve">. </w:t>
      </w:r>
    </w:p>
  </w:footnote>
  <w:footnote w:id="8">
    <w:p w14:paraId="3E94EA4D" w14:textId="77777777" w:rsidR="00421C6B" w:rsidRPr="006B59E8" w:rsidRDefault="00421C6B" w:rsidP="00421C6B">
      <w:pPr>
        <w:pStyle w:val="FootnoteText"/>
        <w:spacing w:after="0"/>
        <w:ind w:left="274" w:hanging="274"/>
        <w:rPr>
          <w:lang w:val="es-CO"/>
        </w:rPr>
      </w:pPr>
      <w:r w:rsidRPr="00E73308">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Según la estratificación oficial de la Secretaría de Economía, una MiPyME puede tener hasta 250 empleados y MXN$250 millones en ventas.</w:t>
      </w:r>
    </w:p>
  </w:footnote>
  <w:footnote w:id="9">
    <w:p w14:paraId="71ED69A1" w14:textId="77777777" w:rsidR="00421C6B" w:rsidRPr="006B59E8" w:rsidRDefault="00421C6B" w:rsidP="00421C6B">
      <w:pPr>
        <w:pStyle w:val="FootnoteText"/>
        <w:spacing w:after="0"/>
        <w:ind w:left="274" w:hanging="274"/>
        <w:rPr>
          <w:rFonts w:ascii="Arial" w:hAnsi="Arial" w:cs="Arial"/>
          <w:sz w:val="18"/>
          <w:szCs w:val="18"/>
          <w:lang w:val="es-CO"/>
        </w:rPr>
      </w:pPr>
      <w:r w:rsidRPr="00C5767E">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Otros países como Chile (112% del PIB), Colombia (47% del PIB) o Brasil (60% del PIB) superan a México. El indicador se define como el crédito doméstico al sector privado como porcentaje del PIB de entidades financieras, no financieras y del sector público al sector privado. Definición amplia del Banco Mundial en WDI. Datos de 2017.</w:t>
      </w:r>
    </w:p>
  </w:footnote>
  <w:footnote w:id="10">
    <w:p w14:paraId="3BFA47A4" w14:textId="77777777" w:rsidR="00421C6B" w:rsidRPr="006B59E8" w:rsidRDefault="00421C6B" w:rsidP="00421C6B">
      <w:pPr>
        <w:pStyle w:val="FootnoteText"/>
        <w:spacing w:after="0"/>
        <w:ind w:left="274" w:hanging="274"/>
        <w:rPr>
          <w:lang w:val="es-CO"/>
        </w:rPr>
      </w:pPr>
      <w:r w:rsidRPr="00270FEC">
        <w:rPr>
          <w:rStyle w:val="FootnoteReference"/>
          <w:rFonts w:ascii="Arial" w:hAnsi="Arial" w:cs="Arial"/>
          <w:sz w:val="18"/>
          <w:szCs w:val="18"/>
        </w:rPr>
        <w:footnoteRef/>
      </w:r>
      <w:r w:rsidRPr="006B59E8">
        <w:rPr>
          <w:rStyle w:val="FootnoteReference"/>
          <w:rFonts w:ascii="Arial" w:hAnsi="Arial" w:cs="Arial"/>
          <w:sz w:val="18"/>
          <w:szCs w:val="18"/>
          <w:lang w:val="es-CO"/>
        </w:rPr>
        <w:t xml:space="preserve"> </w:t>
      </w:r>
      <w:r w:rsidRPr="006B59E8">
        <w:rPr>
          <w:rFonts w:ascii="Arial" w:hAnsi="Arial" w:cs="Arial"/>
          <w:sz w:val="16"/>
          <w:szCs w:val="16"/>
          <w:lang w:val="es-CO"/>
        </w:rPr>
        <w:t xml:space="preserve"> </w:t>
      </w:r>
      <w:r w:rsidRPr="006B59E8">
        <w:rPr>
          <w:rFonts w:ascii="Arial" w:hAnsi="Arial" w:cs="Arial"/>
          <w:sz w:val="16"/>
          <w:szCs w:val="16"/>
          <w:lang w:val="es-CO"/>
        </w:rPr>
        <w:tab/>
      </w:r>
      <w:r w:rsidRPr="006B59E8">
        <w:rPr>
          <w:rFonts w:ascii="Arial" w:hAnsi="Arial" w:cs="Arial"/>
          <w:sz w:val="18"/>
          <w:szCs w:val="18"/>
          <w:lang w:val="es-CO"/>
        </w:rPr>
        <w:t>Indicadores básicos de créditos a las PyME (datos a julio de 2017), Banco de México.</w:t>
      </w:r>
    </w:p>
  </w:footnote>
  <w:footnote w:id="11">
    <w:p w14:paraId="0B9B25B0" w14:textId="77777777" w:rsidR="00421C6B" w:rsidRPr="006B59E8" w:rsidRDefault="00421C6B" w:rsidP="00421C6B">
      <w:pPr>
        <w:pStyle w:val="FootnoteText"/>
        <w:spacing w:after="0"/>
        <w:ind w:left="274" w:hanging="274"/>
        <w:rPr>
          <w:rFonts w:ascii="Arial" w:hAnsi="Arial" w:cs="Arial"/>
          <w:sz w:val="18"/>
          <w:szCs w:val="18"/>
          <w:lang w:val="es-CO"/>
        </w:rPr>
      </w:pPr>
      <w:r w:rsidRPr="00A20CE0">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r>
      <w:r w:rsidRPr="00A20CE0">
        <w:rPr>
          <w:rFonts w:ascii="Arial" w:hAnsi="Arial" w:cs="Arial"/>
          <w:sz w:val="18"/>
          <w:szCs w:val="18"/>
          <w:lang w:val="es-MX"/>
        </w:rPr>
        <w:t>Encuesta Nacional de Financiamiento de las Empresas del</w:t>
      </w:r>
      <w:r>
        <w:rPr>
          <w:rFonts w:ascii="Arial" w:hAnsi="Arial" w:cs="Arial"/>
          <w:sz w:val="18"/>
          <w:szCs w:val="18"/>
          <w:lang w:val="es-MX"/>
        </w:rPr>
        <w:t xml:space="preserve"> Instituto Nacional de Estadística y Geografía (</w:t>
      </w:r>
      <w:r w:rsidRPr="00A20CE0">
        <w:rPr>
          <w:rFonts w:ascii="Arial" w:hAnsi="Arial" w:cs="Arial"/>
          <w:sz w:val="18"/>
          <w:szCs w:val="18"/>
          <w:lang w:val="es-MX"/>
        </w:rPr>
        <w:t>INEGI</w:t>
      </w:r>
      <w:r>
        <w:rPr>
          <w:rFonts w:ascii="Arial" w:hAnsi="Arial" w:cs="Arial"/>
          <w:sz w:val="18"/>
          <w:szCs w:val="18"/>
          <w:lang w:val="es-MX"/>
        </w:rPr>
        <w:t>) (</w:t>
      </w:r>
      <w:r w:rsidRPr="006B59E8">
        <w:rPr>
          <w:rFonts w:ascii="Arial" w:hAnsi="Arial" w:cs="Arial"/>
          <w:sz w:val="18"/>
          <w:szCs w:val="18"/>
          <w:lang w:val="es-CO"/>
        </w:rPr>
        <w:t xml:space="preserve">2015). </w:t>
      </w:r>
    </w:p>
  </w:footnote>
  <w:footnote w:id="12">
    <w:p w14:paraId="5A0192E0" w14:textId="77777777" w:rsidR="00421C6B" w:rsidRPr="006B59E8" w:rsidRDefault="00421C6B" w:rsidP="00421C6B">
      <w:pPr>
        <w:pStyle w:val="FootnoteText"/>
        <w:spacing w:after="0"/>
        <w:ind w:left="274" w:hanging="274"/>
        <w:rPr>
          <w:rFonts w:ascii="Arial" w:hAnsi="Arial" w:cs="Arial"/>
          <w:sz w:val="18"/>
          <w:szCs w:val="18"/>
          <w:lang w:val="es-CO"/>
        </w:rPr>
      </w:pPr>
      <w:r w:rsidRPr="006300ED">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 xml:space="preserve">Existen mayores riesgos </w:t>
      </w:r>
      <w:r w:rsidRPr="006300ED">
        <w:rPr>
          <w:rFonts w:ascii="Arial" w:hAnsi="Arial" w:cs="Arial"/>
          <w:bCs/>
          <w:sz w:val="18"/>
          <w:szCs w:val="18"/>
          <w:lang w:val="es-ES"/>
        </w:rPr>
        <w:t>implícitos del sector</w:t>
      </w:r>
      <w:r>
        <w:rPr>
          <w:rFonts w:ascii="Arial" w:hAnsi="Arial" w:cs="Arial"/>
          <w:bCs/>
          <w:sz w:val="18"/>
          <w:szCs w:val="18"/>
          <w:lang w:val="es-ES"/>
        </w:rPr>
        <w:t xml:space="preserve"> primario que sirve de insumo al agroindustrial</w:t>
      </w:r>
      <w:r w:rsidRPr="006300ED">
        <w:rPr>
          <w:rFonts w:ascii="Arial" w:hAnsi="Arial" w:cs="Arial"/>
          <w:bCs/>
          <w:sz w:val="18"/>
          <w:szCs w:val="18"/>
          <w:lang w:val="es-ES"/>
        </w:rPr>
        <w:t xml:space="preserve">, destacando los riesgos climatológicos, de comercialización y la volatilidad de precios que inciden en el ingreso e inhiben la inversión. </w:t>
      </w:r>
      <w:r>
        <w:rPr>
          <w:rFonts w:ascii="Arial" w:hAnsi="Arial" w:cs="Arial"/>
          <w:bCs/>
          <w:sz w:val="18"/>
          <w:szCs w:val="18"/>
          <w:lang w:val="es-ES"/>
        </w:rPr>
        <w:t>Asimismo</w:t>
      </w:r>
      <w:r w:rsidRPr="006300ED">
        <w:rPr>
          <w:rFonts w:ascii="Arial" w:hAnsi="Arial" w:cs="Arial"/>
          <w:bCs/>
          <w:sz w:val="18"/>
          <w:szCs w:val="18"/>
          <w:lang w:val="es-ES"/>
        </w:rPr>
        <w:t>, hay altos costos</w:t>
      </w:r>
      <w:r w:rsidRPr="006300ED">
        <w:rPr>
          <w:rFonts w:ascii="Arial" w:hAnsi="Arial" w:cs="Arial"/>
          <w:sz w:val="18"/>
          <w:szCs w:val="18"/>
          <w:lang w:val="es-ES"/>
        </w:rPr>
        <w:t xml:space="preserve"> operacionales de evaluación y supervisión por la dispersión geográfica y las pequeñas escalas de las unidades</w:t>
      </w:r>
      <w:r>
        <w:rPr>
          <w:rFonts w:ascii="Arial" w:hAnsi="Arial" w:cs="Arial"/>
          <w:sz w:val="18"/>
          <w:szCs w:val="18"/>
          <w:lang w:val="es-ES"/>
        </w:rPr>
        <w:t xml:space="preserve"> económicas</w:t>
      </w:r>
      <w:r w:rsidRPr="006300ED">
        <w:rPr>
          <w:rFonts w:ascii="Arial" w:hAnsi="Arial" w:cs="Arial"/>
          <w:sz w:val="18"/>
          <w:szCs w:val="18"/>
          <w:lang w:val="es-ES"/>
        </w:rPr>
        <w:t>.</w:t>
      </w:r>
    </w:p>
  </w:footnote>
  <w:footnote w:id="13">
    <w:p w14:paraId="096C6F39" w14:textId="77777777" w:rsidR="00421C6B" w:rsidRPr="006B59E8" w:rsidRDefault="00421C6B" w:rsidP="00421C6B">
      <w:pPr>
        <w:pStyle w:val="FootnoteText"/>
        <w:spacing w:after="0"/>
        <w:ind w:left="274" w:hanging="274"/>
        <w:rPr>
          <w:rFonts w:ascii="Arial" w:hAnsi="Arial" w:cs="Arial"/>
          <w:sz w:val="18"/>
          <w:szCs w:val="18"/>
          <w:lang w:val="es-CO"/>
        </w:rPr>
      </w:pPr>
      <w:r w:rsidRPr="00817628">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Banco de México, cifras a diciembre de 2017. Considera los datos de la banca comercial.</w:t>
      </w:r>
    </w:p>
  </w:footnote>
  <w:footnote w:id="14">
    <w:p w14:paraId="1FF39B00" w14:textId="77777777" w:rsidR="00421C6B" w:rsidRPr="006B59E8" w:rsidRDefault="00421C6B" w:rsidP="00421C6B">
      <w:pPr>
        <w:pStyle w:val="FootnoteText"/>
        <w:spacing w:after="0"/>
        <w:ind w:left="274" w:hanging="274"/>
        <w:rPr>
          <w:rFonts w:ascii="Arial" w:hAnsi="Arial" w:cs="Arial"/>
          <w:sz w:val="18"/>
          <w:szCs w:val="18"/>
          <w:lang w:val="es-CO"/>
        </w:rPr>
      </w:pPr>
      <w:r w:rsidRPr="00817628">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Como referencia, en Brasil los niveles oscilan en 60% y en Estados Unidos superan el 100%.</w:t>
      </w:r>
    </w:p>
  </w:footnote>
  <w:footnote w:id="15">
    <w:p w14:paraId="5F8E18CE" w14:textId="77777777" w:rsidR="00421C6B" w:rsidRPr="006B59E8" w:rsidRDefault="00421C6B" w:rsidP="00421C6B">
      <w:pPr>
        <w:pStyle w:val="FootnoteText"/>
        <w:spacing w:after="0"/>
        <w:ind w:left="274" w:hanging="274"/>
        <w:rPr>
          <w:rFonts w:ascii="Arial" w:hAnsi="Arial" w:cs="Arial"/>
          <w:sz w:val="18"/>
          <w:szCs w:val="18"/>
          <w:lang w:val="es-CO"/>
        </w:rPr>
      </w:pPr>
      <w:r w:rsidRPr="00817628">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 xml:space="preserve">Datos de 2015 de INEGI, FIRA, Banco de México y FND. </w:t>
      </w:r>
    </w:p>
  </w:footnote>
  <w:footnote w:id="16">
    <w:p w14:paraId="695A6D73" w14:textId="77777777" w:rsidR="00421C6B" w:rsidRPr="006B59E8" w:rsidRDefault="00421C6B" w:rsidP="00421C6B">
      <w:pPr>
        <w:pStyle w:val="FootnoteText"/>
        <w:spacing w:after="0"/>
        <w:ind w:left="274" w:hanging="274"/>
        <w:rPr>
          <w:rFonts w:ascii="Arial" w:hAnsi="Arial" w:cs="Arial"/>
          <w:sz w:val="18"/>
          <w:szCs w:val="18"/>
          <w:lang w:val="es-CO"/>
        </w:rPr>
      </w:pPr>
      <w:r w:rsidRPr="00FD36B1">
        <w:rPr>
          <w:rFonts w:ascii="Arial" w:hAnsi="Arial" w:cs="Arial"/>
          <w:sz w:val="18"/>
          <w:szCs w:val="18"/>
          <w:vertAlign w:val="superscript"/>
        </w:rPr>
        <w:footnoteRef/>
      </w:r>
      <w:r w:rsidRPr="006B59E8">
        <w:rPr>
          <w:rFonts w:ascii="Arial" w:hAnsi="Arial" w:cs="Arial"/>
          <w:sz w:val="18"/>
          <w:szCs w:val="18"/>
          <w:lang w:val="es-CO"/>
        </w:rPr>
        <w:t xml:space="preserve"> </w:t>
      </w:r>
      <w:r w:rsidRPr="006B59E8">
        <w:rPr>
          <w:rFonts w:ascii="Arial" w:hAnsi="Arial" w:cs="Arial"/>
          <w:sz w:val="18"/>
          <w:szCs w:val="18"/>
          <w:lang w:val="es-CO"/>
        </w:rPr>
        <w:tab/>
        <w:t>INEGI (2014).</w:t>
      </w:r>
    </w:p>
  </w:footnote>
  <w:footnote w:id="17">
    <w:p w14:paraId="4D25D414" w14:textId="77777777" w:rsidR="00421C6B" w:rsidRPr="006B59E8" w:rsidRDefault="00421C6B" w:rsidP="00421C6B">
      <w:pPr>
        <w:pStyle w:val="FootnoteText"/>
        <w:spacing w:after="0"/>
        <w:ind w:left="274" w:hanging="274"/>
        <w:rPr>
          <w:rFonts w:ascii="Arial" w:hAnsi="Arial" w:cs="Arial"/>
          <w:sz w:val="18"/>
          <w:szCs w:val="18"/>
          <w:lang w:val="es-CO"/>
        </w:rPr>
      </w:pPr>
      <w:r w:rsidRPr="00FD36B1">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 xml:space="preserve">Banco Mundial (2010). </w:t>
      </w:r>
      <w:r w:rsidRPr="006B59E8">
        <w:rPr>
          <w:rFonts w:ascii="Arial" w:hAnsi="Arial" w:cs="Arial"/>
          <w:i/>
          <w:sz w:val="18"/>
          <w:szCs w:val="18"/>
          <w:lang w:val="es-CO"/>
        </w:rPr>
        <w:t xml:space="preserve">Enterprise </w:t>
      </w:r>
      <w:proofErr w:type="spellStart"/>
      <w:r w:rsidRPr="006B59E8">
        <w:rPr>
          <w:rFonts w:ascii="Arial" w:hAnsi="Arial" w:cs="Arial"/>
          <w:i/>
          <w:sz w:val="18"/>
          <w:szCs w:val="18"/>
          <w:lang w:val="es-CO"/>
        </w:rPr>
        <w:t>Surveys</w:t>
      </w:r>
      <w:proofErr w:type="spellEnd"/>
      <w:r w:rsidRPr="006B59E8">
        <w:rPr>
          <w:rFonts w:ascii="Arial" w:hAnsi="Arial" w:cs="Arial"/>
          <w:sz w:val="18"/>
          <w:szCs w:val="18"/>
          <w:lang w:val="es-CO"/>
        </w:rPr>
        <w:t xml:space="preserve">. </w:t>
      </w:r>
    </w:p>
  </w:footnote>
  <w:footnote w:id="18">
    <w:p w14:paraId="3F45F468" w14:textId="77777777" w:rsidR="00421C6B" w:rsidRPr="006B59E8" w:rsidRDefault="00421C6B" w:rsidP="00421C6B">
      <w:pPr>
        <w:pStyle w:val="FootnoteText"/>
        <w:spacing w:after="0"/>
        <w:ind w:left="274" w:hanging="274"/>
        <w:rPr>
          <w:rFonts w:ascii="Arial" w:hAnsi="Arial" w:cs="Arial"/>
          <w:sz w:val="18"/>
          <w:szCs w:val="18"/>
          <w:lang w:val="es-CO"/>
        </w:rPr>
      </w:pPr>
      <w:r w:rsidRPr="006300ED">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 xml:space="preserve">Evolución del Financiamiento a las Empresas durante el Trimestre Octubre – </w:t>
      </w:r>
      <w:proofErr w:type="gramStart"/>
      <w:r w:rsidRPr="006B59E8">
        <w:rPr>
          <w:rFonts w:ascii="Arial" w:hAnsi="Arial" w:cs="Arial"/>
          <w:sz w:val="18"/>
          <w:szCs w:val="18"/>
          <w:lang w:val="es-CO"/>
        </w:rPr>
        <w:t>Diciembre</w:t>
      </w:r>
      <w:proofErr w:type="gramEnd"/>
      <w:r w:rsidRPr="006B59E8">
        <w:rPr>
          <w:rFonts w:ascii="Arial" w:hAnsi="Arial" w:cs="Arial"/>
          <w:sz w:val="18"/>
          <w:szCs w:val="18"/>
          <w:lang w:val="es-CO"/>
        </w:rPr>
        <w:t xml:space="preserve"> de 2009, Banco de México (febrero 2010). </w:t>
      </w:r>
    </w:p>
  </w:footnote>
  <w:footnote w:id="19">
    <w:p w14:paraId="0EDE506C" w14:textId="77777777" w:rsidR="006B59E8" w:rsidRPr="006B59E8" w:rsidRDefault="006B59E8" w:rsidP="006B59E8">
      <w:pPr>
        <w:pStyle w:val="FootnoteText"/>
        <w:spacing w:after="0"/>
        <w:ind w:left="274" w:hanging="274"/>
        <w:rPr>
          <w:rFonts w:ascii="Arial" w:hAnsi="Arial" w:cs="Arial"/>
          <w:sz w:val="18"/>
          <w:szCs w:val="18"/>
          <w:lang w:val="es-CO"/>
        </w:rPr>
      </w:pPr>
      <w:r w:rsidRPr="00CA095E">
        <w:rPr>
          <w:rStyle w:val="FootnoteReference"/>
          <w:rFonts w:ascii="Arial" w:hAnsi="Arial" w:cs="Arial"/>
          <w:sz w:val="18"/>
          <w:szCs w:val="18"/>
        </w:rPr>
        <w:footnoteRef/>
      </w:r>
      <w:r w:rsidRPr="006B59E8">
        <w:rPr>
          <w:rFonts w:ascii="Arial" w:hAnsi="Arial" w:cs="Arial"/>
          <w:sz w:val="18"/>
          <w:szCs w:val="18"/>
          <w:lang w:val="es-CO"/>
        </w:rPr>
        <w:tab/>
        <w:t>NAFIN, BANCOMEXT, Sociedad Hipotecaria Federal, Financiera Nacional de Desarrollo Agropecuario, Rural, Forestal y Pesquero (FND), FIRA y BANOBRAS.</w:t>
      </w:r>
    </w:p>
  </w:footnote>
  <w:footnote w:id="20">
    <w:p w14:paraId="01C00692" w14:textId="77777777" w:rsidR="006B59E8" w:rsidRPr="00AB31DB" w:rsidRDefault="006B59E8" w:rsidP="006B59E8">
      <w:pPr>
        <w:pStyle w:val="FootnoteText"/>
        <w:spacing w:after="0"/>
        <w:ind w:left="274" w:hanging="274"/>
        <w:rPr>
          <w:rFonts w:ascii="Arial" w:hAnsi="Arial" w:cs="Arial"/>
          <w:lang w:val="es-CO"/>
        </w:rPr>
      </w:pPr>
      <w:r w:rsidRPr="00AB31DB">
        <w:rPr>
          <w:rStyle w:val="FootnoteReference"/>
          <w:rFonts w:ascii="Arial" w:hAnsi="Arial" w:cs="Arial"/>
          <w:sz w:val="18"/>
          <w:szCs w:val="18"/>
        </w:rPr>
        <w:footnoteRef/>
      </w:r>
      <w:r w:rsidRPr="006B59E8">
        <w:rPr>
          <w:rFonts w:ascii="Arial" w:hAnsi="Arial" w:cs="Arial"/>
          <w:sz w:val="18"/>
          <w:szCs w:val="18"/>
          <w:lang w:val="es-CO"/>
        </w:rPr>
        <w:t xml:space="preserve"> </w:t>
      </w:r>
      <w:r w:rsidRPr="006B59E8">
        <w:rPr>
          <w:rFonts w:ascii="Arial" w:hAnsi="Arial" w:cs="Arial"/>
          <w:sz w:val="18"/>
          <w:szCs w:val="18"/>
          <w:lang w:val="es-CO"/>
        </w:rPr>
        <w:tab/>
        <w:t>El programa impulsado por el gobierno se dirige a un mercado diferente al de la presente intervención, principalmente al focalizarse en empresas y créditos de menor tamaño (microcréditos).</w:t>
      </w:r>
    </w:p>
  </w:footnote>
  <w:footnote w:id="21">
    <w:p w14:paraId="4B077E0C" w14:textId="77777777" w:rsidR="00C84670" w:rsidRPr="00C84670" w:rsidRDefault="00C84670" w:rsidP="00C84670">
      <w:pPr>
        <w:pStyle w:val="FootnoteText"/>
        <w:spacing w:after="0"/>
        <w:ind w:left="274" w:hanging="274"/>
        <w:rPr>
          <w:lang w:val="es-CO"/>
        </w:rPr>
      </w:pPr>
      <w:r w:rsidRPr="00AE6319">
        <w:rPr>
          <w:rFonts w:ascii="Arial" w:hAnsi="Arial" w:cs="Arial"/>
          <w:sz w:val="18"/>
          <w:szCs w:val="18"/>
          <w:vertAlign w:val="superscript"/>
        </w:rPr>
        <w:footnoteRef/>
      </w:r>
      <w:r w:rsidRPr="00C84670">
        <w:rPr>
          <w:rFonts w:ascii="Arial" w:hAnsi="Arial" w:cs="Arial"/>
          <w:sz w:val="18"/>
          <w:szCs w:val="18"/>
          <w:lang w:val="es-CO"/>
        </w:rPr>
        <w:t xml:space="preserve"> </w:t>
      </w:r>
      <w:r w:rsidRPr="00C84670">
        <w:rPr>
          <w:rFonts w:ascii="Arial" w:hAnsi="Arial" w:cs="Arial"/>
          <w:sz w:val="18"/>
          <w:szCs w:val="18"/>
          <w:lang w:val="es-CO"/>
        </w:rPr>
        <w:tab/>
        <w:t>El sector agroindustrial comprende actividades relacionadas a la transformación, agregación de valor y comercialización de productos originados en los sectores primarios, tales como agropecuario, forestal y pesquero.</w:t>
      </w:r>
    </w:p>
  </w:footnote>
  <w:footnote w:id="22">
    <w:p w14:paraId="797B81A0" w14:textId="77777777" w:rsidR="00C84670" w:rsidRPr="00C84670" w:rsidRDefault="00C84670" w:rsidP="00C84670">
      <w:pPr>
        <w:pStyle w:val="FootnoteText"/>
        <w:spacing w:after="0"/>
        <w:ind w:left="274" w:hanging="274"/>
        <w:rPr>
          <w:rFonts w:ascii="Arial" w:hAnsi="Arial" w:cs="Arial"/>
          <w:sz w:val="18"/>
          <w:szCs w:val="18"/>
          <w:lang w:val="es-CO"/>
        </w:rPr>
      </w:pPr>
      <w:r w:rsidRPr="00E5260B">
        <w:rPr>
          <w:rFonts w:ascii="Arial" w:hAnsi="Arial" w:cs="Arial"/>
          <w:sz w:val="18"/>
          <w:szCs w:val="18"/>
          <w:vertAlign w:val="superscript"/>
        </w:rPr>
        <w:footnoteRef/>
      </w:r>
      <w:r w:rsidRPr="00C84670">
        <w:rPr>
          <w:rFonts w:ascii="Arial" w:hAnsi="Arial" w:cs="Arial"/>
          <w:sz w:val="18"/>
          <w:szCs w:val="18"/>
          <w:vertAlign w:val="superscript"/>
          <w:lang w:val="es-CO"/>
        </w:rPr>
        <w:tab/>
      </w:r>
      <w:r w:rsidRPr="00C84670">
        <w:rPr>
          <w:rFonts w:ascii="Arial" w:hAnsi="Arial" w:cs="Arial"/>
          <w:sz w:val="18"/>
          <w:szCs w:val="18"/>
          <w:lang w:val="es-CO"/>
        </w:rPr>
        <w:t>INEGI.</w:t>
      </w:r>
      <w:r w:rsidRPr="00C84670">
        <w:rPr>
          <w:rFonts w:ascii="Arial" w:hAnsi="Arial"/>
          <w:sz w:val="18"/>
          <w:lang w:val="es-CO"/>
        </w:rPr>
        <w:t xml:space="preserve"> </w:t>
      </w:r>
      <w:r w:rsidRPr="00C84670">
        <w:rPr>
          <w:rFonts w:ascii="Arial" w:hAnsi="Arial" w:cs="Arial"/>
          <w:sz w:val="18"/>
          <w:szCs w:val="18"/>
          <w:lang w:val="es-CO"/>
        </w:rPr>
        <w:t xml:space="preserve">Para fines comparativos, en 2014, el sector agropecuario de América Latina y el Caribe llegó a representar el 6% del PIB. </w:t>
      </w:r>
      <w:r>
        <w:rPr>
          <w:rFonts w:ascii="Arial" w:hAnsi="Arial" w:cs="Arial"/>
          <w:sz w:val="18"/>
          <w:szCs w:val="18"/>
          <w:lang w:val="es-AR"/>
        </w:rPr>
        <w:t xml:space="preserve">FAO, </w:t>
      </w:r>
      <w:r w:rsidRPr="00C84670">
        <w:rPr>
          <w:rFonts w:ascii="Arial" w:hAnsi="Arial" w:cs="Arial"/>
          <w:sz w:val="18"/>
          <w:szCs w:val="18"/>
          <w:lang w:val="es-CO"/>
        </w:rPr>
        <w:t>2015.</w:t>
      </w:r>
    </w:p>
  </w:footnote>
  <w:footnote w:id="23">
    <w:p w14:paraId="1228CD37" w14:textId="77777777" w:rsidR="00C84670" w:rsidRPr="00C84670" w:rsidRDefault="00C84670" w:rsidP="00C84670">
      <w:pPr>
        <w:pStyle w:val="FootnoteText"/>
        <w:spacing w:after="0"/>
        <w:ind w:left="274" w:hanging="274"/>
        <w:rPr>
          <w:rFonts w:ascii="Arial" w:hAnsi="Arial" w:cs="Arial"/>
          <w:sz w:val="18"/>
          <w:szCs w:val="18"/>
          <w:lang w:val="es-CO"/>
        </w:rPr>
      </w:pPr>
      <w:r w:rsidRPr="002401C3">
        <w:rPr>
          <w:rStyle w:val="FootnoteReference"/>
          <w:rFonts w:ascii="Arial" w:hAnsi="Arial" w:cs="Arial"/>
          <w:sz w:val="18"/>
          <w:szCs w:val="18"/>
        </w:rPr>
        <w:footnoteRef/>
      </w:r>
      <w:r w:rsidRPr="00C84670">
        <w:rPr>
          <w:rFonts w:ascii="Arial" w:hAnsi="Arial" w:cs="Arial"/>
          <w:sz w:val="18"/>
          <w:szCs w:val="18"/>
          <w:lang w:val="es-CO"/>
        </w:rPr>
        <w:t xml:space="preserve"> </w:t>
      </w:r>
      <w:r w:rsidRPr="00C84670">
        <w:rPr>
          <w:rFonts w:ascii="Arial" w:hAnsi="Arial" w:cs="Arial"/>
          <w:sz w:val="18"/>
          <w:szCs w:val="18"/>
          <w:lang w:val="es-CO"/>
        </w:rPr>
        <w:tab/>
        <w:t>INEGI.</w:t>
      </w:r>
    </w:p>
  </w:footnote>
  <w:footnote w:id="24">
    <w:p w14:paraId="425574A6" w14:textId="77777777" w:rsidR="00C84670" w:rsidRPr="00C84670" w:rsidRDefault="00C84670" w:rsidP="00C84670">
      <w:pPr>
        <w:pStyle w:val="FootnoteText"/>
        <w:spacing w:after="0"/>
        <w:ind w:left="274" w:hanging="274"/>
        <w:rPr>
          <w:rFonts w:ascii="Arial" w:hAnsi="Arial" w:cs="Arial"/>
          <w:sz w:val="18"/>
          <w:szCs w:val="18"/>
          <w:vertAlign w:val="superscript"/>
          <w:lang w:val="es-CO"/>
        </w:rPr>
      </w:pPr>
      <w:r w:rsidRPr="002401C3">
        <w:rPr>
          <w:rFonts w:ascii="Arial" w:hAnsi="Arial" w:cs="Arial"/>
          <w:sz w:val="18"/>
          <w:szCs w:val="18"/>
          <w:vertAlign w:val="superscript"/>
        </w:rPr>
        <w:footnoteRef/>
      </w:r>
      <w:r w:rsidRPr="00C84670">
        <w:rPr>
          <w:rFonts w:ascii="Arial" w:hAnsi="Arial" w:cs="Arial"/>
          <w:sz w:val="18"/>
          <w:szCs w:val="18"/>
          <w:vertAlign w:val="superscript"/>
          <w:lang w:val="es-CO"/>
        </w:rPr>
        <w:t xml:space="preserve"> </w:t>
      </w:r>
      <w:r w:rsidRPr="00C84670">
        <w:rPr>
          <w:rFonts w:ascii="Arial" w:hAnsi="Arial" w:cs="Arial"/>
          <w:sz w:val="18"/>
          <w:szCs w:val="18"/>
          <w:vertAlign w:val="superscript"/>
          <w:lang w:val="es-CO"/>
        </w:rPr>
        <w:tab/>
      </w:r>
      <w:r w:rsidRPr="00C84670">
        <w:rPr>
          <w:rFonts w:ascii="Arial" w:hAnsi="Arial" w:cs="Arial"/>
          <w:sz w:val="18"/>
          <w:szCs w:val="18"/>
          <w:lang w:val="es-CO"/>
        </w:rPr>
        <w:t>INEGI, considerando subsectores alimentarios y bebidas y tabaco.</w:t>
      </w:r>
    </w:p>
  </w:footnote>
  <w:footnote w:id="25">
    <w:p w14:paraId="6368CA96" w14:textId="77777777" w:rsidR="00C84670" w:rsidRPr="00C84670" w:rsidRDefault="00C84670" w:rsidP="00C84670">
      <w:pPr>
        <w:pStyle w:val="FootnoteText"/>
        <w:spacing w:after="0"/>
        <w:ind w:left="274" w:hanging="274"/>
        <w:rPr>
          <w:lang w:val="es-CO"/>
        </w:rPr>
      </w:pPr>
      <w:r w:rsidRPr="00C5767E">
        <w:rPr>
          <w:rStyle w:val="FootnoteReference"/>
          <w:rFonts w:ascii="Arial" w:hAnsi="Arial" w:cs="Arial"/>
          <w:sz w:val="18"/>
          <w:szCs w:val="18"/>
        </w:rPr>
        <w:footnoteRef/>
      </w:r>
      <w:r w:rsidRPr="00C84670">
        <w:rPr>
          <w:rFonts w:ascii="Arial" w:hAnsi="Arial" w:cs="Arial"/>
          <w:sz w:val="18"/>
          <w:szCs w:val="18"/>
          <w:lang w:val="es-CO"/>
        </w:rPr>
        <w:t xml:space="preserve">  </w:t>
      </w:r>
      <w:r w:rsidRPr="00C84670">
        <w:rPr>
          <w:rFonts w:ascii="Arial" w:hAnsi="Arial" w:cs="Arial"/>
          <w:sz w:val="18"/>
          <w:szCs w:val="18"/>
          <w:lang w:val="es-CO"/>
        </w:rPr>
        <w:tab/>
        <w:t>In</w:t>
      </w:r>
      <w:r w:rsidRPr="00C5767E">
        <w:rPr>
          <w:rFonts w:ascii="Arial" w:hAnsi="Arial" w:cs="Arial"/>
          <w:sz w:val="18"/>
          <w:szCs w:val="18"/>
          <w:lang w:val="es-MX"/>
        </w:rPr>
        <w:t>formación del censo económico de 2014</w:t>
      </w:r>
      <w:r>
        <w:rPr>
          <w:rFonts w:ascii="Arial" w:hAnsi="Arial" w:cs="Arial"/>
          <w:sz w:val="18"/>
          <w:szCs w:val="18"/>
          <w:lang w:val="es-MX"/>
        </w:rPr>
        <w:t>.</w:t>
      </w:r>
    </w:p>
  </w:footnote>
  <w:footnote w:id="26">
    <w:p w14:paraId="4630C4DE" w14:textId="77777777" w:rsidR="00C84670" w:rsidRPr="00EE1652" w:rsidRDefault="00C84670" w:rsidP="00C84670">
      <w:pPr>
        <w:pStyle w:val="FootnoteText"/>
        <w:spacing w:after="0"/>
        <w:ind w:left="274" w:hanging="274"/>
        <w:rPr>
          <w:rFonts w:ascii="Arial" w:hAnsi="Arial" w:cs="Arial"/>
          <w:sz w:val="18"/>
          <w:szCs w:val="18"/>
          <w:lang w:val="pt-BR"/>
        </w:rPr>
      </w:pPr>
      <w:r w:rsidRPr="00C5767E">
        <w:rPr>
          <w:rStyle w:val="FootnoteReference"/>
          <w:rFonts w:ascii="Arial" w:hAnsi="Arial" w:cs="Arial"/>
          <w:sz w:val="18"/>
          <w:szCs w:val="18"/>
        </w:rPr>
        <w:footnoteRef/>
      </w:r>
      <w:r w:rsidRPr="00D962ED">
        <w:rPr>
          <w:rFonts w:ascii="Arial" w:hAnsi="Arial" w:cs="Arial"/>
          <w:sz w:val="18"/>
          <w:szCs w:val="18"/>
          <w:lang w:val="pt-BR"/>
        </w:rPr>
        <w:t xml:space="preserve"> </w:t>
      </w:r>
      <w:r w:rsidRPr="00D962ED">
        <w:rPr>
          <w:rFonts w:ascii="Arial" w:hAnsi="Arial" w:cs="Arial"/>
          <w:sz w:val="18"/>
          <w:szCs w:val="18"/>
          <w:lang w:val="pt-BR"/>
        </w:rPr>
        <w:tab/>
        <w:t>FIRA.</w:t>
      </w:r>
      <w:r>
        <w:rPr>
          <w:rFonts w:ascii="Arial" w:hAnsi="Arial" w:cs="Arial"/>
          <w:sz w:val="18"/>
          <w:szCs w:val="18"/>
          <w:lang w:val="pt-BR"/>
        </w:rPr>
        <w:t xml:space="preserve"> </w:t>
      </w:r>
    </w:p>
  </w:footnote>
  <w:footnote w:id="27">
    <w:p w14:paraId="57FD5376" w14:textId="77777777" w:rsidR="00C84670" w:rsidRPr="00D962ED" w:rsidRDefault="00C84670" w:rsidP="00C84670">
      <w:pPr>
        <w:pStyle w:val="FootnoteText"/>
        <w:spacing w:after="0"/>
        <w:ind w:left="274" w:hanging="274"/>
        <w:rPr>
          <w:lang w:val="pt-BR"/>
        </w:rPr>
      </w:pPr>
      <w:r w:rsidRPr="00CA095E">
        <w:rPr>
          <w:rStyle w:val="FootnoteReference"/>
          <w:rFonts w:ascii="Arial" w:hAnsi="Arial" w:cs="Arial"/>
          <w:sz w:val="18"/>
          <w:szCs w:val="18"/>
        </w:rPr>
        <w:footnoteRef/>
      </w:r>
      <w:r w:rsidRPr="00D962ED">
        <w:rPr>
          <w:rFonts w:ascii="Arial" w:hAnsi="Arial" w:cs="Arial"/>
          <w:sz w:val="18"/>
          <w:szCs w:val="18"/>
          <w:lang w:val="pt-BR"/>
        </w:rPr>
        <w:t xml:space="preserve"> </w:t>
      </w:r>
      <w:r w:rsidRPr="00D962ED">
        <w:rPr>
          <w:rFonts w:ascii="Arial" w:hAnsi="Arial" w:cs="Arial"/>
          <w:sz w:val="18"/>
          <w:szCs w:val="18"/>
          <w:lang w:val="pt-BR"/>
        </w:rPr>
        <w:tab/>
      </w:r>
      <w:hyperlink r:id="rId6" w:history="1">
        <w:r w:rsidRPr="00D962ED">
          <w:rPr>
            <w:rStyle w:val="Hyperlink"/>
            <w:rFonts w:ascii="Arial" w:hAnsi="Arial" w:cs="Arial"/>
            <w:sz w:val="18"/>
            <w:szCs w:val="18"/>
            <w:lang w:val="pt-BR"/>
          </w:rPr>
          <w:t>http://www.fao.org/2019-ncov/q-and-a/es/</w:t>
        </w:r>
      </w:hyperlink>
      <w:r w:rsidRPr="00D962ED">
        <w:rPr>
          <w:rFonts w:ascii="Arial" w:hAnsi="Arial" w:cs="Arial"/>
          <w:sz w:val="18"/>
          <w:szCs w:val="18"/>
          <w:lang w:val="pt-BR"/>
        </w:rPr>
        <w:t>.</w:t>
      </w:r>
    </w:p>
  </w:footnote>
  <w:footnote w:id="28">
    <w:p w14:paraId="2C77B567" w14:textId="77777777" w:rsidR="00C84670" w:rsidRPr="00C84670" w:rsidRDefault="00C84670" w:rsidP="00C84670">
      <w:pPr>
        <w:pStyle w:val="FootnoteText"/>
        <w:spacing w:after="0"/>
        <w:ind w:left="274" w:hanging="274"/>
        <w:rPr>
          <w:rFonts w:ascii="Arial" w:hAnsi="Arial" w:cs="Arial"/>
          <w:sz w:val="18"/>
          <w:szCs w:val="18"/>
          <w:lang w:val="es-CO"/>
        </w:rPr>
      </w:pPr>
      <w:r w:rsidRPr="00C5767E">
        <w:rPr>
          <w:rStyle w:val="FootnoteReference"/>
          <w:rFonts w:ascii="Arial" w:hAnsi="Arial" w:cs="Arial"/>
          <w:sz w:val="18"/>
          <w:szCs w:val="18"/>
        </w:rPr>
        <w:footnoteRef/>
      </w:r>
      <w:r w:rsidRPr="00C84670">
        <w:rPr>
          <w:rFonts w:ascii="Arial" w:hAnsi="Arial" w:cs="Arial"/>
          <w:sz w:val="18"/>
          <w:szCs w:val="18"/>
          <w:lang w:val="es-CO"/>
        </w:rPr>
        <w:t xml:space="preserve"> </w:t>
      </w:r>
      <w:r w:rsidRPr="00C84670">
        <w:rPr>
          <w:rFonts w:ascii="Arial" w:hAnsi="Arial" w:cs="Arial"/>
          <w:sz w:val="18"/>
          <w:szCs w:val="18"/>
          <w:lang w:val="es-CO"/>
        </w:rPr>
        <w:tab/>
        <w:t>FIRA es una institución con 65 años de experiencia</w:t>
      </w:r>
      <w:r w:rsidRPr="00AE0554">
        <w:rPr>
          <w:rFonts w:ascii="Arial" w:hAnsi="Arial" w:cs="Arial"/>
          <w:b/>
          <w:bCs/>
          <w:sz w:val="18"/>
          <w:szCs w:val="18"/>
          <w:lang w:val="es-ES"/>
        </w:rPr>
        <w:t xml:space="preserve"> </w:t>
      </w:r>
      <w:r w:rsidRPr="00AE0554">
        <w:rPr>
          <w:rFonts w:ascii="Arial" w:hAnsi="Arial" w:cs="Arial"/>
          <w:sz w:val="18"/>
          <w:szCs w:val="18"/>
          <w:lang w:val="es-ES"/>
        </w:rPr>
        <w:t xml:space="preserve">en el financiamiento de los </w:t>
      </w:r>
      <w:r w:rsidRPr="00AE0554">
        <w:rPr>
          <w:rFonts w:ascii="Arial" w:hAnsi="Arial" w:cs="Arial"/>
          <w:sz w:val="18"/>
          <w:szCs w:val="18"/>
          <w:lang w:val="es-MX"/>
        </w:rPr>
        <w:t>sectores agropecuario, forestal, pesquero y medio rural del país</w:t>
      </w:r>
      <w:r>
        <w:rPr>
          <w:rFonts w:ascii="Arial" w:hAnsi="Arial" w:cs="Arial"/>
          <w:sz w:val="18"/>
          <w:szCs w:val="18"/>
          <w:lang w:val="es-MX"/>
        </w:rPr>
        <w:t>. E</w:t>
      </w:r>
      <w:proofErr w:type="spellStart"/>
      <w:r w:rsidRPr="00C84670">
        <w:rPr>
          <w:rFonts w:ascii="Arial" w:hAnsi="Arial" w:cs="Arial"/>
          <w:sz w:val="18"/>
          <w:szCs w:val="18"/>
          <w:lang w:val="es-CO"/>
        </w:rPr>
        <w:t>sta</w:t>
      </w:r>
      <w:proofErr w:type="spellEnd"/>
      <w:r w:rsidRPr="00C84670">
        <w:rPr>
          <w:rFonts w:ascii="Arial" w:hAnsi="Arial" w:cs="Arial"/>
          <w:sz w:val="18"/>
          <w:szCs w:val="18"/>
          <w:lang w:val="es-CO"/>
        </w:rPr>
        <w:t xml:space="preserve"> integrado por cuatro fideicomisos, los cuales son entidades de la Administración Pública Federal: Fondo de Garantía y Fomento para la Agricultura, Ganadería y Avicultura (FONDO); Fondo Especial para Financiamientos Agropecuarios (FEFA); Fondo Especial de Asistencia Técnica y Garantía para Créditos Agropecuarios (FEGA); Fondo de Garantía y Fomento para las Actividades Pesqueras (FOPESCA). </w:t>
      </w:r>
      <w:r w:rsidRPr="00E13588">
        <w:rPr>
          <w:rFonts w:ascii="Arial" w:hAnsi="Arial" w:cs="Arial"/>
          <w:sz w:val="18"/>
          <w:szCs w:val="18"/>
          <w:lang w:val="es-ES"/>
        </w:rPr>
        <w:t>Cada uno de los fideicomisos que integran FIRA, es una entidad de la administración pública paraestatal al tiempo que son administrados por el Banco de México.</w:t>
      </w:r>
    </w:p>
  </w:footnote>
  <w:footnote w:id="29">
    <w:p w14:paraId="0776FA9A" w14:textId="77777777" w:rsidR="00C84670" w:rsidRPr="00C84670" w:rsidRDefault="00C84670" w:rsidP="00C84670">
      <w:pPr>
        <w:pStyle w:val="FootnoteText"/>
        <w:spacing w:after="0"/>
        <w:ind w:left="274" w:hanging="274"/>
        <w:rPr>
          <w:rFonts w:ascii="Arial" w:hAnsi="Arial" w:cs="Arial"/>
          <w:sz w:val="18"/>
          <w:szCs w:val="18"/>
          <w:lang w:val="es-CO"/>
        </w:rPr>
      </w:pPr>
      <w:r w:rsidRPr="00E13588">
        <w:rPr>
          <w:rStyle w:val="FootnoteReference"/>
          <w:rFonts w:ascii="Arial" w:hAnsi="Arial" w:cs="Arial"/>
          <w:sz w:val="18"/>
          <w:szCs w:val="18"/>
        </w:rPr>
        <w:footnoteRef/>
      </w:r>
      <w:r w:rsidRPr="00C84670">
        <w:rPr>
          <w:rFonts w:ascii="Arial" w:hAnsi="Arial" w:cs="Arial"/>
          <w:sz w:val="18"/>
          <w:szCs w:val="18"/>
          <w:lang w:val="es-CO"/>
        </w:rPr>
        <w:t xml:space="preserve"> </w:t>
      </w:r>
      <w:r w:rsidRPr="00C84670">
        <w:rPr>
          <w:rFonts w:ascii="Arial" w:hAnsi="Arial" w:cs="Arial"/>
          <w:sz w:val="18"/>
          <w:szCs w:val="18"/>
          <w:lang w:val="es-CO"/>
        </w:rPr>
        <w:tab/>
      </w:r>
      <w:hyperlink r:id="rId7" w:anchor="sectores" w:history="1">
        <w:r w:rsidRPr="00C84670">
          <w:rPr>
            <w:rStyle w:val="Hyperlink"/>
            <w:rFonts w:ascii="Arial" w:hAnsi="Arial" w:cs="Arial"/>
            <w:sz w:val="18"/>
            <w:szCs w:val="18"/>
            <w:lang w:val="es-CO"/>
          </w:rPr>
          <w:t>Condiciones de operación temporales para el financiamiento FIRA durante la contingencia por COVID-19</w:t>
        </w:r>
      </w:hyperlink>
      <w:r w:rsidRPr="00C84670">
        <w:rPr>
          <w:rFonts w:ascii="Arial" w:hAnsi="Arial" w:cs="Arial"/>
          <w:sz w:val="18"/>
          <w:szCs w:val="18"/>
          <w:lang w:val="es-CO"/>
        </w:rPr>
        <w:t>.</w:t>
      </w:r>
    </w:p>
  </w:footnote>
  <w:footnote w:id="30">
    <w:p w14:paraId="7478F5DC" w14:textId="5D8DD1C1" w:rsidR="006D33D3" w:rsidRPr="006A77B8" w:rsidRDefault="006D33D3" w:rsidP="00070441">
      <w:pPr>
        <w:pStyle w:val="FootnoteText"/>
        <w:spacing w:after="0"/>
        <w:rPr>
          <w:rFonts w:ascii="Arial" w:hAnsi="Arial" w:cs="Arial"/>
          <w:sz w:val="18"/>
          <w:szCs w:val="18"/>
          <w:lang w:val="es-ES"/>
        </w:rPr>
      </w:pPr>
      <w:r w:rsidRPr="0020266D">
        <w:rPr>
          <w:rStyle w:val="FootnoteReference"/>
          <w:rFonts w:ascii="Arial" w:hAnsi="Arial" w:cs="Arial"/>
          <w:sz w:val="18"/>
          <w:szCs w:val="18"/>
          <w:lang w:val="es-ES"/>
        </w:rPr>
        <w:footnoteRef/>
      </w:r>
      <w:r w:rsidRPr="0020266D">
        <w:rPr>
          <w:rFonts w:ascii="Arial" w:hAnsi="Arial" w:cs="Arial"/>
          <w:sz w:val="18"/>
          <w:szCs w:val="18"/>
          <w:lang w:val="es-ES"/>
        </w:rPr>
        <w:t xml:space="preserve"> </w:t>
      </w:r>
      <w:r>
        <w:rPr>
          <w:rFonts w:ascii="Arial" w:hAnsi="Arial" w:cs="Arial"/>
          <w:sz w:val="18"/>
          <w:szCs w:val="18"/>
          <w:lang w:val="es-ES"/>
        </w:rPr>
        <w:tab/>
      </w:r>
      <w:r w:rsidRPr="0020266D">
        <w:rPr>
          <w:rFonts w:ascii="Arial" w:hAnsi="Arial" w:cs="Arial"/>
          <w:sz w:val="18"/>
          <w:szCs w:val="18"/>
          <w:lang w:val="es-ES"/>
        </w:rPr>
        <w:t xml:space="preserve">Ver: </w:t>
      </w:r>
      <w:hyperlink r:id="rId8" w:history="1">
        <w:r w:rsidRPr="0020266D">
          <w:rPr>
            <w:rStyle w:val="Hyperlink"/>
            <w:rFonts w:ascii="Arial" w:hAnsi="Arial" w:cs="Arial"/>
            <w:sz w:val="18"/>
            <w:szCs w:val="18"/>
            <w:lang w:val="es-ES"/>
          </w:rPr>
          <w:t>Comunicado de CEPAL</w:t>
        </w:r>
      </w:hyperlink>
      <w:r w:rsidRPr="0020266D">
        <w:rPr>
          <w:rFonts w:ascii="Arial" w:hAnsi="Arial" w:cs="Arial"/>
          <w:sz w:val="18"/>
          <w:szCs w:val="18"/>
          <w:lang w:val="es-ES"/>
        </w:rPr>
        <w:t xml:space="preserve"> (19 de marzo, 2020)</w:t>
      </w:r>
      <w:r w:rsidR="00070441">
        <w:rPr>
          <w:rFonts w:ascii="Arial" w:hAnsi="Arial" w:cs="Arial"/>
          <w:sz w:val="18"/>
          <w:szCs w:val="18"/>
          <w:lang w:val="es-ES"/>
        </w:rPr>
        <w:t>.</w:t>
      </w:r>
    </w:p>
  </w:footnote>
  <w:footnote w:id="31">
    <w:p w14:paraId="5F7CDFDF" w14:textId="792AF3D6" w:rsidR="006D33D3" w:rsidRPr="006A77B8" w:rsidRDefault="006D33D3" w:rsidP="00070441">
      <w:pPr>
        <w:pStyle w:val="FootnoteText"/>
        <w:spacing w:after="0"/>
        <w:rPr>
          <w:rFonts w:ascii="Arial" w:hAnsi="Arial" w:cs="Arial"/>
          <w:sz w:val="18"/>
          <w:szCs w:val="18"/>
          <w:lang w:val="es-PE"/>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Podría entenderse como una desaparición temporal de los respectivos mercados, en los cuales los productores se encuentran de pronto sin una demanda para su producción.</w:t>
      </w:r>
    </w:p>
  </w:footnote>
  <w:footnote w:id="32">
    <w:p w14:paraId="54A55E07" w14:textId="7FD962D5" w:rsidR="006D33D3" w:rsidRPr="006A77B8" w:rsidRDefault="006D33D3" w:rsidP="00070441">
      <w:pPr>
        <w:pStyle w:val="FootnoteText"/>
        <w:spacing w:after="0"/>
        <w:rPr>
          <w:rFonts w:ascii="Arial" w:hAnsi="Arial" w:cs="Arial"/>
          <w:sz w:val="18"/>
          <w:szCs w:val="18"/>
          <w:lang w:val="es-PE"/>
        </w:rPr>
      </w:pPr>
      <w:r w:rsidRPr="006A77B8">
        <w:rPr>
          <w:rStyle w:val="FootnoteReference"/>
          <w:rFonts w:ascii="Arial" w:hAnsi="Arial" w:cs="Arial"/>
          <w:sz w:val="18"/>
          <w:szCs w:val="18"/>
          <w:lang w:val="es-PE"/>
        </w:rPr>
        <w:footnoteRef/>
      </w:r>
      <w:r w:rsidRPr="006A77B8">
        <w:rPr>
          <w:rFonts w:ascii="Arial" w:hAnsi="Arial" w:cs="Arial"/>
          <w:sz w:val="18"/>
          <w:szCs w:val="18"/>
          <w:lang w:val="es-PE"/>
        </w:rPr>
        <w:t xml:space="preserve"> </w:t>
      </w:r>
      <w:r>
        <w:rPr>
          <w:rFonts w:ascii="Arial" w:hAnsi="Arial" w:cs="Arial"/>
          <w:sz w:val="18"/>
          <w:szCs w:val="18"/>
          <w:lang w:val="es-PE"/>
        </w:rPr>
        <w:tab/>
      </w:r>
      <w:r w:rsidRPr="006A77B8">
        <w:rPr>
          <w:rFonts w:ascii="Arial" w:hAnsi="Arial" w:cs="Arial"/>
          <w:sz w:val="18"/>
          <w:szCs w:val="18"/>
          <w:lang w:val="es-PE"/>
        </w:rPr>
        <w:t>En el caso de beneficiarios en los eslabones intermedios de cadenas productivas, el efecto corresponde a la reducción de los ingresos de las empresas consumidoras de los bienes o servicios producidos.</w:t>
      </w:r>
    </w:p>
  </w:footnote>
  <w:footnote w:id="33">
    <w:p w14:paraId="67152196" w14:textId="34A863F4" w:rsidR="006D33D3" w:rsidRPr="006A77B8" w:rsidRDefault="006D33D3" w:rsidP="00070441">
      <w:pPr>
        <w:pStyle w:val="FootnoteText"/>
        <w:spacing w:after="0"/>
        <w:rPr>
          <w:rFonts w:ascii="Arial" w:hAnsi="Arial" w:cs="Arial"/>
          <w:sz w:val="18"/>
          <w:szCs w:val="18"/>
          <w:lang w:val="es-ES"/>
        </w:rPr>
      </w:pPr>
      <w:r w:rsidRPr="006A77B8">
        <w:rPr>
          <w:rStyle w:val="FootnoteReference"/>
          <w:rFonts w:ascii="Arial" w:hAnsi="Arial" w:cs="Arial"/>
          <w:sz w:val="18"/>
          <w:szCs w:val="18"/>
        </w:rPr>
        <w:footnoteRef/>
      </w:r>
      <w:r w:rsidRPr="006A77B8">
        <w:rPr>
          <w:rFonts w:ascii="Arial" w:hAnsi="Arial" w:cs="Arial"/>
          <w:sz w:val="18"/>
          <w:szCs w:val="18"/>
          <w:lang w:val="es-ES"/>
        </w:rPr>
        <w:t xml:space="preserve"> </w:t>
      </w:r>
      <w:r>
        <w:rPr>
          <w:rFonts w:ascii="Arial" w:hAnsi="Arial" w:cs="Arial"/>
          <w:sz w:val="18"/>
          <w:szCs w:val="18"/>
          <w:lang w:val="es-ES"/>
        </w:rPr>
        <w:tab/>
      </w:r>
      <w:r w:rsidRPr="006A77B8">
        <w:rPr>
          <w:rFonts w:ascii="Arial" w:hAnsi="Arial" w:cs="Arial"/>
          <w:sz w:val="18"/>
          <w:szCs w:val="18"/>
          <w:lang w:val="es-ES"/>
        </w:rPr>
        <w:t xml:space="preserve">Estos efectos también aplican a la demanda internacional de los bienes o servicios producidos (para los </w:t>
      </w:r>
      <w:r w:rsidRPr="0020266D">
        <w:rPr>
          <w:rFonts w:ascii="Arial" w:hAnsi="Arial" w:cs="Arial"/>
          <w:sz w:val="18"/>
          <w:szCs w:val="18"/>
          <w:lang w:val="es-ES"/>
        </w:rPr>
        <w:t>beneficiarios</w:t>
      </w:r>
      <w:r w:rsidRPr="006A77B8">
        <w:rPr>
          <w:rFonts w:ascii="Arial" w:hAnsi="Arial" w:cs="Arial"/>
          <w:sz w:val="18"/>
          <w:szCs w:val="18"/>
          <w:lang w:val="es-ES"/>
        </w:rPr>
        <w:t xml:space="preserve"> exportadores) dada la naturaleza global de la crisis.</w:t>
      </w:r>
    </w:p>
  </w:footnote>
  <w:footnote w:id="34">
    <w:p w14:paraId="30B658AD" w14:textId="21058666" w:rsidR="006D33D3" w:rsidRPr="00175AAF" w:rsidRDefault="006D33D3" w:rsidP="00175AAF">
      <w:pPr>
        <w:pStyle w:val="FootnoteText"/>
        <w:spacing w:after="0"/>
        <w:rPr>
          <w:rFonts w:ascii="Arial" w:hAnsi="Arial" w:cs="Arial"/>
          <w:sz w:val="18"/>
          <w:szCs w:val="18"/>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Para un análisis de equilibrio general de los efectos del COVID-19, revisar el trabajo en marcha de Bosca, et al (2019): </w:t>
      </w:r>
      <w:hyperlink r:id="rId9" w:history="1">
        <w:r w:rsidRPr="00175AAF">
          <w:rPr>
            <w:rStyle w:val="Hyperlink"/>
            <w:rFonts w:ascii="Arial" w:hAnsi="Arial" w:cs="Arial"/>
            <w:sz w:val="18"/>
            <w:szCs w:val="18"/>
            <w:lang w:val="es-ES_tradnl"/>
          </w:rPr>
          <w:t>Enlace.</w:t>
        </w:r>
      </w:hyperlink>
    </w:p>
  </w:footnote>
  <w:footnote w:id="35">
    <w:p w14:paraId="3969A5C3" w14:textId="6B37CC3F" w:rsidR="006D33D3" w:rsidRPr="00D268B8" w:rsidRDefault="006D33D3" w:rsidP="00D268B8">
      <w:pPr>
        <w:pStyle w:val="FootnoteText"/>
        <w:spacing w:after="0"/>
        <w:rPr>
          <w:rFonts w:ascii="Arial" w:hAnsi="Arial" w:cs="Arial"/>
          <w:sz w:val="18"/>
          <w:szCs w:val="18"/>
        </w:rPr>
      </w:pPr>
      <w:r w:rsidRPr="00D268B8">
        <w:rPr>
          <w:rStyle w:val="FootnoteReference"/>
          <w:rFonts w:ascii="Arial" w:hAnsi="Arial" w:cs="Arial"/>
          <w:sz w:val="18"/>
          <w:szCs w:val="18"/>
        </w:rPr>
        <w:footnoteRef/>
      </w:r>
      <w:r w:rsidRPr="00D268B8">
        <w:rPr>
          <w:rFonts w:ascii="Arial" w:hAnsi="Arial" w:cs="Arial"/>
          <w:sz w:val="18"/>
          <w:szCs w:val="18"/>
        </w:rPr>
        <w:t xml:space="preserve"> </w:t>
      </w:r>
      <w:r>
        <w:rPr>
          <w:rFonts w:ascii="Arial" w:hAnsi="Arial" w:cs="Arial"/>
          <w:sz w:val="18"/>
          <w:szCs w:val="18"/>
        </w:rPr>
        <w:tab/>
      </w:r>
      <w:r w:rsidRPr="00D268B8">
        <w:rPr>
          <w:rFonts w:ascii="Arial" w:hAnsi="Arial" w:cs="Arial"/>
          <w:sz w:val="18"/>
          <w:szCs w:val="18"/>
        </w:rPr>
        <w:t>Oxford Economics, Country Economic Forecast, Mexico, Abril, 2020.</w:t>
      </w:r>
    </w:p>
  </w:footnote>
  <w:footnote w:id="36">
    <w:p w14:paraId="5B883870" w14:textId="2C606333" w:rsidR="006D33D3" w:rsidRPr="00175AAF" w:rsidRDefault="006D33D3" w:rsidP="00175AAF">
      <w:pPr>
        <w:pStyle w:val="FootnoteText"/>
        <w:spacing w:after="0"/>
        <w:rPr>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Dentro del marco de los efectos económicos y la escala de la problemática, hay que considerar el concepto de intervención como uno que ubica a la presente operación dentro de un amplio programa de políticas económicas que incluye el apoyo de otros organismos multilaterales y del gobierno de </w:t>
      </w:r>
      <w:r>
        <w:rPr>
          <w:rFonts w:ascii="Arial" w:hAnsi="Arial" w:cs="Arial"/>
          <w:sz w:val="18"/>
          <w:szCs w:val="18"/>
          <w:lang w:val="es-ES_tradnl"/>
        </w:rPr>
        <w:t>México</w:t>
      </w:r>
      <w:r w:rsidRPr="00175AAF">
        <w:rPr>
          <w:rFonts w:ascii="Arial" w:hAnsi="Arial" w:cs="Arial"/>
          <w:sz w:val="18"/>
          <w:szCs w:val="18"/>
          <w:lang w:val="es-ES_tradnl"/>
        </w:rPr>
        <w:t xml:space="preserve"> en sí.</w:t>
      </w:r>
    </w:p>
  </w:footnote>
  <w:footnote w:id="37">
    <w:p w14:paraId="0ADDED72" w14:textId="77777777" w:rsidR="006D33D3" w:rsidRPr="00175AAF" w:rsidRDefault="006D33D3" w:rsidP="00175AAF">
      <w:pPr>
        <w:pStyle w:val="FootnoteText"/>
        <w:spacing w:after="0"/>
        <w:rPr>
          <w:rFonts w:ascii="Arial" w:hAnsi="Arial" w:cs="Arial"/>
          <w:sz w:val="18"/>
          <w:szCs w:val="18"/>
          <w:lang w:val="es-ES_tradnl"/>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Existe evidencia cuantitativa y cualitativa de estos efectos durante la crisis global de 2008. Por ejemplo, para países miembros de la Organización para la Cooperación y el Desarrollo Económico (OCDE), ver: “</w:t>
      </w:r>
      <w:r w:rsidRPr="00175AAF">
        <w:rPr>
          <w:rFonts w:ascii="Arial" w:hAnsi="Arial" w:cs="Arial"/>
          <w:i/>
          <w:iCs/>
          <w:sz w:val="18"/>
          <w:szCs w:val="18"/>
          <w:lang w:val="es-ES_tradnl"/>
        </w:rPr>
        <w:t xml:space="preserve">The </w:t>
      </w:r>
      <w:proofErr w:type="spellStart"/>
      <w:r w:rsidRPr="00175AAF">
        <w:rPr>
          <w:rFonts w:ascii="Arial" w:hAnsi="Arial" w:cs="Arial"/>
          <w:i/>
          <w:iCs/>
          <w:sz w:val="18"/>
          <w:szCs w:val="18"/>
          <w:lang w:val="es-ES_tradnl"/>
        </w:rPr>
        <w:t>Impact</w:t>
      </w:r>
      <w:proofErr w:type="spellEnd"/>
      <w:r w:rsidRPr="00175AAF">
        <w:rPr>
          <w:rFonts w:ascii="Arial" w:hAnsi="Arial" w:cs="Arial"/>
          <w:i/>
          <w:iCs/>
          <w:sz w:val="18"/>
          <w:szCs w:val="18"/>
          <w:lang w:val="es-ES_tradnl"/>
        </w:rPr>
        <w:t xml:space="preserve"> of the Global Crisis </w:t>
      </w:r>
      <w:proofErr w:type="spellStart"/>
      <w:r w:rsidRPr="00175AAF">
        <w:rPr>
          <w:rFonts w:ascii="Arial" w:hAnsi="Arial" w:cs="Arial"/>
          <w:i/>
          <w:iCs/>
          <w:sz w:val="18"/>
          <w:szCs w:val="18"/>
          <w:lang w:val="es-ES_tradnl"/>
        </w:rPr>
        <w:t>on</w:t>
      </w:r>
      <w:proofErr w:type="spellEnd"/>
      <w:r w:rsidRPr="00175AAF">
        <w:rPr>
          <w:rFonts w:ascii="Arial" w:hAnsi="Arial" w:cs="Arial"/>
          <w:i/>
          <w:iCs/>
          <w:sz w:val="18"/>
          <w:szCs w:val="18"/>
          <w:lang w:val="es-ES_tradnl"/>
        </w:rPr>
        <w:t xml:space="preserve"> SME and </w:t>
      </w:r>
      <w:proofErr w:type="spellStart"/>
      <w:r w:rsidRPr="00175AAF">
        <w:rPr>
          <w:rFonts w:ascii="Arial" w:hAnsi="Arial" w:cs="Arial"/>
          <w:i/>
          <w:iCs/>
          <w:sz w:val="18"/>
          <w:szCs w:val="18"/>
          <w:lang w:val="es-ES_tradnl"/>
        </w:rPr>
        <w:t>Entrepreneurship</w:t>
      </w:r>
      <w:proofErr w:type="spellEnd"/>
      <w:r w:rsidRPr="00175AAF">
        <w:rPr>
          <w:rFonts w:ascii="Arial" w:hAnsi="Arial" w:cs="Arial"/>
          <w:i/>
          <w:iCs/>
          <w:sz w:val="18"/>
          <w:szCs w:val="18"/>
          <w:lang w:val="es-ES_tradnl"/>
        </w:rPr>
        <w:t xml:space="preserve"> </w:t>
      </w:r>
      <w:proofErr w:type="spellStart"/>
      <w:r w:rsidRPr="00175AAF">
        <w:rPr>
          <w:rFonts w:ascii="Arial" w:hAnsi="Arial" w:cs="Arial"/>
          <w:i/>
          <w:iCs/>
          <w:sz w:val="18"/>
          <w:szCs w:val="18"/>
          <w:lang w:val="es-ES_tradnl"/>
        </w:rPr>
        <w:t>Financing</w:t>
      </w:r>
      <w:proofErr w:type="spellEnd"/>
      <w:r w:rsidRPr="00175AAF">
        <w:rPr>
          <w:rFonts w:ascii="Arial" w:hAnsi="Arial" w:cs="Arial"/>
          <w:i/>
          <w:iCs/>
          <w:sz w:val="18"/>
          <w:szCs w:val="18"/>
          <w:lang w:val="es-ES_tradnl"/>
        </w:rPr>
        <w:t xml:space="preserve"> and </w:t>
      </w:r>
      <w:proofErr w:type="spellStart"/>
      <w:r w:rsidRPr="00175AAF">
        <w:rPr>
          <w:rFonts w:ascii="Arial" w:hAnsi="Arial" w:cs="Arial"/>
          <w:i/>
          <w:iCs/>
          <w:sz w:val="18"/>
          <w:szCs w:val="18"/>
          <w:lang w:val="es-ES_tradnl"/>
        </w:rPr>
        <w:t>Policy</w:t>
      </w:r>
      <w:proofErr w:type="spellEnd"/>
      <w:r w:rsidRPr="00175AAF">
        <w:rPr>
          <w:rFonts w:ascii="Arial" w:hAnsi="Arial" w:cs="Arial"/>
          <w:i/>
          <w:iCs/>
          <w:sz w:val="18"/>
          <w:szCs w:val="18"/>
          <w:lang w:val="es-ES_tradnl"/>
        </w:rPr>
        <w:t xml:space="preserve"> Responses</w:t>
      </w:r>
      <w:r w:rsidRPr="00175AAF">
        <w:rPr>
          <w:rFonts w:ascii="Arial" w:hAnsi="Arial" w:cs="Arial"/>
          <w:sz w:val="18"/>
          <w:szCs w:val="18"/>
          <w:lang w:val="es-ES_tradnl"/>
        </w:rPr>
        <w:t>”, OCDE, 2009.</w:t>
      </w:r>
    </w:p>
  </w:footnote>
  <w:footnote w:id="38">
    <w:p w14:paraId="7EEAEFBF" w14:textId="2B82C81E" w:rsidR="006D33D3" w:rsidRPr="00BD3F39" w:rsidRDefault="006D33D3" w:rsidP="00175AAF">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t xml:space="preserve">El principal factor de la reducción de la oferta es el aumento de la percepción de riesgo de crédito. Por ejemplo, existe evidencia de como durante épocas de crisis económica el número de solicitudes de préstamo rechazos a </w:t>
      </w:r>
      <w:r w:rsidR="005A0251" w:rsidRPr="005A0251">
        <w:rPr>
          <w:rFonts w:ascii="Arial" w:hAnsi="Arial" w:cs="Arial"/>
          <w:sz w:val="18"/>
          <w:szCs w:val="18"/>
          <w:lang w:val="es-MX"/>
        </w:rPr>
        <w:t>MiPyME</w:t>
      </w:r>
      <w:r w:rsidRPr="00175AAF">
        <w:rPr>
          <w:rFonts w:ascii="Arial" w:hAnsi="Arial" w:cs="Arial"/>
          <w:sz w:val="18"/>
          <w:szCs w:val="18"/>
          <w:lang w:val="es-ES_tradnl"/>
        </w:rPr>
        <w:t xml:space="preserve"> aumenta. </w:t>
      </w:r>
      <w:r w:rsidRPr="00BD3F39">
        <w:rPr>
          <w:rFonts w:ascii="Arial" w:hAnsi="Arial" w:cs="Arial"/>
          <w:sz w:val="18"/>
          <w:szCs w:val="18"/>
        </w:rPr>
        <w:t xml:space="preserve">Por </w:t>
      </w:r>
      <w:proofErr w:type="spellStart"/>
      <w:r w:rsidRPr="00BD3F39">
        <w:rPr>
          <w:rFonts w:ascii="Arial" w:hAnsi="Arial" w:cs="Arial"/>
          <w:sz w:val="18"/>
          <w:szCs w:val="18"/>
        </w:rPr>
        <w:t>ejemplo</w:t>
      </w:r>
      <w:proofErr w:type="spellEnd"/>
      <w:r w:rsidRPr="00BD3F39">
        <w:rPr>
          <w:rFonts w:ascii="Arial" w:hAnsi="Arial" w:cs="Arial"/>
          <w:sz w:val="18"/>
          <w:szCs w:val="18"/>
        </w:rPr>
        <w:t xml:space="preserve">, </w:t>
      </w:r>
      <w:proofErr w:type="spellStart"/>
      <w:r w:rsidRPr="00BD3F39">
        <w:rPr>
          <w:rFonts w:ascii="Arial" w:hAnsi="Arial" w:cs="Arial"/>
          <w:sz w:val="18"/>
          <w:szCs w:val="18"/>
        </w:rPr>
        <w:t>ver</w:t>
      </w:r>
      <w:proofErr w:type="spellEnd"/>
      <w:r w:rsidRPr="00BD3F39">
        <w:rPr>
          <w:rFonts w:ascii="Arial" w:hAnsi="Arial" w:cs="Arial"/>
          <w:sz w:val="18"/>
          <w:szCs w:val="18"/>
        </w:rPr>
        <w:t xml:space="preserve"> “</w:t>
      </w:r>
      <w:r w:rsidRPr="00BD3F39">
        <w:rPr>
          <w:rFonts w:ascii="Arial" w:hAnsi="Arial" w:cs="Arial"/>
          <w:i/>
          <w:iCs/>
          <w:sz w:val="18"/>
          <w:szCs w:val="18"/>
        </w:rPr>
        <w:t>The impact of the Financial Crisis on Bank Lending to SMEs in UK</w:t>
      </w:r>
      <w:r w:rsidRPr="00BD3F39">
        <w:rPr>
          <w:rFonts w:ascii="Arial" w:hAnsi="Arial" w:cs="Arial"/>
          <w:sz w:val="18"/>
          <w:szCs w:val="18"/>
        </w:rPr>
        <w:t>”, Department of Business, Innovation and Skills, 2012.</w:t>
      </w:r>
    </w:p>
  </w:footnote>
  <w:footnote w:id="39">
    <w:p w14:paraId="1862DB77" w14:textId="77777777" w:rsidR="006D33D3" w:rsidRPr="00BD3F39" w:rsidRDefault="006D33D3" w:rsidP="00175AAF">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BD3F39">
        <w:rPr>
          <w:rFonts w:ascii="Arial" w:hAnsi="Arial" w:cs="Arial"/>
          <w:sz w:val="18"/>
          <w:szCs w:val="18"/>
        </w:rPr>
        <w:t xml:space="preserve"> </w:t>
      </w:r>
      <w:r w:rsidRPr="00BD3F39">
        <w:rPr>
          <w:rFonts w:ascii="Arial" w:hAnsi="Arial" w:cs="Arial"/>
          <w:sz w:val="18"/>
          <w:szCs w:val="18"/>
        </w:rPr>
        <w:tab/>
        <w:t>“Small and Medium Size Enterprises, Credit Supply Shocks, and Economic Recovery in Europe”, FMI, 2014.</w:t>
      </w:r>
    </w:p>
  </w:footnote>
  <w:footnote w:id="40">
    <w:p w14:paraId="238A1BC1" w14:textId="6FFCF70D" w:rsidR="006D33D3" w:rsidRPr="00BD3F39" w:rsidRDefault="006D33D3" w:rsidP="00175AAF">
      <w:pPr>
        <w:pStyle w:val="FootnoteText"/>
        <w:spacing w:after="0"/>
        <w:rPr>
          <w:rFonts w:ascii="Arial" w:hAnsi="Arial" w:cs="Arial"/>
          <w:sz w:val="18"/>
          <w:szCs w:val="18"/>
        </w:rPr>
      </w:pPr>
      <w:r w:rsidRPr="00175AAF">
        <w:rPr>
          <w:rStyle w:val="FootnoteReference"/>
          <w:rFonts w:ascii="Arial" w:hAnsi="Arial" w:cs="Arial"/>
          <w:sz w:val="18"/>
          <w:szCs w:val="18"/>
          <w:lang w:val="es-ES_tradnl"/>
        </w:rPr>
        <w:footnoteRef/>
      </w:r>
      <w:r w:rsidRPr="00175AAF">
        <w:rPr>
          <w:rFonts w:ascii="Arial" w:hAnsi="Arial" w:cs="Arial"/>
          <w:sz w:val="18"/>
          <w:szCs w:val="18"/>
          <w:lang w:val="es-ES_tradnl"/>
        </w:rPr>
        <w:t xml:space="preserve"> </w:t>
      </w:r>
      <w:r w:rsidRPr="00175AAF">
        <w:rPr>
          <w:rFonts w:ascii="Arial" w:hAnsi="Arial" w:cs="Arial"/>
          <w:sz w:val="18"/>
          <w:szCs w:val="18"/>
          <w:lang w:val="es-ES_tradnl"/>
        </w:rPr>
        <w:tab/>
      </w:r>
      <w:r>
        <w:rPr>
          <w:rFonts w:ascii="Arial" w:hAnsi="Arial" w:cs="Arial"/>
          <w:sz w:val="18"/>
          <w:szCs w:val="18"/>
          <w:lang w:val="es-ES_tradnl"/>
        </w:rPr>
        <w:t>Un e</w:t>
      </w:r>
      <w:r w:rsidRPr="00175AAF">
        <w:rPr>
          <w:rFonts w:ascii="Arial" w:hAnsi="Arial" w:cs="Arial"/>
          <w:sz w:val="18"/>
          <w:szCs w:val="18"/>
          <w:lang w:val="es-ES_tradnl"/>
        </w:rPr>
        <w:t xml:space="preserve">studio realizado por el Fondo Monetario Internacional (FMI) en la zona euro encuentra que la oferta de crédito esta correlacionada con el tamaño de empresa, y que el crédito se redujo en mayor proporción en las </w:t>
      </w:r>
      <w:r w:rsidR="005A0251" w:rsidRPr="005A0251">
        <w:rPr>
          <w:rFonts w:ascii="Arial" w:hAnsi="Arial" w:cs="Arial"/>
          <w:sz w:val="18"/>
          <w:szCs w:val="18"/>
          <w:lang w:val="es-MX"/>
        </w:rPr>
        <w:t>MiPyME</w:t>
      </w:r>
      <w:r w:rsidRPr="00175AAF">
        <w:rPr>
          <w:rFonts w:ascii="Arial" w:hAnsi="Arial" w:cs="Arial"/>
          <w:sz w:val="18"/>
          <w:szCs w:val="18"/>
          <w:lang w:val="es-ES_tradnl"/>
        </w:rPr>
        <w:t xml:space="preserve">. </w:t>
      </w:r>
      <w:r w:rsidRPr="00BD3F39">
        <w:rPr>
          <w:rFonts w:ascii="Arial" w:hAnsi="Arial" w:cs="Arial"/>
          <w:sz w:val="18"/>
          <w:szCs w:val="18"/>
        </w:rPr>
        <w:t>“</w:t>
      </w:r>
      <w:r w:rsidRPr="00BD3F39">
        <w:rPr>
          <w:rFonts w:ascii="Arial" w:hAnsi="Arial" w:cs="Arial"/>
          <w:i/>
          <w:iCs/>
          <w:sz w:val="18"/>
          <w:szCs w:val="18"/>
        </w:rPr>
        <w:t xml:space="preserve">Access to Finance by SMEs in the Euro Area—What Helps or </w:t>
      </w:r>
      <w:proofErr w:type="gramStart"/>
      <w:r w:rsidRPr="00BD3F39">
        <w:rPr>
          <w:rFonts w:ascii="Arial" w:hAnsi="Arial" w:cs="Arial"/>
          <w:i/>
          <w:iCs/>
          <w:sz w:val="18"/>
          <w:szCs w:val="18"/>
        </w:rPr>
        <w:t>Hampers?</w:t>
      </w:r>
      <w:r w:rsidRPr="00BD3F39">
        <w:rPr>
          <w:rFonts w:ascii="Arial" w:hAnsi="Arial" w:cs="Arial"/>
          <w:sz w:val="18"/>
          <w:szCs w:val="18"/>
        </w:rPr>
        <w:t>,</w:t>
      </w:r>
      <w:proofErr w:type="gramEnd"/>
      <w:r w:rsidRPr="00BD3F39">
        <w:rPr>
          <w:rFonts w:ascii="Arial" w:hAnsi="Arial" w:cs="Arial"/>
          <w:sz w:val="18"/>
          <w:szCs w:val="18"/>
        </w:rPr>
        <w:t xml:space="preserve"> FMI, 2013.</w:t>
      </w:r>
    </w:p>
  </w:footnote>
  <w:footnote w:id="41">
    <w:p w14:paraId="04578572" w14:textId="77777777" w:rsidR="006D33D3" w:rsidRPr="00BD3F39" w:rsidRDefault="006D33D3" w:rsidP="00175AAF">
      <w:pPr>
        <w:pStyle w:val="FootnoteText"/>
        <w:spacing w:after="0"/>
      </w:pPr>
      <w:r w:rsidRPr="00175AAF">
        <w:rPr>
          <w:rStyle w:val="FootnoteReference"/>
          <w:rFonts w:ascii="Arial" w:hAnsi="Arial" w:cs="Arial"/>
          <w:sz w:val="18"/>
          <w:szCs w:val="18"/>
          <w:lang w:val="es-ES_tradnl"/>
        </w:rPr>
        <w:footnoteRef/>
      </w:r>
      <w:r w:rsidRPr="00BD3F39">
        <w:rPr>
          <w:rFonts w:ascii="Arial" w:hAnsi="Arial" w:cs="Arial"/>
          <w:sz w:val="18"/>
          <w:szCs w:val="18"/>
        </w:rPr>
        <w:t xml:space="preserve"> </w:t>
      </w:r>
      <w:r w:rsidRPr="00BD3F39">
        <w:rPr>
          <w:rFonts w:ascii="Arial" w:hAnsi="Arial" w:cs="Arial"/>
          <w:sz w:val="18"/>
          <w:szCs w:val="18"/>
        </w:rPr>
        <w:tab/>
        <w:t xml:space="preserve">Por </w:t>
      </w:r>
      <w:proofErr w:type="spellStart"/>
      <w:r w:rsidRPr="00BD3F39">
        <w:rPr>
          <w:rFonts w:ascii="Arial" w:hAnsi="Arial" w:cs="Arial"/>
          <w:sz w:val="18"/>
          <w:szCs w:val="18"/>
        </w:rPr>
        <w:t>ejemplo</w:t>
      </w:r>
      <w:proofErr w:type="spellEnd"/>
      <w:r w:rsidRPr="00BD3F39">
        <w:rPr>
          <w:rFonts w:ascii="Arial" w:hAnsi="Arial" w:cs="Arial"/>
          <w:sz w:val="18"/>
          <w:szCs w:val="18"/>
        </w:rPr>
        <w:t xml:space="preserve">, </w:t>
      </w:r>
      <w:proofErr w:type="spellStart"/>
      <w:r w:rsidRPr="00BD3F39">
        <w:rPr>
          <w:rFonts w:ascii="Arial" w:hAnsi="Arial" w:cs="Arial"/>
          <w:sz w:val="18"/>
          <w:szCs w:val="18"/>
        </w:rPr>
        <w:t>ver</w:t>
      </w:r>
      <w:proofErr w:type="spellEnd"/>
      <w:r w:rsidRPr="00BD3F39">
        <w:rPr>
          <w:rFonts w:ascii="Arial" w:hAnsi="Arial" w:cs="Arial"/>
          <w:sz w:val="18"/>
          <w:szCs w:val="18"/>
        </w:rPr>
        <w:t xml:space="preserve"> </w:t>
      </w:r>
      <w:proofErr w:type="spellStart"/>
      <w:r w:rsidRPr="00BD3F39">
        <w:rPr>
          <w:rFonts w:ascii="Arial" w:hAnsi="Arial" w:cs="Arial"/>
          <w:sz w:val="18"/>
          <w:szCs w:val="18"/>
        </w:rPr>
        <w:t>evidencia</w:t>
      </w:r>
      <w:proofErr w:type="spellEnd"/>
      <w:r w:rsidRPr="00BD3F39">
        <w:rPr>
          <w:rFonts w:ascii="Arial" w:hAnsi="Arial" w:cs="Arial"/>
          <w:sz w:val="18"/>
          <w:szCs w:val="18"/>
        </w:rPr>
        <w:t xml:space="preserve"> para </w:t>
      </w:r>
      <w:proofErr w:type="spellStart"/>
      <w:r w:rsidRPr="00BD3F39">
        <w:rPr>
          <w:rFonts w:ascii="Arial" w:hAnsi="Arial" w:cs="Arial"/>
          <w:sz w:val="18"/>
          <w:szCs w:val="18"/>
        </w:rPr>
        <w:t>Estados</w:t>
      </w:r>
      <w:proofErr w:type="spellEnd"/>
      <w:r w:rsidRPr="00BD3F39">
        <w:rPr>
          <w:rFonts w:ascii="Arial" w:hAnsi="Arial" w:cs="Arial"/>
          <w:sz w:val="18"/>
          <w:szCs w:val="18"/>
        </w:rPr>
        <w:t xml:space="preserve"> Unidos </w:t>
      </w:r>
      <w:proofErr w:type="spellStart"/>
      <w:r w:rsidRPr="00BD3F39">
        <w:rPr>
          <w:rFonts w:ascii="Arial" w:hAnsi="Arial" w:cs="Arial"/>
          <w:sz w:val="18"/>
          <w:szCs w:val="18"/>
        </w:rPr>
        <w:t>en</w:t>
      </w:r>
      <w:proofErr w:type="spellEnd"/>
      <w:r w:rsidRPr="00BD3F39">
        <w:rPr>
          <w:rFonts w:ascii="Arial" w:hAnsi="Arial" w:cs="Arial"/>
          <w:sz w:val="18"/>
          <w:szCs w:val="18"/>
        </w:rPr>
        <w:t xml:space="preserve"> “</w:t>
      </w:r>
      <w:r w:rsidRPr="00BD3F39">
        <w:rPr>
          <w:rFonts w:ascii="Arial" w:hAnsi="Arial" w:cs="Arial"/>
          <w:i/>
          <w:iCs/>
          <w:sz w:val="18"/>
          <w:szCs w:val="18"/>
        </w:rPr>
        <w:t>Small Businesses and Small Business Finance during the Financial Crisis and the Great Recession - New Evidence from the Survey of Consumer Finances</w:t>
      </w:r>
      <w:r w:rsidRPr="00BD3F39">
        <w:rPr>
          <w:rFonts w:ascii="Arial" w:hAnsi="Arial" w:cs="Arial"/>
          <w:sz w:val="18"/>
          <w:szCs w:val="18"/>
        </w:rPr>
        <w:t>”, National Bureau of Economic Research, 2017.</w:t>
      </w:r>
    </w:p>
  </w:footnote>
  <w:footnote w:id="42">
    <w:p w14:paraId="2CA72116" w14:textId="5BADDBC0" w:rsidR="006D33D3" w:rsidRPr="006A77B8" w:rsidRDefault="006D33D3" w:rsidP="00114E0B">
      <w:pPr>
        <w:pStyle w:val="FootnoteText"/>
        <w:spacing w:after="0"/>
        <w:rPr>
          <w:rFonts w:ascii="Arial" w:hAnsi="Arial" w:cs="Arial"/>
          <w:sz w:val="18"/>
          <w:szCs w:val="18"/>
          <w:lang w:val="es-ES"/>
        </w:rPr>
      </w:pPr>
      <w:r w:rsidRPr="00000951">
        <w:rPr>
          <w:rStyle w:val="FootnoteReference"/>
          <w:rFonts w:ascii="Arial" w:hAnsi="Arial" w:cs="Arial"/>
          <w:sz w:val="18"/>
          <w:szCs w:val="18"/>
        </w:rPr>
        <w:footnoteRef/>
      </w:r>
      <w:r w:rsidRPr="006A77B8">
        <w:rPr>
          <w:rFonts w:ascii="Arial" w:hAnsi="Arial" w:cs="Arial"/>
          <w:sz w:val="18"/>
          <w:szCs w:val="18"/>
          <w:lang w:val="es-ES"/>
        </w:rPr>
        <w:t xml:space="preserve"> </w:t>
      </w:r>
      <w:r w:rsidRPr="006A77B8">
        <w:rPr>
          <w:rFonts w:ascii="Arial" w:hAnsi="Arial" w:cs="Arial"/>
          <w:sz w:val="18"/>
          <w:szCs w:val="18"/>
          <w:lang w:val="es-ES"/>
        </w:rPr>
        <w:tab/>
        <w:t xml:space="preserve">Un diagnóstico detallado sobre los problemas de acceso a financiamiento de las </w:t>
      </w:r>
      <w:r w:rsidR="005A0251" w:rsidRPr="005A0251">
        <w:rPr>
          <w:rFonts w:ascii="Arial" w:hAnsi="Arial" w:cs="Arial"/>
          <w:sz w:val="18"/>
          <w:szCs w:val="18"/>
          <w:lang w:val="es-MX"/>
        </w:rPr>
        <w:t>MiPyME</w:t>
      </w:r>
      <w:r w:rsidRPr="006A77B8">
        <w:rPr>
          <w:rFonts w:ascii="Arial" w:hAnsi="Arial" w:cs="Arial"/>
          <w:sz w:val="18"/>
          <w:szCs w:val="18"/>
          <w:lang w:val="es-ES"/>
        </w:rPr>
        <w:t xml:space="preserve"> de la región puede encontrarse en </w:t>
      </w:r>
      <w:r>
        <w:rPr>
          <w:rFonts w:ascii="Arial" w:hAnsi="Arial" w:cs="Arial"/>
          <w:sz w:val="18"/>
          <w:szCs w:val="18"/>
          <w:lang w:val="es-ES"/>
        </w:rPr>
        <w:t xml:space="preserve">el </w:t>
      </w:r>
      <w:r w:rsidRPr="006A77B8">
        <w:rPr>
          <w:rFonts w:ascii="Arial" w:hAnsi="Arial" w:cs="Arial"/>
          <w:sz w:val="18"/>
          <w:szCs w:val="18"/>
          <w:lang w:val="es-ES"/>
        </w:rPr>
        <w:t>Documento de Marco Sectorial de Respaldo para PYME y Acceso y Supervisión Financieros (GN</w:t>
      </w:r>
      <w:r>
        <w:rPr>
          <w:rFonts w:ascii="Arial" w:hAnsi="Arial" w:cs="Arial"/>
          <w:sz w:val="18"/>
          <w:szCs w:val="18"/>
          <w:lang w:val="es-ES"/>
        </w:rPr>
        <w:noBreakHyphen/>
      </w:r>
      <w:r w:rsidRPr="006A77B8">
        <w:rPr>
          <w:rFonts w:ascii="Arial" w:hAnsi="Arial" w:cs="Arial"/>
          <w:sz w:val="18"/>
          <w:szCs w:val="18"/>
          <w:lang w:val="es-ES"/>
        </w:rPr>
        <w:t>2768</w:t>
      </w:r>
      <w:r>
        <w:rPr>
          <w:rFonts w:ascii="Arial" w:hAnsi="Arial" w:cs="Arial"/>
          <w:sz w:val="18"/>
          <w:szCs w:val="18"/>
          <w:lang w:val="es-ES"/>
        </w:rPr>
        <w:noBreakHyphen/>
      </w:r>
      <w:r w:rsidRPr="006A77B8">
        <w:rPr>
          <w:rFonts w:ascii="Arial" w:hAnsi="Arial" w:cs="Arial"/>
          <w:sz w:val="18"/>
          <w:szCs w:val="18"/>
          <w:lang w:val="es-ES"/>
        </w:rPr>
        <w:t>7).</w:t>
      </w:r>
    </w:p>
  </w:footnote>
  <w:footnote w:id="43">
    <w:p w14:paraId="22AD0516" w14:textId="77777777" w:rsidR="006D33D3" w:rsidRPr="00DD74A9" w:rsidRDefault="006D33D3" w:rsidP="00114E0B">
      <w:pPr>
        <w:pStyle w:val="FootnoteText"/>
        <w:spacing w:after="0"/>
        <w:rPr>
          <w:rFonts w:ascii="Arial" w:hAnsi="Arial" w:cs="Arial"/>
          <w:sz w:val="18"/>
          <w:szCs w:val="18"/>
        </w:rPr>
      </w:pPr>
      <w:r w:rsidRPr="00AF2E22">
        <w:rPr>
          <w:rStyle w:val="FootnoteReference"/>
          <w:rFonts w:ascii="Arial" w:hAnsi="Arial" w:cs="Arial"/>
          <w:sz w:val="18"/>
          <w:szCs w:val="18"/>
        </w:rPr>
        <w:footnoteRef/>
      </w:r>
      <w:r w:rsidRPr="00316758">
        <w:rPr>
          <w:rFonts w:ascii="Arial" w:hAnsi="Arial" w:cs="Arial"/>
          <w:sz w:val="18"/>
          <w:szCs w:val="18"/>
        </w:rPr>
        <w:t xml:space="preserve"> </w:t>
      </w:r>
      <w:r w:rsidRPr="00AF2E22">
        <w:rPr>
          <w:rFonts w:ascii="Arial" w:hAnsi="Arial" w:cs="Arial"/>
          <w:sz w:val="18"/>
          <w:szCs w:val="18"/>
        </w:rPr>
        <w:tab/>
        <w:t xml:space="preserve">Tan and See 1997, Gregory et al. 2002, </w:t>
      </w:r>
      <w:proofErr w:type="spellStart"/>
      <w:r w:rsidRPr="00AF2E22">
        <w:rPr>
          <w:rFonts w:ascii="Arial" w:hAnsi="Arial" w:cs="Arial"/>
          <w:sz w:val="18"/>
          <w:szCs w:val="18"/>
        </w:rPr>
        <w:t>Narjoko</w:t>
      </w:r>
      <w:proofErr w:type="spellEnd"/>
      <w:r w:rsidRPr="00AF2E22">
        <w:rPr>
          <w:rFonts w:ascii="Arial" w:hAnsi="Arial" w:cs="Arial"/>
          <w:sz w:val="18"/>
          <w:szCs w:val="18"/>
        </w:rPr>
        <w:t xml:space="preserve"> and Hill 2007.</w:t>
      </w:r>
    </w:p>
  </w:footnote>
  <w:footnote w:id="44">
    <w:p w14:paraId="426DDB35" w14:textId="5995AFC4" w:rsidR="006D33D3" w:rsidRPr="004E5A06" w:rsidRDefault="006D33D3" w:rsidP="00114E0B">
      <w:pPr>
        <w:pStyle w:val="FootnoteText"/>
        <w:spacing w:after="0"/>
        <w:rPr>
          <w:rFonts w:ascii="Arial" w:hAnsi="Arial" w:cs="Arial"/>
          <w:sz w:val="18"/>
          <w:szCs w:val="18"/>
          <w:lang w:val="es-PE"/>
        </w:rPr>
      </w:pPr>
      <w:r w:rsidRPr="004E5A06">
        <w:rPr>
          <w:rStyle w:val="FootnoteReference"/>
          <w:rFonts w:ascii="Arial" w:hAnsi="Arial" w:cs="Arial"/>
          <w:sz w:val="18"/>
          <w:szCs w:val="18"/>
        </w:rPr>
        <w:footnoteRef/>
      </w:r>
      <w:r w:rsidRPr="004E5A06">
        <w:rPr>
          <w:rFonts w:ascii="Arial" w:hAnsi="Arial" w:cs="Arial"/>
          <w:sz w:val="18"/>
          <w:szCs w:val="18"/>
          <w:lang w:val="es-PE"/>
        </w:rPr>
        <w:t xml:space="preserve"> </w:t>
      </w:r>
      <w:r w:rsidRPr="004E5A06">
        <w:rPr>
          <w:rFonts w:ascii="Arial" w:hAnsi="Arial" w:cs="Arial"/>
          <w:sz w:val="18"/>
          <w:szCs w:val="18"/>
          <w:lang w:val="es-PE"/>
        </w:rPr>
        <w:tab/>
        <w:t>Lecuona, R., “Instrumentos para la inclusión financiera: el caso de México Casos exitosos de instrumentos de financiamiento para las PYMES de la banca de desarrollo en México”, Comisión Económica para América Latina y el Caribe (CEPAL), noviembre 2017.</w:t>
      </w:r>
    </w:p>
  </w:footnote>
  <w:footnote w:id="45">
    <w:p w14:paraId="7DBE070F" w14:textId="34DF4E83" w:rsidR="006D33D3" w:rsidRPr="00F55E7C" w:rsidRDefault="006D33D3" w:rsidP="00114E0B">
      <w:pPr>
        <w:pStyle w:val="FootnoteText"/>
        <w:spacing w:after="0"/>
        <w:rPr>
          <w:rFonts w:ascii="Arial" w:hAnsi="Arial" w:cs="Arial"/>
          <w:sz w:val="18"/>
          <w:szCs w:val="18"/>
          <w:vertAlign w:val="superscript"/>
          <w:lang w:val="es-PE"/>
        </w:rPr>
      </w:pPr>
      <w:r w:rsidRPr="002401C3">
        <w:rPr>
          <w:rFonts w:ascii="Arial" w:hAnsi="Arial" w:cs="Arial"/>
          <w:sz w:val="18"/>
          <w:szCs w:val="18"/>
          <w:vertAlign w:val="superscript"/>
        </w:rPr>
        <w:footnoteRef/>
      </w:r>
      <w:r w:rsidRPr="00F55E7C">
        <w:rPr>
          <w:rFonts w:ascii="Arial" w:hAnsi="Arial" w:cs="Arial"/>
          <w:sz w:val="18"/>
          <w:szCs w:val="18"/>
          <w:vertAlign w:val="superscript"/>
          <w:lang w:val="es-PE"/>
        </w:rPr>
        <w:t xml:space="preserve"> </w:t>
      </w:r>
      <w:r w:rsidRPr="00F55E7C">
        <w:rPr>
          <w:rFonts w:ascii="Arial" w:hAnsi="Arial" w:cs="Arial"/>
          <w:sz w:val="18"/>
          <w:szCs w:val="18"/>
          <w:vertAlign w:val="superscript"/>
          <w:lang w:val="es-PE"/>
        </w:rPr>
        <w:tab/>
      </w:r>
      <w:r w:rsidRPr="00F55E7C">
        <w:rPr>
          <w:rFonts w:ascii="Arial" w:hAnsi="Arial" w:cs="Arial"/>
          <w:sz w:val="18"/>
          <w:szCs w:val="18"/>
          <w:lang w:val="es-PE"/>
        </w:rPr>
        <w:t>I</w:t>
      </w:r>
      <w:r w:rsidRPr="002260BF">
        <w:rPr>
          <w:rFonts w:ascii="Arial" w:hAnsi="Arial" w:cs="Arial"/>
          <w:sz w:val="18"/>
          <w:szCs w:val="18"/>
          <w:lang w:val="es-PE"/>
        </w:rPr>
        <w:t xml:space="preserve">nstituto Nacional de Estadística, Geografía e Informática </w:t>
      </w:r>
      <w:r>
        <w:rPr>
          <w:rFonts w:ascii="Arial" w:hAnsi="Arial" w:cs="Arial"/>
          <w:sz w:val="18"/>
          <w:szCs w:val="18"/>
          <w:lang w:val="es-PE"/>
        </w:rPr>
        <w:t>(I</w:t>
      </w:r>
      <w:r w:rsidRPr="00F55E7C">
        <w:rPr>
          <w:rFonts w:ascii="Arial" w:hAnsi="Arial" w:cs="Arial"/>
          <w:sz w:val="18"/>
          <w:szCs w:val="18"/>
          <w:lang w:val="es-PE"/>
        </w:rPr>
        <w:t>NEGI</w:t>
      </w:r>
      <w:r>
        <w:rPr>
          <w:rFonts w:ascii="Arial" w:hAnsi="Arial" w:cs="Arial"/>
          <w:sz w:val="18"/>
          <w:szCs w:val="18"/>
          <w:lang w:val="es-PE"/>
        </w:rPr>
        <w:t>)</w:t>
      </w:r>
      <w:r w:rsidRPr="00F55E7C">
        <w:rPr>
          <w:rFonts w:ascii="Arial" w:hAnsi="Arial" w:cs="Arial"/>
          <w:sz w:val="18"/>
          <w:szCs w:val="18"/>
          <w:lang w:val="es-PE"/>
        </w:rPr>
        <w:t>, considerando subsectores alimentarios y bebidas y tabaco.</w:t>
      </w:r>
    </w:p>
  </w:footnote>
  <w:footnote w:id="46">
    <w:p w14:paraId="7E21CF72" w14:textId="5085F48E" w:rsidR="006D33D3" w:rsidRPr="00F55E7C" w:rsidRDefault="006D33D3" w:rsidP="00F55E7C">
      <w:pPr>
        <w:pStyle w:val="FootnoteText"/>
        <w:spacing w:after="0"/>
        <w:ind w:left="274" w:hanging="274"/>
        <w:rPr>
          <w:rFonts w:ascii="Arial" w:hAnsi="Arial" w:cs="Arial"/>
          <w:sz w:val="18"/>
          <w:szCs w:val="18"/>
          <w:lang w:val="es-PE"/>
        </w:rPr>
      </w:pPr>
      <w:r w:rsidRPr="00817628">
        <w:rPr>
          <w:rStyle w:val="FootnoteReference"/>
          <w:rFonts w:ascii="Arial" w:hAnsi="Arial" w:cs="Arial"/>
          <w:sz w:val="18"/>
          <w:szCs w:val="18"/>
        </w:rPr>
        <w:footnoteRef/>
      </w:r>
      <w:r w:rsidRPr="00F55E7C">
        <w:rPr>
          <w:rFonts w:ascii="Arial" w:hAnsi="Arial" w:cs="Arial"/>
          <w:sz w:val="18"/>
          <w:szCs w:val="18"/>
          <w:lang w:val="es-PE"/>
        </w:rPr>
        <w:t xml:space="preserve"> </w:t>
      </w:r>
      <w:r w:rsidRPr="00F55E7C">
        <w:rPr>
          <w:rFonts w:ascii="Arial" w:hAnsi="Arial" w:cs="Arial"/>
          <w:sz w:val="18"/>
          <w:szCs w:val="18"/>
          <w:lang w:val="es-PE"/>
        </w:rPr>
        <w:tab/>
        <w:t>INEGI</w:t>
      </w:r>
      <w:r>
        <w:rPr>
          <w:rFonts w:ascii="Arial" w:hAnsi="Arial" w:cs="Arial"/>
          <w:sz w:val="18"/>
          <w:szCs w:val="18"/>
          <w:lang w:val="es-PE"/>
        </w:rPr>
        <w:t>,</w:t>
      </w:r>
      <w:r w:rsidRPr="00F55E7C">
        <w:rPr>
          <w:rFonts w:ascii="Arial" w:hAnsi="Arial" w:cs="Arial"/>
          <w:sz w:val="18"/>
          <w:szCs w:val="18"/>
          <w:lang w:val="es-PE"/>
        </w:rPr>
        <w:t xml:space="preserve"> 2014.</w:t>
      </w:r>
    </w:p>
  </w:footnote>
  <w:footnote w:id="47">
    <w:p w14:paraId="2C22D38E" w14:textId="5065952A" w:rsidR="006D33D3" w:rsidRPr="006A77B8" w:rsidRDefault="006D33D3" w:rsidP="009B7EB3">
      <w:pPr>
        <w:pStyle w:val="FootnoteText"/>
        <w:spacing w:after="0"/>
        <w:rPr>
          <w:rFonts w:ascii="Arial" w:hAnsi="Arial" w:cs="Arial"/>
          <w:sz w:val="18"/>
          <w:szCs w:val="18"/>
          <w:lang w:val="es-PE"/>
        </w:rPr>
      </w:pPr>
      <w:r w:rsidRPr="006A77B8">
        <w:rPr>
          <w:rStyle w:val="FootnoteReference"/>
          <w:rFonts w:ascii="Arial" w:hAnsi="Arial" w:cs="Arial"/>
          <w:sz w:val="18"/>
          <w:szCs w:val="18"/>
          <w:lang w:val="es-PE"/>
        </w:rPr>
        <w:footnoteRef/>
      </w:r>
      <w:r w:rsidR="00281074">
        <w:rPr>
          <w:rFonts w:ascii="Arial" w:hAnsi="Arial" w:cs="Arial"/>
          <w:sz w:val="18"/>
          <w:szCs w:val="18"/>
          <w:lang w:val="es-PE"/>
        </w:rPr>
        <w:tab/>
      </w:r>
      <w:r w:rsidRPr="006A77B8">
        <w:rPr>
          <w:rFonts w:ascii="Arial" w:hAnsi="Arial" w:cs="Arial"/>
          <w:sz w:val="18"/>
          <w:szCs w:val="18"/>
          <w:lang w:val="es-PE"/>
        </w:rPr>
        <w:t>El valor económico de una firma se mide como el valor presente de los flujos de utilidades y activos esperados durante la vida de la firma.</w:t>
      </w:r>
    </w:p>
  </w:footnote>
  <w:footnote w:id="48">
    <w:p w14:paraId="4F1AC79A" w14:textId="117CC7CF" w:rsidR="006D33D3" w:rsidRPr="003E3EFE" w:rsidRDefault="006D33D3" w:rsidP="00902355">
      <w:pPr>
        <w:pStyle w:val="FootnoteText"/>
        <w:spacing w:after="0"/>
        <w:rPr>
          <w:lang w:val="es-ES"/>
        </w:rPr>
      </w:pPr>
      <w:r w:rsidRPr="006A77B8">
        <w:rPr>
          <w:rStyle w:val="FootnoteReference"/>
          <w:rFonts w:ascii="Arial" w:hAnsi="Arial" w:cs="Arial"/>
          <w:sz w:val="18"/>
          <w:szCs w:val="18"/>
          <w:lang w:val="es-PE"/>
        </w:rPr>
        <w:footnoteRef/>
      </w:r>
      <w:r w:rsidR="00281074">
        <w:rPr>
          <w:rFonts w:ascii="Arial" w:hAnsi="Arial" w:cs="Arial"/>
          <w:sz w:val="18"/>
          <w:szCs w:val="18"/>
          <w:lang w:val="es-PE"/>
        </w:rPr>
        <w:tab/>
      </w:r>
      <w:r w:rsidRPr="006A77B8">
        <w:rPr>
          <w:rFonts w:ascii="Arial" w:hAnsi="Arial" w:cs="Arial"/>
          <w:sz w:val="18"/>
          <w:szCs w:val="18"/>
          <w:lang w:val="es-PE"/>
        </w:rPr>
        <w:t>Dada la naturaleza del shock económico y las características de la intervención, es difícil justificar un escenario adicional en el cual una firma que hubiera sobrevivido al shock inicial desaparezca como consecuencia de la intervención. Por tal motivo, no se consideró dicho escenario dentro del análisis.</w:t>
      </w:r>
    </w:p>
  </w:footnote>
  <w:footnote w:id="49">
    <w:p w14:paraId="4D60531E" w14:textId="6C26F9D4" w:rsidR="006D33D3" w:rsidRPr="009B7EB3" w:rsidRDefault="006D33D3" w:rsidP="009B7EB3">
      <w:pPr>
        <w:pStyle w:val="FootnoteText"/>
        <w:spacing w:after="0"/>
        <w:rPr>
          <w:rFonts w:ascii="Arial" w:hAnsi="Arial" w:cs="Arial"/>
          <w:sz w:val="18"/>
          <w:szCs w:val="18"/>
          <w:lang w:val="es-PE"/>
        </w:rPr>
      </w:pPr>
      <w:r w:rsidRPr="009B7EB3">
        <w:rPr>
          <w:rStyle w:val="FootnoteReference"/>
          <w:rFonts w:ascii="Arial" w:hAnsi="Arial" w:cs="Arial"/>
          <w:sz w:val="18"/>
          <w:szCs w:val="18"/>
        </w:rPr>
        <w:footnoteRef/>
      </w:r>
      <w:r w:rsidRPr="009B7EB3">
        <w:rPr>
          <w:rFonts w:ascii="Arial" w:hAnsi="Arial" w:cs="Arial"/>
          <w:sz w:val="18"/>
          <w:szCs w:val="18"/>
          <w:lang w:val="es-PE"/>
        </w:rPr>
        <w:t xml:space="preserve"> </w:t>
      </w:r>
      <w:r w:rsidR="00043819">
        <w:rPr>
          <w:rFonts w:ascii="Arial" w:hAnsi="Arial" w:cs="Arial"/>
          <w:sz w:val="18"/>
          <w:szCs w:val="18"/>
          <w:lang w:val="es-PE"/>
        </w:rPr>
        <w:tab/>
      </w:r>
      <w:r w:rsidRPr="009B7EB3">
        <w:rPr>
          <w:rFonts w:ascii="Arial" w:hAnsi="Arial" w:cs="Arial"/>
          <w:sz w:val="18"/>
          <w:szCs w:val="18"/>
          <w:lang w:val="es-PE"/>
        </w:rPr>
        <w:t xml:space="preserve">Arellano, P. y Jiménez, E., </w:t>
      </w:r>
      <w:r>
        <w:rPr>
          <w:rFonts w:ascii="Arial" w:hAnsi="Arial" w:cs="Arial"/>
          <w:sz w:val="18"/>
          <w:szCs w:val="18"/>
          <w:lang w:val="es-PE"/>
        </w:rPr>
        <w:t>“</w:t>
      </w:r>
      <w:r w:rsidRPr="009B7EB3">
        <w:rPr>
          <w:rFonts w:ascii="Arial" w:hAnsi="Arial" w:cs="Arial"/>
          <w:sz w:val="18"/>
          <w:szCs w:val="18"/>
          <w:lang w:val="es-PE"/>
        </w:rPr>
        <w:t>Dinámica Empresarial, Brechas Regionales y Sectoriales de las PYMES en Chile, Periodo 2005-2014</w:t>
      </w:r>
      <w:r>
        <w:rPr>
          <w:rFonts w:ascii="Arial" w:hAnsi="Arial" w:cs="Arial"/>
          <w:sz w:val="18"/>
          <w:szCs w:val="18"/>
          <w:lang w:val="es-PE"/>
        </w:rPr>
        <w:t>”</w:t>
      </w:r>
      <w:r w:rsidRPr="009B7EB3">
        <w:rPr>
          <w:rFonts w:ascii="Arial" w:hAnsi="Arial" w:cs="Arial"/>
          <w:sz w:val="18"/>
          <w:szCs w:val="18"/>
          <w:lang w:val="es-PE"/>
        </w:rPr>
        <w:t>, Ministerio de Economía, Fomento y Turismo del Gobierno de Chile, Unidad de Estudios Económicos, febrero 2016.</w:t>
      </w:r>
    </w:p>
  </w:footnote>
  <w:footnote w:id="50">
    <w:p w14:paraId="00B045AF" w14:textId="3844C76E" w:rsidR="006D33D3" w:rsidRPr="009B7EB3" w:rsidRDefault="006D33D3" w:rsidP="000B6189">
      <w:pPr>
        <w:pStyle w:val="FootnoteText"/>
        <w:spacing w:after="0"/>
        <w:rPr>
          <w:rFonts w:ascii="Arial" w:hAnsi="Arial" w:cs="Arial"/>
          <w:sz w:val="18"/>
          <w:szCs w:val="18"/>
          <w:lang w:val="es-PE"/>
        </w:rPr>
      </w:pPr>
      <w:r w:rsidRPr="009B7EB3">
        <w:rPr>
          <w:rStyle w:val="FootnoteReference"/>
          <w:rFonts w:ascii="Arial" w:hAnsi="Arial" w:cs="Arial"/>
          <w:sz w:val="18"/>
          <w:szCs w:val="18"/>
        </w:rPr>
        <w:footnoteRef/>
      </w:r>
      <w:r w:rsidRPr="009B7EB3">
        <w:rPr>
          <w:rFonts w:ascii="Arial" w:hAnsi="Arial" w:cs="Arial"/>
          <w:sz w:val="18"/>
          <w:szCs w:val="18"/>
          <w:lang w:val="es-PE"/>
        </w:rPr>
        <w:t xml:space="preserve"> </w:t>
      </w:r>
      <w:r w:rsidR="00043819">
        <w:rPr>
          <w:rFonts w:ascii="Arial" w:hAnsi="Arial" w:cs="Arial"/>
          <w:sz w:val="18"/>
          <w:szCs w:val="18"/>
          <w:lang w:val="es-PE"/>
        </w:rPr>
        <w:tab/>
      </w:r>
      <w:r>
        <w:rPr>
          <w:rFonts w:ascii="Arial" w:hAnsi="Arial" w:cs="Arial"/>
          <w:sz w:val="18"/>
          <w:szCs w:val="18"/>
          <w:lang w:val="es-PE"/>
        </w:rPr>
        <w:t>OCDE, “F</w:t>
      </w:r>
      <w:r w:rsidRPr="000B6189">
        <w:rPr>
          <w:rFonts w:ascii="Arial" w:hAnsi="Arial" w:cs="Arial"/>
          <w:sz w:val="18"/>
          <w:szCs w:val="18"/>
          <w:lang w:val="es-PE"/>
        </w:rPr>
        <w:t xml:space="preserve">inanciamiento </w:t>
      </w:r>
      <w:r>
        <w:rPr>
          <w:rFonts w:ascii="Arial" w:hAnsi="Arial" w:cs="Arial"/>
          <w:sz w:val="18"/>
          <w:szCs w:val="18"/>
          <w:lang w:val="es-PE"/>
        </w:rPr>
        <w:t>de</w:t>
      </w:r>
      <w:r w:rsidRPr="000B6189">
        <w:rPr>
          <w:rFonts w:ascii="Arial" w:hAnsi="Arial" w:cs="Arial"/>
          <w:sz w:val="18"/>
          <w:szCs w:val="18"/>
          <w:lang w:val="es-PE"/>
        </w:rPr>
        <w:t xml:space="preserve"> PYMES </w:t>
      </w:r>
      <w:r>
        <w:rPr>
          <w:rFonts w:ascii="Arial" w:hAnsi="Arial" w:cs="Arial"/>
          <w:sz w:val="18"/>
          <w:szCs w:val="18"/>
          <w:lang w:val="es-PE"/>
        </w:rPr>
        <w:t xml:space="preserve">y </w:t>
      </w:r>
      <w:r w:rsidRPr="000B6189">
        <w:rPr>
          <w:rFonts w:ascii="Arial" w:hAnsi="Arial" w:cs="Arial"/>
          <w:sz w:val="18"/>
          <w:szCs w:val="18"/>
          <w:lang w:val="es-PE"/>
        </w:rPr>
        <w:t>E</w:t>
      </w:r>
      <w:r>
        <w:rPr>
          <w:rFonts w:ascii="Arial" w:hAnsi="Arial" w:cs="Arial"/>
          <w:sz w:val="18"/>
          <w:szCs w:val="18"/>
          <w:lang w:val="es-PE"/>
        </w:rPr>
        <w:t>mprendedores</w:t>
      </w:r>
      <w:r w:rsidRPr="000B6189">
        <w:rPr>
          <w:rFonts w:ascii="Arial" w:hAnsi="Arial" w:cs="Arial"/>
          <w:sz w:val="18"/>
          <w:szCs w:val="18"/>
          <w:lang w:val="es-PE"/>
        </w:rPr>
        <w:t xml:space="preserve"> 2018:</w:t>
      </w:r>
      <w:r>
        <w:rPr>
          <w:rFonts w:ascii="Arial" w:hAnsi="Arial" w:cs="Arial"/>
          <w:sz w:val="18"/>
          <w:szCs w:val="18"/>
          <w:lang w:val="es-PE"/>
        </w:rPr>
        <w:t xml:space="preserve"> U</w:t>
      </w:r>
      <w:r w:rsidRPr="000B6189">
        <w:rPr>
          <w:rFonts w:ascii="Arial" w:hAnsi="Arial" w:cs="Arial"/>
          <w:sz w:val="18"/>
          <w:szCs w:val="18"/>
          <w:lang w:val="es-PE"/>
        </w:rPr>
        <w:t xml:space="preserve">n marcador de la </w:t>
      </w:r>
      <w:r>
        <w:rPr>
          <w:rFonts w:ascii="Arial" w:hAnsi="Arial" w:cs="Arial"/>
          <w:sz w:val="18"/>
          <w:szCs w:val="18"/>
          <w:lang w:val="es-PE"/>
        </w:rPr>
        <w:t>OCDE”, 2018</w:t>
      </w:r>
      <w:r w:rsidRPr="009B7EB3">
        <w:rPr>
          <w:rFonts w:ascii="Arial" w:hAnsi="Arial" w:cs="Arial"/>
          <w:sz w:val="18"/>
          <w:szCs w:val="18"/>
          <w:lang w:val="es-PE"/>
        </w:rPr>
        <w:t>.</w:t>
      </w:r>
    </w:p>
  </w:footnote>
  <w:footnote w:id="51">
    <w:p w14:paraId="20745EB2" w14:textId="3C47EF5A" w:rsidR="006D33D3" w:rsidRPr="003A3061" w:rsidRDefault="006D33D3" w:rsidP="006C42BD">
      <w:pPr>
        <w:pStyle w:val="FootnoteText"/>
        <w:spacing w:after="0"/>
        <w:rPr>
          <w:rFonts w:ascii="Arial" w:hAnsi="Arial" w:cs="Arial"/>
          <w:sz w:val="18"/>
          <w:szCs w:val="18"/>
          <w:lang w:val="es-PE"/>
        </w:rPr>
      </w:pPr>
      <w:r w:rsidRPr="003A3061">
        <w:rPr>
          <w:rStyle w:val="FootnoteReference"/>
          <w:rFonts w:ascii="Arial" w:hAnsi="Arial" w:cs="Arial"/>
          <w:sz w:val="18"/>
          <w:szCs w:val="18"/>
        </w:rPr>
        <w:footnoteRef/>
      </w:r>
      <w:r w:rsidRPr="003A3061">
        <w:rPr>
          <w:rFonts w:ascii="Arial" w:hAnsi="Arial" w:cs="Arial"/>
          <w:sz w:val="18"/>
          <w:szCs w:val="18"/>
          <w:lang w:val="es-PE"/>
        </w:rPr>
        <w:t xml:space="preserve"> </w:t>
      </w:r>
      <w:r w:rsidR="006C42BD">
        <w:rPr>
          <w:rFonts w:ascii="Arial" w:hAnsi="Arial" w:cs="Arial"/>
          <w:sz w:val="18"/>
          <w:szCs w:val="18"/>
          <w:lang w:val="es-PE"/>
        </w:rPr>
        <w:tab/>
      </w:r>
      <w:r w:rsidRPr="003A3061">
        <w:rPr>
          <w:rFonts w:ascii="Arial" w:hAnsi="Arial" w:cs="Arial"/>
          <w:sz w:val="18"/>
          <w:szCs w:val="18"/>
          <w:lang w:val="es-PE"/>
        </w:rPr>
        <w:t xml:space="preserve">Según la Asociación Latinoamericana de Micros, Pequeños y Medianos Empresarios (ALAMPYME), al 8 de </w:t>
      </w:r>
      <w:r>
        <w:rPr>
          <w:rFonts w:ascii="Arial" w:hAnsi="Arial" w:cs="Arial"/>
          <w:sz w:val="18"/>
          <w:szCs w:val="18"/>
          <w:lang w:val="es-PE"/>
        </w:rPr>
        <w:t>a</w:t>
      </w:r>
      <w:r w:rsidRPr="003A3061">
        <w:rPr>
          <w:rFonts w:ascii="Arial" w:hAnsi="Arial" w:cs="Arial"/>
          <w:sz w:val="18"/>
          <w:szCs w:val="18"/>
          <w:lang w:val="es-PE"/>
        </w:rPr>
        <w:t>bril de 2020 algunos</w:t>
      </w:r>
      <w:r w:rsidRPr="003A3061">
        <w:rPr>
          <w:rFonts w:ascii="Arial" w:hAnsi="Arial" w:cs="Arial"/>
          <w:color w:val="5F5F5F"/>
          <w:spacing w:val="0"/>
          <w:sz w:val="28"/>
          <w:szCs w:val="28"/>
          <w:shd w:val="clear" w:color="auto" w:fill="FFFFFF"/>
          <w:lang w:val="es-PE"/>
        </w:rPr>
        <w:t xml:space="preserve"> </w:t>
      </w:r>
      <w:r w:rsidRPr="003A3061">
        <w:rPr>
          <w:rFonts w:ascii="Arial" w:hAnsi="Arial" w:cs="Arial"/>
          <w:sz w:val="18"/>
          <w:szCs w:val="18"/>
          <w:lang w:val="es-PE"/>
        </w:rPr>
        <w:t>micro y pequeñas empresas y negocios que seguían abiertos habían bajado sus ventas desde un 60% hasta en un 90%.</w:t>
      </w:r>
    </w:p>
  </w:footnote>
  <w:footnote w:id="52">
    <w:p w14:paraId="5ED241AE" w14:textId="1E2D7564" w:rsidR="006D33D3" w:rsidRPr="003A3061" w:rsidRDefault="006D33D3">
      <w:pPr>
        <w:pStyle w:val="FootnoteText"/>
        <w:rPr>
          <w:rFonts w:ascii="Arial" w:hAnsi="Arial" w:cs="Arial"/>
          <w:sz w:val="18"/>
          <w:szCs w:val="18"/>
        </w:rPr>
      </w:pPr>
      <w:r w:rsidRPr="003A3061">
        <w:rPr>
          <w:rStyle w:val="FootnoteReference"/>
          <w:rFonts w:ascii="Arial" w:hAnsi="Arial" w:cs="Arial"/>
          <w:sz w:val="18"/>
          <w:szCs w:val="18"/>
        </w:rPr>
        <w:footnoteRef/>
      </w:r>
      <w:r w:rsidR="006C42BD">
        <w:rPr>
          <w:rFonts w:ascii="Arial" w:hAnsi="Arial" w:cs="Arial"/>
          <w:sz w:val="18"/>
          <w:szCs w:val="18"/>
        </w:rPr>
        <w:tab/>
      </w:r>
      <w:proofErr w:type="spellStart"/>
      <w:r w:rsidRPr="003A3061">
        <w:rPr>
          <w:rFonts w:ascii="Arial" w:hAnsi="Arial" w:cs="Arial"/>
          <w:sz w:val="18"/>
          <w:szCs w:val="18"/>
        </w:rPr>
        <w:t>Eslava</w:t>
      </w:r>
      <w:proofErr w:type="spellEnd"/>
      <w:r w:rsidRPr="003A3061">
        <w:rPr>
          <w:rFonts w:ascii="Arial" w:hAnsi="Arial" w:cs="Arial"/>
          <w:sz w:val="18"/>
          <w:szCs w:val="18"/>
        </w:rPr>
        <w:t xml:space="preserve">, M. et al., “Credit Constraints and Business Performance, Evidence from Public Lending in Colombia”, Universidad de los Andes, </w:t>
      </w:r>
      <w:proofErr w:type="spellStart"/>
      <w:r w:rsidRPr="003A3061">
        <w:rPr>
          <w:rFonts w:ascii="Arial" w:hAnsi="Arial" w:cs="Arial"/>
          <w:sz w:val="18"/>
          <w:szCs w:val="18"/>
        </w:rPr>
        <w:t>octubre</w:t>
      </w:r>
      <w:proofErr w:type="spellEnd"/>
      <w:r w:rsidRPr="003A3061">
        <w:rPr>
          <w:rFonts w:ascii="Arial" w:hAnsi="Arial" w:cs="Arial"/>
          <w:sz w:val="18"/>
          <w:szCs w:val="18"/>
        </w:rPr>
        <w:t xml:space="preserve"> 2014.</w:t>
      </w:r>
    </w:p>
  </w:footnote>
  <w:footnote w:id="53">
    <w:p w14:paraId="5AADF124" w14:textId="2535F170" w:rsidR="006D33D3" w:rsidRPr="007E6CD0" w:rsidRDefault="006D33D3">
      <w:pPr>
        <w:pStyle w:val="FootnoteText"/>
        <w:rPr>
          <w:rFonts w:ascii="Arial" w:hAnsi="Arial" w:cs="Arial"/>
          <w:sz w:val="18"/>
          <w:szCs w:val="18"/>
        </w:rPr>
      </w:pPr>
      <w:r w:rsidRPr="007E6CD0">
        <w:rPr>
          <w:rStyle w:val="FootnoteReference"/>
          <w:rFonts w:ascii="Arial" w:hAnsi="Arial" w:cs="Arial"/>
          <w:sz w:val="18"/>
          <w:szCs w:val="18"/>
        </w:rPr>
        <w:footnoteRef/>
      </w:r>
      <w:r w:rsidRPr="007E6CD0">
        <w:rPr>
          <w:rFonts w:ascii="Arial" w:hAnsi="Arial" w:cs="Arial"/>
          <w:sz w:val="18"/>
          <w:szCs w:val="18"/>
        </w:rPr>
        <w:t xml:space="preserve"> </w:t>
      </w:r>
      <w:r w:rsidR="006C42BD">
        <w:rPr>
          <w:rFonts w:ascii="Arial" w:hAnsi="Arial" w:cs="Arial"/>
          <w:sz w:val="18"/>
          <w:szCs w:val="18"/>
        </w:rPr>
        <w:tab/>
      </w:r>
      <w:r w:rsidRPr="007E6CD0">
        <w:rPr>
          <w:rFonts w:ascii="Arial" w:hAnsi="Arial" w:cs="Arial"/>
          <w:i/>
          <w:iCs/>
          <w:sz w:val="18"/>
          <w:szCs w:val="18"/>
        </w:rPr>
        <w:t>United States Bureau of Labor Statistics</w:t>
      </w:r>
      <w:r w:rsidRPr="007E6CD0">
        <w:rPr>
          <w:rFonts w:ascii="Arial" w:hAnsi="Arial" w:cs="Arial"/>
          <w:sz w:val="18"/>
          <w:szCs w:val="18"/>
        </w:rPr>
        <w:t xml:space="preserve">, </w:t>
      </w:r>
      <w:proofErr w:type="spellStart"/>
      <w:r w:rsidRPr="007E6CD0">
        <w:rPr>
          <w:rFonts w:ascii="Arial" w:hAnsi="Arial" w:cs="Arial"/>
          <w:sz w:val="18"/>
          <w:szCs w:val="18"/>
        </w:rPr>
        <w:t>abril</w:t>
      </w:r>
      <w:proofErr w:type="spellEnd"/>
      <w:r w:rsidRPr="007E6CD0">
        <w:rPr>
          <w:rFonts w:ascii="Arial" w:hAnsi="Arial" w:cs="Arial"/>
          <w:sz w:val="18"/>
          <w:szCs w:val="18"/>
        </w:rPr>
        <w:t xml:space="preserve"> 2018.</w:t>
      </w:r>
    </w:p>
  </w:footnote>
  <w:footnote w:id="54">
    <w:p w14:paraId="0B78C183" w14:textId="171B03B8" w:rsidR="006D33D3" w:rsidRPr="00045F87" w:rsidRDefault="006D33D3">
      <w:pPr>
        <w:pStyle w:val="FootnoteText"/>
        <w:rPr>
          <w:rFonts w:ascii="Arial" w:hAnsi="Arial" w:cs="Arial"/>
          <w:sz w:val="18"/>
          <w:szCs w:val="18"/>
        </w:rPr>
      </w:pPr>
      <w:r w:rsidRPr="00045F87">
        <w:rPr>
          <w:rStyle w:val="FootnoteReference"/>
          <w:rFonts w:ascii="Arial" w:hAnsi="Arial" w:cs="Arial"/>
          <w:sz w:val="18"/>
          <w:szCs w:val="18"/>
        </w:rPr>
        <w:footnoteRef/>
      </w:r>
      <w:r w:rsidRPr="00045F87">
        <w:rPr>
          <w:rFonts w:ascii="Arial" w:hAnsi="Arial" w:cs="Arial"/>
          <w:sz w:val="18"/>
          <w:szCs w:val="18"/>
        </w:rPr>
        <w:t xml:space="preserve"> </w:t>
      </w:r>
      <w:r w:rsidRPr="00045F87">
        <w:rPr>
          <w:rFonts w:ascii="Arial" w:hAnsi="Arial" w:cs="Arial"/>
          <w:i/>
          <w:iCs/>
          <w:sz w:val="18"/>
          <w:szCs w:val="18"/>
        </w:rPr>
        <w:t>Oxford Economics</w:t>
      </w:r>
      <w:r w:rsidRPr="00045F87">
        <w:rPr>
          <w:rFonts w:ascii="Arial" w:hAnsi="Arial" w:cs="Arial"/>
          <w:sz w:val="18"/>
          <w:szCs w:val="18"/>
        </w:rPr>
        <w:t>, “</w:t>
      </w:r>
      <w:r w:rsidRPr="00045F87">
        <w:rPr>
          <w:rFonts w:ascii="Arial" w:hAnsi="Arial" w:cs="Arial"/>
          <w:i/>
          <w:iCs/>
          <w:sz w:val="18"/>
          <w:szCs w:val="18"/>
        </w:rPr>
        <w:t>Country Economic Forecasts, Mexico</w:t>
      </w:r>
      <w:r w:rsidRPr="00045F87">
        <w:rPr>
          <w:rFonts w:ascii="Arial" w:hAnsi="Arial" w:cs="Arial"/>
          <w:sz w:val="18"/>
          <w:szCs w:val="18"/>
        </w:rPr>
        <w:t xml:space="preserve">”, </w:t>
      </w:r>
      <w:proofErr w:type="spellStart"/>
      <w:r w:rsidRPr="00045F87">
        <w:rPr>
          <w:rFonts w:ascii="Arial" w:hAnsi="Arial" w:cs="Arial"/>
          <w:sz w:val="18"/>
          <w:szCs w:val="18"/>
        </w:rPr>
        <w:t>abril</w:t>
      </w:r>
      <w:proofErr w:type="spellEnd"/>
      <w:r w:rsidRPr="00045F87">
        <w:rPr>
          <w:rFonts w:ascii="Arial" w:hAnsi="Arial" w:cs="Arial"/>
          <w:sz w:val="18"/>
          <w:szCs w:val="18"/>
        </w:rPr>
        <w:t xml:space="preserve"> 2020.</w:t>
      </w:r>
    </w:p>
  </w:footnote>
  <w:footnote w:id="55">
    <w:p w14:paraId="0629AC9E" w14:textId="2572ACA0" w:rsidR="006D33D3" w:rsidRPr="004A1EFB" w:rsidRDefault="006D33D3">
      <w:pPr>
        <w:pStyle w:val="FootnoteText"/>
        <w:rPr>
          <w:rFonts w:ascii="Arial" w:hAnsi="Arial" w:cs="Arial"/>
          <w:sz w:val="18"/>
          <w:szCs w:val="18"/>
          <w:lang w:val="es-PE"/>
        </w:rPr>
      </w:pPr>
      <w:r w:rsidRPr="004A1EFB">
        <w:rPr>
          <w:rStyle w:val="FootnoteReference"/>
          <w:rFonts w:ascii="Arial" w:hAnsi="Arial" w:cs="Arial"/>
          <w:sz w:val="18"/>
          <w:szCs w:val="18"/>
        </w:rPr>
        <w:footnoteRef/>
      </w:r>
      <w:r w:rsidRPr="004A1EFB">
        <w:rPr>
          <w:rFonts w:ascii="Arial" w:hAnsi="Arial" w:cs="Arial"/>
          <w:sz w:val="18"/>
          <w:szCs w:val="18"/>
          <w:lang w:val="es-PE"/>
        </w:rPr>
        <w:t xml:space="preserve"> </w:t>
      </w:r>
      <w:r w:rsidR="00FF6808">
        <w:rPr>
          <w:rFonts w:ascii="Arial" w:hAnsi="Arial" w:cs="Arial"/>
          <w:sz w:val="18"/>
          <w:szCs w:val="18"/>
          <w:lang w:val="es-PE"/>
        </w:rPr>
        <w:tab/>
      </w:r>
      <w:r w:rsidRPr="004A1EFB">
        <w:rPr>
          <w:rFonts w:ascii="Arial" w:hAnsi="Arial" w:cs="Arial"/>
          <w:sz w:val="18"/>
          <w:szCs w:val="18"/>
          <w:lang w:val="es-PE"/>
        </w:rPr>
        <w:t>Se descarta el valor promedio del subsector de pesca, superior a los $48 millones de pesos, por considerarse un valor fuera del rango elegible para el programa.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67040"/>
    <w:multiLevelType w:val="multilevel"/>
    <w:tmpl w:val="16C83F4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 w15:restartNumberingAfterBreak="0">
    <w:nsid w:val="130D7E70"/>
    <w:multiLevelType w:val="hybridMultilevel"/>
    <w:tmpl w:val="4FD402E0"/>
    <w:lvl w:ilvl="0" w:tplc="A626A644">
      <w:start w:val="1"/>
      <w:numFmt w:val="decimal"/>
      <w:lvlText w:val="5.%1"/>
      <w:lvlJc w:val="left"/>
      <w:pPr>
        <w:ind w:left="720" w:hanging="360"/>
      </w:pPr>
      <w:rPr>
        <w:rFonts w:ascii="Arial" w:hAnsi="Arial" w:cs="Arial" w:hint="default"/>
        <w:sz w:val="22"/>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71226F6"/>
    <w:multiLevelType w:val="hybridMultilevel"/>
    <w:tmpl w:val="305821EE"/>
    <w:lvl w:ilvl="0" w:tplc="1B36349E">
      <w:start w:val="1"/>
      <w:numFmt w:val="decimal"/>
      <w:lvlText w:val="3.%1"/>
      <w:lvlJc w:val="left"/>
      <w:pPr>
        <w:ind w:left="1080" w:hanging="360"/>
      </w:pPr>
      <w:rPr>
        <w:rFonts w:hint="default"/>
        <w:b w:val="0"/>
        <w:bCs/>
        <w:sz w:val="22"/>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403C72F3"/>
    <w:multiLevelType w:val="multilevel"/>
    <w:tmpl w:val="C262BEF8"/>
    <w:lvl w:ilvl="0">
      <w:start w:val="2"/>
      <w:numFmt w:val="upperRoman"/>
      <w:lvlText w:val="%1."/>
      <w:lvlJc w:val="left"/>
      <w:pPr>
        <w:ind w:left="360" w:hanging="360"/>
      </w:pPr>
      <w:rPr>
        <w:rFonts w:hint="default"/>
      </w:rPr>
    </w:lvl>
    <w:lvl w:ilvl="1">
      <w:start w:val="1"/>
      <w:numFmt w:val="decimal"/>
      <w:lvlText w:val="%1.%2"/>
      <w:lvlJc w:val="left"/>
      <w:pPr>
        <w:ind w:left="720" w:hanging="360"/>
      </w:pPr>
      <w:rPr>
        <w:b w:val="0"/>
      </w:rPr>
    </w:lvl>
    <w:lvl w:ilvl="2">
      <w:start w:val="1"/>
      <w:numFmt w:val="bullet"/>
      <w:lvlText w:val=""/>
      <w:lvlJc w:val="left"/>
      <w:pPr>
        <w:ind w:left="1440" w:hanging="720"/>
      </w:pPr>
      <w:rPr>
        <w:rFonts w:ascii="Symbol" w:hAnsi="Symbol" w:hint="default"/>
      </w:rPr>
    </w:lvl>
    <w:lvl w:ilvl="3">
      <w:start w:val="1"/>
      <w:numFmt w:val="lowerLetter"/>
      <w:lvlText w:val="%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44594911"/>
    <w:multiLevelType w:val="multilevel"/>
    <w:tmpl w:val="7DEE915A"/>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01205F"/>
    <w:multiLevelType w:val="hybridMultilevel"/>
    <w:tmpl w:val="174C2E9E"/>
    <w:lvl w:ilvl="0" w:tplc="F28EB0BA">
      <w:start w:val="1"/>
      <w:numFmt w:val="decimal"/>
      <w:lvlText w:val="4.%1"/>
      <w:lvlJc w:val="left"/>
      <w:pPr>
        <w:ind w:left="720" w:hanging="360"/>
      </w:pPr>
      <w:rPr>
        <w:rFonts w:ascii="Arial" w:hAnsi="Arial" w:cs="Arial" w:hint="default"/>
        <w:sz w:val="22"/>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5"/>
  </w:num>
  <w:num w:numId="4">
    <w:abstractNumId w:val="7"/>
  </w:num>
  <w:num w:numId="5">
    <w:abstractNumId w:val="2"/>
  </w:num>
  <w:num w:numId="6">
    <w:abstractNumId w:val="8"/>
  </w:num>
  <w:num w:numId="7">
    <w:abstractNumId w:val="1"/>
  </w:num>
  <w:num w:numId="8">
    <w:abstractNumId w:val="4"/>
  </w:num>
  <w:num w:numId="9">
    <w:abstractNumId w:val="6"/>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BA4"/>
    <w:rsid w:val="00005E39"/>
    <w:rsid w:val="00006237"/>
    <w:rsid w:val="000140EB"/>
    <w:rsid w:val="00024059"/>
    <w:rsid w:val="00030953"/>
    <w:rsid w:val="00036FDA"/>
    <w:rsid w:val="00043819"/>
    <w:rsid w:val="00045F87"/>
    <w:rsid w:val="00051746"/>
    <w:rsid w:val="0005580F"/>
    <w:rsid w:val="00057BEE"/>
    <w:rsid w:val="000645F8"/>
    <w:rsid w:val="00064A0C"/>
    <w:rsid w:val="00070441"/>
    <w:rsid w:val="00086B20"/>
    <w:rsid w:val="00094021"/>
    <w:rsid w:val="00096362"/>
    <w:rsid w:val="000A304B"/>
    <w:rsid w:val="000A5FA7"/>
    <w:rsid w:val="000A7AF2"/>
    <w:rsid w:val="000B1518"/>
    <w:rsid w:val="000B3B82"/>
    <w:rsid w:val="000B3F45"/>
    <w:rsid w:val="000B6189"/>
    <w:rsid w:val="000C2CDB"/>
    <w:rsid w:val="000D4FE7"/>
    <w:rsid w:val="000F0F47"/>
    <w:rsid w:val="000F3F85"/>
    <w:rsid w:val="000F7835"/>
    <w:rsid w:val="00102CF5"/>
    <w:rsid w:val="00107E93"/>
    <w:rsid w:val="00113320"/>
    <w:rsid w:val="00113C0A"/>
    <w:rsid w:val="00114E0B"/>
    <w:rsid w:val="0011657C"/>
    <w:rsid w:val="00117CEA"/>
    <w:rsid w:val="00121EF5"/>
    <w:rsid w:val="00122364"/>
    <w:rsid w:val="001240CA"/>
    <w:rsid w:val="00124DB6"/>
    <w:rsid w:val="001328EA"/>
    <w:rsid w:val="00141F69"/>
    <w:rsid w:val="00152740"/>
    <w:rsid w:val="00153E1D"/>
    <w:rsid w:val="00155B6C"/>
    <w:rsid w:val="001561CA"/>
    <w:rsid w:val="00175339"/>
    <w:rsid w:val="00175AAF"/>
    <w:rsid w:val="00185BD7"/>
    <w:rsid w:val="001B0F5A"/>
    <w:rsid w:val="001B6A32"/>
    <w:rsid w:val="001C2F29"/>
    <w:rsid w:val="001C5E9C"/>
    <w:rsid w:val="001E199D"/>
    <w:rsid w:val="001E2C60"/>
    <w:rsid w:val="001E3350"/>
    <w:rsid w:val="0020266D"/>
    <w:rsid w:val="00203658"/>
    <w:rsid w:val="002065A5"/>
    <w:rsid w:val="00210227"/>
    <w:rsid w:val="002117D7"/>
    <w:rsid w:val="00212369"/>
    <w:rsid w:val="00214A77"/>
    <w:rsid w:val="00216CB9"/>
    <w:rsid w:val="00220F06"/>
    <w:rsid w:val="00221270"/>
    <w:rsid w:val="00223466"/>
    <w:rsid w:val="002260BF"/>
    <w:rsid w:val="00242EEA"/>
    <w:rsid w:val="00242FC7"/>
    <w:rsid w:val="00244B7E"/>
    <w:rsid w:val="00245F8D"/>
    <w:rsid w:val="002636EB"/>
    <w:rsid w:val="00276E4F"/>
    <w:rsid w:val="00281074"/>
    <w:rsid w:val="00287714"/>
    <w:rsid w:val="0028798D"/>
    <w:rsid w:val="00294262"/>
    <w:rsid w:val="002A5AD8"/>
    <w:rsid w:val="002B7882"/>
    <w:rsid w:val="002C76CF"/>
    <w:rsid w:val="002E53F4"/>
    <w:rsid w:val="002F3EDB"/>
    <w:rsid w:val="002F44FB"/>
    <w:rsid w:val="002F4D50"/>
    <w:rsid w:val="003076B4"/>
    <w:rsid w:val="00310778"/>
    <w:rsid w:val="00311442"/>
    <w:rsid w:val="00311631"/>
    <w:rsid w:val="0031498A"/>
    <w:rsid w:val="003151EB"/>
    <w:rsid w:val="0031785A"/>
    <w:rsid w:val="00320864"/>
    <w:rsid w:val="00326F48"/>
    <w:rsid w:val="003339D7"/>
    <w:rsid w:val="003341A0"/>
    <w:rsid w:val="003362C2"/>
    <w:rsid w:val="003436D1"/>
    <w:rsid w:val="00347E22"/>
    <w:rsid w:val="00350118"/>
    <w:rsid w:val="003507E2"/>
    <w:rsid w:val="003557EC"/>
    <w:rsid w:val="00356F69"/>
    <w:rsid w:val="00361C87"/>
    <w:rsid w:val="00362BED"/>
    <w:rsid w:val="00363E3F"/>
    <w:rsid w:val="00370623"/>
    <w:rsid w:val="00396418"/>
    <w:rsid w:val="00396598"/>
    <w:rsid w:val="003A19A8"/>
    <w:rsid w:val="003A25B4"/>
    <w:rsid w:val="003A3061"/>
    <w:rsid w:val="003A5046"/>
    <w:rsid w:val="003B4204"/>
    <w:rsid w:val="003D5F44"/>
    <w:rsid w:val="003D7EBB"/>
    <w:rsid w:val="0040012B"/>
    <w:rsid w:val="0040789F"/>
    <w:rsid w:val="004100B8"/>
    <w:rsid w:val="00416F7C"/>
    <w:rsid w:val="00421C6B"/>
    <w:rsid w:val="0043460F"/>
    <w:rsid w:val="00434B99"/>
    <w:rsid w:val="00436839"/>
    <w:rsid w:val="00460488"/>
    <w:rsid w:val="00460738"/>
    <w:rsid w:val="004629AF"/>
    <w:rsid w:val="004723BC"/>
    <w:rsid w:val="004841B6"/>
    <w:rsid w:val="004873B7"/>
    <w:rsid w:val="00490E08"/>
    <w:rsid w:val="00491679"/>
    <w:rsid w:val="0049501C"/>
    <w:rsid w:val="004A03C6"/>
    <w:rsid w:val="004A1D9F"/>
    <w:rsid w:val="004A1EFB"/>
    <w:rsid w:val="004B2BA4"/>
    <w:rsid w:val="004B2C5D"/>
    <w:rsid w:val="004B3BA6"/>
    <w:rsid w:val="004B54AF"/>
    <w:rsid w:val="004B54CA"/>
    <w:rsid w:val="004D0C9A"/>
    <w:rsid w:val="004D2F69"/>
    <w:rsid w:val="004E26C6"/>
    <w:rsid w:val="004E5A06"/>
    <w:rsid w:val="00532448"/>
    <w:rsid w:val="00532C85"/>
    <w:rsid w:val="00533E1A"/>
    <w:rsid w:val="00541B42"/>
    <w:rsid w:val="00544E23"/>
    <w:rsid w:val="00574E5B"/>
    <w:rsid w:val="005769CE"/>
    <w:rsid w:val="005819A6"/>
    <w:rsid w:val="00584D6A"/>
    <w:rsid w:val="00586553"/>
    <w:rsid w:val="00591DBC"/>
    <w:rsid w:val="005A0251"/>
    <w:rsid w:val="005A6EBB"/>
    <w:rsid w:val="005B2063"/>
    <w:rsid w:val="005B3EE2"/>
    <w:rsid w:val="005B6FAC"/>
    <w:rsid w:val="005B7E0B"/>
    <w:rsid w:val="005C5944"/>
    <w:rsid w:val="005D59C0"/>
    <w:rsid w:val="005E1F56"/>
    <w:rsid w:val="005E4384"/>
    <w:rsid w:val="005F20BF"/>
    <w:rsid w:val="005F48E1"/>
    <w:rsid w:val="00601871"/>
    <w:rsid w:val="006077F4"/>
    <w:rsid w:val="006374E6"/>
    <w:rsid w:val="00654DB5"/>
    <w:rsid w:val="00656426"/>
    <w:rsid w:val="006570A5"/>
    <w:rsid w:val="00662884"/>
    <w:rsid w:val="00666298"/>
    <w:rsid w:val="00670398"/>
    <w:rsid w:val="00671262"/>
    <w:rsid w:val="006804A3"/>
    <w:rsid w:val="00685F45"/>
    <w:rsid w:val="006903AB"/>
    <w:rsid w:val="00694CF5"/>
    <w:rsid w:val="006A55A9"/>
    <w:rsid w:val="006A77B8"/>
    <w:rsid w:val="006B59E8"/>
    <w:rsid w:val="006C16B2"/>
    <w:rsid w:val="006C2D8B"/>
    <w:rsid w:val="006C42BD"/>
    <w:rsid w:val="006D33D3"/>
    <w:rsid w:val="006D660D"/>
    <w:rsid w:val="006D6962"/>
    <w:rsid w:val="006E2A34"/>
    <w:rsid w:val="006F07A6"/>
    <w:rsid w:val="006F2485"/>
    <w:rsid w:val="006F24D1"/>
    <w:rsid w:val="006F7E6E"/>
    <w:rsid w:val="007022B8"/>
    <w:rsid w:val="0071202E"/>
    <w:rsid w:val="00712EF7"/>
    <w:rsid w:val="00722CD1"/>
    <w:rsid w:val="00723D8C"/>
    <w:rsid w:val="0072465A"/>
    <w:rsid w:val="00727BDB"/>
    <w:rsid w:val="00744606"/>
    <w:rsid w:val="0076625D"/>
    <w:rsid w:val="00774901"/>
    <w:rsid w:val="00783F39"/>
    <w:rsid w:val="00786527"/>
    <w:rsid w:val="00793879"/>
    <w:rsid w:val="007A48E5"/>
    <w:rsid w:val="007B74F1"/>
    <w:rsid w:val="007B77D4"/>
    <w:rsid w:val="007C2D6A"/>
    <w:rsid w:val="007D251E"/>
    <w:rsid w:val="007E2091"/>
    <w:rsid w:val="007E6CD0"/>
    <w:rsid w:val="007F5DB3"/>
    <w:rsid w:val="00801ABD"/>
    <w:rsid w:val="00812CA2"/>
    <w:rsid w:val="00814FBE"/>
    <w:rsid w:val="008246C1"/>
    <w:rsid w:val="00835CA8"/>
    <w:rsid w:val="00845119"/>
    <w:rsid w:val="00845C11"/>
    <w:rsid w:val="00856B5A"/>
    <w:rsid w:val="008579AE"/>
    <w:rsid w:val="008622C8"/>
    <w:rsid w:val="008654B6"/>
    <w:rsid w:val="00865D23"/>
    <w:rsid w:val="008702D3"/>
    <w:rsid w:val="0087136C"/>
    <w:rsid w:val="00871BFF"/>
    <w:rsid w:val="00874F2F"/>
    <w:rsid w:val="00875348"/>
    <w:rsid w:val="00876DB7"/>
    <w:rsid w:val="00884481"/>
    <w:rsid w:val="00885998"/>
    <w:rsid w:val="00885FB2"/>
    <w:rsid w:val="00887442"/>
    <w:rsid w:val="008976DD"/>
    <w:rsid w:val="008A1D3E"/>
    <w:rsid w:val="008A7F3A"/>
    <w:rsid w:val="008B75D8"/>
    <w:rsid w:val="0090136B"/>
    <w:rsid w:val="00902355"/>
    <w:rsid w:val="0092617A"/>
    <w:rsid w:val="009320B8"/>
    <w:rsid w:val="009367E3"/>
    <w:rsid w:val="0095024D"/>
    <w:rsid w:val="0096106E"/>
    <w:rsid w:val="00962A92"/>
    <w:rsid w:val="00963066"/>
    <w:rsid w:val="00964F6F"/>
    <w:rsid w:val="0096508D"/>
    <w:rsid w:val="00966635"/>
    <w:rsid w:val="0096759A"/>
    <w:rsid w:val="00967C1D"/>
    <w:rsid w:val="00970528"/>
    <w:rsid w:val="009773B7"/>
    <w:rsid w:val="0098771D"/>
    <w:rsid w:val="009A52F6"/>
    <w:rsid w:val="009A6C0E"/>
    <w:rsid w:val="009B23E7"/>
    <w:rsid w:val="009B346B"/>
    <w:rsid w:val="009B7EB3"/>
    <w:rsid w:val="009C7029"/>
    <w:rsid w:val="009D2B52"/>
    <w:rsid w:val="009D2DC1"/>
    <w:rsid w:val="009D7E0E"/>
    <w:rsid w:val="009E5A4D"/>
    <w:rsid w:val="009F3362"/>
    <w:rsid w:val="00A12951"/>
    <w:rsid w:val="00A1703F"/>
    <w:rsid w:val="00A50DC4"/>
    <w:rsid w:val="00A74203"/>
    <w:rsid w:val="00A748CA"/>
    <w:rsid w:val="00A8360B"/>
    <w:rsid w:val="00A87BEB"/>
    <w:rsid w:val="00A95CDF"/>
    <w:rsid w:val="00AA53B8"/>
    <w:rsid w:val="00AA68C4"/>
    <w:rsid w:val="00AD3072"/>
    <w:rsid w:val="00AD3975"/>
    <w:rsid w:val="00AD559A"/>
    <w:rsid w:val="00AD7ABF"/>
    <w:rsid w:val="00AE0B84"/>
    <w:rsid w:val="00AE5897"/>
    <w:rsid w:val="00B0032E"/>
    <w:rsid w:val="00B02888"/>
    <w:rsid w:val="00B17F18"/>
    <w:rsid w:val="00B20A6E"/>
    <w:rsid w:val="00B220F3"/>
    <w:rsid w:val="00B22900"/>
    <w:rsid w:val="00B24E61"/>
    <w:rsid w:val="00B301A6"/>
    <w:rsid w:val="00B32B28"/>
    <w:rsid w:val="00B4303E"/>
    <w:rsid w:val="00B5371B"/>
    <w:rsid w:val="00B60D81"/>
    <w:rsid w:val="00B6230C"/>
    <w:rsid w:val="00B72812"/>
    <w:rsid w:val="00B82804"/>
    <w:rsid w:val="00B935F5"/>
    <w:rsid w:val="00B94F50"/>
    <w:rsid w:val="00BA0211"/>
    <w:rsid w:val="00BA105D"/>
    <w:rsid w:val="00BA4872"/>
    <w:rsid w:val="00BA5793"/>
    <w:rsid w:val="00BB4C68"/>
    <w:rsid w:val="00BC7533"/>
    <w:rsid w:val="00BC7ADB"/>
    <w:rsid w:val="00BD3ED4"/>
    <w:rsid w:val="00BD3F39"/>
    <w:rsid w:val="00BF2D9C"/>
    <w:rsid w:val="00BF7FD8"/>
    <w:rsid w:val="00C10518"/>
    <w:rsid w:val="00C20C19"/>
    <w:rsid w:val="00C234D9"/>
    <w:rsid w:val="00C35ADE"/>
    <w:rsid w:val="00C4101F"/>
    <w:rsid w:val="00C439C4"/>
    <w:rsid w:val="00C4663E"/>
    <w:rsid w:val="00C46B38"/>
    <w:rsid w:val="00C6375D"/>
    <w:rsid w:val="00C67E2B"/>
    <w:rsid w:val="00C77237"/>
    <w:rsid w:val="00C84670"/>
    <w:rsid w:val="00C9446A"/>
    <w:rsid w:val="00C967E3"/>
    <w:rsid w:val="00CA73C8"/>
    <w:rsid w:val="00CB4C68"/>
    <w:rsid w:val="00CB5316"/>
    <w:rsid w:val="00CB6B9A"/>
    <w:rsid w:val="00CC3828"/>
    <w:rsid w:val="00CC4879"/>
    <w:rsid w:val="00CD00D8"/>
    <w:rsid w:val="00CD490E"/>
    <w:rsid w:val="00CE5A48"/>
    <w:rsid w:val="00CF1A5A"/>
    <w:rsid w:val="00CF41E8"/>
    <w:rsid w:val="00CF7042"/>
    <w:rsid w:val="00D065A2"/>
    <w:rsid w:val="00D11514"/>
    <w:rsid w:val="00D12431"/>
    <w:rsid w:val="00D21698"/>
    <w:rsid w:val="00D216C0"/>
    <w:rsid w:val="00D268B8"/>
    <w:rsid w:val="00D271DC"/>
    <w:rsid w:val="00D31CAE"/>
    <w:rsid w:val="00D46264"/>
    <w:rsid w:val="00D504EA"/>
    <w:rsid w:val="00D52120"/>
    <w:rsid w:val="00D53C77"/>
    <w:rsid w:val="00D77138"/>
    <w:rsid w:val="00D844DC"/>
    <w:rsid w:val="00D92A82"/>
    <w:rsid w:val="00DA4035"/>
    <w:rsid w:val="00DA469C"/>
    <w:rsid w:val="00DA5859"/>
    <w:rsid w:val="00DC69F2"/>
    <w:rsid w:val="00DE6E3D"/>
    <w:rsid w:val="00DF1376"/>
    <w:rsid w:val="00DF2DC6"/>
    <w:rsid w:val="00E02B58"/>
    <w:rsid w:val="00E03889"/>
    <w:rsid w:val="00E11317"/>
    <w:rsid w:val="00E11998"/>
    <w:rsid w:val="00E13B80"/>
    <w:rsid w:val="00E13D78"/>
    <w:rsid w:val="00E15278"/>
    <w:rsid w:val="00E1538C"/>
    <w:rsid w:val="00E2330F"/>
    <w:rsid w:val="00E37172"/>
    <w:rsid w:val="00E430E1"/>
    <w:rsid w:val="00E449B9"/>
    <w:rsid w:val="00E53604"/>
    <w:rsid w:val="00E5542E"/>
    <w:rsid w:val="00E648BF"/>
    <w:rsid w:val="00E702F6"/>
    <w:rsid w:val="00E80BFE"/>
    <w:rsid w:val="00E843AF"/>
    <w:rsid w:val="00EA2920"/>
    <w:rsid w:val="00EB0360"/>
    <w:rsid w:val="00EB54B6"/>
    <w:rsid w:val="00EB606C"/>
    <w:rsid w:val="00EE2B1B"/>
    <w:rsid w:val="00EE6203"/>
    <w:rsid w:val="00EF5674"/>
    <w:rsid w:val="00EF5CA6"/>
    <w:rsid w:val="00F102F3"/>
    <w:rsid w:val="00F15778"/>
    <w:rsid w:val="00F229B9"/>
    <w:rsid w:val="00F55C6E"/>
    <w:rsid w:val="00F55E7C"/>
    <w:rsid w:val="00F626AD"/>
    <w:rsid w:val="00F72750"/>
    <w:rsid w:val="00F73741"/>
    <w:rsid w:val="00F8304D"/>
    <w:rsid w:val="00F920DE"/>
    <w:rsid w:val="00FB314C"/>
    <w:rsid w:val="00FB3DE1"/>
    <w:rsid w:val="00FB66E0"/>
    <w:rsid w:val="00FB6E36"/>
    <w:rsid w:val="00FC1B4D"/>
    <w:rsid w:val="00FC5ADD"/>
    <w:rsid w:val="00FD0A20"/>
    <w:rsid w:val="00FD4ABD"/>
    <w:rsid w:val="00FF6808"/>
    <w:rsid w:val="018353BF"/>
    <w:rsid w:val="2C93B607"/>
    <w:rsid w:val="4A29901A"/>
    <w:rsid w:val="6E927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EA239"/>
  <w15:chartTrackingRefBased/>
  <w15:docId w15:val="{25A69D5F-0DED-4114-89C3-DB53A1923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2BA4"/>
    <w:pPr>
      <w:spacing w:after="200" w:line="276" w:lineRule="auto"/>
    </w:pPr>
    <w:rPr>
      <w:rFonts w:eastAsiaTheme="minorEastAsia"/>
      <w:lang w:val="en-GB"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unhideWhenUsed/>
    <w:qFormat/>
    <w:rsid w:val="004B2BA4"/>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4B2BA4"/>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customStyle="1" w:styleId="Paragraph">
    <w:name w:val="Paragraph"/>
    <w:aliases w:val="paragraph,p,PARAGRAPH,PG,pa,at"/>
    <w:basedOn w:val="BodyTextIndent"/>
    <w:link w:val="ParagraphChar"/>
    <w:qFormat/>
    <w:rsid w:val="004B2BA4"/>
    <w:pPr>
      <w:numPr>
        <w:ilvl w:val="1"/>
        <w:numId w:val="1"/>
      </w:numPr>
      <w:spacing w:before="120" w:line="240" w:lineRule="auto"/>
      <w:jc w:val="both"/>
      <w:outlineLvl w:val="1"/>
    </w:pPr>
    <w:rPr>
      <w:rFonts w:ascii="Times New Roman" w:eastAsia="Times New Roman" w:hAnsi="Times New Roman" w:cs="Times New Roman"/>
      <w:sz w:val="24"/>
      <w:szCs w:val="20"/>
      <w:lang w:val="en-US"/>
    </w:rPr>
  </w:style>
  <w:style w:type="character" w:customStyle="1" w:styleId="ParagraphChar">
    <w:name w:val="Paragraph Char"/>
    <w:aliases w:val="p Char,PARAGRAPH Char,PG Char,pa Char,at Char,paragraph Char"/>
    <w:link w:val="Paragraph"/>
    <w:rsid w:val="004B2BA4"/>
    <w:rPr>
      <w:rFonts w:ascii="Times New Roman" w:eastAsia="Times New Roman" w:hAnsi="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f"/>
    <w:basedOn w:val="Normal"/>
    <w:link w:val="FootnoteTextChar"/>
    <w:uiPriority w:val="99"/>
    <w:unhideWhenUsed/>
    <w:qFormat/>
    <w:rsid w:val="004B2BA4"/>
    <w:pPr>
      <w:keepNext/>
      <w:keepLines/>
      <w:spacing w:after="120" w:line="240" w:lineRule="auto"/>
      <w:ind w:left="288" w:hanging="288"/>
      <w:jc w:val="both"/>
    </w:pPr>
    <w:rPr>
      <w:rFonts w:ascii="Times New Roman" w:hAnsi="Times New Roman" w:cs="Times New Roman"/>
      <w:spacing w:val="-3"/>
      <w:sz w:val="20"/>
      <w:szCs w:val="20"/>
      <w:lang w:val="en-US"/>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4B2BA4"/>
    <w:rPr>
      <w:rFonts w:ascii="Times New Roman" w:eastAsiaTheme="minorEastAsia" w:hAnsi="Times New Roman" w:cs="Times New Roman"/>
      <w:spacing w:val="-3"/>
      <w:sz w:val="20"/>
      <w:szCs w:val="20"/>
      <w:lang w:eastAsia="en-GB"/>
    </w:rPr>
  </w:style>
  <w:style w:type="paragraph" w:customStyle="1" w:styleId="Chapter">
    <w:name w:val="Chapter"/>
    <w:basedOn w:val="Normal"/>
    <w:next w:val="Normal"/>
    <w:qFormat/>
    <w:rsid w:val="004B2BA4"/>
    <w:pPr>
      <w:keepNext/>
      <w:numPr>
        <w:numId w:val="1"/>
      </w:numPr>
      <w:tabs>
        <w:tab w:val="left" w:pos="1440"/>
      </w:tabs>
      <w:spacing w:before="240" w:after="240" w:line="240" w:lineRule="auto"/>
      <w:jc w:val="center"/>
    </w:pPr>
    <w:rPr>
      <w:rFonts w:ascii="Times New Roman" w:eastAsia="Times New Roman" w:hAnsi="Times New Roman" w:cs="Times New Roman"/>
      <w:b/>
      <w:smallCaps/>
      <w:sz w:val="24"/>
      <w:szCs w:val="20"/>
      <w:lang w:val="en-US"/>
    </w:rPr>
  </w:style>
  <w:style w:type="paragraph" w:customStyle="1" w:styleId="subpar">
    <w:name w:val="subpar"/>
    <w:basedOn w:val="BodyTextIndent3"/>
    <w:rsid w:val="004B2BA4"/>
    <w:pPr>
      <w:numPr>
        <w:ilvl w:val="2"/>
        <w:numId w:val="1"/>
      </w:numPr>
      <w:spacing w:before="120" w:line="240" w:lineRule="auto"/>
      <w:jc w:val="both"/>
      <w:outlineLvl w:val="2"/>
    </w:pPr>
    <w:rPr>
      <w:rFonts w:ascii="Times New Roman" w:hAnsi="Times New Roman" w:cs="Times New Roman"/>
      <w:sz w:val="24"/>
    </w:rPr>
  </w:style>
  <w:style w:type="paragraph" w:customStyle="1" w:styleId="SubSubPar">
    <w:name w:val="SubSubPar"/>
    <w:basedOn w:val="subpar"/>
    <w:link w:val="SubSubParChar"/>
    <w:rsid w:val="004B2BA4"/>
    <w:pPr>
      <w:numPr>
        <w:ilvl w:val="3"/>
      </w:numPr>
      <w:tabs>
        <w:tab w:val="clear" w:pos="3024"/>
        <w:tab w:val="left" w:pos="0"/>
        <w:tab w:val="num" w:pos="1296"/>
      </w:tabs>
      <w:ind w:left="1296"/>
    </w:pPr>
  </w:style>
  <w:style w:type="character" w:customStyle="1" w:styleId="SubSubParChar">
    <w:name w:val="SubSubPar Char"/>
    <w:basedOn w:val="DefaultParagraphFont"/>
    <w:link w:val="SubSubPar"/>
    <w:rsid w:val="004B2BA4"/>
    <w:rPr>
      <w:rFonts w:ascii="Times New Roman" w:eastAsiaTheme="minorEastAsia" w:hAnsi="Times New Roman" w:cs="Times New Roman"/>
      <w:sz w:val="24"/>
      <w:szCs w:val="16"/>
      <w:lang w:val="en-GB" w:eastAsia="en-GB"/>
    </w:rPr>
  </w:style>
  <w:style w:type="character" w:styleId="BookTitle">
    <w:name w:val="Book Title"/>
    <w:basedOn w:val="DefaultParagraphFont"/>
    <w:uiPriority w:val="33"/>
    <w:qFormat/>
    <w:rsid w:val="004B2BA4"/>
    <w:rPr>
      <w:b/>
      <w:bCs/>
      <w:smallCaps/>
      <w:spacing w:val="5"/>
    </w:rPr>
  </w:style>
  <w:style w:type="paragraph" w:styleId="Footer">
    <w:name w:val="footer"/>
    <w:basedOn w:val="Normal"/>
    <w:link w:val="FooterChar"/>
    <w:uiPriority w:val="99"/>
    <w:unhideWhenUsed/>
    <w:rsid w:val="004B2B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2BA4"/>
    <w:rPr>
      <w:rFonts w:eastAsiaTheme="minorEastAsia"/>
      <w:lang w:val="en-GB" w:eastAsia="en-GB"/>
    </w:rPr>
  </w:style>
  <w:style w:type="paragraph" w:customStyle="1" w:styleId="Newpage">
    <w:name w:val="Newpage"/>
    <w:basedOn w:val="Chapter"/>
    <w:rsid w:val="004B2BA4"/>
    <w:pPr>
      <w:numPr>
        <w:numId w:val="0"/>
      </w:numPr>
      <w:tabs>
        <w:tab w:val="clear" w:pos="1440"/>
        <w:tab w:val="left" w:pos="3060"/>
      </w:tabs>
      <w:spacing w:after="0"/>
    </w:pPr>
    <w:rPr>
      <w:lang w:val="es-ES" w:eastAsia="en-US"/>
    </w:rPr>
  </w:style>
  <w:style w:type="paragraph" w:styleId="ListParagraph">
    <w:name w:val="List Paragraph"/>
    <w:basedOn w:val="Normal"/>
    <w:link w:val="ListParagraphChar"/>
    <w:uiPriority w:val="34"/>
    <w:qFormat/>
    <w:rsid w:val="004B2BA4"/>
    <w:pPr>
      <w:spacing w:after="0" w:line="240" w:lineRule="auto"/>
      <w:ind w:left="720"/>
      <w:contextualSpacing/>
    </w:pPr>
    <w:rPr>
      <w:rFonts w:ascii="Times New Roman" w:eastAsia="Times New Roman" w:hAnsi="Times New Roman" w:cs="Times New Roman"/>
      <w:sz w:val="24"/>
      <w:szCs w:val="20"/>
      <w:lang w:val="es-ES_tradnl" w:eastAsia="en-US"/>
    </w:rPr>
  </w:style>
  <w:style w:type="character" w:styleId="Hyperlink">
    <w:name w:val="Hyperlink"/>
    <w:basedOn w:val="DefaultParagraphFont"/>
    <w:rsid w:val="004B2BA4"/>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4B2BA4"/>
    <w:rPr>
      <w:vertAlign w:val="superscript"/>
    </w:rPr>
  </w:style>
  <w:style w:type="paragraph" w:customStyle="1" w:styleId="Char2">
    <w:name w:val="Char2"/>
    <w:basedOn w:val="Normal"/>
    <w:link w:val="FootnoteReference"/>
    <w:uiPriority w:val="99"/>
    <w:rsid w:val="004B2BA4"/>
    <w:pPr>
      <w:spacing w:after="160" w:line="240" w:lineRule="exact"/>
    </w:pPr>
    <w:rPr>
      <w:rFonts w:eastAsiaTheme="minorHAnsi"/>
      <w:vertAlign w:val="superscript"/>
      <w:lang w:val="en-US" w:eastAsia="en-US"/>
    </w:rPr>
  </w:style>
  <w:style w:type="paragraph" w:styleId="BodyTextIndent">
    <w:name w:val="Body Text Indent"/>
    <w:basedOn w:val="Normal"/>
    <w:link w:val="BodyTextIndentChar"/>
    <w:uiPriority w:val="99"/>
    <w:semiHidden/>
    <w:unhideWhenUsed/>
    <w:rsid w:val="004B2BA4"/>
    <w:pPr>
      <w:spacing w:after="120"/>
      <w:ind w:left="360"/>
    </w:pPr>
  </w:style>
  <w:style w:type="character" w:customStyle="1" w:styleId="BodyTextIndentChar">
    <w:name w:val="Body Text Indent Char"/>
    <w:basedOn w:val="DefaultParagraphFont"/>
    <w:link w:val="BodyTextIndent"/>
    <w:uiPriority w:val="99"/>
    <w:semiHidden/>
    <w:rsid w:val="004B2BA4"/>
    <w:rPr>
      <w:rFonts w:eastAsiaTheme="minorEastAsia"/>
      <w:lang w:val="en-GB" w:eastAsia="en-GB"/>
    </w:rPr>
  </w:style>
  <w:style w:type="paragraph" w:styleId="BodyTextIndent3">
    <w:name w:val="Body Text Indent 3"/>
    <w:basedOn w:val="Normal"/>
    <w:link w:val="BodyTextIndent3Char"/>
    <w:uiPriority w:val="99"/>
    <w:semiHidden/>
    <w:unhideWhenUsed/>
    <w:rsid w:val="004B2BA4"/>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B2BA4"/>
    <w:rPr>
      <w:rFonts w:eastAsiaTheme="minorEastAsia"/>
      <w:sz w:val="16"/>
      <w:szCs w:val="16"/>
      <w:lang w:val="en-GB" w:eastAsia="en-GB"/>
    </w:rPr>
  </w:style>
  <w:style w:type="paragraph" w:styleId="BodyText">
    <w:name w:val="Body Text"/>
    <w:basedOn w:val="Normal"/>
    <w:link w:val="BodyTextChar"/>
    <w:uiPriority w:val="99"/>
    <w:unhideWhenUsed/>
    <w:rsid w:val="00244B7E"/>
    <w:pPr>
      <w:spacing w:after="120" w:line="240" w:lineRule="auto"/>
    </w:pPr>
    <w:rPr>
      <w:rFonts w:ascii="Cambria" w:eastAsia="MS Mincho" w:hAnsi="Cambria" w:cs="Times New Roman"/>
      <w:sz w:val="24"/>
      <w:szCs w:val="24"/>
      <w:lang w:val="en-US" w:eastAsia="ja-JP"/>
    </w:rPr>
  </w:style>
  <w:style w:type="character" w:customStyle="1" w:styleId="BodyTextChar">
    <w:name w:val="Body Text Char"/>
    <w:basedOn w:val="DefaultParagraphFont"/>
    <w:link w:val="BodyText"/>
    <w:uiPriority w:val="99"/>
    <w:rsid w:val="00244B7E"/>
    <w:rPr>
      <w:rFonts w:ascii="Cambria" w:eastAsia="MS Mincho" w:hAnsi="Cambria" w:cs="Times New Roman"/>
      <w:sz w:val="24"/>
      <w:szCs w:val="24"/>
      <w:lang w:eastAsia="ja-JP"/>
    </w:rPr>
  </w:style>
  <w:style w:type="paragraph" w:styleId="Title">
    <w:name w:val="Title"/>
    <w:basedOn w:val="Normal"/>
    <w:link w:val="TitleChar"/>
    <w:qFormat/>
    <w:rsid w:val="00244B7E"/>
    <w:pPr>
      <w:tabs>
        <w:tab w:val="left" w:pos="1440"/>
        <w:tab w:val="left" w:pos="3060"/>
      </w:tabs>
      <w:spacing w:after="0" w:line="240" w:lineRule="auto"/>
      <w:jc w:val="center"/>
      <w:outlineLvl w:val="0"/>
    </w:pPr>
    <w:rPr>
      <w:rFonts w:ascii="Times New Roman" w:eastAsia="Times New Roman" w:hAnsi="Times New Roman" w:cs="Times New Roman"/>
      <w:sz w:val="24"/>
      <w:szCs w:val="20"/>
      <w:lang w:val="en-US" w:eastAsia="en-US"/>
    </w:rPr>
  </w:style>
  <w:style w:type="character" w:customStyle="1" w:styleId="TitleChar">
    <w:name w:val="Title Char"/>
    <w:basedOn w:val="DefaultParagraphFont"/>
    <w:link w:val="Title"/>
    <w:rsid w:val="00244B7E"/>
    <w:rPr>
      <w:rFonts w:ascii="Times New Roman" w:eastAsia="Times New Roman" w:hAnsi="Times New Roman" w:cs="Times New Roman"/>
      <w:sz w:val="24"/>
      <w:szCs w:val="20"/>
    </w:rPr>
  </w:style>
  <w:style w:type="character" w:styleId="PlaceholderText">
    <w:name w:val="Placeholder Text"/>
    <w:basedOn w:val="DefaultParagraphFont"/>
    <w:uiPriority w:val="99"/>
    <w:semiHidden/>
    <w:rsid w:val="00244B7E"/>
    <w:rPr>
      <w:color w:val="808080"/>
    </w:rPr>
  </w:style>
  <w:style w:type="paragraph" w:styleId="BalloonText">
    <w:name w:val="Balloon Text"/>
    <w:basedOn w:val="Normal"/>
    <w:link w:val="BalloonTextChar"/>
    <w:uiPriority w:val="99"/>
    <w:semiHidden/>
    <w:unhideWhenUsed/>
    <w:rsid w:val="00244B7E"/>
    <w:pPr>
      <w:spacing w:after="0" w:line="240" w:lineRule="auto"/>
    </w:pPr>
    <w:rPr>
      <w:rFonts w:ascii="Tahoma" w:eastAsiaTheme="minorHAnsi" w:hAnsi="Tahoma" w:cs="Tahoma"/>
      <w:sz w:val="16"/>
      <w:szCs w:val="16"/>
      <w:lang w:val="en-US" w:eastAsia="en-US"/>
    </w:rPr>
  </w:style>
  <w:style w:type="character" w:customStyle="1" w:styleId="BalloonTextChar">
    <w:name w:val="Balloon Text Char"/>
    <w:basedOn w:val="DefaultParagraphFont"/>
    <w:link w:val="BalloonText"/>
    <w:uiPriority w:val="99"/>
    <w:semiHidden/>
    <w:rsid w:val="00244B7E"/>
    <w:rPr>
      <w:rFonts w:ascii="Tahoma" w:hAnsi="Tahoma" w:cs="Tahoma"/>
      <w:sz w:val="16"/>
      <w:szCs w:val="16"/>
    </w:rPr>
  </w:style>
  <w:style w:type="character" w:styleId="FollowedHyperlink">
    <w:name w:val="FollowedHyperlink"/>
    <w:basedOn w:val="DefaultParagraphFont"/>
    <w:uiPriority w:val="99"/>
    <w:semiHidden/>
    <w:unhideWhenUsed/>
    <w:rsid w:val="00244B7E"/>
    <w:rPr>
      <w:color w:val="954F72" w:themeColor="followedHyperlink"/>
      <w:u w:val="single"/>
    </w:rPr>
  </w:style>
  <w:style w:type="character" w:styleId="CommentReference">
    <w:name w:val="annotation reference"/>
    <w:basedOn w:val="DefaultParagraphFont"/>
    <w:uiPriority w:val="99"/>
    <w:semiHidden/>
    <w:unhideWhenUsed/>
    <w:rsid w:val="00244B7E"/>
    <w:rPr>
      <w:sz w:val="16"/>
      <w:szCs w:val="16"/>
    </w:rPr>
  </w:style>
  <w:style w:type="paragraph" w:styleId="CommentText">
    <w:name w:val="annotation text"/>
    <w:basedOn w:val="Normal"/>
    <w:link w:val="CommentTextChar"/>
    <w:uiPriority w:val="99"/>
    <w:semiHidden/>
    <w:unhideWhenUsed/>
    <w:rsid w:val="00244B7E"/>
    <w:pPr>
      <w:spacing w:line="240" w:lineRule="auto"/>
    </w:pPr>
    <w:rPr>
      <w:rFonts w:eastAsiaTheme="minorHAnsi"/>
      <w:sz w:val="20"/>
      <w:szCs w:val="20"/>
      <w:lang w:val="en-US" w:eastAsia="en-US"/>
    </w:rPr>
  </w:style>
  <w:style w:type="character" w:customStyle="1" w:styleId="CommentTextChar">
    <w:name w:val="Comment Text Char"/>
    <w:basedOn w:val="DefaultParagraphFont"/>
    <w:link w:val="CommentText"/>
    <w:uiPriority w:val="99"/>
    <w:semiHidden/>
    <w:rsid w:val="00244B7E"/>
    <w:rPr>
      <w:sz w:val="20"/>
      <w:szCs w:val="20"/>
    </w:rPr>
  </w:style>
  <w:style w:type="paragraph" w:styleId="CommentSubject">
    <w:name w:val="annotation subject"/>
    <w:basedOn w:val="CommentText"/>
    <w:next w:val="CommentText"/>
    <w:link w:val="CommentSubjectChar"/>
    <w:uiPriority w:val="99"/>
    <w:semiHidden/>
    <w:unhideWhenUsed/>
    <w:rsid w:val="00244B7E"/>
    <w:rPr>
      <w:b/>
      <w:bCs/>
    </w:rPr>
  </w:style>
  <w:style w:type="character" w:customStyle="1" w:styleId="CommentSubjectChar">
    <w:name w:val="Comment Subject Char"/>
    <w:basedOn w:val="CommentTextChar"/>
    <w:link w:val="CommentSubject"/>
    <w:uiPriority w:val="99"/>
    <w:semiHidden/>
    <w:rsid w:val="00244B7E"/>
    <w:rPr>
      <w:b/>
      <w:bCs/>
      <w:sz w:val="20"/>
      <w:szCs w:val="20"/>
    </w:rPr>
  </w:style>
  <w:style w:type="character" w:styleId="UnresolvedMention">
    <w:name w:val="Unresolved Mention"/>
    <w:basedOn w:val="DefaultParagraphFont"/>
    <w:uiPriority w:val="99"/>
    <w:semiHidden/>
    <w:unhideWhenUsed/>
    <w:rsid w:val="00244B7E"/>
    <w:rPr>
      <w:color w:val="808080"/>
      <w:shd w:val="clear" w:color="auto" w:fill="E6E6E6"/>
    </w:rPr>
  </w:style>
  <w:style w:type="paragraph" w:styleId="Caption">
    <w:name w:val="caption"/>
    <w:basedOn w:val="Normal"/>
    <w:next w:val="Normal"/>
    <w:uiPriority w:val="35"/>
    <w:unhideWhenUsed/>
    <w:qFormat/>
    <w:rsid w:val="00244B7E"/>
    <w:pPr>
      <w:spacing w:line="240" w:lineRule="auto"/>
    </w:pPr>
    <w:rPr>
      <w:rFonts w:eastAsiaTheme="minorHAnsi"/>
      <w:i/>
      <w:iCs/>
      <w:color w:val="44546A" w:themeColor="text2"/>
      <w:sz w:val="18"/>
      <w:szCs w:val="18"/>
      <w:lang w:val="en-US" w:eastAsia="en-US"/>
    </w:rPr>
  </w:style>
  <w:style w:type="paragraph" w:customStyle="1" w:styleId="AbbrDesc">
    <w:name w:val="AbbrDesc"/>
    <w:basedOn w:val="Normal"/>
    <w:rsid w:val="001E3350"/>
    <w:pPr>
      <w:tabs>
        <w:tab w:val="left" w:pos="3060"/>
      </w:tabs>
      <w:spacing w:after="0" w:line="240" w:lineRule="auto"/>
      <w:jc w:val="both"/>
    </w:pPr>
    <w:rPr>
      <w:rFonts w:ascii="Times New Roman" w:eastAsia="Times New Roman" w:hAnsi="Times New Roman" w:cs="Times New Roman"/>
      <w:sz w:val="24"/>
      <w:szCs w:val="20"/>
      <w:lang w:val="es-ES_tradnl" w:eastAsia="en-US"/>
    </w:rPr>
  </w:style>
  <w:style w:type="paragraph" w:styleId="Header">
    <w:name w:val="header"/>
    <w:basedOn w:val="Normal"/>
    <w:link w:val="HeaderChar"/>
    <w:uiPriority w:val="99"/>
    <w:unhideWhenUsed/>
    <w:rsid w:val="000A5F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5FA7"/>
    <w:rPr>
      <w:rFonts w:eastAsiaTheme="minorEastAsia"/>
      <w:lang w:val="en-GB" w:eastAsia="en-GB"/>
    </w:rPr>
  </w:style>
  <w:style w:type="paragraph" w:styleId="Revision">
    <w:name w:val="Revision"/>
    <w:hidden/>
    <w:uiPriority w:val="99"/>
    <w:semiHidden/>
    <w:rsid w:val="00A1703F"/>
    <w:pPr>
      <w:spacing w:after="0" w:line="240" w:lineRule="auto"/>
    </w:pPr>
    <w:rPr>
      <w:rFonts w:eastAsiaTheme="minorEastAsia"/>
      <w:lang w:val="en-GB" w:eastAsia="en-GB"/>
    </w:rPr>
  </w:style>
  <w:style w:type="table" w:styleId="TableGrid">
    <w:name w:val="Table Grid"/>
    <w:basedOn w:val="TableNormal"/>
    <w:uiPriority w:val="39"/>
    <w:rsid w:val="00334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locked/>
    <w:rsid w:val="00532C85"/>
    <w:rPr>
      <w:rFonts w:ascii="Times New Roman" w:eastAsia="Times New Roman" w:hAnsi="Times New Roman" w:cs="Times New Roman"/>
      <w:sz w:val="24"/>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62400">
      <w:bodyDiv w:val="1"/>
      <w:marLeft w:val="0"/>
      <w:marRight w:val="0"/>
      <w:marTop w:val="0"/>
      <w:marBottom w:val="0"/>
      <w:divBdr>
        <w:top w:val="none" w:sz="0" w:space="0" w:color="auto"/>
        <w:left w:val="none" w:sz="0" w:space="0" w:color="auto"/>
        <w:bottom w:val="none" w:sz="0" w:space="0" w:color="auto"/>
        <w:right w:val="none" w:sz="0" w:space="0" w:color="auto"/>
      </w:divBdr>
    </w:div>
    <w:div w:id="169761032">
      <w:bodyDiv w:val="1"/>
      <w:marLeft w:val="0"/>
      <w:marRight w:val="0"/>
      <w:marTop w:val="0"/>
      <w:marBottom w:val="0"/>
      <w:divBdr>
        <w:top w:val="none" w:sz="0" w:space="0" w:color="auto"/>
        <w:left w:val="none" w:sz="0" w:space="0" w:color="auto"/>
        <w:bottom w:val="none" w:sz="0" w:space="0" w:color="auto"/>
        <w:right w:val="none" w:sz="0" w:space="0" w:color="auto"/>
      </w:divBdr>
    </w:div>
    <w:div w:id="407002033">
      <w:bodyDiv w:val="1"/>
      <w:marLeft w:val="0"/>
      <w:marRight w:val="0"/>
      <w:marTop w:val="0"/>
      <w:marBottom w:val="0"/>
      <w:divBdr>
        <w:top w:val="none" w:sz="0" w:space="0" w:color="auto"/>
        <w:left w:val="none" w:sz="0" w:space="0" w:color="auto"/>
        <w:bottom w:val="none" w:sz="0" w:space="0" w:color="auto"/>
        <w:right w:val="none" w:sz="0" w:space="0" w:color="auto"/>
      </w:divBdr>
    </w:div>
    <w:div w:id="507670466">
      <w:bodyDiv w:val="1"/>
      <w:marLeft w:val="0"/>
      <w:marRight w:val="0"/>
      <w:marTop w:val="0"/>
      <w:marBottom w:val="0"/>
      <w:divBdr>
        <w:top w:val="none" w:sz="0" w:space="0" w:color="auto"/>
        <w:left w:val="none" w:sz="0" w:space="0" w:color="auto"/>
        <w:bottom w:val="none" w:sz="0" w:space="0" w:color="auto"/>
        <w:right w:val="none" w:sz="0" w:space="0" w:color="auto"/>
      </w:divBdr>
    </w:div>
    <w:div w:id="616645451">
      <w:bodyDiv w:val="1"/>
      <w:marLeft w:val="0"/>
      <w:marRight w:val="0"/>
      <w:marTop w:val="0"/>
      <w:marBottom w:val="0"/>
      <w:divBdr>
        <w:top w:val="none" w:sz="0" w:space="0" w:color="auto"/>
        <w:left w:val="none" w:sz="0" w:space="0" w:color="auto"/>
        <w:bottom w:val="none" w:sz="0" w:space="0" w:color="auto"/>
        <w:right w:val="none" w:sz="0" w:space="0" w:color="auto"/>
      </w:divBdr>
    </w:div>
    <w:div w:id="760028270">
      <w:bodyDiv w:val="1"/>
      <w:marLeft w:val="0"/>
      <w:marRight w:val="0"/>
      <w:marTop w:val="0"/>
      <w:marBottom w:val="0"/>
      <w:divBdr>
        <w:top w:val="none" w:sz="0" w:space="0" w:color="auto"/>
        <w:left w:val="none" w:sz="0" w:space="0" w:color="auto"/>
        <w:bottom w:val="none" w:sz="0" w:space="0" w:color="auto"/>
        <w:right w:val="none" w:sz="0" w:space="0" w:color="auto"/>
      </w:divBdr>
    </w:div>
    <w:div w:id="871110014">
      <w:bodyDiv w:val="1"/>
      <w:marLeft w:val="0"/>
      <w:marRight w:val="0"/>
      <w:marTop w:val="0"/>
      <w:marBottom w:val="0"/>
      <w:divBdr>
        <w:top w:val="none" w:sz="0" w:space="0" w:color="auto"/>
        <w:left w:val="none" w:sz="0" w:space="0" w:color="auto"/>
        <w:bottom w:val="none" w:sz="0" w:space="0" w:color="auto"/>
        <w:right w:val="none" w:sz="0" w:space="0" w:color="auto"/>
      </w:divBdr>
    </w:div>
    <w:div w:id="926158360">
      <w:bodyDiv w:val="1"/>
      <w:marLeft w:val="0"/>
      <w:marRight w:val="0"/>
      <w:marTop w:val="0"/>
      <w:marBottom w:val="0"/>
      <w:divBdr>
        <w:top w:val="none" w:sz="0" w:space="0" w:color="auto"/>
        <w:left w:val="none" w:sz="0" w:space="0" w:color="auto"/>
        <w:bottom w:val="none" w:sz="0" w:space="0" w:color="auto"/>
        <w:right w:val="none" w:sz="0" w:space="0" w:color="auto"/>
      </w:divBdr>
    </w:div>
    <w:div w:id="1065303173">
      <w:bodyDiv w:val="1"/>
      <w:marLeft w:val="0"/>
      <w:marRight w:val="0"/>
      <w:marTop w:val="0"/>
      <w:marBottom w:val="0"/>
      <w:divBdr>
        <w:top w:val="none" w:sz="0" w:space="0" w:color="auto"/>
        <w:left w:val="none" w:sz="0" w:space="0" w:color="auto"/>
        <w:bottom w:val="none" w:sz="0" w:space="0" w:color="auto"/>
        <w:right w:val="none" w:sz="0" w:space="0" w:color="auto"/>
      </w:divBdr>
    </w:div>
    <w:div w:id="1087001230">
      <w:bodyDiv w:val="1"/>
      <w:marLeft w:val="0"/>
      <w:marRight w:val="0"/>
      <w:marTop w:val="0"/>
      <w:marBottom w:val="0"/>
      <w:divBdr>
        <w:top w:val="none" w:sz="0" w:space="0" w:color="auto"/>
        <w:left w:val="none" w:sz="0" w:space="0" w:color="auto"/>
        <w:bottom w:val="none" w:sz="0" w:space="0" w:color="auto"/>
        <w:right w:val="none" w:sz="0" w:space="0" w:color="auto"/>
      </w:divBdr>
    </w:div>
    <w:div w:id="1379282376">
      <w:bodyDiv w:val="1"/>
      <w:marLeft w:val="0"/>
      <w:marRight w:val="0"/>
      <w:marTop w:val="0"/>
      <w:marBottom w:val="0"/>
      <w:divBdr>
        <w:top w:val="none" w:sz="0" w:space="0" w:color="auto"/>
        <w:left w:val="none" w:sz="0" w:space="0" w:color="auto"/>
        <w:bottom w:val="none" w:sz="0" w:space="0" w:color="auto"/>
        <w:right w:val="none" w:sz="0" w:space="0" w:color="auto"/>
      </w:divBdr>
    </w:div>
    <w:div w:id="1602879870">
      <w:bodyDiv w:val="1"/>
      <w:marLeft w:val="0"/>
      <w:marRight w:val="0"/>
      <w:marTop w:val="0"/>
      <w:marBottom w:val="0"/>
      <w:divBdr>
        <w:top w:val="none" w:sz="0" w:space="0" w:color="auto"/>
        <w:left w:val="none" w:sz="0" w:space="0" w:color="auto"/>
        <w:bottom w:val="none" w:sz="0" w:space="0" w:color="auto"/>
        <w:right w:val="none" w:sz="0" w:space="0" w:color="auto"/>
      </w:divBdr>
    </w:div>
    <w:div w:id="1719403030">
      <w:bodyDiv w:val="1"/>
      <w:marLeft w:val="0"/>
      <w:marRight w:val="0"/>
      <w:marTop w:val="0"/>
      <w:marBottom w:val="0"/>
      <w:divBdr>
        <w:top w:val="none" w:sz="0" w:space="0" w:color="auto"/>
        <w:left w:val="none" w:sz="0" w:space="0" w:color="auto"/>
        <w:bottom w:val="none" w:sz="0" w:space="0" w:color="auto"/>
        <w:right w:val="none" w:sz="0" w:space="0" w:color="auto"/>
      </w:divBdr>
    </w:div>
    <w:div w:id="1967009582">
      <w:bodyDiv w:val="1"/>
      <w:marLeft w:val="0"/>
      <w:marRight w:val="0"/>
      <w:marTop w:val="0"/>
      <w:marBottom w:val="0"/>
      <w:divBdr>
        <w:top w:val="none" w:sz="0" w:space="0" w:color="auto"/>
        <w:left w:val="none" w:sz="0" w:space="0" w:color="auto"/>
        <w:bottom w:val="none" w:sz="0" w:space="0" w:color="auto"/>
        <w:right w:val="none" w:sz="0" w:space="0" w:color="auto"/>
      </w:divBdr>
    </w:div>
    <w:div w:id="2021732264">
      <w:bodyDiv w:val="1"/>
      <w:marLeft w:val="0"/>
      <w:marRight w:val="0"/>
      <w:marTop w:val="0"/>
      <w:marBottom w:val="0"/>
      <w:divBdr>
        <w:top w:val="none" w:sz="0" w:space="0" w:color="auto"/>
        <w:left w:val="none" w:sz="0" w:space="0" w:color="auto"/>
        <w:bottom w:val="none" w:sz="0" w:space="0" w:color="auto"/>
        <w:right w:val="none" w:sz="0" w:space="0" w:color="auto"/>
      </w:divBdr>
    </w:div>
    <w:div w:id="2087799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2009723676-6" TargetMode="External"/><Relationship Id="rId3" Type="http://schemas.openxmlformats.org/officeDocument/2006/relationships/customXml" Target="../customXml/item3.xml"/><Relationship Id="rId21" Type="http://schemas.openxmlformats.org/officeDocument/2006/relationships/hyperlink" Target="https://www.bls.gov/opub/mlr/2018/article/great-recession-great-recovery.htm"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2009723676-4"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idbg-my.sharepoint.com/:w:/r/personal/alozanom_iadb_org/Documents/Documentos%20DLP%20est%C3%A1ndar%20CMF/POD%20-%20COVID%20Template%20EEO%202%20Diagn%C3%B3stico%20de%20la%20Problem%C3%A1tica%20de%20la%20MIPYME.docx?d=w2c27e3945aa24822b60e8ff4cbe4d4b7&amp;csf=1&amp;e=Aamtwe" TargetMode="External"/><Relationship Id="rId20" Type="http://schemas.openxmlformats.org/officeDocument/2006/relationships/hyperlink" Target="https://voxeu.org/article/economic-impact-coronavirus-uk-businesse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image" Target="media/image2.emf"/><Relationship Id="rId10" Type="http://schemas.openxmlformats.org/officeDocument/2006/relationships/settings" Target="setting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hyperlink" Target="https://lopezobrador.org.mx/2020/04/05/presidente-anuncia-acciones-para-la-reactivacion-economica-ante-covid-19-en-primer-informe-del-ano-al-pueblo-de-mexico-2/"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cepal.org/es/comunicados/covid-19-tendra-graves-efectos-la-economia-mundial-impactara-paises-america-latina" TargetMode="External"/><Relationship Id="rId3" Type="http://schemas.openxmlformats.org/officeDocument/2006/relationships/hyperlink" Target="https://www.who.int/who-documents-detail/updated-country-preparedness-and-response-status-for-covid-19-as-of-16-march-2020" TargetMode="External"/><Relationship Id="rId7" Type="http://schemas.openxmlformats.org/officeDocument/2006/relationships/hyperlink" Target="https://www.fira.gob.mx/Nd/condicionesOpCOVID.jsp" TargetMode="External"/><Relationship Id="rId2" Type="http://schemas.openxmlformats.org/officeDocument/2006/relationships/hyperlink" Target="https://www.paho.org/en/topics/coronavirus-infections/coronavirus-disease-covid-19" TargetMode="External"/><Relationship Id="rId1" Type="http://schemas.openxmlformats.org/officeDocument/2006/relationships/hyperlink" Target="https://covid19.who.int/" TargetMode="External"/><Relationship Id="rId6" Type="http://schemas.openxmlformats.org/officeDocument/2006/relationships/hyperlink" Target="http://www.fao.org/2019-ncov/q-and-a/es/" TargetMode="External"/><Relationship Id="rId5" Type="http://schemas.openxmlformats.org/officeDocument/2006/relationships/hyperlink" Target="https://publications.iadb.org/es/el-impacto-del-covid-19-en-las-economias-de-la-region-centroamerica" TargetMode="External"/><Relationship Id="rId4" Type="http://schemas.openxmlformats.org/officeDocument/2006/relationships/hyperlink" Target="https://www.cepal.org/es/comunicados/covid-19-tendra-graves-efectos-la-economia-mundial-impactara-paises-america-latina" TargetMode="External"/><Relationship Id="rId9" Type="http://schemas.openxmlformats.org/officeDocument/2006/relationships/hyperlink" Target="https://nadaesgratis.es/admin/el-impacto-macroeconomico-del-coronavir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2AC7A57F8CE2C4F8CEC93F19E0452E6" ma:contentTypeVersion="0" ma:contentTypeDescription="A content type to manage public (operations) IDB documents" ma:contentTypeScope="" ma:versionID="52a10ce0a246bee3a66b425c74c51211">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5063/OC-ME;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10</Value>
      <Value>44</Value>
      <Value>43</Value>
      <Value>24</Value>
      <Value>19</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ME-L1301;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EZSHARE-2009723676-7</_dlc_DocId>
    <_dlc_DocIdUrl xmlns="cdc7663a-08f0-4737-9e8c-148ce897a09c">
      <Url>https://idbg.sharepoint.com/teams/EZ-ME-LON/ME-L1301/_layouts/15/DocIdRedir.aspx?ID=EZSHARE-2009723676-7</Url>
      <Description>EZSHARE-2009723676-7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C500B-94E6-4934-A234-8A1870133550}">
  <ds:schemaRefs>
    <ds:schemaRef ds:uri="http://schemas.microsoft.com/sharepoint/events"/>
  </ds:schemaRefs>
</ds:datastoreItem>
</file>

<file path=customXml/itemProps2.xml><?xml version="1.0" encoding="utf-8"?>
<ds:datastoreItem xmlns:ds="http://schemas.openxmlformats.org/officeDocument/2006/customXml" ds:itemID="{57AF40DB-2533-42C8-A226-B2AFCB5C67AD}">
  <ds:schemaRefs>
    <ds:schemaRef ds:uri="http://schemas.microsoft.com/sharepoint/v3/contenttype/forms"/>
  </ds:schemaRefs>
</ds:datastoreItem>
</file>

<file path=customXml/itemProps3.xml><?xml version="1.0" encoding="utf-8"?>
<ds:datastoreItem xmlns:ds="http://schemas.openxmlformats.org/officeDocument/2006/customXml" ds:itemID="{AAB5192E-46C0-48CE-81AA-11018EA92E4B}"/>
</file>

<file path=customXml/itemProps4.xml><?xml version="1.0" encoding="utf-8"?>
<ds:datastoreItem xmlns:ds="http://schemas.openxmlformats.org/officeDocument/2006/customXml" ds:itemID="{0E0C4E66-FFA2-42CE-9362-5B6FE955E47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customXml/itemProps5.xml><?xml version="1.0" encoding="utf-8"?>
<ds:datastoreItem xmlns:ds="http://schemas.openxmlformats.org/officeDocument/2006/customXml" ds:itemID="{95F2E955-1AFE-4913-A4C9-EE49C58711FD}"/>
</file>

<file path=customXml/itemProps6.xml><?xml version="1.0" encoding="utf-8"?>
<ds:datastoreItem xmlns:ds="http://schemas.openxmlformats.org/officeDocument/2006/customXml" ds:itemID="{D8515151-3539-4CBC-9F54-05D84325E9A5}"/>
</file>

<file path=customXml/itemProps7.xml><?xml version="1.0" encoding="utf-8"?>
<ds:datastoreItem xmlns:ds="http://schemas.openxmlformats.org/officeDocument/2006/customXml" ds:itemID="{9390EA01-B121-48F5-936F-480524A6FB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24</Pages>
  <Words>8235</Words>
  <Characters>46941</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55066</CharactersWithSpaces>
  <SharedDoc>false</SharedDoc>
  <HLinks>
    <vt:vector size="72" baseType="variant">
      <vt:variant>
        <vt:i4>589825</vt:i4>
      </vt:variant>
      <vt:variant>
        <vt:i4>45</vt:i4>
      </vt:variant>
      <vt:variant>
        <vt:i4>0</vt:i4>
      </vt:variant>
      <vt:variant>
        <vt:i4>5</vt:i4>
      </vt:variant>
      <vt:variant>
        <vt:lpwstr>https://lopezobrador.org.mx/2020/04/05/presidente-anuncia-acciones-para-la-reactivacion-economica-ante-covid-19-en-primer-informe-del-ano-al-pueblo-de-mexico-2/</vt:lpwstr>
      </vt:variant>
      <vt:variant>
        <vt:lpwstr/>
      </vt:variant>
      <vt:variant>
        <vt:i4>1114119</vt:i4>
      </vt:variant>
      <vt:variant>
        <vt:i4>42</vt:i4>
      </vt:variant>
      <vt:variant>
        <vt:i4>0</vt:i4>
      </vt:variant>
      <vt:variant>
        <vt:i4>5</vt:i4>
      </vt:variant>
      <vt:variant>
        <vt:lpwstr>https://www.bls.gov/opub/mlr/2018/article/great-recession-great-recovery.htm</vt:lpwstr>
      </vt:variant>
      <vt:variant>
        <vt:lpwstr/>
      </vt:variant>
      <vt:variant>
        <vt:i4>3538979</vt:i4>
      </vt:variant>
      <vt:variant>
        <vt:i4>39</vt:i4>
      </vt:variant>
      <vt:variant>
        <vt:i4>0</vt:i4>
      </vt:variant>
      <vt:variant>
        <vt:i4>5</vt:i4>
      </vt:variant>
      <vt:variant>
        <vt:lpwstr>https://voxeu.org/article/economic-impact-coronavirus-uk-businesses</vt:lpwstr>
      </vt:variant>
      <vt:variant>
        <vt:lpwstr/>
      </vt:variant>
      <vt:variant>
        <vt:i4>7929965</vt:i4>
      </vt:variant>
      <vt:variant>
        <vt:i4>20</vt:i4>
      </vt:variant>
      <vt:variant>
        <vt:i4>0</vt:i4>
      </vt:variant>
      <vt:variant>
        <vt:i4>5</vt:i4>
      </vt:variant>
      <vt:variant>
        <vt:lpwstr>http://idbdocs.iadb.org/wsdocs/getDocument.aspx?DOCNUM=EZSHARE-2009723676-4</vt:lpwstr>
      </vt:variant>
      <vt:variant>
        <vt:lpwstr/>
      </vt:variant>
      <vt:variant>
        <vt:i4>1179713</vt:i4>
      </vt:variant>
      <vt:variant>
        <vt:i4>18</vt:i4>
      </vt:variant>
      <vt:variant>
        <vt:i4>0</vt:i4>
      </vt:variant>
      <vt:variant>
        <vt:i4>5</vt:i4>
      </vt:variant>
      <vt:variant>
        <vt:lpwstr>https://idbg-my.sharepoint.com/:w:/r/personal/alozanom_iadb_org/Documents/Documentos DLP est%C3%A1ndar CMF/POD - COVID Template EEO 2 Diagn%C3%B3stico de la Problem%C3%A1tica de la MIPYME.docx?d=w2c27e3945aa24822b60e8ff4cbe4d4b7&amp;csf=1&amp;e=Aamtwe</vt:lpwstr>
      </vt:variant>
      <vt:variant>
        <vt:lpwstr/>
      </vt:variant>
      <vt:variant>
        <vt:i4>8126561</vt:i4>
      </vt:variant>
      <vt:variant>
        <vt:i4>18</vt:i4>
      </vt:variant>
      <vt:variant>
        <vt:i4>0</vt:i4>
      </vt:variant>
      <vt:variant>
        <vt:i4>5</vt:i4>
      </vt:variant>
      <vt:variant>
        <vt:lpwstr>https://nadaesgratis.es/admin/el-impacto-macroeconomico-del-coronavirus</vt:lpwstr>
      </vt:variant>
      <vt:variant>
        <vt:lpwstr/>
      </vt:variant>
      <vt:variant>
        <vt:i4>8192060</vt:i4>
      </vt:variant>
      <vt:variant>
        <vt:i4>15</vt:i4>
      </vt:variant>
      <vt:variant>
        <vt:i4>0</vt:i4>
      </vt:variant>
      <vt:variant>
        <vt:i4>5</vt:i4>
      </vt:variant>
      <vt:variant>
        <vt:lpwstr>https://www.cepal.org/es/comunicados/covid-19-tendra-graves-efectos-la-economia-mundial-impactara-paises-america-latina</vt:lpwstr>
      </vt:variant>
      <vt:variant>
        <vt:lpwstr/>
      </vt:variant>
      <vt:variant>
        <vt:i4>5505117</vt:i4>
      </vt:variant>
      <vt:variant>
        <vt:i4>12</vt:i4>
      </vt:variant>
      <vt:variant>
        <vt:i4>0</vt:i4>
      </vt:variant>
      <vt:variant>
        <vt:i4>5</vt:i4>
      </vt:variant>
      <vt:variant>
        <vt:lpwstr>https://publications.iadb.org/es/el-impacto-del-covid-19-en-las-economias-de-la-region-centroamerica</vt:lpwstr>
      </vt:variant>
      <vt:variant>
        <vt:lpwstr/>
      </vt:variant>
      <vt:variant>
        <vt:i4>8192060</vt:i4>
      </vt:variant>
      <vt:variant>
        <vt:i4>9</vt:i4>
      </vt:variant>
      <vt:variant>
        <vt:i4>0</vt:i4>
      </vt:variant>
      <vt:variant>
        <vt:i4>5</vt:i4>
      </vt:variant>
      <vt:variant>
        <vt:lpwstr>https://www.cepal.org/es/comunicados/covid-19-tendra-graves-efectos-la-economia-mundial-impactara-paises-america-latina</vt:lpwstr>
      </vt:variant>
      <vt:variant>
        <vt:lpwstr/>
      </vt:variant>
      <vt:variant>
        <vt:i4>2162742</vt:i4>
      </vt:variant>
      <vt:variant>
        <vt:i4>6</vt:i4>
      </vt:variant>
      <vt:variant>
        <vt:i4>0</vt:i4>
      </vt:variant>
      <vt:variant>
        <vt:i4>5</vt:i4>
      </vt:variant>
      <vt:variant>
        <vt:lpwstr>https://www.who.int/who-documents-detail/updated-country-preparedness-and-response-status-for-covid-19-as-of-16-march-2020</vt:lpwstr>
      </vt:variant>
      <vt:variant>
        <vt:lpwstr/>
      </vt:variant>
      <vt:variant>
        <vt:i4>2949221</vt:i4>
      </vt:variant>
      <vt:variant>
        <vt:i4>3</vt:i4>
      </vt:variant>
      <vt:variant>
        <vt:i4>0</vt:i4>
      </vt:variant>
      <vt:variant>
        <vt:i4>5</vt:i4>
      </vt:variant>
      <vt:variant>
        <vt:lpwstr>https://www.paho.org/en/topics/coronavirus-infections/coronavirus-disease-covid-19</vt:lpwstr>
      </vt:variant>
      <vt:variant>
        <vt:lpwstr/>
      </vt:variant>
      <vt:variant>
        <vt:i4>983053</vt:i4>
      </vt:variant>
      <vt:variant>
        <vt:i4>0</vt:i4>
      </vt:variant>
      <vt:variant>
        <vt:i4>0</vt:i4>
      </vt:variant>
      <vt:variant>
        <vt:i4>5</vt:i4>
      </vt:variant>
      <vt:variant>
        <vt:lpwstr>https://covid19.who.int/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Maria;Sebastian Vargas Macedo</dc:creator>
  <cp:keywords/>
  <dc:description/>
  <cp:lastModifiedBy>Porras Herrera, Fanny Eliana</cp:lastModifiedBy>
  <cp:revision>52</cp:revision>
  <dcterms:created xsi:type="dcterms:W3CDTF">2020-05-19T19:19:00Z</dcterms:created>
  <dcterms:modified xsi:type="dcterms:W3CDTF">2020-06-16T14:24:00Z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10;#Loan Proposal|6ee86b6f-6e46-485b-8bfb-87a1f44622ac</vt:lpwstr>
  </property>
  <property fmtid="{D5CDD505-2E9C-101B-9397-08002B2CF9AE}" pid="6" name="Sub-Sector">
    <vt:lpwstr>44;#FINANCIAL INCLUSION|c2f14676-e4fa-4804-b3fb-fa0bd62b66c7</vt:lpwstr>
  </property>
  <property fmtid="{D5CDD505-2E9C-101B-9397-08002B2CF9AE}" pid="7" name="Country">
    <vt:lpwstr>19;#Mexico|0eba6470-e7ea-46fd-a959-d4c243acaf26</vt:lpwstr>
  </property>
  <property fmtid="{D5CDD505-2E9C-101B-9397-08002B2CF9AE}" pid="8" name="_dlc_DocIdItemGuid">
    <vt:lpwstr>6066c95f-d496-4aa7-9020-681dbaf95a04</vt:lpwstr>
  </property>
  <property fmtid="{D5CDD505-2E9C-101B-9397-08002B2CF9AE}" pid="9" name="Fund IDB">
    <vt:lpwstr>24;#ORC|c028a4b2-ad8b-4cf4-9cac-a2ae6a778e23</vt:lpwstr>
  </property>
  <property fmtid="{D5CDD505-2E9C-101B-9397-08002B2CF9AE}" pid="10" name="Sector IDB">
    <vt:lpwstr>43;#FINANCIAL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0x0101001A458A224826124E8B45B1D613300CFC0052AC7A57F8CE2C4F8CEC93F19E0452E6</vt:lpwstr>
  </property>
  <property fmtid="{D5CDD505-2E9C-101B-9397-08002B2CF9AE}" pid="14" name="From:">
    <vt:lpwstr>IFD/CMF</vt:lpwstr>
  </property>
</Properties>
</file>