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word/glossary/document.xml" ContentType="application/vnd.openxmlformats-officedocument.wordprocessingml.document.glossary+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FB5B07" w:rsidR="00C954BD" w:rsidP="00673134" w:rsidRDefault="00C954BD" w14:paraId="384CB74C" w14:textId="77777777">
      <w:pPr>
        <w:pStyle w:val="Title"/>
        <w:tabs>
          <w:tab w:val="clear" w:pos="1440"/>
          <w:tab w:val="clear" w:pos="3060"/>
        </w:tabs>
        <w:spacing w:line="276" w:lineRule="auto"/>
        <w:outlineLvl w:val="9"/>
        <w:rPr>
          <w:rFonts w:ascii="Arial" w:hAnsi="Arial" w:cs="Arial"/>
          <w:smallCaps/>
          <w:sz w:val="22"/>
          <w:szCs w:val="22"/>
          <w:lang w:val="es-ES"/>
        </w:rPr>
      </w:pPr>
    </w:p>
    <w:p w:rsidRPr="0078661C" w:rsidR="00941F61" w:rsidP="00673134" w:rsidRDefault="00941F61" w14:paraId="7220C2DC" w14:textId="77777777">
      <w:pPr>
        <w:pStyle w:val="Title"/>
        <w:tabs>
          <w:tab w:val="clear" w:pos="1440"/>
          <w:tab w:val="clear" w:pos="3060"/>
        </w:tabs>
        <w:spacing w:line="276" w:lineRule="auto"/>
        <w:outlineLvl w:val="9"/>
        <w:rPr>
          <w:rFonts w:ascii="Arial" w:hAnsi="Arial" w:cs="Arial"/>
          <w:smallCaps/>
          <w:sz w:val="22"/>
          <w:szCs w:val="22"/>
          <w:lang w:val="es-ES"/>
        </w:rPr>
      </w:pPr>
      <w:r w:rsidRPr="0078661C">
        <w:rPr>
          <w:rFonts w:ascii="Arial" w:hAnsi="Arial" w:cs="Arial"/>
          <w:smallCaps/>
          <w:sz w:val="22"/>
          <w:szCs w:val="22"/>
          <w:lang w:val="es-ES"/>
        </w:rPr>
        <w:t>Document</w:t>
      </w:r>
      <w:r w:rsidRPr="0078661C" w:rsidR="00996CED">
        <w:rPr>
          <w:rFonts w:ascii="Arial" w:hAnsi="Arial" w:cs="Arial"/>
          <w:smallCaps/>
          <w:sz w:val="22"/>
          <w:szCs w:val="22"/>
          <w:lang w:val="es-ES"/>
        </w:rPr>
        <w:t>o del Banco Interamericano de Desarrollo</w:t>
      </w:r>
    </w:p>
    <w:p w:rsidRPr="0078661C" w:rsidR="00941F61" w:rsidP="00673134" w:rsidRDefault="00941F61" w14:paraId="6DE07378" w14:textId="77777777">
      <w:pPr>
        <w:pStyle w:val="ListParagraph"/>
        <w:spacing w:before="120" w:after="0"/>
        <w:ind w:left="0"/>
        <w:jc w:val="center"/>
        <w:rPr>
          <w:rFonts w:ascii="Arial" w:hAnsi="Arial" w:cs="Arial"/>
          <w:b/>
          <w:lang w:val="es-ES"/>
        </w:rPr>
      </w:pPr>
    </w:p>
    <w:p w:rsidRPr="0078661C" w:rsidR="00941F61" w:rsidP="3B63D7B2" w:rsidRDefault="00941F61" w14:paraId="56BAC50B" w14:textId="77777777" w14:noSpellErr="1">
      <w:pPr>
        <w:tabs>
          <w:tab w:val="left" w:pos="1440"/>
          <w:tab w:val="left" w:pos="3060"/>
        </w:tabs>
        <w:jc w:val="center"/>
        <w:rPr>
          <w:rFonts w:ascii="Arial" w:hAnsi="Arial" w:cs="Arial"/>
          <w:b w:val="1"/>
          <w:bCs w:val="1"/>
          <w:smallCaps w:val="1"/>
          <w:lang w:val="es-ES"/>
        </w:rPr>
      </w:pPr>
    </w:p>
    <w:p w:rsidR="3B63D7B2" w:rsidP="3B63D7B2" w:rsidRDefault="3B63D7B2" w14:noSpellErr="1" w14:paraId="0456DD00" w14:textId="034B75D7">
      <w:pPr>
        <w:pStyle w:val="Normal"/>
        <w:jc w:val="center"/>
        <w:rPr>
          <w:rFonts w:ascii="Arial" w:hAnsi="Arial" w:cs="Arial"/>
          <w:b w:val="1"/>
          <w:bCs w:val="1"/>
          <w:smallCaps w:val="1"/>
          <w:lang w:val="es-ES"/>
        </w:rPr>
      </w:pPr>
    </w:p>
    <w:p w:rsidRPr="0078661C" w:rsidR="00941F61" w:rsidP="00673134" w:rsidRDefault="00941F61" w14:paraId="562619FA" w14:textId="77777777">
      <w:pPr>
        <w:tabs>
          <w:tab w:val="left" w:pos="1440"/>
          <w:tab w:val="left" w:pos="3060"/>
        </w:tabs>
        <w:jc w:val="center"/>
        <w:rPr>
          <w:rFonts w:ascii="Arial" w:hAnsi="Arial" w:cs="Arial"/>
          <w:b/>
          <w:smallCaps/>
          <w:lang w:val="es-ES"/>
        </w:rPr>
      </w:pPr>
    </w:p>
    <w:p w:rsidR="00BF3AE7" w:rsidP="00673134" w:rsidRDefault="00BF3AE7" w14:paraId="0EBF63A4" w14:textId="77777777">
      <w:pPr>
        <w:tabs>
          <w:tab w:val="left" w:pos="1440"/>
          <w:tab w:val="left" w:pos="3060"/>
        </w:tabs>
        <w:jc w:val="center"/>
        <w:rPr>
          <w:rFonts w:ascii="Arial" w:hAnsi="Arial" w:cs="Arial"/>
          <w:b/>
          <w:smallCaps/>
          <w:lang w:val="es-ES"/>
        </w:rPr>
      </w:pPr>
    </w:p>
    <w:p w:rsidR="0078661C" w:rsidP="00673134" w:rsidRDefault="0078661C" w14:paraId="5F5E398E" w14:textId="77777777">
      <w:pPr>
        <w:tabs>
          <w:tab w:val="left" w:pos="1440"/>
          <w:tab w:val="left" w:pos="3060"/>
        </w:tabs>
        <w:jc w:val="center"/>
        <w:rPr>
          <w:rFonts w:ascii="Arial" w:hAnsi="Arial" w:cs="Arial"/>
          <w:b/>
          <w:smallCaps/>
          <w:lang w:val="es-ES"/>
        </w:rPr>
      </w:pPr>
    </w:p>
    <w:p w:rsidRPr="0078661C" w:rsidR="0078661C" w:rsidP="00673134" w:rsidRDefault="0078661C" w14:paraId="3CD2F885" w14:textId="77777777">
      <w:pPr>
        <w:tabs>
          <w:tab w:val="left" w:pos="1440"/>
          <w:tab w:val="left" w:pos="3060"/>
        </w:tabs>
        <w:jc w:val="center"/>
        <w:rPr>
          <w:rFonts w:ascii="Arial" w:hAnsi="Arial" w:cs="Arial"/>
          <w:b/>
          <w:smallCaps/>
          <w:lang w:val="es-ES"/>
        </w:rPr>
      </w:pPr>
    </w:p>
    <w:p w:rsidRPr="0078661C" w:rsidR="00BF3AE7" w:rsidP="00673134" w:rsidRDefault="00BF3AE7" w14:paraId="0494CA6E" w14:textId="77777777">
      <w:pPr>
        <w:tabs>
          <w:tab w:val="left" w:pos="1440"/>
          <w:tab w:val="left" w:pos="3060"/>
        </w:tabs>
        <w:jc w:val="center"/>
        <w:rPr>
          <w:rFonts w:ascii="Arial" w:hAnsi="Arial" w:cs="Arial"/>
          <w:b/>
          <w:smallCaps/>
          <w:lang w:val="es-ES"/>
        </w:rPr>
      </w:pPr>
    </w:p>
    <w:p w:rsidRPr="0078661C" w:rsidR="00941F61" w:rsidP="00673134" w:rsidRDefault="00A847C1" w14:paraId="5B2695B5" w14:textId="77777777">
      <w:pPr>
        <w:tabs>
          <w:tab w:val="left" w:pos="1440"/>
          <w:tab w:val="left" w:pos="3060"/>
        </w:tabs>
        <w:jc w:val="center"/>
        <w:rPr>
          <w:rFonts w:ascii="Arial" w:hAnsi="Arial" w:cs="Arial"/>
          <w:b/>
          <w:smallCaps/>
          <w:lang w:val="es-ES"/>
        </w:rPr>
      </w:pPr>
      <w:r w:rsidRPr="0078661C">
        <w:rPr>
          <w:rFonts w:ascii="Arial" w:hAnsi="Arial" w:cs="Arial"/>
          <w:b/>
          <w:smallCaps/>
          <w:lang w:val="es-ES"/>
        </w:rPr>
        <w:t>Bolivia</w:t>
      </w:r>
    </w:p>
    <w:p w:rsidRPr="0078661C" w:rsidR="00941F61" w:rsidP="00673134" w:rsidRDefault="00941F61" w14:paraId="724A1FFC" w14:textId="77777777">
      <w:pPr>
        <w:tabs>
          <w:tab w:val="left" w:pos="1440"/>
          <w:tab w:val="left" w:pos="3060"/>
        </w:tabs>
        <w:jc w:val="center"/>
        <w:rPr>
          <w:rFonts w:ascii="Arial" w:hAnsi="Arial" w:cs="Arial"/>
          <w:b/>
          <w:smallCaps/>
          <w:lang w:val="es-ES"/>
        </w:rPr>
      </w:pPr>
    </w:p>
    <w:p w:rsidRPr="0078661C" w:rsidR="00941F61" w:rsidP="00673134" w:rsidRDefault="00941F61" w14:paraId="20BA0195" w14:textId="77777777">
      <w:pPr>
        <w:tabs>
          <w:tab w:val="left" w:pos="1440"/>
          <w:tab w:val="left" w:pos="3060"/>
        </w:tabs>
        <w:jc w:val="center"/>
        <w:rPr>
          <w:rFonts w:ascii="Arial" w:hAnsi="Arial" w:cs="Arial"/>
          <w:b/>
          <w:smallCaps/>
          <w:lang w:val="es-ES"/>
        </w:rPr>
      </w:pPr>
    </w:p>
    <w:p w:rsidRPr="0078661C" w:rsidR="00941F61" w:rsidP="00673134" w:rsidRDefault="00A847C1" w14:paraId="1ADB6E59" w14:textId="77777777">
      <w:pPr>
        <w:tabs>
          <w:tab w:val="left" w:pos="1440"/>
          <w:tab w:val="left" w:pos="3060"/>
        </w:tabs>
        <w:jc w:val="center"/>
        <w:rPr>
          <w:rFonts w:ascii="Arial" w:hAnsi="Arial" w:cs="Arial"/>
          <w:b/>
          <w:smallCaps/>
          <w:lang w:val="es-ES"/>
        </w:rPr>
      </w:pPr>
      <w:r w:rsidRPr="0078661C">
        <w:rPr>
          <w:rFonts w:ascii="Arial" w:hAnsi="Arial" w:cs="Arial"/>
          <w:b/>
          <w:smallCaps/>
          <w:lang w:val="es-ES"/>
        </w:rPr>
        <w:t>Programa de apoyo al empleo II</w:t>
      </w:r>
    </w:p>
    <w:p w:rsidRPr="0078661C" w:rsidR="00941F61" w:rsidP="00673134" w:rsidRDefault="00941F61" w14:paraId="6F250F2A" w14:textId="3BAD2C2E">
      <w:pPr>
        <w:tabs>
          <w:tab w:val="left" w:pos="1440"/>
          <w:tab w:val="left" w:pos="3060"/>
        </w:tabs>
        <w:jc w:val="center"/>
        <w:rPr>
          <w:rFonts w:ascii="Arial" w:hAnsi="Arial" w:cs="Arial"/>
          <w:b/>
          <w:smallCaps/>
          <w:lang w:val="es-ES"/>
        </w:rPr>
      </w:pPr>
      <w:r w:rsidRPr="0078661C">
        <w:rPr>
          <w:rFonts w:ascii="Arial" w:hAnsi="Arial" w:cs="Arial"/>
          <w:b/>
          <w:smallCaps/>
          <w:lang w:val="es-ES"/>
        </w:rPr>
        <w:t>(</w:t>
      </w:r>
      <w:r w:rsidRPr="0078661C" w:rsidR="00A847C1">
        <w:rPr>
          <w:rFonts w:ascii="Arial" w:hAnsi="Arial" w:cs="Arial"/>
          <w:b/>
          <w:smallCaps/>
          <w:lang w:val="es-ES"/>
        </w:rPr>
        <w:t>BO-L1</w:t>
      </w:r>
      <w:r w:rsidR="00D365E0">
        <w:rPr>
          <w:rFonts w:ascii="Arial" w:hAnsi="Arial" w:cs="Arial"/>
          <w:b/>
          <w:smallCaps/>
          <w:lang w:val="es-ES"/>
        </w:rPr>
        <w:t>051</w:t>
      </w:r>
      <w:r w:rsidRPr="0078661C">
        <w:rPr>
          <w:rFonts w:ascii="Arial" w:hAnsi="Arial" w:cs="Arial"/>
          <w:b/>
          <w:smallCaps/>
          <w:lang w:val="es-ES"/>
        </w:rPr>
        <w:t>)</w:t>
      </w:r>
    </w:p>
    <w:p w:rsidRPr="0078661C" w:rsidR="00941F61" w:rsidP="00673134" w:rsidRDefault="00941F61" w14:paraId="7BC3BF5B" w14:textId="77777777">
      <w:pPr>
        <w:pStyle w:val="Newpage"/>
        <w:spacing w:line="276" w:lineRule="auto"/>
        <w:rPr>
          <w:rFonts w:ascii="Arial" w:hAnsi="Arial"/>
          <w:b w:val="0"/>
          <w:caps/>
          <w:smallCaps w:val="0"/>
          <w:sz w:val="22"/>
          <w:szCs w:val="22"/>
          <w:lang w:val="es-ES"/>
        </w:rPr>
      </w:pPr>
    </w:p>
    <w:p w:rsidRPr="0078661C" w:rsidR="00941F61" w:rsidP="00673134" w:rsidRDefault="00941F61" w14:paraId="1F910510" w14:textId="77777777">
      <w:pPr>
        <w:tabs>
          <w:tab w:val="left" w:pos="1440"/>
          <w:tab w:val="left" w:pos="3060"/>
        </w:tabs>
        <w:jc w:val="center"/>
        <w:rPr>
          <w:rFonts w:ascii="Arial" w:hAnsi="Arial" w:cs="Arial"/>
          <w:smallCaps/>
          <w:lang w:val="es-ES"/>
        </w:rPr>
      </w:pPr>
    </w:p>
    <w:p w:rsidRPr="0078661C" w:rsidR="00941F61" w:rsidP="00673134" w:rsidRDefault="00D8521B" w14:paraId="197C0C29" w14:textId="5ED78222">
      <w:pPr>
        <w:tabs>
          <w:tab w:val="left" w:pos="1440"/>
          <w:tab w:val="left" w:pos="3060"/>
        </w:tabs>
        <w:jc w:val="center"/>
        <w:outlineLvl w:val="0"/>
        <w:rPr>
          <w:rFonts w:ascii="Arial" w:hAnsi="Arial" w:cs="Arial"/>
          <w:b/>
          <w:smallCaps/>
          <w:lang w:val="es-ES"/>
        </w:rPr>
      </w:pPr>
      <w:r w:rsidRPr="0078661C">
        <w:rPr>
          <w:rFonts w:ascii="Arial" w:hAnsi="Arial" w:cs="Arial"/>
          <w:b/>
          <w:smallCaps/>
          <w:lang w:val="es-ES"/>
        </w:rPr>
        <w:t>Análisis</w:t>
      </w:r>
      <w:r w:rsidRPr="0078661C" w:rsidR="00C954BD">
        <w:rPr>
          <w:rFonts w:ascii="Arial" w:hAnsi="Arial" w:cs="Arial"/>
          <w:b/>
          <w:smallCaps/>
          <w:lang w:val="es-ES"/>
        </w:rPr>
        <w:t xml:space="preserve"> Económico</w:t>
      </w:r>
      <w:r w:rsidR="00D365E0">
        <w:rPr>
          <w:rFonts w:ascii="Arial" w:hAnsi="Arial" w:cs="Arial"/>
          <w:b/>
          <w:smallCaps/>
          <w:lang w:val="es-ES"/>
        </w:rPr>
        <w:t xml:space="preserve"> – </w:t>
      </w:r>
      <w:r w:rsidR="008F1025">
        <w:rPr>
          <w:rFonts w:ascii="Arial" w:hAnsi="Arial" w:cs="Arial"/>
          <w:b/>
          <w:smallCaps/>
          <w:lang w:val="es-ES"/>
        </w:rPr>
        <w:t xml:space="preserve">Ex </w:t>
      </w:r>
      <w:r w:rsidR="00D365E0">
        <w:rPr>
          <w:rFonts w:ascii="Arial" w:hAnsi="Arial" w:cs="Arial"/>
          <w:b/>
          <w:smallCaps/>
          <w:lang w:val="es-ES"/>
        </w:rPr>
        <w:t xml:space="preserve">Post </w:t>
      </w:r>
    </w:p>
    <w:p w:rsidRPr="0078661C" w:rsidR="00941F61" w:rsidP="00673134" w:rsidRDefault="00941F61" w14:paraId="46EB3019" w14:textId="77777777">
      <w:pPr>
        <w:tabs>
          <w:tab w:val="left" w:pos="1440"/>
          <w:tab w:val="left" w:pos="3060"/>
        </w:tabs>
        <w:outlineLvl w:val="0"/>
        <w:rPr>
          <w:rFonts w:ascii="Arial" w:hAnsi="Arial" w:cs="Arial"/>
          <w:b/>
          <w:smallCaps/>
          <w:lang w:val="es-ES"/>
        </w:rPr>
      </w:pPr>
    </w:p>
    <w:p w:rsidRPr="0078661C" w:rsidR="00941F61" w:rsidP="00673134" w:rsidRDefault="00941F61" w14:paraId="47A1198E" w14:textId="77777777">
      <w:pPr>
        <w:pStyle w:val="ListParagraph"/>
        <w:spacing w:before="120" w:after="0"/>
        <w:ind w:left="0"/>
        <w:jc w:val="center"/>
        <w:rPr>
          <w:rFonts w:ascii="Arial" w:hAnsi="Arial" w:cs="Arial"/>
          <w:b/>
          <w:lang w:val="es-ES"/>
        </w:rPr>
      </w:pPr>
    </w:p>
    <w:p w:rsidRPr="0078661C" w:rsidR="00941F61" w:rsidP="00673134" w:rsidRDefault="00941F61" w14:paraId="0A5E3AB3" w14:textId="77777777">
      <w:pPr>
        <w:pStyle w:val="ListParagraph"/>
        <w:spacing w:before="120" w:after="0"/>
        <w:ind w:left="0"/>
        <w:jc w:val="center"/>
        <w:rPr>
          <w:rFonts w:ascii="Arial" w:hAnsi="Arial" w:cs="Arial"/>
          <w:b/>
          <w:lang w:val="es-ES"/>
        </w:rPr>
      </w:pPr>
    </w:p>
    <w:p w:rsidRPr="0078661C" w:rsidR="00941F61" w:rsidP="00673134" w:rsidRDefault="00941F61" w14:paraId="5BFE9DE6" w14:textId="77777777">
      <w:pPr>
        <w:pStyle w:val="ListParagraph"/>
        <w:spacing w:before="120" w:after="0"/>
        <w:ind w:left="0"/>
        <w:jc w:val="center"/>
        <w:rPr>
          <w:rFonts w:ascii="Arial" w:hAnsi="Arial" w:cs="Arial"/>
          <w:b/>
          <w:lang w:val="es-ES"/>
        </w:rPr>
      </w:pPr>
    </w:p>
    <w:p w:rsidRPr="0078661C" w:rsidR="00941F61" w:rsidP="00673134" w:rsidRDefault="00941F61" w14:paraId="51FC5539" w14:textId="77777777">
      <w:pPr>
        <w:pStyle w:val="ListParagraph"/>
        <w:spacing w:before="120" w:after="0"/>
        <w:ind w:left="0"/>
        <w:jc w:val="center"/>
        <w:rPr>
          <w:rFonts w:ascii="Arial" w:hAnsi="Arial" w:cs="Arial"/>
          <w:b/>
          <w:lang w:val="es-ES"/>
        </w:rPr>
      </w:pPr>
    </w:p>
    <w:p w:rsidRPr="0078661C" w:rsidR="00941F61" w:rsidP="00673134" w:rsidRDefault="00941F61" w14:paraId="585E4F49" w14:textId="77777777">
      <w:pPr>
        <w:pStyle w:val="ListParagraph"/>
        <w:spacing w:before="120" w:after="0"/>
        <w:ind w:left="0"/>
        <w:jc w:val="center"/>
        <w:rPr>
          <w:rFonts w:ascii="Arial" w:hAnsi="Arial" w:cs="Arial"/>
          <w:b/>
          <w:lang w:val="es-ES"/>
        </w:rPr>
      </w:pPr>
    </w:p>
    <w:p w:rsidRPr="0078661C" w:rsidR="00941F61" w:rsidP="00673134" w:rsidRDefault="00941F61" w14:paraId="35148CB8" w14:textId="77777777">
      <w:pPr>
        <w:pStyle w:val="ListParagraph"/>
        <w:spacing w:before="120" w:after="0"/>
        <w:ind w:left="0"/>
        <w:jc w:val="center"/>
        <w:rPr>
          <w:rFonts w:ascii="Arial" w:hAnsi="Arial" w:cs="Arial"/>
          <w:b/>
          <w:lang w:val="es-ES"/>
        </w:rPr>
      </w:pPr>
    </w:p>
    <w:p w:rsidRPr="0078661C" w:rsidR="00941F61" w:rsidP="00673134" w:rsidRDefault="00941F61" w14:paraId="70674994" w14:textId="77777777">
      <w:pPr>
        <w:pStyle w:val="ListParagraph"/>
        <w:spacing w:before="120" w:after="0"/>
        <w:ind w:left="0"/>
        <w:jc w:val="center"/>
        <w:rPr>
          <w:rFonts w:ascii="Arial" w:hAnsi="Arial" w:cs="Arial"/>
          <w:b/>
          <w:lang w:val="es-ES"/>
        </w:rPr>
      </w:pPr>
    </w:p>
    <w:p w:rsidRPr="0078661C" w:rsidR="00941F61" w:rsidP="00673134" w:rsidRDefault="00941F61" w14:paraId="457EB1B2" w14:textId="77777777">
      <w:pPr>
        <w:pStyle w:val="ListParagraph"/>
        <w:spacing w:before="120" w:after="0"/>
        <w:ind w:left="0"/>
        <w:jc w:val="center"/>
        <w:rPr>
          <w:rFonts w:ascii="Arial" w:hAnsi="Arial" w:cs="Arial"/>
          <w:b/>
          <w:lang w:val="es-ES"/>
        </w:rPr>
      </w:pPr>
    </w:p>
    <w:p w:rsidRPr="0078661C" w:rsidR="00941F61" w:rsidP="00673134" w:rsidRDefault="00941F61" w14:paraId="2873C7F7" w14:textId="77777777">
      <w:pPr>
        <w:pStyle w:val="ListParagraph"/>
        <w:spacing w:before="120" w:after="0"/>
        <w:ind w:left="0"/>
        <w:jc w:val="center"/>
        <w:rPr>
          <w:rFonts w:ascii="Arial" w:hAnsi="Arial" w:cs="Arial"/>
          <w:b/>
          <w:lang w:val="es-ES"/>
        </w:rPr>
      </w:pPr>
    </w:p>
    <w:p w:rsidRPr="0078661C" w:rsidR="00941F61" w:rsidP="00333452" w:rsidRDefault="00941F61" w14:paraId="7CCB2173" w14:textId="77777777">
      <w:pPr>
        <w:pStyle w:val="ListParagraph"/>
        <w:spacing w:before="120" w:after="0"/>
        <w:ind w:left="0"/>
        <w:rPr>
          <w:rFonts w:ascii="Arial" w:hAnsi="Arial" w:cs="Arial"/>
          <w:b/>
          <w:lang w:val="es-ES"/>
        </w:rPr>
      </w:pPr>
    </w:p>
    <w:p w:rsidRPr="0078661C" w:rsidR="00941F61" w:rsidP="00673134" w:rsidRDefault="00941F61" w14:paraId="17CF2700" w14:textId="77777777">
      <w:pPr>
        <w:tabs>
          <w:tab w:val="left" w:pos="1440"/>
          <w:tab w:val="left" w:pos="3060"/>
        </w:tabs>
        <w:jc w:val="center"/>
        <w:rPr>
          <w:rFonts w:ascii="Arial" w:hAnsi="Arial" w:cs="Arial"/>
          <w:lang w:val="es-ES"/>
        </w:rPr>
      </w:pPr>
    </w:p>
    <w:p w:rsidRPr="0078661C" w:rsidR="00C954BD" w:rsidP="00673134" w:rsidRDefault="00C954BD" w14:paraId="0117E5F9" w14:textId="77777777">
      <w:pPr>
        <w:tabs>
          <w:tab w:val="left" w:pos="1440"/>
          <w:tab w:val="left" w:pos="3060"/>
        </w:tabs>
        <w:jc w:val="center"/>
        <w:rPr>
          <w:rFonts w:ascii="Arial" w:hAnsi="Arial" w:cs="Arial"/>
          <w:lang w:val="es-ES"/>
        </w:rPr>
      </w:pPr>
    </w:p>
    <w:p w:rsidR="00941F61" w:rsidP="00673134" w:rsidRDefault="00C954BD" w14:paraId="0CDE3310" w14:textId="274F64D8">
      <w:pPr>
        <w:pStyle w:val="BodyText"/>
        <w:pBdr>
          <w:top w:val="single" w:color="auto" w:sz="4" w:space="1"/>
          <w:left w:val="single" w:color="auto" w:sz="4" w:space="4"/>
          <w:bottom w:val="single" w:color="auto" w:sz="4" w:space="0"/>
          <w:right w:val="single" w:color="auto" w:sz="4" w:space="4"/>
        </w:pBdr>
        <w:tabs>
          <w:tab w:val="left" w:pos="1440"/>
        </w:tabs>
        <w:spacing w:line="276" w:lineRule="auto"/>
        <w:jc w:val="both"/>
        <w:rPr>
          <w:rFonts w:ascii="Arial" w:hAnsi="Arial" w:cs="Arial"/>
          <w:sz w:val="22"/>
          <w:szCs w:val="22"/>
          <w:lang w:val="es-ES"/>
        </w:rPr>
      </w:pPr>
      <w:r w:rsidRPr="0078661C">
        <w:rPr>
          <w:rFonts w:ascii="Arial" w:hAnsi="Arial" w:cs="Arial"/>
          <w:sz w:val="22"/>
          <w:szCs w:val="22"/>
          <w:lang w:val="es-ES"/>
        </w:rPr>
        <w:t>El presente documento fue elaborado por</w:t>
      </w:r>
      <w:r w:rsidRPr="0078661C" w:rsidR="00941F61">
        <w:rPr>
          <w:rFonts w:ascii="Arial" w:hAnsi="Arial" w:cs="Arial"/>
          <w:sz w:val="22"/>
          <w:szCs w:val="22"/>
          <w:lang w:val="es-ES"/>
        </w:rPr>
        <w:t>:</w:t>
      </w:r>
      <w:r w:rsidRPr="0078661C">
        <w:rPr>
          <w:rFonts w:ascii="Arial" w:hAnsi="Arial" w:cs="Arial"/>
          <w:sz w:val="22"/>
          <w:szCs w:val="22"/>
          <w:lang w:val="es-ES"/>
        </w:rPr>
        <w:t xml:space="preserve"> José Horacio Valencia</w:t>
      </w:r>
      <w:r w:rsidR="00781C87">
        <w:rPr>
          <w:rFonts w:ascii="Arial" w:hAnsi="Arial" w:cs="Arial"/>
          <w:sz w:val="22"/>
          <w:szCs w:val="22"/>
          <w:lang w:val="es-ES"/>
        </w:rPr>
        <w:t xml:space="preserve"> Rivamontan</w:t>
      </w:r>
      <w:r w:rsidRPr="0078661C" w:rsidR="00D60BA4">
        <w:rPr>
          <w:rFonts w:ascii="Arial" w:hAnsi="Arial" w:cs="Arial"/>
          <w:sz w:val="22"/>
          <w:szCs w:val="22"/>
          <w:lang w:val="es-ES"/>
        </w:rPr>
        <w:t>.</w:t>
      </w:r>
    </w:p>
    <w:p w:rsidRPr="0078661C" w:rsidR="00D365E0" w:rsidP="00673134" w:rsidRDefault="00D365E0" w14:paraId="1AA166E1" w14:textId="77777777">
      <w:pPr>
        <w:pStyle w:val="BodyText"/>
        <w:pBdr>
          <w:top w:val="single" w:color="auto" w:sz="4" w:space="1"/>
          <w:left w:val="single" w:color="auto" w:sz="4" w:space="4"/>
          <w:bottom w:val="single" w:color="auto" w:sz="4" w:space="0"/>
          <w:right w:val="single" w:color="auto" w:sz="4" w:space="4"/>
        </w:pBdr>
        <w:tabs>
          <w:tab w:val="left" w:pos="1440"/>
        </w:tabs>
        <w:spacing w:line="276" w:lineRule="auto"/>
        <w:jc w:val="both"/>
        <w:rPr>
          <w:rFonts w:ascii="Arial" w:hAnsi="Arial" w:cs="Arial"/>
          <w:b/>
          <w:sz w:val="22"/>
          <w:szCs w:val="22"/>
          <w:lang w:val="es-ES"/>
        </w:rPr>
      </w:pPr>
    </w:p>
    <w:p w:rsidRPr="0078661C" w:rsidR="00941F61" w:rsidP="00673134" w:rsidRDefault="00541D07" w14:paraId="4359A9BB" w14:textId="77777777">
      <w:pPr>
        <w:pStyle w:val="ListParagraph"/>
        <w:numPr>
          <w:ilvl w:val="0"/>
          <w:numId w:val="7"/>
        </w:numPr>
        <w:spacing w:before="120" w:after="0"/>
        <w:ind w:left="0"/>
        <w:jc w:val="both"/>
        <w:rPr>
          <w:rFonts w:ascii="Arial" w:hAnsi="Arial" w:cs="Arial"/>
          <w:b/>
          <w:lang w:val="es-ES"/>
        </w:rPr>
      </w:pPr>
      <w:r w:rsidRPr="0078661C">
        <w:rPr>
          <w:rFonts w:ascii="Arial" w:hAnsi="Arial" w:cs="Arial"/>
          <w:b/>
          <w:lang w:val="es-ES"/>
        </w:rPr>
        <w:lastRenderedPageBreak/>
        <w:t>Introducció</w:t>
      </w:r>
      <w:r w:rsidRPr="0078661C" w:rsidR="00941F61">
        <w:rPr>
          <w:rFonts w:ascii="Arial" w:hAnsi="Arial" w:cs="Arial"/>
          <w:b/>
          <w:lang w:val="es-ES"/>
        </w:rPr>
        <w:t>n</w:t>
      </w:r>
      <w:r w:rsidRPr="0078661C" w:rsidR="00425D26">
        <w:rPr>
          <w:rFonts w:ascii="Arial" w:hAnsi="Arial" w:cs="Arial"/>
          <w:b/>
          <w:lang w:val="es-ES"/>
        </w:rPr>
        <w:t xml:space="preserve"> </w:t>
      </w:r>
    </w:p>
    <w:p w:rsidRPr="0078661C" w:rsidR="00C306A4" w:rsidP="00C306A4" w:rsidRDefault="00C306A4" w14:paraId="61D143C2" w14:textId="77777777">
      <w:pPr>
        <w:pStyle w:val="ListParagraph"/>
        <w:spacing w:before="120" w:after="0"/>
        <w:ind w:left="0"/>
        <w:jc w:val="both"/>
        <w:rPr>
          <w:rFonts w:ascii="Arial" w:hAnsi="Arial" w:cs="Arial"/>
          <w:b/>
          <w:lang w:val="es-ES"/>
        </w:rPr>
      </w:pPr>
    </w:p>
    <w:p w:rsidRPr="002F00E2" w:rsidR="002F00E2" w:rsidP="002F00E2" w:rsidRDefault="00C954BD" w14:paraId="12EE5DB0" w14:textId="55B2C671">
      <w:pPr>
        <w:pStyle w:val="ListParagraph"/>
        <w:numPr>
          <w:ilvl w:val="0"/>
          <w:numId w:val="8"/>
        </w:numPr>
        <w:ind w:left="0"/>
        <w:jc w:val="both"/>
        <w:rPr>
          <w:rFonts w:ascii="Arial" w:hAnsi="Arial" w:cs="Arial"/>
          <w:lang w:val="es-ES"/>
        </w:rPr>
      </w:pPr>
      <w:r w:rsidRPr="002F00E2">
        <w:rPr>
          <w:rFonts w:ascii="Arial" w:hAnsi="Arial" w:cs="Arial"/>
          <w:lang w:val="es-ES"/>
        </w:rPr>
        <w:t xml:space="preserve">El presente documento </w:t>
      </w:r>
      <w:r w:rsidR="002F00E2">
        <w:rPr>
          <w:rFonts w:ascii="Arial" w:hAnsi="Arial" w:cs="Arial"/>
          <w:lang w:val="es-ES"/>
        </w:rPr>
        <w:t xml:space="preserve">presenta </w:t>
      </w:r>
      <w:r w:rsidRPr="002F00E2">
        <w:rPr>
          <w:rFonts w:ascii="Arial" w:hAnsi="Arial" w:cs="Arial"/>
          <w:lang w:val="es-ES"/>
        </w:rPr>
        <w:t xml:space="preserve">la evaluación económica ex </w:t>
      </w:r>
      <w:r w:rsidRPr="002F00E2" w:rsidR="00D365E0">
        <w:rPr>
          <w:rFonts w:ascii="Arial" w:hAnsi="Arial" w:cs="Arial"/>
          <w:lang w:val="es-ES"/>
        </w:rPr>
        <w:t xml:space="preserve">post </w:t>
      </w:r>
      <w:r w:rsidRPr="002F00E2">
        <w:rPr>
          <w:rFonts w:ascii="Arial" w:hAnsi="Arial" w:cs="Arial"/>
          <w:lang w:val="es-ES"/>
        </w:rPr>
        <w:t xml:space="preserve">del </w:t>
      </w:r>
      <w:r w:rsidRPr="002F00E2" w:rsidR="006126D9">
        <w:rPr>
          <w:rFonts w:ascii="Arial" w:hAnsi="Arial" w:cs="Arial"/>
          <w:lang w:val="es-ES"/>
        </w:rPr>
        <w:t>préstamo BO-L1</w:t>
      </w:r>
      <w:r w:rsidRPr="002F00E2" w:rsidR="00D365E0">
        <w:rPr>
          <w:rFonts w:ascii="Arial" w:hAnsi="Arial" w:cs="Arial"/>
          <w:lang w:val="es-ES"/>
        </w:rPr>
        <w:t>051</w:t>
      </w:r>
      <w:r w:rsidRPr="002F00E2" w:rsidR="004769AE">
        <w:rPr>
          <w:rFonts w:ascii="Arial" w:hAnsi="Arial" w:cs="Arial"/>
          <w:lang w:val="es-ES"/>
        </w:rPr>
        <w:t>,</w:t>
      </w:r>
      <w:r w:rsidRPr="002F00E2" w:rsidR="006126D9">
        <w:rPr>
          <w:rFonts w:ascii="Arial" w:hAnsi="Arial" w:cs="Arial"/>
          <w:lang w:val="es-ES"/>
        </w:rPr>
        <w:t xml:space="preserve"> P</w:t>
      </w:r>
      <w:r w:rsidRPr="002F00E2">
        <w:rPr>
          <w:rFonts w:ascii="Arial" w:hAnsi="Arial" w:cs="Arial"/>
          <w:lang w:val="es-ES"/>
        </w:rPr>
        <w:t>r</w:t>
      </w:r>
      <w:r w:rsidRPr="002F00E2" w:rsidR="006126D9">
        <w:rPr>
          <w:rFonts w:ascii="Arial" w:hAnsi="Arial" w:cs="Arial"/>
          <w:lang w:val="es-ES"/>
        </w:rPr>
        <w:t>o</w:t>
      </w:r>
      <w:r w:rsidRPr="002F00E2">
        <w:rPr>
          <w:rFonts w:ascii="Arial" w:hAnsi="Arial" w:cs="Arial"/>
          <w:lang w:val="es-ES"/>
        </w:rPr>
        <w:t>grama de Apoyo al Empleo (PAE)</w:t>
      </w:r>
      <w:r w:rsidRPr="002F00E2" w:rsidR="00352A26">
        <w:rPr>
          <w:rFonts w:ascii="Arial" w:hAnsi="Arial" w:cs="Arial"/>
          <w:lang w:val="es-ES"/>
        </w:rPr>
        <w:t>. E</w:t>
      </w:r>
      <w:r w:rsidRPr="002F00E2" w:rsidR="00BF3AE7">
        <w:rPr>
          <w:rFonts w:ascii="Arial" w:hAnsi="Arial" w:cs="Arial"/>
          <w:lang w:val="es-ES"/>
        </w:rPr>
        <w:t xml:space="preserve">l PAE </w:t>
      </w:r>
      <w:r w:rsidRPr="002F00E2" w:rsidR="00D365E0">
        <w:rPr>
          <w:rFonts w:ascii="Arial" w:hAnsi="Arial" w:cs="Arial"/>
          <w:lang w:val="es-ES"/>
        </w:rPr>
        <w:t xml:space="preserve">tuvo como </w:t>
      </w:r>
      <w:r w:rsidRPr="002F00E2" w:rsidR="00AC7347">
        <w:rPr>
          <w:rFonts w:ascii="Arial" w:hAnsi="Arial" w:cs="Arial"/>
          <w:lang w:val="es-ES"/>
        </w:rPr>
        <w:t xml:space="preserve">objetivo general </w:t>
      </w:r>
      <w:r w:rsidRPr="002F00E2" w:rsidR="002F00E2">
        <w:rPr>
          <w:rFonts w:ascii="Arial" w:hAnsi="Arial" w:cs="Arial"/>
          <w:lang w:val="es-ES"/>
        </w:rPr>
        <w:t xml:space="preserve">apoyar al MTEPS a ampliar la cobertura y efectividad de sus políticas activas de empleo y con ello contribuir a mejorar la inserción laboral de los trabajadores. </w:t>
      </w:r>
      <w:r w:rsidR="002F00E2">
        <w:rPr>
          <w:rFonts w:ascii="Arial" w:hAnsi="Arial" w:cs="Arial"/>
          <w:lang w:val="es-ES"/>
        </w:rPr>
        <w:t xml:space="preserve">Para la consecución de su objetivo, el programa estuvo estructurado en tres componentes: (i) </w:t>
      </w:r>
      <w:r w:rsidR="00C709EE">
        <w:rPr>
          <w:rFonts w:ascii="Arial" w:hAnsi="Arial" w:cs="Arial"/>
          <w:lang w:val="es-ES"/>
        </w:rPr>
        <w:t>Ampliación</w:t>
      </w:r>
      <w:r w:rsidRPr="002F00E2" w:rsidR="002F00E2">
        <w:rPr>
          <w:rFonts w:ascii="Arial" w:hAnsi="Arial" w:cs="Arial"/>
          <w:lang w:val="es-ES"/>
        </w:rPr>
        <w:t xml:space="preserve"> </w:t>
      </w:r>
      <w:r w:rsidR="00C709EE">
        <w:rPr>
          <w:rFonts w:ascii="Arial" w:hAnsi="Arial" w:cs="Arial"/>
          <w:lang w:val="es-ES"/>
        </w:rPr>
        <w:t>d</w:t>
      </w:r>
      <w:r w:rsidRPr="002F00E2" w:rsidR="002F00E2">
        <w:rPr>
          <w:rFonts w:ascii="Arial" w:hAnsi="Arial" w:cs="Arial"/>
          <w:lang w:val="es-ES"/>
        </w:rPr>
        <w:t>el Servicio de Empleo</w:t>
      </w:r>
      <w:r w:rsidR="00DC1078">
        <w:rPr>
          <w:rFonts w:ascii="Arial" w:hAnsi="Arial" w:cs="Arial"/>
          <w:lang w:val="es-ES"/>
        </w:rPr>
        <w:t>;</w:t>
      </w:r>
      <w:r w:rsidRPr="002F00E2" w:rsidR="002F00E2">
        <w:rPr>
          <w:rFonts w:ascii="Arial" w:hAnsi="Arial" w:cs="Arial"/>
          <w:lang w:val="es-ES"/>
        </w:rPr>
        <w:t xml:space="preserve"> (</w:t>
      </w:r>
      <w:r w:rsidR="00DC1078">
        <w:rPr>
          <w:rFonts w:ascii="Arial" w:hAnsi="Arial" w:cs="Arial"/>
          <w:lang w:val="es-ES"/>
        </w:rPr>
        <w:t>ii</w:t>
      </w:r>
      <w:r w:rsidRPr="002F00E2" w:rsidR="002F00E2">
        <w:rPr>
          <w:rFonts w:ascii="Arial" w:hAnsi="Arial" w:cs="Arial"/>
          <w:lang w:val="es-ES"/>
        </w:rPr>
        <w:t>)</w:t>
      </w:r>
      <w:r w:rsidR="0030728D">
        <w:rPr>
          <w:rFonts w:ascii="Arial" w:hAnsi="Arial" w:cs="Arial"/>
          <w:lang w:val="es-ES"/>
        </w:rPr>
        <w:t> </w:t>
      </w:r>
      <w:r w:rsidR="002F00E2">
        <w:rPr>
          <w:rFonts w:ascii="Arial" w:hAnsi="Arial" w:cs="Arial"/>
          <w:lang w:val="es-ES"/>
        </w:rPr>
        <w:t xml:space="preserve">el </w:t>
      </w:r>
      <w:r w:rsidRPr="002F00E2" w:rsidR="002F00E2">
        <w:rPr>
          <w:rFonts w:ascii="Arial" w:hAnsi="Arial" w:cs="Arial"/>
          <w:lang w:val="es-ES"/>
        </w:rPr>
        <w:t>Programa de Apoyo al Empleo de Adultos</w:t>
      </w:r>
      <w:r w:rsidR="002F00E2">
        <w:rPr>
          <w:rFonts w:ascii="Arial" w:hAnsi="Arial" w:cs="Arial"/>
          <w:lang w:val="es-ES"/>
        </w:rPr>
        <w:t xml:space="preserve">; </w:t>
      </w:r>
      <w:r w:rsidR="00286B65">
        <w:rPr>
          <w:rFonts w:ascii="Arial" w:hAnsi="Arial" w:cs="Arial"/>
          <w:lang w:val="es-ES"/>
        </w:rPr>
        <w:t xml:space="preserve">y </w:t>
      </w:r>
      <w:r w:rsidRPr="002F00E2" w:rsidR="002F00E2">
        <w:rPr>
          <w:rFonts w:ascii="Arial" w:hAnsi="Arial" w:cs="Arial"/>
          <w:lang w:val="es-ES"/>
        </w:rPr>
        <w:t>(</w:t>
      </w:r>
      <w:r w:rsidR="00DC1078">
        <w:rPr>
          <w:rFonts w:ascii="Arial" w:hAnsi="Arial" w:cs="Arial"/>
          <w:lang w:val="es-ES"/>
        </w:rPr>
        <w:t>iii</w:t>
      </w:r>
      <w:r w:rsidRPr="002F00E2" w:rsidR="002F00E2">
        <w:rPr>
          <w:rFonts w:ascii="Arial" w:hAnsi="Arial" w:cs="Arial"/>
          <w:lang w:val="es-ES"/>
        </w:rPr>
        <w:t>) Planificación, análisis de políticas de empleo y evaluación.</w:t>
      </w:r>
    </w:p>
    <w:p w:rsidRPr="002F00E2" w:rsidR="002F00E2" w:rsidP="002F00E2" w:rsidRDefault="002F00E2" w14:paraId="7E895058" w14:textId="77777777">
      <w:pPr>
        <w:pStyle w:val="ListParagraph"/>
        <w:jc w:val="both"/>
        <w:rPr>
          <w:rFonts w:ascii="Arial" w:hAnsi="Arial" w:cs="Arial"/>
          <w:lang w:val="es-ES"/>
        </w:rPr>
      </w:pPr>
    </w:p>
    <w:p w:rsidRPr="00333452" w:rsidR="00333452" w:rsidP="00333452" w:rsidRDefault="00333452" w14:paraId="6B7FCE51" w14:textId="618BF7F7">
      <w:pPr>
        <w:pStyle w:val="ListParagraph"/>
        <w:numPr>
          <w:ilvl w:val="0"/>
          <w:numId w:val="8"/>
        </w:numPr>
        <w:ind w:left="0"/>
        <w:jc w:val="both"/>
        <w:rPr>
          <w:rFonts w:ascii="Arial" w:hAnsi="Arial" w:cs="Arial"/>
          <w:lang w:val="es-ES"/>
        </w:rPr>
      </w:pPr>
      <w:r w:rsidRPr="00333452">
        <w:rPr>
          <w:rFonts w:ascii="Arial" w:hAnsi="Arial" w:cs="Arial"/>
          <w:lang w:val="es-ES"/>
        </w:rPr>
        <w:t xml:space="preserve">Para el año 2009, la tasa de desempleo urbano en Bolivia era de 4,3%, mientras que, en la Región, esta tasa era de 8%. Si bien la tasa de desempleo de Bolivia se situaba por debajo del promedio regional, este porcentaje presentaba, diferencias por tramos de edad y género. Por ejemplo, en zonas urbanas, la tasa de desempleo para adultos jóvenes de 25 a 30 años era de 7% entre los hombres y de 9,6% para las mujeres, mientras que esa misma tasa se ubicaba en 2,2% y 2,4% para hombres y mujeres mayores de 30 años, respectivamente. </w:t>
      </w:r>
    </w:p>
    <w:p w:rsidRPr="00333452" w:rsidR="00333452" w:rsidP="00333452" w:rsidRDefault="00333452" w14:paraId="211AF4E9" w14:textId="77777777">
      <w:pPr>
        <w:pStyle w:val="ListParagraph"/>
        <w:jc w:val="both"/>
        <w:rPr>
          <w:rFonts w:ascii="Arial" w:hAnsi="Arial" w:cs="Arial"/>
          <w:lang w:val="es-ES"/>
        </w:rPr>
      </w:pPr>
    </w:p>
    <w:p w:rsidRPr="00333452" w:rsidR="00333452" w:rsidP="00333452" w:rsidRDefault="00333452" w14:paraId="22324F4F" w14:textId="6C1B32E5">
      <w:pPr>
        <w:pStyle w:val="ListParagraph"/>
        <w:numPr>
          <w:ilvl w:val="0"/>
          <w:numId w:val="8"/>
        </w:numPr>
        <w:ind w:left="0"/>
        <w:jc w:val="both"/>
        <w:rPr>
          <w:rFonts w:ascii="Arial" w:hAnsi="Arial" w:cs="Arial"/>
          <w:lang w:val="es-ES"/>
        </w:rPr>
      </w:pPr>
      <w:r w:rsidRPr="00333452">
        <w:rPr>
          <w:rFonts w:ascii="Arial" w:hAnsi="Arial" w:cs="Arial"/>
          <w:lang w:val="es-ES"/>
        </w:rPr>
        <w:t>Por otro lado, más del 79% de la población ocupada en zonas urbanas eran informales</w:t>
      </w:r>
      <w:r w:rsidR="008B209C">
        <w:rPr>
          <w:rStyle w:val="FootnoteReference"/>
          <w:rFonts w:ascii="Arial" w:hAnsi="Arial" w:cs="Arial"/>
          <w:lang w:val="es-ES"/>
        </w:rPr>
        <w:footnoteReference w:id="2"/>
      </w:r>
      <w:r w:rsidRPr="00333452">
        <w:rPr>
          <w:rFonts w:ascii="Arial" w:hAnsi="Arial" w:cs="Arial"/>
          <w:lang w:val="es-ES"/>
        </w:rPr>
        <w:t xml:space="preserve"> y a nivel nacional, la tasa de informalidad era del 84% (SIMS, 2017 con datos de 2009), siendo una de las tasas de informalidad más altas en Latinoamérica. Otro aspecto necesario de destacar tiene que ver con el hecho que el 25% de la población ocupada en áreas urbanas tenía un ingreso laboral igual o inferior al salario mínimo y 5% eran trabajadores subempleados</w:t>
      </w:r>
      <w:r w:rsidR="007F1D51">
        <w:rPr>
          <w:rStyle w:val="FootnoteReference"/>
          <w:rFonts w:ascii="Arial" w:hAnsi="Arial" w:cs="Arial"/>
          <w:lang w:val="es-ES"/>
        </w:rPr>
        <w:footnoteReference w:id="3"/>
      </w:r>
      <w:r>
        <w:rPr>
          <w:rFonts w:ascii="Arial" w:hAnsi="Arial" w:cs="Arial"/>
          <w:lang w:val="es-ES"/>
        </w:rPr>
        <w:t>.</w:t>
      </w:r>
    </w:p>
    <w:p w:rsidRPr="00333452" w:rsidR="00333452" w:rsidP="00333452" w:rsidRDefault="00333452" w14:paraId="7F195A2B" w14:textId="77777777">
      <w:pPr>
        <w:pStyle w:val="ListParagraph"/>
        <w:ind w:left="0"/>
        <w:jc w:val="both"/>
        <w:rPr>
          <w:rFonts w:ascii="Arial" w:hAnsi="Arial" w:cs="Arial"/>
          <w:lang w:val="es-ES"/>
        </w:rPr>
      </w:pPr>
    </w:p>
    <w:p w:rsidRPr="00333452" w:rsidR="00333452" w:rsidP="00333452" w:rsidRDefault="00333452" w14:paraId="0AA526F9" w14:textId="74F65DB2">
      <w:pPr>
        <w:pStyle w:val="ListParagraph"/>
        <w:numPr>
          <w:ilvl w:val="0"/>
          <w:numId w:val="8"/>
        </w:numPr>
        <w:ind w:left="0"/>
        <w:jc w:val="both"/>
        <w:rPr>
          <w:rFonts w:ascii="Arial" w:hAnsi="Arial" w:cs="Arial"/>
          <w:lang w:val="es-ES"/>
        </w:rPr>
      </w:pPr>
      <w:r w:rsidRPr="00333452">
        <w:rPr>
          <w:rFonts w:ascii="Arial" w:hAnsi="Arial" w:cs="Arial"/>
          <w:lang w:val="es-ES"/>
        </w:rPr>
        <w:t xml:space="preserve">Teniendo en cuenta este contexto, se identificaron como causas detrás de estos problemas del mercado laboral a: </w:t>
      </w:r>
      <w:r w:rsidR="00DC1078">
        <w:rPr>
          <w:rFonts w:ascii="Arial" w:hAnsi="Arial" w:cs="Arial"/>
          <w:lang w:val="es-ES"/>
        </w:rPr>
        <w:t>(</w:t>
      </w:r>
      <w:r w:rsidRPr="00333452">
        <w:rPr>
          <w:rFonts w:ascii="Arial" w:hAnsi="Arial" w:cs="Arial"/>
          <w:lang w:val="es-ES"/>
        </w:rPr>
        <w:t xml:space="preserve">i) las barreras de información en el mercado laboral y el poco uso de mecanismos formales de búsqueda de empleo que impiden un emparejamiento eficiente entre buscadores de empleo y vacantes en el mercado laboral; y </w:t>
      </w:r>
      <w:r w:rsidR="00DC1078">
        <w:rPr>
          <w:rFonts w:ascii="Arial" w:hAnsi="Arial" w:cs="Arial"/>
          <w:lang w:val="es-ES"/>
        </w:rPr>
        <w:t>(</w:t>
      </w:r>
      <w:r w:rsidRPr="00333452">
        <w:rPr>
          <w:rFonts w:ascii="Arial" w:hAnsi="Arial" w:cs="Arial"/>
          <w:lang w:val="es-ES"/>
        </w:rPr>
        <w:t>ii) la ausencia de Políticas Activas de Mercado Laboral (PAML).</w:t>
      </w:r>
    </w:p>
    <w:p w:rsidRPr="00333452" w:rsidR="00333452" w:rsidP="00333452" w:rsidRDefault="00333452" w14:paraId="7CD4E1F7" w14:textId="77777777">
      <w:pPr>
        <w:pStyle w:val="ListParagraph"/>
        <w:ind w:left="0"/>
        <w:jc w:val="both"/>
        <w:rPr>
          <w:rFonts w:ascii="Arial" w:hAnsi="Arial" w:cs="Arial"/>
          <w:lang w:val="es-ES"/>
        </w:rPr>
      </w:pPr>
    </w:p>
    <w:p w:rsidRPr="00781C87" w:rsidR="00781C87" w:rsidP="001335F5" w:rsidRDefault="00333452" w14:paraId="47CF528B" w14:textId="468A7A03">
      <w:pPr>
        <w:pStyle w:val="ListParagraph"/>
        <w:numPr>
          <w:ilvl w:val="0"/>
          <w:numId w:val="8"/>
        </w:numPr>
        <w:ind w:left="0"/>
        <w:jc w:val="both"/>
        <w:rPr>
          <w:rFonts w:ascii="Arial" w:hAnsi="Arial" w:cs="Arial"/>
          <w:lang w:val="es-ES_tradnl"/>
        </w:rPr>
      </w:pPr>
      <w:r w:rsidRPr="00781C87">
        <w:rPr>
          <w:rFonts w:ascii="Arial" w:hAnsi="Arial" w:cs="Arial"/>
          <w:lang w:val="es-ES"/>
        </w:rPr>
        <w:t xml:space="preserve">Las barreras de información en el mercado laboral en Bolivia se explicaban por dos hechos: </w:t>
      </w:r>
      <w:r w:rsidR="00DC1078">
        <w:rPr>
          <w:rFonts w:ascii="Arial" w:hAnsi="Arial" w:cs="Arial"/>
          <w:lang w:val="es-ES"/>
        </w:rPr>
        <w:t>(</w:t>
      </w:r>
      <w:r w:rsidRPr="00781C87">
        <w:rPr>
          <w:rFonts w:ascii="Arial" w:hAnsi="Arial" w:cs="Arial"/>
          <w:lang w:val="es-ES"/>
        </w:rPr>
        <w:t>i)</w:t>
      </w:r>
      <w:r w:rsidR="00DC1078">
        <w:rPr>
          <w:rFonts w:ascii="Arial" w:hAnsi="Arial" w:cs="Arial"/>
          <w:lang w:val="es-ES"/>
        </w:rPr>
        <w:t> </w:t>
      </w:r>
      <w:r w:rsidRPr="00781C87">
        <w:rPr>
          <w:rFonts w:ascii="Arial" w:hAnsi="Arial" w:cs="Arial"/>
          <w:lang w:val="es-ES"/>
        </w:rPr>
        <w:t>la ausencia de información sobre vacantes de calidad en el mercado laboral, debido a que gran parte de los buscadores de empleo utilizan medios informales de búsqueda de empleo, que se caracterizan por ser ineficientes y por perpetuar, así, las inequidades en el mercado (Mazza, 2011)</w:t>
      </w:r>
      <w:r w:rsidR="00DC1078">
        <w:rPr>
          <w:rFonts w:ascii="Arial" w:hAnsi="Arial" w:cs="Arial"/>
          <w:lang w:val="es-ES"/>
        </w:rPr>
        <w:t>; y</w:t>
      </w:r>
      <w:r w:rsidR="009822C6">
        <w:rPr>
          <w:rFonts w:ascii="Arial" w:hAnsi="Arial" w:cs="Arial"/>
          <w:lang w:val="es-ES"/>
        </w:rPr>
        <w:t xml:space="preserve"> </w:t>
      </w:r>
      <w:r w:rsidR="00DC1078">
        <w:rPr>
          <w:rFonts w:ascii="Arial" w:hAnsi="Arial" w:cs="Arial"/>
          <w:lang w:val="es-ES"/>
        </w:rPr>
        <w:t>(</w:t>
      </w:r>
      <w:r w:rsidRPr="00781C87">
        <w:rPr>
          <w:rFonts w:ascii="Arial" w:hAnsi="Arial" w:cs="Arial"/>
          <w:lang w:val="es-ES"/>
        </w:rPr>
        <w:t xml:space="preserve">ii)  la falta de receptividad de los empleadores a buscar candidatos para las vacantes laborales existentes por vías diferentes a las tradicionales (contactos familiares, conocidos, entre otras). </w:t>
      </w:r>
      <w:r w:rsidRPr="00781C87" w:rsidR="00781C87">
        <w:rPr>
          <w:rFonts w:ascii="Arial" w:hAnsi="Arial" w:cs="Arial"/>
          <w:lang w:val="es-ES"/>
        </w:rPr>
        <w:t xml:space="preserve"> </w:t>
      </w:r>
    </w:p>
    <w:p w:rsidRPr="00781C87" w:rsidR="00781C87" w:rsidP="00781C87" w:rsidRDefault="00781C87" w14:paraId="779E776F" w14:textId="77777777">
      <w:pPr>
        <w:pStyle w:val="ListParagraph"/>
        <w:rPr>
          <w:rFonts w:ascii="Arial" w:hAnsi="Arial" w:cs="Arial"/>
          <w:lang w:val="es-ES"/>
        </w:rPr>
      </w:pPr>
    </w:p>
    <w:p w:rsidRPr="00781C87" w:rsidR="00332F75" w:rsidP="001335F5" w:rsidRDefault="00333452" w14:paraId="7FEE94BE" w14:textId="200EBBDF">
      <w:pPr>
        <w:pStyle w:val="ListParagraph"/>
        <w:numPr>
          <w:ilvl w:val="0"/>
          <w:numId w:val="8"/>
        </w:numPr>
        <w:ind w:left="0"/>
        <w:jc w:val="both"/>
        <w:rPr>
          <w:rFonts w:ascii="Arial" w:hAnsi="Arial" w:cs="Arial"/>
          <w:lang w:val="es-ES_tradnl"/>
        </w:rPr>
      </w:pPr>
      <w:r w:rsidRPr="00781C87">
        <w:rPr>
          <w:rFonts w:ascii="Arial" w:hAnsi="Arial" w:cs="Arial"/>
          <w:lang w:val="es-ES"/>
        </w:rPr>
        <w:t xml:space="preserve">Por otro lado, las instituciones de mercado laboral en Bolivia carecían de una presencia significativa, debido a un déficit institucional por parte del Ministerio de Trabajo, Empleo y Previsión Social (MTEPS); y a la ausencia de PAML de mediano y largo plazo, que sirvieran para promover políticas laborales más dinámicas para la mayoría de la población.  </w:t>
      </w:r>
    </w:p>
    <w:p w:rsidRPr="00781C87" w:rsidR="00781C87" w:rsidP="00781C87" w:rsidRDefault="00781C87" w14:paraId="6524F85F" w14:textId="77777777">
      <w:pPr>
        <w:pStyle w:val="ListParagraph"/>
        <w:rPr>
          <w:rFonts w:ascii="Arial" w:hAnsi="Arial" w:cs="Arial"/>
          <w:lang w:val="es-ES_tradnl"/>
        </w:rPr>
      </w:pPr>
    </w:p>
    <w:p w:rsidRPr="00781C87" w:rsidR="00781C87" w:rsidP="00781C87" w:rsidRDefault="00781C87" w14:paraId="704A156D" w14:textId="6643C7F4">
      <w:pPr>
        <w:pStyle w:val="ListParagraph"/>
        <w:numPr>
          <w:ilvl w:val="0"/>
          <w:numId w:val="8"/>
        </w:numPr>
        <w:ind w:left="0"/>
        <w:jc w:val="both"/>
        <w:rPr>
          <w:rFonts w:ascii="Arial" w:hAnsi="Arial" w:cs="Arial"/>
          <w:lang w:val="es-ES"/>
        </w:rPr>
      </w:pPr>
      <w:r w:rsidRPr="00781C87">
        <w:rPr>
          <w:rFonts w:ascii="Arial" w:hAnsi="Arial" w:cs="Arial"/>
          <w:lang w:val="es-ES"/>
        </w:rPr>
        <w:t>Al momento del diseño del programa, el MTEPS contaba con una incipiente estructura institucional donde se enmarcaban un Servicio de Empleo (SPE) de cobertura reducida y con limitada capacidad técnica y operativa, y un programa piloto de capacitación e inserción laboral destinado exclusivamente a jóvenes vulnerables llamado Mi Primer Empleo Digno (MPED).</w:t>
      </w:r>
    </w:p>
    <w:p w:rsidR="00781C87" w:rsidP="00781C87" w:rsidRDefault="00781C87" w14:paraId="0E230133" w14:textId="77777777">
      <w:pPr>
        <w:pStyle w:val="ListParagraph"/>
        <w:ind w:left="0"/>
        <w:jc w:val="both"/>
        <w:rPr>
          <w:rFonts w:ascii="Arial" w:hAnsi="Arial" w:cs="Arial"/>
          <w:highlight w:val="yellow"/>
          <w:lang w:val="es-ES"/>
        </w:rPr>
      </w:pPr>
    </w:p>
    <w:p w:rsidRPr="006B6206" w:rsidR="00DA0032" w:rsidP="00E81952" w:rsidRDefault="00DA0032" w14:paraId="778C48E1" w14:textId="229459D2">
      <w:pPr>
        <w:pStyle w:val="ListParagraph"/>
        <w:numPr>
          <w:ilvl w:val="0"/>
          <w:numId w:val="8"/>
        </w:numPr>
        <w:ind w:left="0"/>
        <w:jc w:val="both"/>
        <w:rPr>
          <w:rFonts w:ascii="Arial" w:hAnsi="Arial" w:cs="Arial"/>
          <w:lang w:val="es-ES"/>
        </w:rPr>
      </w:pPr>
      <w:r w:rsidRPr="006B6206">
        <w:rPr>
          <w:rFonts w:ascii="Arial" w:hAnsi="Arial" w:cs="Arial"/>
          <w:lang w:val="es-ES"/>
        </w:rPr>
        <w:t xml:space="preserve">El presente </w:t>
      </w:r>
      <w:r w:rsidRPr="006B6206" w:rsidR="00AF633A">
        <w:rPr>
          <w:rFonts w:ascii="Arial" w:hAnsi="Arial" w:cs="Arial"/>
          <w:lang w:val="es-ES"/>
        </w:rPr>
        <w:t>análisis</w:t>
      </w:r>
      <w:r w:rsidRPr="006B6206">
        <w:rPr>
          <w:rFonts w:ascii="Arial" w:hAnsi="Arial" w:cs="Arial"/>
          <w:lang w:val="es-ES"/>
        </w:rPr>
        <w:t xml:space="preserve"> de Costo Beneficio (CBA, por sus siglas en </w:t>
      </w:r>
      <w:r w:rsidRPr="006B6206" w:rsidR="00AF633A">
        <w:rPr>
          <w:rFonts w:ascii="Arial" w:hAnsi="Arial" w:cs="Arial"/>
          <w:lang w:val="es-ES"/>
        </w:rPr>
        <w:t>inglés</w:t>
      </w:r>
      <w:r w:rsidRPr="006B6206">
        <w:rPr>
          <w:rFonts w:ascii="Arial" w:hAnsi="Arial" w:cs="Arial"/>
          <w:lang w:val="es-ES"/>
        </w:rPr>
        <w:t xml:space="preserve">) del PAE se </w:t>
      </w:r>
      <w:r w:rsidRPr="006B6206" w:rsidR="00C709EE">
        <w:rPr>
          <w:rFonts w:ascii="Arial" w:hAnsi="Arial" w:cs="Arial"/>
          <w:lang w:val="es-ES"/>
        </w:rPr>
        <w:t>enfoc</w:t>
      </w:r>
      <w:r w:rsidRPr="006B6206" w:rsidR="006B6206">
        <w:rPr>
          <w:rFonts w:ascii="Arial" w:hAnsi="Arial" w:cs="Arial"/>
          <w:lang w:val="es-ES"/>
        </w:rPr>
        <w:t xml:space="preserve">a </w:t>
      </w:r>
      <w:r w:rsidR="006B6206">
        <w:rPr>
          <w:rFonts w:ascii="Arial" w:hAnsi="Arial" w:cs="Arial"/>
          <w:lang w:val="es-ES"/>
        </w:rPr>
        <w:t xml:space="preserve">únicamente </w:t>
      </w:r>
      <w:r w:rsidRPr="006B6206">
        <w:rPr>
          <w:rFonts w:ascii="Arial" w:hAnsi="Arial" w:cs="Arial"/>
          <w:lang w:val="es-ES"/>
        </w:rPr>
        <w:t xml:space="preserve">en el impacto </w:t>
      </w:r>
      <w:r w:rsidRPr="006B6206" w:rsidR="00C709EE">
        <w:rPr>
          <w:rFonts w:ascii="Arial" w:hAnsi="Arial" w:cs="Arial"/>
          <w:lang w:val="es-ES"/>
        </w:rPr>
        <w:t xml:space="preserve">estimado del Componente 2 (Programa de Apoyo al Empleo para Adultos) </w:t>
      </w:r>
      <w:r w:rsidRPr="006B6206" w:rsidR="00D365E0">
        <w:rPr>
          <w:rFonts w:ascii="Arial" w:hAnsi="Arial" w:cs="Arial"/>
          <w:lang w:val="es-ES"/>
        </w:rPr>
        <w:t>sobre el acceso a empleo</w:t>
      </w:r>
      <w:r w:rsidR="000369EB">
        <w:rPr>
          <w:rFonts w:ascii="Arial" w:hAnsi="Arial" w:cs="Arial"/>
          <w:lang w:val="es-ES"/>
        </w:rPr>
        <w:t>,</w:t>
      </w:r>
      <w:r w:rsidRPr="006B6206" w:rsidR="00D365E0">
        <w:rPr>
          <w:rFonts w:ascii="Arial" w:hAnsi="Arial" w:cs="Arial"/>
          <w:lang w:val="es-ES"/>
        </w:rPr>
        <w:t xml:space="preserve"> </w:t>
      </w:r>
      <w:r w:rsidRPr="006B6206" w:rsidR="00C709EE">
        <w:rPr>
          <w:rFonts w:ascii="Arial" w:hAnsi="Arial" w:cs="Arial"/>
          <w:lang w:val="es-ES"/>
        </w:rPr>
        <w:t>empleo formal</w:t>
      </w:r>
      <w:r w:rsidR="000369EB">
        <w:rPr>
          <w:rFonts w:ascii="Arial" w:hAnsi="Arial" w:cs="Arial"/>
          <w:lang w:val="es-ES"/>
        </w:rPr>
        <w:t xml:space="preserve"> e ingreso laboral</w:t>
      </w:r>
      <w:r w:rsidRPr="006B6206" w:rsidR="0019399B">
        <w:rPr>
          <w:rFonts w:ascii="Arial" w:hAnsi="Arial" w:cs="Arial"/>
          <w:lang w:val="es-ES"/>
        </w:rPr>
        <w:t xml:space="preserve">. </w:t>
      </w:r>
      <w:r w:rsidRPr="006B6206" w:rsidR="006B6206">
        <w:rPr>
          <w:rFonts w:ascii="Arial" w:hAnsi="Arial" w:cs="Arial"/>
          <w:lang w:val="es-ES"/>
        </w:rPr>
        <w:t>Para esto se considera los resultados obtenidos de la evaluación del programa, el cual analiza particularmente el impacto de la capacitación in situ en el acceso a empleo y</w:t>
      </w:r>
      <w:r w:rsidR="00317265">
        <w:rPr>
          <w:rFonts w:ascii="Arial" w:hAnsi="Arial" w:cs="Arial"/>
          <w:lang w:val="es-ES"/>
        </w:rPr>
        <w:t xml:space="preserve"> su ingreso obtenido</w:t>
      </w:r>
      <w:r w:rsidRPr="006B6206" w:rsidR="006B6206">
        <w:rPr>
          <w:rFonts w:ascii="Arial" w:hAnsi="Arial" w:cs="Arial"/>
          <w:lang w:val="es-ES"/>
        </w:rPr>
        <w:t xml:space="preserve">. Se estima que </w:t>
      </w:r>
      <w:r w:rsidR="00317265">
        <w:rPr>
          <w:rFonts w:ascii="Arial" w:hAnsi="Arial" w:cs="Arial"/>
          <w:lang w:val="es-ES"/>
        </w:rPr>
        <w:t xml:space="preserve">la cadena causal del </w:t>
      </w:r>
      <w:r w:rsidRPr="006B6206" w:rsidR="006B6206">
        <w:rPr>
          <w:rFonts w:ascii="Arial" w:hAnsi="Arial" w:cs="Arial"/>
          <w:lang w:val="es-ES"/>
        </w:rPr>
        <w:t xml:space="preserve">impacto de la capacitación </w:t>
      </w:r>
      <w:r w:rsidR="00317265">
        <w:rPr>
          <w:rFonts w:ascii="Arial" w:hAnsi="Arial" w:cs="Arial"/>
          <w:lang w:val="es-ES"/>
        </w:rPr>
        <w:t>se explica por dos motivos</w:t>
      </w:r>
      <w:r w:rsidRPr="006B6206" w:rsidR="006B6206">
        <w:rPr>
          <w:rFonts w:ascii="Arial" w:hAnsi="Arial" w:cs="Arial"/>
          <w:lang w:val="es-ES"/>
        </w:rPr>
        <w:t xml:space="preserve">: Primero, </w:t>
      </w:r>
      <w:r w:rsidR="00317265">
        <w:rPr>
          <w:rFonts w:ascii="Arial" w:hAnsi="Arial" w:cs="Arial"/>
          <w:lang w:val="es-ES"/>
        </w:rPr>
        <w:t xml:space="preserve">por </w:t>
      </w:r>
      <w:r w:rsidRPr="006B6206" w:rsidR="006B6206">
        <w:rPr>
          <w:rFonts w:ascii="Arial" w:hAnsi="Arial" w:cs="Arial"/>
          <w:lang w:val="es-ES"/>
        </w:rPr>
        <w:t xml:space="preserve">los mejores emparejamientos obtenidos por los beneficiarios del componente como consecuencia del mayor </w:t>
      </w:r>
      <w:r w:rsidRPr="006B6206" w:rsidR="00EE7387">
        <w:rPr>
          <w:rFonts w:ascii="Arial" w:hAnsi="Arial" w:cs="Arial"/>
          <w:lang w:val="es-ES"/>
        </w:rPr>
        <w:t>acceso a información</w:t>
      </w:r>
      <w:r w:rsidRPr="006B6206" w:rsidR="006B6206">
        <w:rPr>
          <w:rFonts w:ascii="Arial" w:hAnsi="Arial" w:cs="Arial"/>
          <w:lang w:val="es-ES"/>
        </w:rPr>
        <w:t xml:space="preserve">. Segundo como consecuencia de </w:t>
      </w:r>
      <w:r w:rsidRPr="006B6206" w:rsidR="00635A94">
        <w:rPr>
          <w:rFonts w:ascii="Arial" w:hAnsi="Arial" w:cs="Arial"/>
          <w:lang w:val="es-ES"/>
        </w:rPr>
        <w:t xml:space="preserve">la </w:t>
      </w:r>
      <w:r w:rsidRPr="006B6206" w:rsidR="00AF633A">
        <w:rPr>
          <w:rFonts w:ascii="Arial" w:hAnsi="Arial" w:cs="Arial"/>
          <w:lang w:val="es-ES"/>
        </w:rPr>
        <w:t>señalización</w:t>
      </w:r>
      <w:r w:rsidRPr="006B6206" w:rsidR="00EE7387">
        <w:rPr>
          <w:rFonts w:ascii="Arial" w:hAnsi="Arial" w:cs="Arial"/>
          <w:lang w:val="es-ES"/>
        </w:rPr>
        <w:t xml:space="preserve"> de la </w:t>
      </w:r>
      <w:r w:rsidR="00317265">
        <w:rPr>
          <w:rFonts w:ascii="Arial" w:hAnsi="Arial" w:cs="Arial"/>
          <w:lang w:val="es-ES"/>
        </w:rPr>
        <w:t xml:space="preserve">“productividad” </w:t>
      </w:r>
      <w:r w:rsidRPr="006B6206" w:rsidR="0042678F">
        <w:rPr>
          <w:rFonts w:ascii="Arial" w:hAnsi="Arial" w:cs="Arial"/>
          <w:lang w:val="es-ES"/>
        </w:rPr>
        <w:t xml:space="preserve">del </w:t>
      </w:r>
      <w:r w:rsidR="00317265">
        <w:rPr>
          <w:rFonts w:ascii="Arial" w:hAnsi="Arial" w:cs="Arial"/>
          <w:lang w:val="es-ES"/>
        </w:rPr>
        <w:t>beneficiario</w:t>
      </w:r>
      <w:r w:rsidRPr="006B6206" w:rsidR="00317265">
        <w:rPr>
          <w:rFonts w:ascii="Arial" w:hAnsi="Arial" w:cs="Arial"/>
          <w:lang w:val="es-ES"/>
        </w:rPr>
        <w:t xml:space="preserve">, </w:t>
      </w:r>
      <w:r w:rsidR="00317265">
        <w:rPr>
          <w:rFonts w:ascii="Arial" w:hAnsi="Arial" w:cs="Arial"/>
          <w:lang w:val="es-ES"/>
        </w:rPr>
        <w:t xml:space="preserve">la </w:t>
      </w:r>
      <w:r w:rsidRPr="006B6206" w:rsidR="00317265">
        <w:rPr>
          <w:rFonts w:ascii="Arial" w:hAnsi="Arial" w:cs="Arial"/>
          <w:lang w:val="es-ES"/>
        </w:rPr>
        <w:t>experiencia laboral relevante</w:t>
      </w:r>
      <w:r w:rsidR="00317265">
        <w:rPr>
          <w:rFonts w:ascii="Arial" w:hAnsi="Arial" w:cs="Arial"/>
          <w:lang w:val="es-ES"/>
        </w:rPr>
        <w:t xml:space="preserve"> y la provisión de contactos</w:t>
      </w:r>
      <w:r w:rsidRPr="006B6206" w:rsidR="0042678F">
        <w:rPr>
          <w:rFonts w:ascii="Arial" w:hAnsi="Arial" w:cs="Arial"/>
          <w:lang w:val="es-ES"/>
        </w:rPr>
        <w:t xml:space="preserve">. </w:t>
      </w:r>
    </w:p>
    <w:p w:rsidRPr="0078661C" w:rsidR="00C72FE7" w:rsidP="00673134" w:rsidRDefault="00C72FE7" w14:paraId="556EBA54" w14:textId="77777777">
      <w:pPr>
        <w:pStyle w:val="ListParagraph"/>
        <w:rPr>
          <w:rFonts w:ascii="Arial" w:hAnsi="Arial" w:cs="Arial"/>
          <w:lang w:val="es-ES"/>
        </w:rPr>
      </w:pPr>
    </w:p>
    <w:p w:rsidRPr="0078661C" w:rsidR="00425D26" w:rsidP="007F6529" w:rsidRDefault="00541D07" w14:paraId="13EF07C1" w14:textId="07D9D02A">
      <w:pPr>
        <w:pStyle w:val="ListParagraph"/>
        <w:numPr>
          <w:ilvl w:val="0"/>
          <w:numId w:val="8"/>
        </w:numPr>
        <w:ind w:left="0"/>
        <w:jc w:val="both"/>
        <w:rPr>
          <w:rFonts w:ascii="Arial" w:hAnsi="Arial" w:cs="Arial"/>
          <w:lang w:val="es-ES"/>
        </w:rPr>
      </w:pPr>
      <w:r w:rsidRPr="0078661C">
        <w:rPr>
          <w:rFonts w:ascii="Arial" w:hAnsi="Arial" w:cs="Arial"/>
          <w:lang w:val="es-ES"/>
        </w:rPr>
        <w:t xml:space="preserve">El préstamo del Banco </w:t>
      </w:r>
      <w:r w:rsidRPr="0078661C" w:rsidR="007F6529">
        <w:rPr>
          <w:rFonts w:ascii="Arial" w:hAnsi="Arial" w:cs="Arial"/>
          <w:lang w:val="es-ES"/>
        </w:rPr>
        <w:t xml:space="preserve">para el programa </w:t>
      </w:r>
      <w:r w:rsidR="006B6206">
        <w:rPr>
          <w:rFonts w:ascii="Arial" w:hAnsi="Arial" w:cs="Arial"/>
          <w:lang w:val="es-ES"/>
        </w:rPr>
        <w:t xml:space="preserve">fue de </w:t>
      </w:r>
      <w:r w:rsidRPr="0078661C">
        <w:rPr>
          <w:rFonts w:ascii="Arial" w:hAnsi="Arial" w:cs="Arial"/>
          <w:lang w:val="es-ES"/>
        </w:rPr>
        <w:t>US$</w:t>
      </w:r>
      <w:r w:rsidR="006B6206">
        <w:rPr>
          <w:rFonts w:ascii="Arial" w:hAnsi="Arial" w:cs="Arial"/>
          <w:lang w:val="es-ES"/>
        </w:rPr>
        <w:t>2</w:t>
      </w:r>
      <w:r w:rsidRPr="0078661C">
        <w:rPr>
          <w:rFonts w:ascii="Arial" w:hAnsi="Arial" w:cs="Arial"/>
          <w:lang w:val="es-ES"/>
        </w:rPr>
        <w:t xml:space="preserve">0 millones, </w:t>
      </w:r>
      <w:r w:rsidRPr="0078661C" w:rsidR="007F6529">
        <w:rPr>
          <w:rFonts w:ascii="Arial" w:hAnsi="Arial" w:cs="Arial"/>
          <w:lang w:val="es-ES"/>
        </w:rPr>
        <w:t>según los datos obtenidos mediante el pr</w:t>
      </w:r>
      <w:r w:rsidRPr="0078661C" w:rsidR="00776D09">
        <w:rPr>
          <w:rFonts w:ascii="Arial" w:hAnsi="Arial" w:cs="Arial"/>
          <w:lang w:val="es-ES"/>
        </w:rPr>
        <w:t>e</w:t>
      </w:r>
      <w:r w:rsidRPr="0078661C" w:rsidR="007F6529">
        <w:rPr>
          <w:rFonts w:ascii="Arial" w:hAnsi="Arial" w:cs="Arial"/>
          <w:lang w:val="es-ES"/>
        </w:rPr>
        <w:t xml:space="preserve">sente </w:t>
      </w:r>
      <w:r w:rsidRPr="0078661C" w:rsidR="00AF633A">
        <w:rPr>
          <w:rFonts w:ascii="Arial" w:hAnsi="Arial" w:cs="Arial"/>
          <w:lang w:val="es-ES"/>
        </w:rPr>
        <w:t>análisis</w:t>
      </w:r>
      <w:r w:rsidRPr="0078661C" w:rsidR="007F6529">
        <w:rPr>
          <w:rFonts w:ascii="Arial" w:hAnsi="Arial" w:cs="Arial"/>
          <w:lang w:val="es-ES"/>
        </w:rPr>
        <w:t xml:space="preserve"> de Costo Beneficio </w:t>
      </w:r>
      <w:r w:rsidRPr="0078661C">
        <w:rPr>
          <w:rFonts w:ascii="Arial" w:hAnsi="Arial" w:cs="Arial"/>
          <w:lang w:val="es-ES"/>
        </w:rPr>
        <w:t xml:space="preserve">el </w:t>
      </w:r>
      <w:r w:rsidRPr="0078661C" w:rsidR="00AF633A">
        <w:rPr>
          <w:rFonts w:ascii="Arial" w:hAnsi="Arial" w:cs="Arial"/>
          <w:lang w:val="es-ES"/>
        </w:rPr>
        <w:t>préstamo</w:t>
      </w:r>
      <w:r w:rsidRPr="0078661C">
        <w:rPr>
          <w:rFonts w:ascii="Arial" w:hAnsi="Arial" w:cs="Arial"/>
          <w:lang w:val="es-ES"/>
        </w:rPr>
        <w:t xml:space="preserve"> es rentable </w:t>
      </w:r>
      <w:r w:rsidRPr="0078661C" w:rsidR="007F6529">
        <w:rPr>
          <w:rFonts w:ascii="Arial" w:hAnsi="Arial" w:cs="Arial"/>
          <w:lang w:val="es-ES"/>
        </w:rPr>
        <w:t>por un VPN de US$</w:t>
      </w:r>
      <w:r w:rsidR="00317265">
        <w:rPr>
          <w:rFonts w:ascii="Arial" w:hAnsi="Arial" w:cs="Arial"/>
          <w:lang w:val="es-ES"/>
        </w:rPr>
        <w:t>3</w:t>
      </w:r>
      <w:r w:rsidR="00CF658C">
        <w:rPr>
          <w:rFonts w:ascii="Arial" w:hAnsi="Arial" w:cs="Arial"/>
          <w:lang w:val="es-ES"/>
        </w:rPr>
        <w:t>4</w:t>
      </w:r>
      <w:r w:rsidR="00317265">
        <w:rPr>
          <w:rFonts w:ascii="Arial" w:hAnsi="Arial" w:cs="Arial"/>
          <w:lang w:val="es-ES"/>
        </w:rPr>
        <w:t>6</w:t>
      </w:r>
      <w:r w:rsidR="00CF658C">
        <w:rPr>
          <w:rFonts w:ascii="Arial" w:hAnsi="Arial" w:cs="Arial"/>
          <w:lang w:val="es-ES"/>
        </w:rPr>
        <w:t xml:space="preserve"> </w:t>
      </w:r>
      <w:r w:rsidRPr="0078661C" w:rsidR="007F6529">
        <w:rPr>
          <w:rFonts w:ascii="Arial" w:hAnsi="Arial" w:cs="Arial"/>
          <w:lang w:val="es-ES"/>
        </w:rPr>
        <w:t xml:space="preserve">millones con un ratio </w:t>
      </w:r>
      <w:r w:rsidRPr="0078661C">
        <w:rPr>
          <w:rFonts w:ascii="Arial" w:hAnsi="Arial" w:cs="Arial"/>
          <w:lang w:val="es-ES"/>
        </w:rPr>
        <w:t>C</w:t>
      </w:r>
      <w:r w:rsidRPr="0078661C" w:rsidR="007F6529">
        <w:rPr>
          <w:rFonts w:ascii="Arial" w:hAnsi="Arial" w:cs="Arial"/>
          <w:lang w:val="es-ES"/>
        </w:rPr>
        <w:t xml:space="preserve">osto </w:t>
      </w:r>
      <w:r w:rsidRPr="0078661C">
        <w:rPr>
          <w:rFonts w:ascii="Arial" w:hAnsi="Arial" w:cs="Arial"/>
          <w:lang w:val="es-ES"/>
        </w:rPr>
        <w:t>B</w:t>
      </w:r>
      <w:r w:rsidRPr="0078661C" w:rsidR="004C2B2F">
        <w:rPr>
          <w:rFonts w:ascii="Arial" w:hAnsi="Arial" w:cs="Arial"/>
          <w:lang w:val="es-ES"/>
        </w:rPr>
        <w:t xml:space="preserve">eneficio de </w:t>
      </w:r>
      <w:r w:rsidR="00781C87">
        <w:rPr>
          <w:rFonts w:ascii="Arial" w:hAnsi="Arial" w:cs="Arial"/>
          <w:lang w:val="es-ES"/>
        </w:rPr>
        <w:t>1,</w:t>
      </w:r>
      <w:r w:rsidR="00317265">
        <w:rPr>
          <w:rFonts w:ascii="Arial" w:hAnsi="Arial" w:cs="Arial"/>
          <w:lang w:val="es-ES"/>
        </w:rPr>
        <w:t>2</w:t>
      </w:r>
      <w:r w:rsidR="00781C87">
        <w:rPr>
          <w:rFonts w:ascii="Arial" w:hAnsi="Arial" w:cs="Arial"/>
          <w:lang w:val="es-ES"/>
        </w:rPr>
        <w:t>3</w:t>
      </w:r>
      <w:r w:rsidR="006B6206">
        <w:rPr>
          <w:rFonts w:ascii="Arial" w:hAnsi="Arial" w:cs="Arial"/>
          <w:lang w:val="es-ES"/>
        </w:rPr>
        <w:t xml:space="preserve">. </w:t>
      </w:r>
    </w:p>
    <w:p w:rsidRPr="0078661C" w:rsidR="00425D26" w:rsidP="00673134" w:rsidRDefault="00425D26" w14:paraId="5409256B" w14:textId="77777777">
      <w:pPr>
        <w:pStyle w:val="ListParagraph"/>
        <w:ind w:left="0"/>
        <w:rPr>
          <w:rFonts w:ascii="Arial" w:hAnsi="Arial" w:cs="Arial"/>
          <w:lang w:val="es-ES"/>
        </w:rPr>
      </w:pPr>
    </w:p>
    <w:p w:rsidRPr="0078661C" w:rsidR="00583D52" w:rsidP="00583D52" w:rsidRDefault="00541D07" w14:paraId="7DED5D73" w14:textId="77777777">
      <w:pPr>
        <w:pStyle w:val="ListParagraph"/>
        <w:numPr>
          <w:ilvl w:val="0"/>
          <w:numId w:val="7"/>
        </w:numPr>
        <w:spacing w:before="120" w:after="0"/>
        <w:ind w:left="0"/>
        <w:jc w:val="both"/>
        <w:rPr>
          <w:rFonts w:ascii="Arial" w:hAnsi="Arial" w:cs="Arial"/>
          <w:b/>
          <w:lang w:val="es-ES"/>
        </w:rPr>
      </w:pPr>
      <w:r w:rsidRPr="0078661C">
        <w:rPr>
          <w:rFonts w:ascii="Arial" w:hAnsi="Arial" w:cs="Arial"/>
          <w:b/>
          <w:lang w:val="es-ES"/>
        </w:rPr>
        <w:t xml:space="preserve">Supuestos y Metodología </w:t>
      </w:r>
    </w:p>
    <w:p w:rsidRPr="0078661C" w:rsidR="00583D52" w:rsidP="00583D52" w:rsidRDefault="00583D52" w14:paraId="1626EDFB" w14:textId="77777777">
      <w:pPr>
        <w:pStyle w:val="ListParagraph"/>
        <w:spacing w:before="120" w:after="0"/>
        <w:ind w:left="0"/>
        <w:jc w:val="both"/>
        <w:rPr>
          <w:rFonts w:ascii="Arial" w:hAnsi="Arial" w:cs="Arial"/>
          <w:lang w:val="es-ES"/>
        </w:rPr>
      </w:pPr>
    </w:p>
    <w:p w:rsidRPr="0078661C" w:rsidR="00215EE5" w:rsidP="00673134" w:rsidRDefault="00583D52" w14:paraId="6E846A8E" w14:textId="77777777">
      <w:pPr>
        <w:pStyle w:val="ListParagraph"/>
        <w:numPr>
          <w:ilvl w:val="1"/>
          <w:numId w:val="7"/>
        </w:numPr>
        <w:spacing w:before="120" w:after="0"/>
        <w:ind w:left="0"/>
        <w:jc w:val="both"/>
        <w:rPr>
          <w:rFonts w:ascii="Arial" w:hAnsi="Arial" w:cs="Arial"/>
          <w:lang w:val="es-ES"/>
        </w:rPr>
      </w:pPr>
      <w:r w:rsidRPr="0078661C">
        <w:rPr>
          <w:rFonts w:ascii="Arial" w:hAnsi="Arial" w:cs="Arial"/>
          <w:b/>
          <w:lang w:val="es-ES"/>
        </w:rPr>
        <w:t>Supuestos Generales</w:t>
      </w:r>
    </w:p>
    <w:p w:rsidRPr="0078661C" w:rsidR="00E509CA" w:rsidP="00E509CA" w:rsidRDefault="00E509CA" w14:paraId="68F8C883" w14:textId="77777777">
      <w:pPr>
        <w:pStyle w:val="ListParagraph"/>
        <w:spacing w:before="120" w:after="0"/>
        <w:ind w:left="0"/>
        <w:jc w:val="both"/>
        <w:rPr>
          <w:rFonts w:ascii="Arial" w:hAnsi="Arial" w:cs="Arial"/>
          <w:lang w:val="es-ES"/>
        </w:rPr>
      </w:pPr>
    </w:p>
    <w:p w:rsidRPr="008A1459" w:rsidR="00BF3AE7" w:rsidP="00673134" w:rsidRDefault="006031FB" w14:paraId="2B313E41" w14:textId="59E930F8">
      <w:pPr>
        <w:pStyle w:val="ListParagraph"/>
        <w:numPr>
          <w:ilvl w:val="0"/>
          <w:numId w:val="8"/>
        </w:numPr>
        <w:ind w:left="0"/>
        <w:jc w:val="both"/>
        <w:rPr>
          <w:rFonts w:ascii="Arial" w:hAnsi="Arial" w:cs="Arial"/>
          <w:lang w:val="es-ES"/>
        </w:rPr>
      </w:pPr>
      <w:r w:rsidRPr="008A1459">
        <w:rPr>
          <w:rFonts w:ascii="Arial" w:hAnsi="Arial" w:cs="Arial"/>
          <w:lang w:val="es-ES"/>
        </w:rPr>
        <w:t xml:space="preserve">En </w:t>
      </w:r>
      <w:r w:rsidRPr="008A1459" w:rsidR="00C059FB">
        <w:rPr>
          <w:rFonts w:ascii="Arial" w:hAnsi="Arial" w:cs="Arial"/>
          <w:lang w:val="es-ES"/>
        </w:rPr>
        <w:t xml:space="preserve">el </w:t>
      </w:r>
      <w:r w:rsidRPr="008A1459" w:rsidR="00AF633A">
        <w:rPr>
          <w:rFonts w:ascii="Arial" w:hAnsi="Arial" w:cs="Arial"/>
          <w:lang w:val="es-ES"/>
        </w:rPr>
        <w:t>análisis</w:t>
      </w:r>
      <w:r w:rsidRPr="008A1459" w:rsidR="00C059FB">
        <w:rPr>
          <w:rFonts w:ascii="Arial" w:hAnsi="Arial" w:cs="Arial"/>
          <w:lang w:val="es-ES"/>
        </w:rPr>
        <w:t xml:space="preserve"> de </w:t>
      </w:r>
      <w:r w:rsidRPr="00E50982">
        <w:rPr>
          <w:rFonts w:ascii="Arial" w:hAnsi="Arial" w:cs="Arial"/>
          <w:lang w:val="es-ES"/>
        </w:rPr>
        <w:t xml:space="preserve">costo beneficio </w:t>
      </w:r>
      <w:r w:rsidR="006B6206">
        <w:rPr>
          <w:rFonts w:ascii="Arial" w:hAnsi="Arial" w:cs="Arial"/>
          <w:lang w:val="es-ES"/>
        </w:rPr>
        <w:t xml:space="preserve">ex post </w:t>
      </w:r>
      <w:r w:rsidRPr="008A1459" w:rsidR="00FC62C5">
        <w:rPr>
          <w:rFonts w:ascii="Arial" w:hAnsi="Arial" w:cs="Arial"/>
          <w:lang w:val="es-ES"/>
        </w:rPr>
        <w:t xml:space="preserve">del </w:t>
      </w:r>
      <w:r w:rsidRPr="008A1459" w:rsidR="00C0470F">
        <w:rPr>
          <w:rFonts w:ascii="Arial" w:hAnsi="Arial" w:cs="Arial"/>
          <w:lang w:val="es-ES"/>
        </w:rPr>
        <w:t xml:space="preserve">PAE </w:t>
      </w:r>
      <w:r w:rsidRPr="008A1459">
        <w:rPr>
          <w:rFonts w:ascii="Arial" w:hAnsi="Arial" w:cs="Arial"/>
          <w:lang w:val="es-ES"/>
        </w:rPr>
        <w:t>estima los beneficios económicos netos sociales incrementales</w:t>
      </w:r>
      <w:r w:rsidRPr="008A1459" w:rsidR="00BF3AE7">
        <w:rPr>
          <w:rFonts w:ascii="Arial" w:hAnsi="Arial" w:cs="Arial"/>
          <w:lang w:val="es-ES"/>
        </w:rPr>
        <w:t xml:space="preserve"> relacionados a la implementación </w:t>
      </w:r>
      <w:r w:rsidRPr="008A1459" w:rsidR="00606D34">
        <w:rPr>
          <w:rFonts w:ascii="Arial" w:hAnsi="Arial" w:cs="Arial"/>
          <w:lang w:val="es-ES"/>
        </w:rPr>
        <w:t>del programa</w:t>
      </w:r>
      <w:r w:rsidRPr="008A1459">
        <w:rPr>
          <w:rFonts w:ascii="Arial" w:hAnsi="Arial" w:cs="Arial"/>
          <w:lang w:val="es-ES"/>
        </w:rPr>
        <w:t xml:space="preserve">. Esto se hace sustrayendo los costos incrementales del programa del flujo descontado de beneficios incrementales estimados. </w:t>
      </w:r>
      <w:r w:rsidR="00E6234F">
        <w:rPr>
          <w:rFonts w:ascii="Arial" w:hAnsi="Arial" w:cs="Arial"/>
          <w:lang w:val="es-ES"/>
        </w:rPr>
        <w:t xml:space="preserve">Los beneficios del programa se calculan en base a los resultados de la evaluación de impacto del mismo. </w:t>
      </w:r>
    </w:p>
    <w:p w:rsidRPr="008A1459" w:rsidR="006F0F0C" w:rsidP="00011D76" w:rsidRDefault="006F0F0C" w14:paraId="1B2E1656" w14:textId="77777777">
      <w:pPr>
        <w:pStyle w:val="ListParagraph"/>
        <w:ind w:left="0"/>
        <w:jc w:val="both"/>
        <w:rPr>
          <w:rFonts w:ascii="Arial" w:hAnsi="Arial" w:cs="Arial"/>
          <w:lang w:val="es-ES"/>
        </w:rPr>
      </w:pPr>
    </w:p>
    <w:p w:rsidR="006F0F0C" w:rsidP="00562EA4" w:rsidRDefault="006F0F0C" w14:paraId="0A330558" w14:textId="74BABBE4">
      <w:pPr>
        <w:pStyle w:val="ListParagraph"/>
        <w:numPr>
          <w:ilvl w:val="0"/>
          <w:numId w:val="8"/>
        </w:numPr>
        <w:ind w:left="0"/>
        <w:jc w:val="both"/>
        <w:rPr>
          <w:rFonts w:ascii="Arial" w:hAnsi="Arial" w:cs="Arial"/>
          <w:lang w:val="es-ES"/>
        </w:rPr>
      </w:pPr>
      <w:r w:rsidRPr="005275E7">
        <w:rPr>
          <w:rFonts w:ascii="Arial" w:hAnsi="Arial" w:cs="Arial"/>
          <w:lang w:val="es-ES"/>
        </w:rPr>
        <w:t xml:space="preserve">El cálculo de los beneficios económicos del programa se realizará </w:t>
      </w:r>
      <w:r w:rsidRPr="005275E7" w:rsidR="006B6206">
        <w:rPr>
          <w:rFonts w:ascii="Arial" w:hAnsi="Arial" w:cs="Arial"/>
          <w:lang w:val="es-ES"/>
        </w:rPr>
        <w:t xml:space="preserve">únicamente </w:t>
      </w:r>
      <w:r w:rsidRPr="005275E7">
        <w:rPr>
          <w:rFonts w:ascii="Arial" w:hAnsi="Arial" w:cs="Arial"/>
          <w:lang w:val="es-ES"/>
        </w:rPr>
        <w:t xml:space="preserve">en base </w:t>
      </w:r>
      <w:r w:rsidRPr="005275E7" w:rsidR="006B6206">
        <w:rPr>
          <w:rFonts w:ascii="Arial" w:hAnsi="Arial" w:cs="Arial"/>
          <w:lang w:val="es-ES"/>
        </w:rPr>
        <w:t xml:space="preserve">al </w:t>
      </w:r>
      <w:r w:rsidRPr="005275E7" w:rsidR="00314033">
        <w:rPr>
          <w:rFonts w:ascii="Arial" w:hAnsi="Arial" w:cs="Arial"/>
          <w:lang w:val="es-ES"/>
        </w:rPr>
        <w:t>c</w:t>
      </w:r>
      <w:r w:rsidRPr="005275E7" w:rsidR="006B6206">
        <w:rPr>
          <w:rFonts w:ascii="Arial" w:hAnsi="Arial" w:cs="Arial"/>
          <w:lang w:val="es-ES"/>
        </w:rPr>
        <w:t xml:space="preserve">omponente 2 </w:t>
      </w:r>
      <w:r w:rsidRPr="005275E7" w:rsidR="00E96A59">
        <w:rPr>
          <w:rFonts w:ascii="Arial" w:hAnsi="Arial" w:cs="Arial"/>
          <w:lang w:val="es-ES"/>
        </w:rPr>
        <w:t>del proyecto.</w:t>
      </w:r>
      <w:r w:rsidRPr="005275E7" w:rsidR="00753EBC">
        <w:rPr>
          <w:rFonts w:ascii="Arial" w:hAnsi="Arial" w:cs="Arial"/>
          <w:lang w:val="es-ES"/>
        </w:rPr>
        <w:t xml:space="preserve"> La decisión de sustentar los beneficios del programa en el este componente se </w:t>
      </w:r>
      <w:r w:rsidRPr="005275E7" w:rsidR="00E81952">
        <w:rPr>
          <w:rFonts w:ascii="Arial" w:hAnsi="Arial" w:cs="Arial"/>
          <w:lang w:val="es-ES"/>
        </w:rPr>
        <w:t xml:space="preserve">explica </w:t>
      </w:r>
      <w:r w:rsidRPr="005275E7" w:rsidR="00753EBC">
        <w:rPr>
          <w:rFonts w:ascii="Arial" w:hAnsi="Arial" w:cs="Arial"/>
          <w:lang w:val="es-ES"/>
        </w:rPr>
        <w:t>en el hecho que la evaluación del programa permite la identificación de estos impactos, más no los relacionados a</w:t>
      </w:r>
      <w:r w:rsidRPr="005275E7" w:rsidR="005275E7">
        <w:rPr>
          <w:rFonts w:ascii="Arial" w:hAnsi="Arial" w:cs="Arial"/>
          <w:lang w:val="es-ES"/>
        </w:rPr>
        <w:t>l componente 1 “Ampliación del Servicio de Empleo”</w:t>
      </w:r>
      <w:r w:rsidRPr="005275E7" w:rsidR="00753EBC">
        <w:rPr>
          <w:rFonts w:ascii="Arial" w:hAnsi="Arial" w:cs="Arial"/>
          <w:lang w:val="es-ES"/>
        </w:rPr>
        <w:t xml:space="preserve">. </w:t>
      </w:r>
      <w:r w:rsidRPr="005275E7">
        <w:rPr>
          <w:rFonts w:ascii="Arial" w:hAnsi="Arial" w:cs="Arial"/>
          <w:lang w:val="es-ES"/>
        </w:rPr>
        <w:t xml:space="preserve">El </w:t>
      </w:r>
      <w:r w:rsidRPr="005275E7" w:rsidR="00753EBC">
        <w:rPr>
          <w:rFonts w:ascii="Arial" w:hAnsi="Arial" w:cs="Arial"/>
          <w:lang w:val="es-ES"/>
        </w:rPr>
        <w:t>c</w:t>
      </w:r>
      <w:r w:rsidRPr="005275E7" w:rsidR="00E96A59">
        <w:rPr>
          <w:rFonts w:ascii="Arial" w:hAnsi="Arial" w:cs="Arial"/>
          <w:lang w:val="es-ES"/>
        </w:rPr>
        <w:t>omponente</w:t>
      </w:r>
      <w:r w:rsidRPr="005275E7" w:rsidR="00753EBC">
        <w:rPr>
          <w:rFonts w:ascii="Arial" w:hAnsi="Arial" w:cs="Arial"/>
          <w:lang w:val="es-ES"/>
        </w:rPr>
        <w:t xml:space="preserve"> 2</w:t>
      </w:r>
      <w:r w:rsidRPr="005275E7" w:rsidR="005275E7">
        <w:rPr>
          <w:rFonts w:ascii="Arial" w:hAnsi="Arial" w:cs="Arial"/>
          <w:lang w:val="es-ES"/>
        </w:rPr>
        <w:t xml:space="preserve"> “Programa de Apoyo al Empleo de Adultos”</w:t>
      </w:r>
      <w:r w:rsidRPr="005275E7">
        <w:rPr>
          <w:rFonts w:ascii="Arial" w:hAnsi="Arial" w:cs="Arial"/>
          <w:lang w:val="es-ES"/>
        </w:rPr>
        <w:t xml:space="preserve">, </w:t>
      </w:r>
      <w:r w:rsidRPr="005275E7" w:rsidR="005275E7">
        <w:rPr>
          <w:rFonts w:ascii="Arial" w:hAnsi="Arial" w:cs="Arial"/>
          <w:lang w:val="es-ES"/>
        </w:rPr>
        <w:t xml:space="preserve">realizó la entrega </w:t>
      </w:r>
      <w:r w:rsidRPr="005275E7">
        <w:rPr>
          <w:rFonts w:ascii="Arial" w:hAnsi="Arial" w:cs="Arial"/>
          <w:lang w:val="es-ES"/>
        </w:rPr>
        <w:t xml:space="preserve">de apoyos económicos a beneficiarios para la </w:t>
      </w:r>
      <w:r w:rsidRPr="005275E7" w:rsidR="00E60D75">
        <w:rPr>
          <w:rFonts w:ascii="Arial" w:hAnsi="Arial" w:cs="Arial"/>
          <w:lang w:val="es-ES"/>
        </w:rPr>
        <w:t xml:space="preserve">capacitación </w:t>
      </w:r>
      <w:r w:rsidRPr="005275E7">
        <w:rPr>
          <w:rFonts w:ascii="Arial" w:hAnsi="Arial" w:cs="Arial"/>
          <w:lang w:val="es-ES"/>
        </w:rPr>
        <w:t>laboral</w:t>
      </w:r>
      <w:r w:rsidRPr="005275E7" w:rsidR="00D434BB">
        <w:rPr>
          <w:rFonts w:ascii="Arial" w:hAnsi="Arial" w:cs="Arial"/>
          <w:lang w:val="es-ES"/>
        </w:rPr>
        <w:t xml:space="preserve"> </w:t>
      </w:r>
      <w:r w:rsidRPr="005275E7" w:rsidR="00E60D75">
        <w:rPr>
          <w:rFonts w:ascii="Arial" w:hAnsi="Arial" w:cs="Arial"/>
          <w:lang w:val="es-ES"/>
        </w:rPr>
        <w:t>en planta</w:t>
      </w:r>
      <w:r w:rsidRPr="005275E7" w:rsidR="005275E7">
        <w:rPr>
          <w:rFonts w:ascii="Arial" w:hAnsi="Arial" w:cs="Arial"/>
          <w:lang w:val="es-ES"/>
        </w:rPr>
        <w:t>.</w:t>
      </w:r>
      <w:r w:rsidRPr="005275E7" w:rsidR="00E60D75">
        <w:rPr>
          <w:rFonts w:ascii="Arial" w:hAnsi="Arial" w:cs="Arial"/>
          <w:lang w:val="es-ES"/>
        </w:rPr>
        <w:t xml:space="preserve"> </w:t>
      </w:r>
    </w:p>
    <w:p w:rsidRPr="005275E7" w:rsidR="005275E7" w:rsidP="005275E7" w:rsidRDefault="005275E7" w14:paraId="3AC6FEE8" w14:textId="77777777">
      <w:pPr>
        <w:pStyle w:val="ListParagraph"/>
        <w:ind w:left="0"/>
        <w:jc w:val="both"/>
        <w:rPr>
          <w:rFonts w:ascii="Arial" w:hAnsi="Arial" w:cs="Arial"/>
          <w:lang w:val="es-ES"/>
        </w:rPr>
      </w:pPr>
    </w:p>
    <w:p w:rsidRPr="005275E7" w:rsidR="005275E7" w:rsidP="005275E7" w:rsidRDefault="006F0F0C" w14:paraId="3289DA65" w14:textId="32B46DAE">
      <w:pPr>
        <w:pStyle w:val="ListParagraph"/>
        <w:numPr>
          <w:ilvl w:val="0"/>
          <w:numId w:val="8"/>
        </w:numPr>
        <w:ind w:left="0"/>
        <w:jc w:val="both"/>
        <w:rPr>
          <w:rFonts w:ascii="Arial" w:hAnsi="Arial" w:cs="Arial"/>
          <w:lang w:val="es-ES"/>
        </w:rPr>
      </w:pPr>
      <w:r w:rsidRPr="00314033">
        <w:rPr>
          <w:rFonts w:ascii="Arial" w:hAnsi="Arial" w:cs="Arial"/>
          <w:lang w:val="es-ES"/>
        </w:rPr>
        <w:t xml:space="preserve">Para el presente análisis se considerará exclusivamente el impacto del programa relacionado con dos variables laborales, el </w:t>
      </w:r>
      <w:r w:rsidRPr="00314033" w:rsidR="00314033">
        <w:rPr>
          <w:rFonts w:ascii="Arial" w:hAnsi="Arial" w:cs="Arial"/>
          <w:lang w:val="es-ES"/>
        </w:rPr>
        <w:t xml:space="preserve">acceso a empleo y </w:t>
      </w:r>
      <w:r w:rsidR="005275E7">
        <w:rPr>
          <w:rFonts w:ascii="Arial" w:hAnsi="Arial" w:cs="Arial"/>
          <w:lang w:val="es-ES"/>
        </w:rPr>
        <w:t>las mejoras en el ingreso laboral</w:t>
      </w:r>
      <w:r w:rsidRPr="00314033">
        <w:rPr>
          <w:rFonts w:ascii="Arial" w:hAnsi="Arial" w:cs="Arial"/>
          <w:lang w:val="es-ES"/>
        </w:rPr>
        <w:t xml:space="preserve">. La teoría del cambio detrás del impacto del </w:t>
      </w:r>
      <w:r w:rsidRPr="00314033" w:rsidR="00314033">
        <w:rPr>
          <w:rFonts w:ascii="Arial" w:hAnsi="Arial" w:cs="Arial"/>
          <w:lang w:val="es-ES"/>
        </w:rPr>
        <w:t>programa</w:t>
      </w:r>
      <w:r w:rsidRPr="00314033">
        <w:rPr>
          <w:rFonts w:ascii="Arial" w:hAnsi="Arial" w:cs="Arial"/>
          <w:lang w:val="es-ES"/>
        </w:rPr>
        <w:t xml:space="preserve"> asume </w:t>
      </w:r>
      <w:r w:rsidRPr="005275E7" w:rsidR="005275E7">
        <w:rPr>
          <w:rFonts w:ascii="Arial" w:hAnsi="Arial" w:cs="Arial"/>
          <w:lang w:val="es-ES"/>
        </w:rPr>
        <w:t xml:space="preserve">que, a través de los apoyos económicos, se permite la intermediación laboral de buscadores de empleo que teniendo el nivel de habilidades no hubieran sido considerado para las vacantes. Esta intermediación </w:t>
      </w:r>
      <w:r w:rsidR="005275E7">
        <w:rPr>
          <w:rFonts w:ascii="Arial" w:hAnsi="Arial" w:cs="Arial"/>
          <w:lang w:val="es-ES"/>
        </w:rPr>
        <w:t xml:space="preserve">y consecuente participación en planta </w:t>
      </w:r>
      <w:r w:rsidRPr="005275E7" w:rsidR="005275E7">
        <w:rPr>
          <w:rFonts w:ascii="Arial" w:hAnsi="Arial" w:cs="Arial"/>
          <w:lang w:val="es-ES"/>
        </w:rPr>
        <w:t>afecta</w:t>
      </w:r>
      <w:r w:rsidR="005275E7">
        <w:rPr>
          <w:rFonts w:ascii="Arial" w:hAnsi="Arial" w:cs="Arial"/>
          <w:lang w:val="es-ES"/>
        </w:rPr>
        <w:t>n</w:t>
      </w:r>
      <w:r w:rsidRPr="005275E7" w:rsidR="005275E7">
        <w:rPr>
          <w:rFonts w:ascii="Arial" w:hAnsi="Arial" w:cs="Arial"/>
          <w:lang w:val="es-ES"/>
        </w:rPr>
        <w:t xml:space="preserve"> positivamente la señalización del nivel de habilidades, experiencia y contactos que denominaremos beneficios de capacitación laboral.</w:t>
      </w:r>
    </w:p>
    <w:p w:rsidR="005275E7" w:rsidP="005275E7" w:rsidRDefault="005275E7" w14:paraId="3FB39D91" w14:textId="77777777">
      <w:pPr>
        <w:pStyle w:val="ListParagraph"/>
        <w:ind w:left="0"/>
        <w:jc w:val="both"/>
        <w:rPr>
          <w:rFonts w:ascii="Arial" w:hAnsi="Arial" w:cs="Arial"/>
          <w:lang w:val="es-ES"/>
        </w:rPr>
      </w:pPr>
    </w:p>
    <w:p w:rsidRPr="00314033" w:rsidR="006F0F0C" w:rsidP="00E81952" w:rsidRDefault="00314033" w14:paraId="6260AB9A" w14:textId="47152BB3">
      <w:pPr>
        <w:pStyle w:val="ListParagraph"/>
        <w:numPr>
          <w:ilvl w:val="0"/>
          <w:numId w:val="8"/>
        </w:numPr>
        <w:ind w:left="0"/>
        <w:jc w:val="both"/>
        <w:rPr>
          <w:rFonts w:ascii="Arial" w:hAnsi="Arial" w:cs="Arial"/>
          <w:lang w:val="es-ES"/>
        </w:rPr>
      </w:pPr>
      <w:r w:rsidRPr="00314033">
        <w:rPr>
          <w:rFonts w:ascii="Arial" w:hAnsi="Arial" w:cs="Arial"/>
          <w:lang w:val="es-ES"/>
        </w:rPr>
        <w:t xml:space="preserve">Solamente se considera </w:t>
      </w:r>
      <w:r w:rsidRPr="00314033" w:rsidR="006F0F0C">
        <w:rPr>
          <w:rFonts w:ascii="Arial" w:hAnsi="Arial" w:cs="Arial"/>
          <w:lang w:val="es-ES"/>
        </w:rPr>
        <w:t>como beneficios a estas dos variables laborales</w:t>
      </w:r>
      <w:r w:rsidRPr="00314033">
        <w:rPr>
          <w:rFonts w:ascii="Arial" w:hAnsi="Arial" w:cs="Arial"/>
          <w:lang w:val="es-ES"/>
        </w:rPr>
        <w:t xml:space="preserve"> sin tomar en cuenta que </w:t>
      </w:r>
      <w:bookmarkStart w:name="_Hlk516048627" w:id="0"/>
      <w:r w:rsidR="005275E7">
        <w:rPr>
          <w:rFonts w:ascii="Arial" w:hAnsi="Arial" w:cs="Arial"/>
          <w:lang w:val="es-ES"/>
        </w:rPr>
        <w:t xml:space="preserve">es posible que </w:t>
      </w:r>
      <w:r w:rsidRPr="00314033">
        <w:rPr>
          <w:rFonts w:ascii="Arial" w:hAnsi="Arial" w:cs="Arial"/>
          <w:lang w:val="es-ES"/>
        </w:rPr>
        <w:t xml:space="preserve">existen impactos </w:t>
      </w:r>
      <w:r w:rsidR="005275E7">
        <w:rPr>
          <w:rFonts w:ascii="Arial" w:hAnsi="Arial" w:cs="Arial"/>
          <w:lang w:val="es-ES"/>
        </w:rPr>
        <w:t xml:space="preserve">del programa asociados al acceso a empleos de mayor calidad (ie. formales), el </w:t>
      </w:r>
      <w:r w:rsidRPr="00314033">
        <w:rPr>
          <w:rFonts w:ascii="Arial" w:hAnsi="Arial" w:cs="Arial"/>
          <w:lang w:val="es-ES"/>
        </w:rPr>
        <w:t xml:space="preserve">incremento de la productividad y omite </w:t>
      </w:r>
      <w:r>
        <w:rPr>
          <w:rFonts w:ascii="Arial" w:hAnsi="Arial" w:cs="Arial"/>
          <w:lang w:val="es-ES"/>
        </w:rPr>
        <w:t xml:space="preserve">los </w:t>
      </w:r>
      <w:r w:rsidRPr="00314033" w:rsidR="006F0F0C">
        <w:rPr>
          <w:rFonts w:ascii="Arial" w:hAnsi="Arial" w:cs="Arial"/>
          <w:lang w:val="es-ES"/>
        </w:rPr>
        <w:t>beneficios del programa sobre otras variables fuera del ámbito laboral, siendo que la literatura ha documentado una serie de impactos relacionados con la reducción de comportamientos riesgosos</w:t>
      </w:r>
      <w:bookmarkEnd w:id="0"/>
      <w:r w:rsidRPr="0078661C" w:rsidR="006F0F0C">
        <w:rPr>
          <w:rStyle w:val="FootnoteReference"/>
          <w:rFonts w:ascii="Arial" w:hAnsi="Arial" w:cs="Arial"/>
          <w:lang w:val="es-ES"/>
        </w:rPr>
        <w:footnoteReference w:id="4"/>
      </w:r>
      <w:r w:rsidRPr="00314033" w:rsidR="006F0F0C">
        <w:rPr>
          <w:rFonts w:ascii="Arial" w:hAnsi="Arial" w:cs="Arial"/>
          <w:lang w:val="es-ES"/>
        </w:rPr>
        <w:t>.</w:t>
      </w:r>
      <w:r>
        <w:rPr>
          <w:rFonts w:ascii="Arial" w:hAnsi="Arial" w:cs="Arial"/>
          <w:lang w:val="es-ES"/>
        </w:rPr>
        <w:t xml:space="preserve"> En ese sentido, los beneficios estimados para el presente estudio pueden considerarse como la cota inferior del impacto del programa. </w:t>
      </w:r>
    </w:p>
    <w:p w:rsidRPr="0078661C" w:rsidR="006F0F0C" w:rsidP="00011D76" w:rsidRDefault="006F0F0C" w14:paraId="31A41A59" w14:textId="77777777">
      <w:pPr>
        <w:pStyle w:val="ListParagraph"/>
        <w:ind w:left="0"/>
        <w:jc w:val="both"/>
        <w:rPr>
          <w:rFonts w:ascii="Arial" w:hAnsi="Arial" w:cs="Arial"/>
          <w:lang w:val="es-ES"/>
        </w:rPr>
      </w:pPr>
    </w:p>
    <w:p w:rsidRPr="0078661C" w:rsidR="0002042F" w:rsidP="00011D76" w:rsidRDefault="00C75E88" w14:paraId="144E2BCC" w14:textId="77777777">
      <w:pPr>
        <w:pStyle w:val="ListParagraph"/>
        <w:numPr>
          <w:ilvl w:val="0"/>
          <w:numId w:val="8"/>
        </w:numPr>
        <w:ind w:left="0"/>
        <w:jc w:val="both"/>
        <w:rPr>
          <w:rFonts w:ascii="Arial" w:hAnsi="Arial" w:cs="Arial"/>
          <w:lang w:val="es-ES"/>
        </w:rPr>
      </w:pPr>
      <w:r w:rsidRPr="0078661C">
        <w:rPr>
          <w:rFonts w:ascii="Arial" w:hAnsi="Arial" w:cs="Arial"/>
          <w:lang w:val="es-ES"/>
        </w:rPr>
        <w:t xml:space="preserve">Para los </w:t>
      </w:r>
      <w:r w:rsidRPr="0078661C" w:rsidR="00AF633A">
        <w:rPr>
          <w:rFonts w:ascii="Arial" w:hAnsi="Arial" w:cs="Arial"/>
          <w:lang w:val="es-ES"/>
        </w:rPr>
        <w:t>cálculos</w:t>
      </w:r>
      <w:r w:rsidRPr="0078661C">
        <w:rPr>
          <w:rFonts w:ascii="Arial" w:hAnsi="Arial" w:cs="Arial"/>
          <w:lang w:val="es-ES"/>
        </w:rPr>
        <w:t xml:space="preserve"> del presente </w:t>
      </w:r>
      <w:r w:rsidRPr="0078661C" w:rsidR="00AF633A">
        <w:rPr>
          <w:rFonts w:ascii="Arial" w:hAnsi="Arial" w:cs="Arial"/>
          <w:lang w:val="es-ES"/>
        </w:rPr>
        <w:t>análisis</w:t>
      </w:r>
      <w:r w:rsidRPr="0078661C">
        <w:rPr>
          <w:rFonts w:ascii="Arial" w:hAnsi="Arial" w:cs="Arial"/>
          <w:lang w:val="es-ES"/>
        </w:rPr>
        <w:t xml:space="preserve">, se asume </w:t>
      </w:r>
      <w:r w:rsidRPr="0078661C" w:rsidR="00583D52">
        <w:rPr>
          <w:rFonts w:ascii="Arial" w:hAnsi="Arial" w:cs="Arial"/>
          <w:lang w:val="es-ES"/>
        </w:rPr>
        <w:t xml:space="preserve">adicionalmente </w:t>
      </w:r>
      <w:r w:rsidRPr="0078661C">
        <w:rPr>
          <w:rFonts w:ascii="Arial" w:hAnsi="Arial" w:cs="Arial"/>
          <w:lang w:val="es-ES"/>
        </w:rPr>
        <w:t>una tasa de descuento de 12%, que es la tasa de descuento que usualmente se emplea en este tipo de análisis para países en desarrollo</w:t>
      </w:r>
      <w:r w:rsidRPr="0078661C">
        <w:rPr>
          <w:rStyle w:val="FootnoteReference"/>
          <w:rFonts w:ascii="Arial" w:hAnsi="Arial" w:cs="Arial"/>
          <w:lang w:val="es-ES"/>
        </w:rPr>
        <w:footnoteReference w:id="5"/>
      </w:r>
      <w:r w:rsidRPr="0078661C" w:rsidR="0002042F">
        <w:rPr>
          <w:rFonts w:ascii="Arial" w:hAnsi="Arial" w:cs="Arial"/>
          <w:lang w:val="es-ES"/>
        </w:rPr>
        <w:t xml:space="preserve"> y </w:t>
      </w:r>
      <w:r w:rsidR="001526B2">
        <w:rPr>
          <w:rFonts w:ascii="Arial" w:hAnsi="Arial" w:cs="Arial"/>
          <w:lang w:val="es-ES"/>
        </w:rPr>
        <w:t xml:space="preserve">que coincide con </w:t>
      </w:r>
      <w:r w:rsidRPr="0078661C" w:rsidR="0002042F">
        <w:rPr>
          <w:rFonts w:ascii="Arial" w:hAnsi="Arial" w:cs="Arial"/>
          <w:lang w:val="es-ES"/>
        </w:rPr>
        <w:t>la tasa de descuento que se utilizada en los proyectos del Banco (</w:t>
      </w:r>
      <w:r w:rsidRPr="0078661C" w:rsidR="00A0399C">
        <w:rPr>
          <w:rFonts w:ascii="Arial" w:hAnsi="Arial" w:cs="Arial"/>
          <w:lang w:val="es-ES"/>
        </w:rPr>
        <w:t>Guidelines for the Economic Analysis of IDB-Funded Projects, 2012</w:t>
      </w:r>
      <w:r w:rsidRPr="0078661C" w:rsidR="0002042F">
        <w:rPr>
          <w:rFonts w:ascii="Arial" w:hAnsi="Arial" w:cs="Arial"/>
          <w:lang w:val="es-ES"/>
        </w:rPr>
        <w:t>)</w:t>
      </w:r>
      <w:r w:rsidRPr="0078661C">
        <w:rPr>
          <w:rFonts w:ascii="Arial" w:hAnsi="Arial" w:cs="Arial"/>
          <w:lang w:val="es-ES"/>
        </w:rPr>
        <w:t>.</w:t>
      </w:r>
      <w:r w:rsidRPr="0078661C" w:rsidR="0002042F">
        <w:rPr>
          <w:rFonts w:ascii="Arial" w:hAnsi="Arial" w:cs="Arial"/>
          <w:lang w:val="es-ES"/>
        </w:rPr>
        <w:t xml:space="preserve"> </w:t>
      </w:r>
    </w:p>
    <w:p w:rsidRPr="0078661C" w:rsidR="00CE6E7A" w:rsidP="00C074B4" w:rsidRDefault="00CE6E7A" w14:paraId="15F2E556" w14:textId="77777777">
      <w:pPr>
        <w:pStyle w:val="ListParagraph"/>
        <w:rPr>
          <w:rFonts w:ascii="Arial" w:hAnsi="Arial" w:cs="Arial"/>
          <w:lang w:val="es-ES"/>
        </w:rPr>
      </w:pPr>
    </w:p>
    <w:p w:rsidRPr="0078661C" w:rsidR="00C75E88" w:rsidP="00C75E88" w:rsidRDefault="0002042F" w14:paraId="2254DEDF" w14:textId="15D984D3">
      <w:pPr>
        <w:pStyle w:val="ListParagraph"/>
        <w:numPr>
          <w:ilvl w:val="0"/>
          <w:numId w:val="8"/>
        </w:numPr>
        <w:ind w:left="0"/>
        <w:jc w:val="both"/>
        <w:rPr>
          <w:rFonts w:ascii="Arial" w:hAnsi="Arial" w:cs="Arial"/>
          <w:lang w:val="es-ES"/>
        </w:rPr>
      </w:pPr>
      <w:r w:rsidRPr="0078661C">
        <w:rPr>
          <w:rFonts w:ascii="Arial" w:hAnsi="Arial" w:cs="Arial"/>
          <w:lang w:val="es-ES"/>
        </w:rPr>
        <w:t>Todos los cálculos son realizados en dólares americanos</w:t>
      </w:r>
      <w:r w:rsidR="00B551E2">
        <w:rPr>
          <w:rFonts w:ascii="Arial" w:hAnsi="Arial" w:cs="Arial"/>
          <w:lang w:val="es-ES"/>
        </w:rPr>
        <w:t>. P</w:t>
      </w:r>
      <w:r w:rsidRPr="0078661C">
        <w:rPr>
          <w:rFonts w:ascii="Arial" w:hAnsi="Arial" w:cs="Arial"/>
          <w:lang w:val="es-ES"/>
        </w:rPr>
        <w:t>ara el cambio de bolivianos a dólares se utiliza el tipo de cambio oficial del Banco Central de Bolivia de 6,86 bolivianos por dólar.</w:t>
      </w:r>
    </w:p>
    <w:p w:rsidRPr="0078661C" w:rsidR="00377E2A" w:rsidP="00673134" w:rsidRDefault="00377E2A" w14:paraId="2CF6E78E" w14:textId="77777777">
      <w:pPr>
        <w:pStyle w:val="ListParagraph"/>
        <w:rPr>
          <w:rFonts w:ascii="Arial" w:hAnsi="Arial" w:cs="Arial"/>
          <w:lang w:val="es-ES"/>
        </w:rPr>
      </w:pPr>
    </w:p>
    <w:p w:rsidRPr="0078661C" w:rsidR="00583D52" w:rsidP="00583D52" w:rsidRDefault="001335F5" w14:paraId="171E048F" w14:textId="54EA7DC0">
      <w:pPr>
        <w:pStyle w:val="ListParagraph"/>
        <w:numPr>
          <w:ilvl w:val="1"/>
          <w:numId w:val="7"/>
        </w:numPr>
        <w:ind w:left="360"/>
        <w:jc w:val="both"/>
        <w:rPr>
          <w:rFonts w:ascii="Arial" w:hAnsi="Arial" w:cs="Arial"/>
          <w:b/>
          <w:lang w:val="es-ES"/>
        </w:rPr>
      </w:pPr>
      <w:r>
        <w:rPr>
          <w:rFonts w:ascii="Arial" w:hAnsi="Arial" w:cs="Arial"/>
          <w:b/>
          <w:lang w:val="es-ES"/>
        </w:rPr>
        <w:t>B</w:t>
      </w:r>
      <w:r w:rsidRPr="0078661C" w:rsidR="00567323">
        <w:rPr>
          <w:rFonts w:ascii="Arial" w:hAnsi="Arial" w:cs="Arial"/>
          <w:b/>
          <w:lang w:val="es-ES"/>
        </w:rPr>
        <w:t xml:space="preserve">eneficios </w:t>
      </w:r>
      <w:r>
        <w:rPr>
          <w:rFonts w:ascii="Arial" w:hAnsi="Arial" w:cs="Arial"/>
          <w:b/>
          <w:lang w:val="es-ES"/>
        </w:rPr>
        <w:t>del Programa</w:t>
      </w:r>
    </w:p>
    <w:p w:rsidRPr="0078661C" w:rsidR="00567323" w:rsidP="00567323" w:rsidRDefault="00567323" w14:paraId="75A1B0D9" w14:textId="3FEE4D5F">
      <w:pPr>
        <w:pStyle w:val="ListParagraph"/>
        <w:ind w:left="360"/>
        <w:jc w:val="both"/>
        <w:rPr>
          <w:rFonts w:ascii="Arial" w:hAnsi="Arial" w:cs="Arial"/>
          <w:b/>
          <w:lang w:val="es-ES"/>
        </w:rPr>
      </w:pPr>
    </w:p>
    <w:p w:rsidRPr="0078661C" w:rsidR="009F4A21" w:rsidP="009F4A21" w:rsidRDefault="00C361D1" w14:paraId="570A58EF" w14:textId="5EFFE8B9">
      <w:pPr>
        <w:pStyle w:val="ListParagraph"/>
        <w:numPr>
          <w:ilvl w:val="0"/>
          <w:numId w:val="8"/>
        </w:numPr>
        <w:ind w:left="0"/>
        <w:jc w:val="both"/>
        <w:rPr>
          <w:rFonts w:ascii="Arial" w:hAnsi="Arial" w:cs="Arial"/>
          <w:lang w:val="es-ES"/>
        </w:rPr>
      </w:pPr>
      <w:r w:rsidRPr="0078661C">
        <w:rPr>
          <w:rFonts w:ascii="Arial" w:hAnsi="Arial" w:cs="Arial"/>
          <w:lang w:val="es-ES"/>
        </w:rPr>
        <w:t xml:space="preserve">Con relación a los beneficios esperados </w:t>
      </w:r>
      <w:r w:rsidRPr="0078661C" w:rsidR="00A0399C">
        <w:rPr>
          <w:rFonts w:ascii="Arial" w:hAnsi="Arial" w:cs="Arial"/>
          <w:lang w:val="es-ES"/>
        </w:rPr>
        <w:t>de</w:t>
      </w:r>
      <w:r w:rsidR="00076048">
        <w:rPr>
          <w:rFonts w:ascii="Arial" w:hAnsi="Arial" w:cs="Arial"/>
          <w:lang w:val="es-ES"/>
        </w:rPr>
        <w:t>l Componente 2</w:t>
      </w:r>
      <w:r w:rsidRPr="0078661C">
        <w:rPr>
          <w:rFonts w:ascii="Arial" w:hAnsi="Arial" w:cs="Arial"/>
          <w:lang w:val="es-ES"/>
        </w:rPr>
        <w:t xml:space="preserve">, la evidencia empírica </w:t>
      </w:r>
      <w:r w:rsidRPr="0078661C" w:rsidR="00CD5367">
        <w:rPr>
          <w:rFonts w:ascii="Arial" w:hAnsi="Arial" w:cs="Arial"/>
          <w:lang w:val="es-ES"/>
        </w:rPr>
        <w:t xml:space="preserve">en la región </w:t>
      </w:r>
      <w:r w:rsidRPr="0078661C" w:rsidR="00AF633A">
        <w:rPr>
          <w:rFonts w:ascii="Arial" w:hAnsi="Arial" w:cs="Arial"/>
          <w:lang w:val="es-ES"/>
        </w:rPr>
        <w:t>todavía</w:t>
      </w:r>
      <w:r w:rsidRPr="0078661C" w:rsidR="00CD5367">
        <w:rPr>
          <w:rFonts w:ascii="Arial" w:hAnsi="Arial" w:cs="Arial"/>
          <w:lang w:val="es-ES"/>
        </w:rPr>
        <w:t xml:space="preserve"> </w:t>
      </w:r>
      <w:r w:rsidRPr="0078661C">
        <w:rPr>
          <w:rFonts w:ascii="Arial" w:hAnsi="Arial" w:cs="Arial"/>
          <w:lang w:val="es-ES"/>
        </w:rPr>
        <w:t xml:space="preserve">es limitada y la </w:t>
      </w:r>
      <w:r w:rsidRPr="0078661C" w:rsidR="00AF633A">
        <w:rPr>
          <w:rFonts w:ascii="Arial" w:hAnsi="Arial" w:cs="Arial"/>
          <w:lang w:val="es-ES"/>
        </w:rPr>
        <w:t>mayoría</w:t>
      </w:r>
      <w:r w:rsidRPr="0078661C">
        <w:rPr>
          <w:rFonts w:ascii="Arial" w:hAnsi="Arial" w:cs="Arial"/>
          <w:lang w:val="es-ES"/>
        </w:rPr>
        <w:t xml:space="preserve"> de estos estudios provienen de países de la </w:t>
      </w:r>
      <w:r w:rsidRPr="00005083" w:rsidR="001526B2">
        <w:rPr>
          <w:rFonts w:ascii="Arial" w:hAnsi="Arial" w:cs="Arial"/>
          <w:lang w:val="es-ES"/>
        </w:rPr>
        <w:t>Organización para la Cooperación y el Desarrollo Económicos</w:t>
      </w:r>
      <w:r w:rsidR="001526B2">
        <w:rPr>
          <w:rFonts w:ascii="Arial" w:hAnsi="Arial" w:cs="Arial"/>
          <w:lang w:val="es-ES"/>
        </w:rPr>
        <w:t xml:space="preserve"> (</w:t>
      </w:r>
      <w:r w:rsidRPr="0078661C">
        <w:rPr>
          <w:rFonts w:ascii="Arial" w:hAnsi="Arial" w:cs="Arial"/>
          <w:lang w:val="es-ES"/>
        </w:rPr>
        <w:t>OCD</w:t>
      </w:r>
      <w:r w:rsidR="001526B2">
        <w:rPr>
          <w:rFonts w:ascii="Arial" w:hAnsi="Arial" w:cs="Arial"/>
          <w:lang w:val="es-ES"/>
        </w:rPr>
        <w:t>E</w:t>
      </w:r>
      <w:r w:rsidR="00076048">
        <w:rPr>
          <w:rFonts w:ascii="Arial" w:hAnsi="Arial" w:cs="Arial"/>
          <w:lang w:val="es-ES"/>
        </w:rPr>
        <w:t>)</w:t>
      </w:r>
      <w:r w:rsidRPr="0078661C" w:rsidR="00216CC7">
        <w:rPr>
          <w:rStyle w:val="FootnoteReference"/>
          <w:rFonts w:ascii="Arial" w:hAnsi="Arial" w:cs="Arial"/>
          <w:lang w:val="es-ES"/>
        </w:rPr>
        <w:footnoteReference w:id="6"/>
      </w:r>
      <w:r w:rsidRPr="0078661C">
        <w:rPr>
          <w:rFonts w:ascii="Arial" w:hAnsi="Arial" w:cs="Arial"/>
          <w:lang w:val="es-ES"/>
        </w:rPr>
        <w:t>, siendo que estos resul</w:t>
      </w:r>
      <w:r w:rsidRPr="0078661C" w:rsidR="00216CC7">
        <w:rPr>
          <w:rFonts w:ascii="Arial" w:hAnsi="Arial" w:cs="Arial"/>
          <w:lang w:val="es-ES"/>
        </w:rPr>
        <w:t>t</w:t>
      </w:r>
      <w:r w:rsidRPr="0078661C">
        <w:rPr>
          <w:rFonts w:ascii="Arial" w:hAnsi="Arial" w:cs="Arial"/>
          <w:lang w:val="es-ES"/>
        </w:rPr>
        <w:t>ados y experiencias pueden ser extensivos para países en transición, más no necesariamente para países en desarrollo (di Capua</w:t>
      </w:r>
      <w:r w:rsidRPr="0078661C" w:rsidR="002902F8">
        <w:rPr>
          <w:rFonts w:ascii="Arial" w:hAnsi="Arial" w:cs="Arial"/>
          <w:lang w:val="es-ES"/>
        </w:rPr>
        <w:t>, 2015</w:t>
      </w:r>
      <w:r w:rsidRPr="0078661C">
        <w:rPr>
          <w:rFonts w:ascii="Arial" w:hAnsi="Arial" w:cs="Arial"/>
          <w:lang w:val="es-ES"/>
        </w:rPr>
        <w:t xml:space="preserve">). Las dos principales dificultades para la comparación de los resultados de países desarrollados y países en desarrollo se </w:t>
      </w:r>
      <w:r w:rsidRPr="0078661C" w:rsidR="00076048">
        <w:rPr>
          <w:rFonts w:ascii="Arial" w:hAnsi="Arial" w:cs="Arial"/>
          <w:lang w:val="es-ES"/>
        </w:rPr>
        <w:t>deben</w:t>
      </w:r>
      <w:r w:rsidRPr="0078661C">
        <w:rPr>
          <w:rFonts w:ascii="Arial" w:hAnsi="Arial" w:cs="Arial"/>
          <w:lang w:val="es-ES"/>
        </w:rPr>
        <w:t xml:space="preserve"> a: </w:t>
      </w:r>
      <w:r w:rsidR="00CC3C2E">
        <w:rPr>
          <w:rFonts w:ascii="Arial" w:hAnsi="Arial" w:cs="Arial"/>
          <w:lang w:val="es-ES"/>
        </w:rPr>
        <w:t>(</w:t>
      </w:r>
      <w:r w:rsidRPr="0078661C">
        <w:rPr>
          <w:rFonts w:ascii="Arial" w:hAnsi="Arial" w:cs="Arial"/>
          <w:lang w:val="es-ES"/>
        </w:rPr>
        <w:t xml:space="preserve">i) </w:t>
      </w:r>
      <w:r w:rsidR="001526B2">
        <w:rPr>
          <w:rFonts w:ascii="Arial" w:hAnsi="Arial" w:cs="Arial"/>
          <w:lang w:val="es-ES"/>
        </w:rPr>
        <w:t>e</w:t>
      </w:r>
      <w:r w:rsidRPr="0078661C">
        <w:rPr>
          <w:rFonts w:ascii="Arial" w:hAnsi="Arial" w:cs="Arial"/>
          <w:lang w:val="es-ES"/>
        </w:rPr>
        <w:t xml:space="preserve">l importante porcentaje de la población ocupada que desempeña sus actividades en el sector informal; </w:t>
      </w:r>
      <w:r w:rsidR="00CC3C2E">
        <w:rPr>
          <w:rFonts w:ascii="Arial" w:hAnsi="Arial" w:cs="Arial"/>
          <w:lang w:val="es-ES"/>
        </w:rPr>
        <w:t>y (</w:t>
      </w:r>
      <w:r w:rsidRPr="0078661C">
        <w:rPr>
          <w:rFonts w:ascii="Arial" w:hAnsi="Arial" w:cs="Arial"/>
          <w:lang w:val="es-ES"/>
        </w:rPr>
        <w:t>ii)</w:t>
      </w:r>
      <w:r w:rsidR="0030728D">
        <w:rPr>
          <w:rFonts w:ascii="Arial" w:hAnsi="Arial" w:cs="Arial"/>
          <w:lang w:val="es-ES"/>
        </w:rPr>
        <w:t> </w:t>
      </w:r>
      <w:r w:rsidR="001526B2">
        <w:rPr>
          <w:rFonts w:ascii="Arial" w:hAnsi="Arial" w:cs="Arial"/>
          <w:lang w:val="es-ES"/>
        </w:rPr>
        <w:t>l</w:t>
      </w:r>
      <w:r w:rsidRPr="0078661C">
        <w:rPr>
          <w:rFonts w:ascii="Arial" w:hAnsi="Arial" w:cs="Arial"/>
          <w:lang w:val="es-ES"/>
        </w:rPr>
        <w:t>a incipiente capacidad administrativa de los S</w:t>
      </w:r>
      <w:r w:rsidRPr="0078661C" w:rsidR="009763FC">
        <w:rPr>
          <w:rFonts w:ascii="Arial" w:hAnsi="Arial" w:cs="Arial"/>
          <w:lang w:val="es-ES"/>
        </w:rPr>
        <w:t>PE</w:t>
      </w:r>
      <w:r w:rsidRPr="0078661C">
        <w:rPr>
          <w:rFonts w:ascii="Arial" w:hAnsi="Arial" w:cs="Arial"/>
          <w:lang w:val="es-ES"/>
        </w:rPr>
        <w:t xml:space="preserve"> en países en desarrollo. </w:t>
      </w:r>
    </w:p>
    <w:p w:rsidR="00E46E6F" w:rsidP="00E46E6F" w:rsidRDefault="00E46E6F" w14:paraId="4302BC70" w14:textId="3C119CE3">
      <w:pPr>
        <w:pStyle w:val="ListParagraph"/>
        <w:ind w:left="0"/>
        <w:jc w:val="both"/>
        <w:rPr>
          <w:rFonts w:ascii="Arial" w:hAnsi="Arial" w:cs="Arial"/>
          <w:lang w:val="es-ES"/>
        </w:rPr>
      </w:pPr>
    </w:p>
    <w:p w:rsidR="00076048" w:rsidP="00076048" w:rsidRDefault="00076048" w14:paraId="7AD10982" w14:textId="69B9A697">
      <w:pPr>
        <w:pStyle w:val="ListParagraph"/>
        <w:numPr>
          <w:ilvl w:val="0"/>
          <w:numId w:val="8"/>
        </w:numPr>
        <w:tabs>
          <w:tab w:val="left" w:pos="90"/>
          <w:tab w:val="left" w:pos="270"/>
        </w:tabs>
        <w:ind w:left="0"/>
        <w:jc w:val="both"/>
        <w:rPr>
          <w:rFonts w:ascii="Arial" w:hAnsi="Arial" w:cs="Arial"/>
          <w:lang w:val="es-ES"/>
        </w:rPr>
      </w:pPr>
      <w:r w:rsidRPr="0078661C">
        <w:rPr>
          <w:rFonts w:ascii="Arial" w:hAnsi="Arial" w:cs="Arial"/>
          <w:lang w:val="es-ES"/>
        </w:rPr>
        <w:t>Con relación a los programas que se enfocan en capacitación en firma, las evaluaciones de impacto existentes muestran evidencia de impactos positivos en inserción laboral e ingresos. Para el caso de México, Van Gamaren (2010) en una evaluación cuasiexperimental, de los subprogramas del Programa de Apoyo al Empleo en México encuentra que el componente de Capacitación en la Práctica Laboral</w:t>
      </w:r>
      <w:r w:rsidRPr="0078661C">
        <w:rPr>
          <w:rStyle w:val="FootnoteReference"/>
          <w:rFonts w:ascii="Arial" w:hAnsi="Arial" w:cs="Arial"/>
          <w:lang w:val="es-ES"/>
        </w:rPr>
        <w:footnoteReference w:id="7"/>
      </w:r>
      <w:r w:rsidRPr="0078661C">
        <w:rPr>
          <w:rFonts w:ascii="Arial" w:hAnsi="Arial" w:cs="Arial"/>
          <w:lang w:val="es-ES"/>
        </w:rPr>
        <w:t xml:space="preserve"> tiene un impacto de aproximadamente 1.000 pesos </w:t>
      </w:r>
      <w:r w:rsidRPr="0078661C">
        <w:rPr>
          <w:rFonts w:ascii="Arial" w:hAnsi="Arial" w:cs="Arial"/>
          <w:lang w:val="es-ES"/>
        </w:rPr>
        <w:lastRenderedPageBreak/>
        <w:t>mexicanos</w:t>
      </w:r>
      <w:r w:rsidRPr="0078661C">
        <w:rPr>
          <w:rStyle w:val="FootnoteReference"/>
          <w:rFonts w:ascii="Arial" w:hAnsi="Arial" w:cs="Arial"/>
          <w:lang w:val="es-ES"/>
        </w:rPr>
        <w:footnoteReference w:id="8"/>
      </w:r>
      <w:r w:rsidRPr="0078661C">
        <w:rPr>
          <w:rFonts w:ascii="Arial" w:hAnsi="Arial" w:cs="Arial"/>
          <w:lang w:val="es-ES"/>
        </w:rPr>
        <w:t xml:space="preserve"> y un impacto en la tasa de colocación entre 7pp. y 14pp.  En Argentina, Berniell &amp; de la Mata (</w:t>
      </w:r>
      <w:r>
        <w:rPr>
          <w:rFonts w:ascii="Arial" w:hAnsi="Arial"/>
          <w:i/>
          <w:lang w:val="es-ES"/>
        </w:rPr>
        <w:t>2017</w:t>
      </w:r>
      <w:r w:rsidRPr="0078661C">
        <w:rPr>
          <w:rFonts w:ascii="Arial" w:hAnsi="Arial" w:cs="Arial"/>
          <w:lang w:val="es-ES"/>
        </w:rPr>
        <w:t>), mediante una evaluación experimental, analizan el impacto del programa Primer Paso, un programa que realiza capacitaciones en planta para jóvenes por un periodo de 12 meses. Aprovechando la asignación experimental del programa, las autoras encuentran evidencia del impacto en la probabilidad de estar empleado en un trabajo formal (entre 3</w:t>
      </w:r>
      <w:r w:rsidR="00CC3C2E">
        <w:rPr>
          <w:rFonts w:ascii="Arial" w:hAnsi="Arial" w:cs="Arial"/>
          <w:lang w:val="es-ES"/>
        </w:rPr>
        <w:t xml:space="preserve"> </w:t>
      </w:r>
      <w:r w:rsidRPr="0078661C">
        <w:rPr>
          <w:rFonts w:ascii="Arial" w:hAnsi="Arial" w:cs="Arial"/>
          <w:lang w:val="es-ES"/>
        </w:rPr>
        <w:t>pp. y 6</w:t>
      </w:r>
      <w:r w:rsidR="00CC3C2E">
        <w:rPr>
          <w:rFonts w:ascii="Arial" w:hAnsi="Arial" w:cs="Arial"/>
          <w:lang w:val="es-ES"/>
        </w:rPr>
        <w:t> </w:t>
      </w:r>
      <w:r w:rsidRPr="0078661C">
        <w:rPr>
          <w:rFonts w:ascii="Arial" w:hAnsi="Arial" w:cs="Arial"/>
          <w:lang w:val="es-ES"/>
        </w:rPr>
        <w:t>pp.) y una reducción en la probabilidad de estar desempleado (en 10 pp</w:t>
      </w:r>
      <w:r w:rsidR="00CC3C2E">
        <w:rPr>
          <w:rFonts w:ascii="Arial" w:hAnsi="Arial" w:cs="Arial"/>
          <w:lang w:val="es-ES"/>
        </w:rPr>
        <w:t>.</w:t>
      </w:r>
      <w:r w:rsidRPr="0078661C">
        <w:rPr>
          <w:rFonts w:ascii="Arial" w:hAnsi="Arial" w:cs="Arial"/>
          <w:lang w:val="es-ES"/>
        </w:rPr>
        <w:t>). Con respecto al nivel de ingresos, encuentra que el impacto varía entre 0% y 5%.</w:t>
      </w:r>
    </w:p>
    <w:p w:rsidRPr="00D826C6" w:rsidR="00076048" w:rsidP="00076048" w:rsidRDefault="00076048" w14:paraId="4066C5D3" w14:textId="77777777">
      <w:pPr>
        <w:pStyle w:val="ListParagraph"/>
        <w:rPr>
          <w:rFonts w:ascii="Arial" w:hAnsi="Arial" w:cs="Arial"/>
          <w:lang w:val="es-ES"/>
        </w:rPr>
      </w:pPr>
    </w:p>
    <w:p w:rsidR="00076048" w:rsidP="00076048" w:rsidRDefault="00076048" w14:paraId="41C00465" w14:textId="2BFC9EAA">
      <w:pPr>
        <w:pStyle w:val="ListParagraph"/>
        <w:numPr>
          <w:ilvl w:val="0"/>
          <w:numId w:val="8"/>
        </w:numPr>
        <w:tabs>
          <w:tab w:val="left" w:pos="90"/>
          <w:tab w:val="left" w:pos="270"/>
        </w:tabs>
        <w:ind w:left="0"/>
        <w:jc w:val="both"/>
        <w:rPr>
          <w:rFonts w:ascii="Arial" w:hAnsi="Arial" w:cs="Arial"/>
          <w:lang w:val="es-ES"/>
        </w:rPr>
      </w:pPr>
      <w:r w:rsidRPr="0078661C">
        <w:rPr>
          <w:rFonts w:ascii="Arial" w:hAnsi="Arial" w:cs="Arial"/>
          <w:lang w:val="es-ES"/>
        </w:rPr>
        <w:t>Para el caso de Bolivia, Hernani &amp; Villarroel (2015) usando una estrategia de evaluación cuasi experimental (por regresión discontinua) para la primera etapa del programa “Mi Primer Empleo Digno”, encuentran evidencia de corto plazo que demuestra un impacto en 23 pp. sobre la perspectiva de empleo para jóvenes, entre 4</w:t>
      </w:r>
      <w:r w:rsidR="00CC3C2E">
        <w:rPr>
          <w:rFonts w:ascii="Arial" w:hAnsi="Arial" w:cs="Arial"/>
          <w:lang w:val="es-ES"/>
        </w:rPr>
        <w:t xml:space="preserve"> </w:t>
      </w:r>
      <w:r w:rsidRPr="0078661C">
        <w:rPr>
          <w:rFonts w:ascii="Arial" w:hAnsi="Arial" w:cs="Arial"/>
          <w:lang w:val="es-ES"/>
        </w:rPr>
        <w:t>pp. y 7</w:t>
      </w:r>
      <w:r w:rsidR="00CC3C2E">
        <w:rPr>
          <w:rFonts w:ascii="Arial" w:hAnsi="Arial" w:cs="Arial"/>
          <w:lang w:val="es-ES"/>
        </w:rPr>
        <w:t xml:space="preserve"> </w:t>
      </w:r>
      <w:r w:rsidRPr="0078661C">
        <w:rPr>
          <w:rFonts w:ascii="Arial" w:hAnsi="Arial" w:cs="Arial"/>
          <w:lang w:val="es-ES"/>
        </w:rPr>
        <w:t xml:space="preserve">pp. en la perspectiva de empleo formal y un impacto en </w:t>
      </w:r>
      <w:r>
        <w:rPr>
          <w:rFonts w:ascii="Arial" w:hAnsi="Arial" w:cs="Arial"/>
          <w:lang w:val="es-ES"/>
        </w:rPr>
        <w:t>el ingreso</w:t>
      </w:r>
      <w:r w:rsidRPr="0078661C">
        <w:rPr>
          <w:rFonts w:ascii="Arial" w:hAnsi="Arial" w:cs="Arial"/>
          <w:lang w:val="es-ES"/>
        </w:rPr>
        <w:t xml:space="preserve"> laboral de Bs500</w:t>
      </w:r>
      <w:r w:rsidRPr="0078661C">
        <w:rPr>
          <w:rStyle w:val="FootnoteReference"/>
          <w:rFonts w:ascii="Arial" w:hAnsi="Arial" w:cs="Arial"/>
          <w:lang w:val="es-ES"/>
        </w:rPr>
        <w:footnoteReference w:id="9"/>
      </w:r>
      <w:r w:rsidRPr="0078661C">
        <w:rPr>
          <w:rFonts w:ascii="Arial" w:hAnsi="Arial" w:cs="Arial"/>
          <w:lang w:val="es-ES"/>
        </w:rPr>
        <w:t xml:space="preserve">, aunque los autores recalcan el impacto temporal del programa. </w:t>
      </w:r>
    </w:p>
    <w:p w:rsidRPr="0078661C" w:rsidR="00076048" w:rsidP="00E46E6F" w:rsidRDefault="00076048" w14:paraId="0ABC7494" w14:textId="77777777">
      <w:pPr>
        <w:pStyle w:val="ListParagraph"/>
        <w:ind w:left="0"/>
        <w:jc w:val="both"/>
        <w:rPr>
          <w:rFonts w:ascii="Arial" w:hAnsi="Arial" w:cs="Arial"/>
          <w:lang w:val="es-ES"/>
        </w:rPr>
      </w:pPr>
    </w:p>
    <w:p w:rsidR="00ED2CE7" w:rsidP="00E717C1" w:rsidRDefault="00E46E6F" w14:paraId="2C47F559" w14:textId="2AEBE331">
      <w:pPr>
        <w:pStyle w:val="ListParagraph"/>
        <w:numPr>
          <w:ilvl w:val="0"/>
          <w:numId w:val="8"/>
        </w:numPr>
        <w:ind w:left="0"/>
        <w:jc w:val="both"/>
        <w:rPr>
          <w:rFonts w:ascii="Arial" w:hAnsi="Arial" w:cs="Arial"/>
          <w:lang w:val="es-ES"/>
        </w:rPr>
      </w:pPr>
      <w:r w:rsidRPr="0078661C">
        <w:rPr>
          <w:rFonts w:ascii="Arial" w:hAnsi="Arial" w:cs="Arial"/>
          <w:lang w:val="es-ES"/>
        </w:rPr>
        <w:t xml:space="preserve">La </w:t>
      </w:r>
      <w:r w:rsidRPr="0078661C" w:rsidR="00AF633A">
        <w:rPr>
          <w:rFonts w:ascii="Arial" w:hAnsi="Arial" w:cs="Arial"/>
          <w:lang w:val="es-ES"/>
        </w:rPr>
        <w:t>teoría</w:t>
      </w:r>
      <w:r w:rsidRPr="0078661C">
        <w:rPr>
          <w:rFonts w:ascii="Arial" w:hAnsi="Arial" w:cs="Arial"/>
          <w:lang w:val="es-ES"/>
        </w:rPr>
        <w:t xml:space="preserve"> del cambio detrás del impacto del </w:t>
      </w:r>
      <w:r w:rsidRPr="0078661C" w:rsidR="00280BAB">
        <w:rPr>
          <w:rFonts w:ascii="Arial" w:hAnsi="Arial" w:cs="Arial"/>
          <w:lang w:val="es-ES"/>
        </w:rPr>
        <w:t>c</w:t>
      </w:r>
      <w:r w:rsidRPr="0078661C">
        <w:rPr>
          <w:rFonts w:ascii="Arial" w:hAnsi="Arial" w:cs="Arial"/>
          <w:lang w:val="es-ES"/>
        </w:rPr>
        <w:t xml:space="preserve">omponente </w:t>
      </w:r>
      <w:r w:rsidR="00D826C6">
        <w:rPr>
          <w:rFonts w:ascii="Arial" w:hAnsi="Arial" w:cs="Arial"/>
          <w:lang w:val="es-ES"/>
        </w:rPr>
        <w:t xml:space="preserve">2 </w:t>
      </w:r>
      <w:r w:rsidRPr="0078661C">
        <w:rPr>
          <w:rFonts w:ascii="Arial" w:hAnsi="Arial" w:cs="Arial"/>
          <w:lang w:val="es-ES"/>
        </w:rPr>
        <w:t xml:space="preserve">sobre el empleo y la </w:t>
      </w:r>
      <w:r w:rsidRPr="0078661C" w:rsidR="00FA1788">
        <w:rPr>
          <w:rFonts w:ascii="Arial" w:hAnsi="Arial" w:cs="Arial"/>
          <w:lang w:val="es-ES"/>
        </w:rPr>
        <w:t>empleabilidad</w:t>
      </w:r>
      <w:r w:rsidRPr="0078661C">
        <w:rPr>
          <w:rFonts w:ascii="Arial" w:hAnsi="Arial" w:cs="Arial"/>
          <w:lang w:val="es-ES"/>
        </w:rPr>
        <w:t xml:space="preserve"> se basa en el hecho que buscadores de empleo </w:t>
      </w:r>
      <w:r w:rsidRPr="0078661C" w:rsidR="00E717C1">
        <w:rPr>
          <w:rFonts w:ascii="Arial" w:hAnsi="Arial" w:cs="Arial"/>
          <w:lang w:val="es-ES"/>
        </w:rPr>
        <w:t xml:space="preserve">y empleadores </w:t>
      </w:r>
      <w:r w:rsidRPr="0078661C">
        <w:rPr>
          <w:rFonts w:ascii="Arial" w:hAnsi="Arial" w:cs="Arial"/>
          <w:lang w:val="es-ES"/>
        </w:rPr>
        <w:t>tienen información i</w:t>
      </w:r>
      <w:r w:rsidRPr="0078661C" w:rsidR="00776D09">
        <w:rPr>
          <w:rFonts w:ascii="Arial" w:hAnsi="Arial" w:cs="Arial"/>
          <w:lang w:val="es-ES"/>
        </w:rPr>
        <w:t>m</w:t>
      </w:r>
      <w:r w:rsidRPr="0078661C">
        <w:rPr>
          <w:rFonts w:ascii="Arial" w:hAnsi="Arial" w:cs="Arial"/>
          <w:lang w:val="es-ES"/>
        </w:rPr>
        <w:t>perfecta sobre las características de los empleos ofertados</w:t>
      </w:r>
      <w:r w:rsidRPr="0078661C" w:rsidR="00E717C1">
        <w:rPr>
          <w:rFonts w:ascii="Arial" w:hAnsi="Arial" w:cs="Arial"/>
          <w:lang w:val="es-ES"/>
        </w:rPr>
        <w:t xml:space="preserve"> y sobre las características de los buscadores de empleo</w:t>
      </w:r>
      <w:r w:rsidRPr="0078661C" w:rsidR="00505A4B">
        <w:rPr>
          <w:rFonts w:ascii="Arial" w:hAnsi="Arial" w:cs="Arial"/>
          <w:lang w:val="es-ES"/>
        </w:rPr>
        <w:t>, respectivamente</w:t>
      </w:r>
      <w:r w:rsidRPr="0078661C">
        <w:rPr>
          <w:rFonts w:ascii="Arial" w:hAnsi="Arial" w:cs="Arial"/>
          <w:lang w:val="es-ES"/>
        </w:rPr>
        <w:t xml:space="preserve">. </w:t>
      </w:r>
      <w:r w:rsidRPr="0078661C" w:rsidR="00E717C1">
        <w:rPr>
          <w:rFonts w:ascii="Arial" w:hAnsi="Arial" w:cs="Arial"/>
          <w:lang w:val="es-ES"/>
        </w:rPr>
        <w:t>Más aún, l</w:t>
      </w:r>
      <w:r w:rsidRPr="0078661C">
        <w:rPr>
          <w:rFonts w:ascii="Arial" w:hAnsi="Arial" w:cs="Arial"/>
          <w:lang w:val="es-ES"/>
        </w:rPr>
        <w:t xml:space="preserve">a búsqueda de </w:t>
      </w:r>
      <w:r w:rsidRPr="0078661C" w:rsidR="00E717C1">
        <w:rPr>
          <w:rFonts w:ascii="Arial" w:hAnsi="Arial" w:cs="Arial"/>
          <w:lang w:val="es-ES"/>
        </w:rPr>
        <w:t xml:space="preserve">esta información </w:t>
      </w:r>
      <w:r w:rsidRPr="0078661C">
        <w:rPr>
          <w:rFonts w:ascii="Arial" w:hAnsi="Arial" w:cs="Arial"/>
          <w:lang w:val="es-ES"/>
        </w:rPr>
        <w:t xml:space="preserve">demanda tiempo y representa costos </w:t>
      </w:r>
      <w:r w:rsidRPr="0078661C" w:rsidR="00E717C1">
        <w:rPr>
          <w:rFonts w:ascii="Arial" w:hAnsi="Arial" w:cs="Arial"/>
          <w:lang w:val="es-ES"/>
        </w:rPr>
        <w:t xml:space="preserve">tanto </w:t>
      </w:r>
      <w:r w:rsidRPr="0078661C">
        <w:rPr>
          <w:rFonts w:ascii="Arial" w:hAnsi="Arial" w:cs="Arial"/>
          <w:lang w:val="es-ES"/>
        </w:rPr>
        <w:t xml:space="preserve">para el </w:t>
      </w:r>
      <w:r w:rsidRPr="0078661C" w:rsidR="00513FDC">
        <w:rPr>
          <w:rFonts w:ascii="Arial" w:hAnsi="Arial" w:cs="Arial"/>
          <w:lang w:val="es-ES"/>
        </w:rPr>
        <w:t>buscador de empleo</w:t>
      </w:r>
      <w:r w:rsidRPr="0078661C">
        <w:rPr>
          <w:rFonts w:ascii="Arial" w:hAnsi="Arial" w:cs="Arial"/>
          <w:lang w:val="es-ES"/>
        </w:rPr>
        <w:t xml:space="preserve"> y los empleadores.</w:t>
      </w:r>
      <w:r w:rsidRPr="0078661C" w:rsidR="00E717C1">
        <w:rPr>
          <w:rFonts w:ascii="Arial" w:hAnsi="Arial" w:cs="Arial"/>
          <w:lang w:val="es-ES"/>
        </w:rPr>
        <w:t xml:space="preserve"> </w:t>
      </w:r>
    </w:p>
    <w:p w:rsidRPr="00ED2CE7" w:rsidR="00ED2CE7" w:rsidP="00ED2CE7" w:rsidRDefault="00ED2CE7" w14:paraId="5F9C30DF" w14:textId="77777777">
      <w:pPr>
        <w:pStyle w:val="ListParagraph"/>
        <w:rPr>
          <w:rFonts w:ascii="Arial" w:hAnsi="Arial" w:cs="Arial"/>
          <w:lang w:val="es-ES"/>
        </w:rPr>
      </w:pPr>
    </w:p>
    <w:p w:rsidRPr="00076048" w:rsidR="00E717C1" w:rsidP="00562EA4" w:rsidRDefault="00E717C1" w14:paraId="5B03F8F1" w14:textId="2099F82B">
      <w:pPr>
        <w:pStyle w:val="ListParagraph"/>
        <w:numPr>
          <w:ilvl w:val="0"/>
          <w:numId w:val="8"/>
        </w:numPr>
        <w:ind w:left="0"/>
        <w:jc w:val="both"/>
        <w:rPr>
          <w:rFonts w:ascii="Arial" w:hAnsi="Arial" w:cs="Arial"/>
          <w:lang w:val="es-ES"/>
        </w:rPr>
      </w:pPr>
      <w:r w:rsidRPr="00076048">
        <w:rPr>
          <w:rFonts w:ascii="Arial" w:hAnsi="Arial" w:cs="Arial"/>
          <w:lang w:val="es-ES"/>
        </w:rPr>
        <w:t xml:space="preserve">En este sentido la provisión </w:t>
      </w:r>
      <w:r w:rsidRPr="00076048" w:rsidR="00D826C6">
        <w:rPr>
          <w:rFonts w:ascii="Arial" w:hAnsi="Arial" w:cs="Arial"/>
          <w:lang w:val="es-ES"/>
        </w:rPr>
        <w:t xml:space="preserve">de la capacitación in situ constituye una forma de incentivar a la contratación </w:t>
      </w:r>
      <w:r w:rsidRPr="00076048" w:rsidR="00076048">
        <w:rPr>
          <w:rFonts w:ascii="Arial" w:hAnsi="Arial" w:cs="Arial"/>
          <w:lang w:val="es-ES"/>
        </w:rPr>
        <w:t xml:space="preserve">de buscadores de empleo que teniendo el nivel de habilidades no hubieran sido considerado para las vacantes. Este hecho </w:t>
      </w:r>
      <w:r w:rsidR="00076048">
        <w:rPr>
          <w:rFonts w:ascii="Arial" w:hAnsi="Arial" w:cs="Arial"/>
          <w:lang w:val="es-ES"/>
        </w:rPr>
        <w:t xml:space="preserve">podría permitir </w:t>
      </w:r>
      <w:r w:rsidRPr="00076048">
        <w:rPr>
          <w:rFonts w:ascii="Arial" w:hAnsi="Arial" w:cs="Arial"/>
          <w:lang w:val="es-ES"/>
        </w:rPr>
        <w:t xml:space="preserve">un mejor emparejamiento, y por ende </w:t>
      </w:r>
      <w:r w:rsidRPr="00076048" w:rsidR="009763FC">
        <w:rPr>
          <w:rFonts w:ascii="Arial" w:hAnsi="Arial" w:cs="Arial"/>
          <w:lang w:val="es-ES"/>
        </w:rPr>
        <w:t xml:space="preserve">un incremento en la </w:t>
      </w:r>
      <w:r w:rsidRPr="00076048">
        <w:rPr>
          <w:rFonts w:ascii="Arial" w:hAnsi="Arial" w:cs="Arial"/>
          <w:lang w:val="es-ES"/>
        </w:rPr>
        <w:t>productividad</w:t>
      </w:r>
      <w:r w:rsidRPr="00076048" w:rsidR="00183BF6">
        <w:rPr>
          <w:rFonts w:ascii="Arial" w:hAnsi="Arial" w:cs="Arial"/>
          <w:lang w:val="es-ES"/>
        </w:rPr>
        <w:t xml:space="preserve"> de los trabajadores y de la empresa</w:t>
      </w:r>
      <w:r w:rsidRPr="00076048" w:rsidR="009763FC">
        <w:rPr>
          <w:rFonts w:ascii="Arial" w:hAnsi="Arial" w:cs="Arial"/>
          <w:lang w:val="es-ES"/>
        </w:rPr>
        <w:t xml:space="preserve">. </w:t>
      </w:r>
      <w:r w:rsidR="00076048">
        <w:rPr>
          <w:rFonts w:ascii="Arial" w:hAnsi="Arial" w:cs="Arial"/>
          <w:lang w:val="es-ES"/>
        </w:rPr>
        <w:t>Del mismo modo, los buscadores de empleo beneficiados de la capacitación in situ contarán con experiencia laboral en el sector formal lo que les permitirá hacia adelante señalizar su nivel de habilidades. Finalmente</w:t>
      </w:r>
      <w:r w:rsidRPr="00076048" w:rsidR="00FA1788">
        <w:rPr>
          <w:rFonts w:ascii="Arial" w:hAnsi="Arial" w:cs="Arial"/>
          <w:lang w:val="es-ES"/>
        </w:rPr>
        <w:t>,</w:t>
      </w:r>
      <w:r w:rsidRPr="00076048" w:rsidR="009763FC">
        <w:rPr>
          <w:rFonts w:ascii="Arial" w:hAnsi="Arial" w:cs="Arial"/>
          <w:lang w:val="es-ES"/>
        </w:rPr>
        <w:t xml:space="preserve"> el acceso a información laboral </w:t>
      </w:r>
      <w:r w:rsidRPr="00076048">
        <w:rPr>
          <w:rFonts w:ascii="Arial" w:hAnsi="Arial" w:cs="Arial"/>
          <w:lang w:val="es-ES"/>
        </w:rPr>
        <w:t>permitiría a los buscadores de empleo tener conocimiento de opciones laborales</w:t>
      </w:r>
      <w:r w:rsidRPr="00076048" w:rsidR="00216CC7">
        <w:rPr>
          <w:rFonts w:ascii="Arial" w:hAnsi="Arial" w:cs="Arial"/>
          <w:lang w:val="es-ES"/>
        </w:rPr>
        <w:t xml:space="preserve"> </w:t>
      </w:r>
      <w:r w:rsidRPr="00076048" w:rsidR="00183BF6">
        <w:rPr>
          <w:rFonts w:ascii="Arial" w:hAnsi="Arial" w:cs="Arial"/>
          <w:lang w:val="es-ES"/>
        </w:rPr>
        <w:t xml:space="preserve">y de condiciones del mercado laboral, consecuentemente podría </w:t>
      </w:r>
      <w:r w:rsidRPr="00076048">
        <w:rPr>
          <w:rFonts w:ascii="Arial" w:hAnsi="Arial" w:cs="Arial"/>
          <w:lang w:val="es-ES"/>
        </w:rPr>
        <w:t>negociar de mejor manera su remuneración y beneficios laborales.</w:t>
      </w:r>
    </w:p>
    <w:p w:rsidRPr="00D826C6" w:rsidR="00D826C6" w:rsidP="00D826C6" w:rsidRDefault="00D826C6" w14:paraId="04C2E777" w14:textId="77777777">
      <w:pPr>
        <w:pStyle w:val="ListParagraph"/>
        <w:rPr>
          <w:rFonts w:ascii="Arial" w:hAnsi="Arial" w:cs="Arial"/>
          <w:lang w:val="es-ES"/>
        </w:rPr>
      </w:pPr>
    </w:p>
    <w:p w:rsidRPr="00E0381D" w:rsidR="00E0381D" w:rsidP="00D826C6" w:rsidRDefault="00D826C6" w14:paraId="79196970" w14:textId="01EB7739">
      <w:pPr>
        <w:pStyle w:val="ListParagraph"/>
        <w:numPr>
          <w:ilvl w:val="0"/>
          <w:numId w:val="8"/>
        </w:numPr>
        <w:tabs>
          <w:tab w:val="left" w:pos="90"/>
          <w:tab w:val="left" w:pos="270"/>
        </w:tabs>
        <w:ind w:left="0"/>
        <w:jc w:val="both"/>
        <w:rPr>
          <w:rFonts w:ascii="Arial" w:hAnsi="Arial" w:cs="Arial"/>
          <w:lang w:val="es-ES"/>
        </w:rPr>
      </w:pPr>
      <w:r>
        <w:rPr>
          <w:rFonts w:ascii="Arial" w:hAnsi="Arial" w:cs="Arial"/>
          <w:lang w:val="es-ES"/>
        </w:rPr>
        <w:t xml:space="preserve">En este contexto, el PAE cuenta con una evaluación de impacto </w:t>
      </w:r>
      <w:r w:rsidR="00E0381D">
        <w:rPr>
          <w:rFonts w:ascii="Arial" w:hAnsi="Arial" w:cs="Arial"/>
          <w:lang w:val="es-ES"/>
        </w:rPr>
        <w:t>cuasiexperimental</w:t>
      </w:r>
      <w:r>
        <w:rPr>
          <w:rFonts w:ascii="Arial" w:hAnsi="Arial" w:cs="Arial"/>
          <w:lang w:val="es-ES"/>
        </w:rPr>
        <w:t xml:space="preserve"> </w:t>
      </w:r>
      <w:r w:rsidRPr="00CF5905">
        <w:rPr>
          <w:rFonts w:ascii="Arial" w:hAnsi="Arial" w:cs="Arial"/>
          <w:lang w:val="es-BO"/>
        </w:rPr>
        <w:t>que combina el uso de dos metodologías de identificación, matching (</w:t>
      </w:r>
      <w:r w:rsidRPr="00CF5905">
        <w:rPr>
          <w:rFonts w:ascii="Arial" w:hAnsi="Arial" w:cs="Arial"/>
          <w:i/>
          <w:lang w:val="es-BO"/>
        </w:rPr>
        <w:t>Propensity Score Matching</w:t>
      </w:r>
      <w:r w:rsidRPr="00CF5905">
        <w:rPr>
          <w:rFonts w:ascii="Arial" w:hAnsi="Arial" w:cs="Arial"/>
          <w:lang w:val="es-BO"/>
        </w:rPr>
        <w:t xml:space="preserve">) y </w:t>
      </w:r>
      <w:r w:rsidRPr="00CF5905">
        <w:rPr>
          <w:rFonts w:ascii="Arial" w:hAnsi="Arial" w:cs="Arial"/>
          <w:i/>
          <w:lang w:val="es-BO"/>
        </w:rPr>
        <w:t>Diferencias en Diferencias</w:t>
      </w:r>
      <w:r w:rsidRPr="00CF5905">
        <w:rPr>
          <w:rFonts w:ascii="Arial" w:hAnsi="Arial" w:cs="Arial"/>
          <w:lang w:val="es-BO"/>
        </w:rPr>
        <w:t xml:space="preserve">. </w:t>
      </w:r>
      <w:r w:rsidR="00E0381D">
        <w:rPr>
          <w:rFonts w:ascii="Arial" w:hAnsi="Arial" w:cs="Arial"/>
          <w:lang w:val="es-BO"/>
        </w:rPr>
        <w:t>Es importante destacar que la evaluación de impacto solamente considera el impacto asociado al Componente 2 del PAE, siendo que es posible que el impacto del Componente 1 “Ampliación del Servicio de Empleo” también puede haber generado impactos asociados a una mejor intermediación laboral, fruto de una mayor presencia del SPE en ciudades donde habitualmente no operaba.</w:t>
      </w:r>
    </w:p>
    <w:p w:rsidRPr="00E0381D" w:rsidR="00E0381D" w:rsidP="00E0381D" w:rsidRDefault="00E0381D" w14:paraId="5EEEED24" w14:textId="77777777">
      <w:pPr>
        <w:pStyle w:val="ListParagraph"/>
        <w:rPr>
          <w:rFonts w:ascii="Arial" w:hAnsi="Arial" w:cs="Arial"/>
          <w:lang w:val="es-ES"/>
        </w:rPr>
      </w:pPr>
    </w:p>
    <w:p w:rsidR="00A141C7" w:rsidP="00562EA4" w:rsidRDefault="00E0381D" w14:paraId="1D751508" w14:textId="61CAB24A">
      <w:pPr>
        <w:pStyle w:val="ListParagraph"/>
        <w:numPr>
          <w:ilvl w:val="0"/>
          <w:numId w:val="8"/>
        </w:numPr>
        <w:tabs>
          <w:tab w:val="left" w:pos="90"/>
          <w:tab w:val="left" w:pos="270"/>
        </w:tabs>
        <w:ind w:left="0"/>
        <w:jc w:val="both"/>
        <w:rPr>
          <w:rFonts w:ascii="Arial" w:hAnsi="Arial" w:cs="Arial"/>
          <w:lang w:val="es-BO"/>
        </w:rPr>
      </w:pPr>
      <w:r w:rsidRPr="00A141C7">
        <w:rPr>
          <w:rFonts w:ascii="Arial" w:hAnsi="Arial" w:cs="Arial"/>
          <w:lang w:val="es-BO"/>
        </w:rPr>
        <w:lastRenderedPageBreak/>
        <w:t>L</w:t>
      </w:r>
      <w:r w:rsidRPr="00A141C7" w:rsidR="00D826C6">
        <w:rPr>
          <w:rFonts w:ascii="Arial" w:hAnsi="Arial" w:cs="Arial"/>
          <w:lang w:val="es-BO"/>
        </w:rPr>
        <w:t>os resultados obtenidos, como en cualquier metodología cuasiexperimental, están sujetos a la validez de los supuestos detrás de ambas metodologías</w:t>
      </w:r>
      <w:r w:rsidRPr="00A141C7" w:rsidR="00A141C7">
        <w:rPr>
          <w:rFonts w:ascii="Arial" w:hAnsi="Arial" w:cs="Arial"/>
          <w:lang w:val="es-BO"/>
        </w:rPr>
        <w:t>, sin embargo, la evaluación presenta diferentes test de robustez sobre el impacto encontrado</w:t>
      </w:r>
      <w:r w:rsidRPr="00A141C7" w:rsidR="00D826C6">
        <w:rPr>
          <w:rFonts w:ascii="Arial" w:hAnsi="Arial" w:cs="Arial"/>
          <w:lang w:val="es-BO"/>
        </w:rPr>
        <w:t xml:space="preserve">. </w:t>
      </w:r>
      <w:r w:rsidRPr="00A141C7">
        <w:rPr>
          <w:rFonts w:ascii="Arial" w:hAnsi="Arial" w:cs="Arial"/>
          <w:lang w:val="es-BO"/>
        </w:rPr>
        <w:t xml:space="preserve">Para la evaluación se consideró como grupo de control aquellos buscadores de empleo que se registraron en el SPE, pero que no recibieron el beneficio de capacitación in situ. Esto es relevante porque implica que el impacto del programa está calculado sobre algunos buscadores de empleo que quizá tuvieron algún beneficio en su acceso al empleo por el hecho de haberse registrado en el SPE y no así sobre la población en general. </w:t>
      </w:r>
      <w:r w:rsidRPr="00A141C7" w:rsidR="00A141C7">
        <w:rPr>
          <w:rFonts w:ascii="Arial" w:hAnsi="Arial" w:cs="Arial"/>
          <w:lang w:val="es-BO"/>
        </w:rPr>
        <w:t xml:space="preserve">Por lo que podríamos </w:t>
      </w:r>
      <w:r w:rsidR="00076048">
        <w:rPr>
          <w:rFonts w:ascii="Arial" w:hAnsi="Arial" w:cs="Arial"/>
          <w:lang w:val="es-BO"/>
        </w:rPr>
        <w:t xml:space="preserve">concluir </w:t>
      </w:r>
      <w:r w:rsidRPr="00A141C7" w:rsidR="00A141C7">
        <w:rPr>
          <w:rFonts w:ascii="Arial" w:hAnsi="Arial" w:cs="Arial"/>
          <w:lang w:val="es-BO"/>
        </w:rPr>
        <w:t xml:space="preserve">que por la selección del grupo de control, los resultados presentados </w:t>
      </w:r>
      <w:r w:rsidR="00076048">
        <w:rPr>
          <w:rFonts w:ascii="Arial" w:hAnsi="Arial" w:cs="Arial"/>
          <w:lang w:val="es-BO"/>
        </w:rPr>
        <w:t xml:space="preserve">en la evaluación podrían constituirse en una </w:t>
      </w:r>
      <w:r w:rsidRPr="00A141C7" w:rsidR="00A141C7">
        <w:rPr>
          <w:rFonts w:ascii="Arial" w:hAnsi="Arial" w:cs="Arial"/>
          <w:lang w:val="es-BO"/>
        </w:rPr>
        <w:t>subestimación del impacto</w:t>
      </w:r>
      <w:r w:rsidR="00076048">
        <w:rPr>
          <w:rFonts w:ascii="Arial" w:hAnsi="Arial" w:cs="Arial"/>
          <w:lang w:val="es-BO"/>
        </w:rPr>
        <w:t xml:space="preserve"> del programa</w:t>
      </w:r>
      <w:r w:rsidR="00A141C7">
        <w:rPr>
          <w:rFonts w:ascii="Arial" w:hAnsi="Arial" w:cs="Arial"/>
          <w:lang w:val="es-BO"/>
        </w:rPr>
        <w:t>.</w:t>
      </w:r>
    </w:p>
    <w:p w:rsidRPr="00A141C7" w:rsidR="00E0381D" w:rsidP="00A141C7" w:rsidRDefault="00E0381D" w14:paraId="13EABF47" w14:textId="363302CC">
      <w:pPr>
        <w:pStyle w:val="ListParagraph"/>
        <w:tabs>
          <w:tab w:val="left" w:pos="90"/>
          <w:tab w:val="left" w:pos="270"/>
        </w:tabs>
        <w:ind w:left="0"/>
        <w:jc w:val="both"/>
        <w:rPr>
          <w:rFonts w:ascii="Arial" w:hAnsi="Arial" w:cs="Arial"/>
          <w:lang w:val="es-BO"/>
        </w:rPr>
      </w:pPr>
    </w:p>
    <w:p w:rsidRPr="000369EB" w:rsidR="00D826C6" w:rsidP="00D826C6" w:rsidRDefault="00D826C6" w14:paraId="0CF3BDE7" w14:textId="0CBBA959">
      <w:pPr>
        <w:pStyle w:val="ListParagraph"/>
        <w:numPr>
          <w:ilvl w:val="0"/>
          <w:numId w:val="8"/>
        </w:numPr>
        <w:tabs>
          <w:tab w:val="left" w:pos="90"/>
          <w:tab w:val="left" w:pos="270"/>
        </w:tabs>
        <w:ind w:left="0"/>
        <w:jc w:val="both"/>
        <w:rPr>
          <w:rFonts w:ascii="Arial" w:hAnsi="Arial" w:cs="Arial"/>
          <w:lang w:val="es-ES"/>
        </w:rPr>
      </w:pPr>
      <w:r>
        <w:rPr>
          <w:rFonts w:ascii="Arial" w:hAnsi="Arial" w:cs="Arial"/>
          <w:lang w:val="es-BO"/>
        </w:rPr>
        <w:t xml:space="preserve">Para el </w:t>
      </w:r>
      <w:r w:rsidR="00E0381D">
        <w:rPr>
          <w:rFonts w:ascii="Arial" w:hAnsi="Arial" w:cs="Arial"/>
          <w:lang w:val="es-BO"/>
        </w:rPr>
        <w:t xml:space="preserve">presente análisis </w:t>
      </w:r>
      <w:r>
        <w:rPr>
          <w:rFonts w:ascii="Arial" w:hAnsi="Arial" w:cs="Arial"/>
          <w:lang w:val="es-BO"/>
        </w:rPr>
        <w:t>se consideró el impacto en acceso a empleo e incremento en ingresos laborales</w:t>
      </w:r>
      <w:r>
        <w:rPr>
          <w:rStyle w:val="FootnoteReference"/>
          <w:rFonts w:ascii="Arial" w:hAnsi="Arial" w:cs="Arial"/>
          <w:lang w:val="es-BO"/>
        </w:rPr>
        <w:footnoteReference w:id="10"/>
      </w:r>
      <w:r>
        <w:rPr>
          <w:rFonts w:ascii="Arial" w:hAnsi="Arial" w:cs="Arial"/>
          <w:lang w:val="es-BO"/>
        </w:rPr>
        <w:t>. Los resultados de la evaluación de impacto muestran un impacto de 8</w:t>
      </w:r>
      <w:r w:rsidR="00C117D1">
        <w:rPr>
          <w:rFonts w:ascii="Arial" w:hAnsi="Arial" w:cs="Arial"/>
          <w:lang w:val="es-BO"/>
        </w:rPr>
        <w:t>,4</w:t>
      </w:r>
      <w:r>
        <w:rPr>
          <w:rFonts w:ascii="Arial" w:hAnsi="Arial" w:cs="Arial"/>
          <w:lang w:val="es-BO"/>
        </w:rPr>
        <w:t xml:space="preserve"> pp. en acceso a empleo y un incremento de </w:t>
      </w:r>
      <w:r w:rsidR="00C117D1">
        <w:rPr>
          <w:rFonts w:ascii="Arial" w:hAnsi="Arial" w:cs="Arial"/>
          <w:lang w:val="es-BO"/>
        </w:rPr>
        <w:t>8</w:t>
      </w:r>
      <w:r>
        <w:rPr>
          <w:rFonts w:ascii="Arial" w:hAnsi="Arial" w:cs="Arial"/>
          <w:lang w:val="es-BO"/>
        </w:rPr>
        <w:t>,</w:t>
      </w:r>
      <w:r w:rsidR="00C117D1">
        <w:rPr>
          <w:rFonts w:ascii="Arial" w:hAnsi="Arial" w:cs="Arial"/>
          <w:lang w:val="es-BO"/>
        </w:rPr>
        <w:t>7</w:t>
      </w:r>
      <w:r>
        <w:rPr>
          <w:rFonts w:ascii="Arial" w:hAnsi="Arial" w:cs="Arial"/>
          <w:lang w:val="es-BO"/>
        </w:rPr>
        <w:t>% en el ingreso laboral condicional en estar trabajando</w:t>
      </w:r>
      <w:r w:rsidR="00C117D1">
        <w:rPr>
          <w:rStyle w:val="FootnoteReference"/>
          <w:rFonts w:ascii="Arial" w:hAnsi="Arial" w:cs="Arial"/>
          <w:lang w:val="es-BO"/>
        </w:rPr>
        <w:footnoteReference w:id="11"/>
      </w:r>
      <w:r w:rsidR="000369EB">
        <w:rPr>
          <w:rFonts w:ascii="Arial" w:hAnsi="Arial" w:cs="Arial"/>
          <w:lang w:val="es-BO"/>
        </w:rPr>
        <w:t>.</w:t>
      </w:r>
    </w:p>
    <w:p w:rsidRPr="000369EB" w:rsidR="000369EB" w:rsidP="000369EB" w:rsidRDefault="000369EB" w14:paraId="1CA48979" w14:textId="77777777">
      <w:pPr>
        <w:pStyle w:val="ListParagraph"/>
        <w:rPr>
          <w:rFonts w:ascii="Arial" w:hAnsi="Arial" w:cs="Arial"/>
          <w:lang w:val="es-ES"/>
        </w:rPr>
      </w:pPr>
    </w:p>
    <w:p w:rsidR="000369EB" w:rsidP="00562EA4" w:rsidRDefault="000369EB" w14:paraId="0DB61085" w14:textId="0C223C92">
      <w:pPr>
        <w:pStyle w:val="ListParagraph"/>
        <w:numPr>
          <w:ilvl w:val="0"/>
          <w:numId w:val="8"/>
        </w:numPr>
        <w:tabs>
          <w:tab w:val="left" w:pos="90"/>
          <w:tab w:val="left" w:pos="270"/>
        </w:tabs>
        <w:ind w:left="0"/>
        <w:jc w:val="both"/>
        <w:rPr>
          <w:rFonts w:ascii="Arial" w:hAnsi="Arial" w:cs="Arial"/>
          <w:lang w:val="es-ES"/>
        </w:rPr>
      </w:pPr>
      <w:r w:rsidRPr="000369EB">
        <w:rPr>
          <w:rFonts w:ascii="Arial" w:hAnsi="Arial" w:cs="Arial"/>
          <w:lang w:val="es-ES"/>
        </w:rPr>
        <w:t>Para el cálculo de los beneficios del programa, se consideró un ingreso laboral mensual base en ausencia del programa de Bs2.224 (</w:t>
      </w:r>
      <w:r w:rsidR="0030728D">
        <w:rPr>
          <w:rFonts w:ascii="Arial" w:hAnsi="Arial" w:cs="Arial"/>
          <w:lang w:val="es-ES"/>
        </w:rPr>
        <w:t>US$</w:t>
      </w:r>
      <w:r w:rsidRPr="000369EB">
        <w:rPr>
          <w:rFonts w:ascii="Arial" w:hAnsi="Arial" w:cs="Arial"/>
          <w:lang w:val="es-ES"/>
        </w:rPr>
        <w:t xml:space="preserve">319,4), que proviene del ingreso laboral del grupo de control. Solamente se considera impacto del programa por 3 años, tiempo de impacto que puede inferirse de la evaluación. Asimismo, se asume un impacto constante para los 3 años sobre las variables de acceso a empleo e ingresos laborales. </w:t>
      </w:r>
    </w:p>
    <w:p w:rsidRPr="00024323" w:rsidR="00024323" w:rsidP="00024323" w:rsidRDefault="00024323" w14:paraId="526F4403" w14:textId="77777777">
      <w:pPr>
        <w:pStyle w:val="ListParagraph"/>
        <w:rPr>
          <w:rFonts w:ascii="Arial" w:hAnsi="Arial" w:cs="Arial"/>
          <w:lang w:val="es-ES"/>
        </w:rPr>
      </w:pPr>
    </w:p>
    <w:p w:rsidRPr="0078661C" w:rsidR="00024323" w:rsidP="00024323" w:rsidRDefault="00024323" w14:paraId="44F9303E" w14:textId="77777777">
      <w:pPr>
        <w:jc w:val="center"/>
        <w:rPr>
          <w:rFonts w:ascii="Arial" w:hAnsi="Arial" w:cs="Arial"/>
          <w:b/>
          <w:lang w:val="es-ES"/>
        </w:rPr>
      </w:pPr>
      <w:r w:rsidRPr="0078661C">
        <w:rPr>
          <w:rFonts w:ascii="Arial" w:hAnsi="Arial" w:cs="Arial"/>
          <w:b/>
          <w:lang w:val="es-ES"/>
        </w:rPr>
        <w:t xml:space="preserve">Tabla 1: Ingresos Laborales </w:t>
      </w:r>
      <w:r>
        <w:rPr>
          <w:rFonts w:ascii="Arial" w:hAnsi="Arial" w:cs="Arial"/>
          <w:b/>
          <w:lang w:val="es-ES"/>
        </w:rPr>
        <w:t>Base en ausencia del programa</w:t>
      </w:r>
    </w:p>
    <w:tbl>
      <w:tblPr>
        <w:tblW w:w="5534" w:type="dxa"/>
        <w:jc w:val="center"/>
        <w:tblCellMar>
          <w:left w:w="70" w:type="dxa"/>
          <w:right w:w="70" w:type="dxa"/>
        </w:tblCellMar>
        <w:tblLook w:val="04A0" w:firstRow="1" w:lastRow="0" w:firstColumn="1" w:lastColumn="0" w:noHBand="0" w:noVBand="1"/>
      </w:tblPr>
      <w:tblGrid>
        <w:gridCol w:w="2250"/>
        <w:gridCol w:w="1694"/>
        <w:gridCol w:w="1590"/>
      </w:tblGrid>
      <w:tr w:rsidRPr="00DC1078" w:rsidR="00024323" w:rsidTr="00562EA4" w14:paraId="4A90D5CD" w14:textId="77777777">
        <w:trPr>
          <w:trHeight w:val="300"/>
          <w:jc w:val="center"/>
        </w:trPr>
        <w:tc>
          <w:tcPr>
            <w:tcW w:w="2250" w:type="dxa"/>
            <w:tcBorders>
              <w:top w:val="nil"/>
              <w:left w:val="nil"/>
              <w:bottom w:val="nil"/>
              <w:right w:val="nil"/>
            </w:tcBorders>
            <w:shd w:val="clear" w:color="000000" w:fill="FFFFFF"/>
            <w:noWrap/>
            <w:vAlign w:val="bottom"/>
          </w:tcPr>
          <w:p w:rsidRPr="00184002" w:rsidR="00024323" w:rsidP="00562EA4" w:rsidRDefault="00024323" w14:paraId="26BC951D" w14:textId="77777777">
            <w:pPr>
              <w:spacing w:after="0" w:line="240" w:lineRule="auto"/>
              <w:rPr>
                <w:rFonts w:ascii="Calibri" w:hAnsi="Calibri" w:eastAsia="Times New Roman" w:cs="Times New Roman"/>
                <w:color w:val="000000"/>
                <w:sz w:val="20"/>
                <w:lang w:val="es-ES" w:eastAsia="es-ES"/>
              </w:rPr>
            </w:pPr>
          </w:p>
        </w:tc>
        <w:tc>
          <w:tcPr>
            <w:tcW w:w="328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rsidRPr="00184002" w:rsidR="00024323" w:rsidP="00562EA4" w:rsidRDefault="00024323" w14:paraId="2BB1442A" w14:textId="77777777">
            <w:pPr>
              <w:spacing w:after="0" w:line="240" w:lineRule="auto"/>
              <w:jc w:val="center"/>
              <w:rPr>
                <w:rFonts w:ascii="Calibri" w:hAnsi="Calibri" w:eastAsia="Times New Roman" w:cs="Times New Roman"/>
                <w:b/>
                <w:color w:val="000000"/>
                <w:sz w:val="20"/>
                <w:lang w:val="es-ES" w:eastAsia="es-ES"/>
              </w:rPr>
            </w:pPr>
            <w:r w:rsidRPr="00184002">
              <w:rPr>
                <w:rFonts w:ascii="Calibri" w:hAnsi="Calibri" w:eastAsia="Times New Roman" w:cs="Times New Roman"/>
                <w:b/>
                <w:color w:val="000000"/>
                <w:sz w:val="20"/>
                <w:lang w:val="es-ES" w:eastAsia="es-ES"/>
              </w:rPr>
              <w:t>Ingreso Base en ausencia del programa</w:t>
            </w:r>
            <w:r>
              <w:rPr>
                <w:rFonts w:ascii="Calibri" w:hAnsi="Calibri" w:eastAsia="Times New Roman" w:cs="Times New Roman"/>
                <w:b/>
                <w:color w:val="000000"/>
                <w:sz w:val="20"/>
                <w:lang w:val="es-ES" w:eastAsia="es-ES"/>
              </w:rPr>
              <w:t xml:space="preserve"> </w:t>
            </w:r>
          </w:p>
        </w:tc>
      </w:tr>
      <w:tr w:rsidRPr="0078661C" w:rsidR="00024323" w:rsidTr="00562EA4" w14:paraId="2BE996E0" w14:textId="77777777">
        <w:trPr>
          <w:trHeight w:val="300"/>
          <w:jc w:val="center"/>
        </w:trPr>
        <w:tc>
          <w:tcPr>
            <w:tcW w:w="2250" w:type="dxa"/>
            <w:tcBorders>
              <w:top w:val="nil"/>
              <w:left w:val="nil"/>
              <w:bottom w:val="nil"/>
              <w:right w:val="nil"/>
            </w:tcBorders>
            <w:shd w:val="clear" w:color="000000" w:fill="FFFFFF"/>
            <w:noWrap/>
            <w:vAlign w:val="bottom"/>
            <w:hideMark/>
          </w:tcPr>
          <w:p w:rsidRPr="00184002" w:rsidR="00024323" w:rsidP="00562EA4" w:rsidRDefault="00024323" w14:paraId="3166EB72" w14:textId="77777777">
            <w:pPr>
              <w:spacing w:after="0" w:line="240" w:lineRule="auto"/>
              <w:rPr>
                <w:rFonts w:ascii="Calibri" w:hAnsi="Calibri" w:eastAsia="Times New Roman" w:cs="Times New Roman"/>
                <w:color w:val="000000"/>
                <w:sz w:val="20"/>
                <w:lang w:val="es-ES" w:eastAsia="es-ES"/>
              </w:rPr>
            </w:pPr>
            <w:r w:rsidRPr="00184002">
              <w:rPr>
                <w:rFonts w:ascii="Calibri" w:hAnsi="Calibri" w:eastAsia="Times New Roman" w:cs="Times New Roman"/>
                <w:color w:val="000000"/>
                <w:sz w:val="20"/>
                <w:lang w:val="es-ES" w:eastAsia="es-ES"/>
              </w:rPr>
              <w:t> </w:t>
            </w:r>
          </w:p>
        </w:tc>
        <w:tc>
          <w:tcPr>
            <w:tcW w:w="1694" w:type="dxa"/>
            <w:tcBorders>
              <w:top w:val="single" w:color="auto" w:sz="4" w:space="0"/>
              <w:left w:val="single" w:color="auto" w:sz="4" w:space="0"/>
              <w:bottom w:val="nil"/>
              <w:right w:val="single" w:color="auto" w:sz="4" w:space="0"/>
            </w:tcBorders>
            <w:shd w:val="clear" w:color="000000" w:fill="FFFFFF"/>
            <w:noWrap/>
            <w:vAlign w:val="center"/>
            <w:hideMark/>
          </w:tcPr>
          <w:p w:rsidRPr="00184002" w:rsidR="00024323" w:rsidP="00562EA4" w:rsidRDefault="00024323" w14:paraId="54634350" w14:textId="77777777">
            <w:pPr>
              <w:spacing w:after="0" w:line="240" w:lineRule="auto"/>
              <w:jc w:val="center"/>
              <w:rPr>
                <w:rFonts w:ascii="Calibri" w:hAnsi="Calibri" w:eastAsia="Times New Roman" w:cs="Times New Roman"/>
                <w:b/>
                <w:color w:val="000000"/>
                <w:sz w:val="20"/>
                <w:lang w:val="es-ES" w:eastAsia="es-ES"/>
              </w:rPr>
            </w:pPr>
            <w:r>
              <w:rPr>
                <w:rFonts w:ascii="Calibri" w:hAnsi="Calibri" w:eastAsia="Times New Roman" w:cs="Times New Roman"/>
                <w:b/>
                <w:color w:val="000000"/>
                <w:sz w:val="20"/>
                <w:lang w:val="es-ES" w:eastAsia="es-ES"/>
              </w:rPr>
              <w:t xml:space="preserve">Bs </w:t>
            </w:r>
          </w:p>
        </w:tc>
        <w:tc>
          <w:tcPr>
            <w:tcW w:w="1590" w:type="dxa"/>
            <w:tcBorders>
              <w:top w:val="single" w:color="auto" w:sz="4" w:space="0"/>
              <w:left w:val="single" w:color="auto" w:sz="4" w:space="0"/>
              <w:bottom w:val="single" w:color="auto" w:sz="4" w:space="0"/>
              <w:right w:val="single" w:color="auto" w:sz="4" w:space="0"/>
            </w:tcBorders>
            <w:shd w:val="clear" w:color="000000" w:fill="FFFFFF"/>
            <w:noWrap/>
            <w:vAlign w:val="center"/>
            <w:hideMark/>
          </w:tcPr>
          <w:p w:rsidRPr="00184002" w:rsidR="00024323" w:rsidP="00562EA4" w:rsidRDefault="00CC3C2E" w14:paraId="7F1A382A" w14:textId="2B9025B6">
            <w:pPr>
              <w:spacing w:after="0" w:line="240" w:lineRule="auto"/>
              <w:jc w:val="center"/>
              <w:rPr>
                <w:rFonts w:ascii="Calibri" w:hAnsi="Calibri" w:eastAsia="Times New Roman" w:cs="Times New Roman"/>
                <w:b/>
                <w:color w:val="000000"/>
                <w:sz w:val="20"/>
                <w:lang w:val="es-ES" w:eastAsia="es-ES"/>
              </w:rPr>
            </w:pPr>
            <w:r>
              <w:rPr>
                <w:rFonts w:ascii="Calibri" w:hAnsi="Calibri" w:eastAsia="Times New Roman" w:cs="Times New Roman"/>
                <w:b/>
                <w:color w:val="000000"/>
                <w:sz w:val="20"/>
                <w:lang w:val="es-ES" w:eastAsia="es-ES"/>
              </w:rPr>
              <w:t>US</w:t>
            </w:r>
            <w:r w:rsidR="0030728D">
              <w:rPr>
                <w:rFonts w:ascii="Calibri" w:hAnsi="Calibri" w:eastAsia="Times New Roman" w:cs="Times New Roman"/>
                <w:b/>
                <w:color w:val="000000"/>
                <w:sz w:val="20"/>
                <w:lang w:val="es-ES" w:eastAsia="es-ES"/>
              </w:rPr>
              <w:t>$</w:t>
            </w:r>
          </w:p>
        </w:tc>
      </w:tr>
      <w:tr w:rsidRPr="0078661C" w:rsidR="00024323" w:rsidTr="00076048" w14:paraId="5E56363E" w14:textId="77777777">
        <w:trPr>
          <w:trHeight w:val="656"/>
          <w:jc w:val="center"/>
        </w:trPr>
        <w:tc>
          <w:tcPr>
            <w:tcW w:w="2250" w:type="dxa"/>
            <w:tcBorders>
              <w:top w:val="single" w:color="auto" w:sz="4" w:space="0"/>
              <w:left w:val="single" w:color="auto" w:sz="4" w:space="0"/>
              <w:bottom w:val="single" w:color="auto" w:sz="4" w:space="0"/>
              <w:right w:val="single" w:color="auto" w:sz="4" w:space="0"/>
            </w:tcBorders>
            <w:shd w:val="clear" w:color="auto" w:fill="548DD4" w:themeFill="text2" w:themeFillTint="99"/>
            <w:noWrap/>
            <w:vAlign w:val="center"/>
            <w:hideMark/>
          </w:tcPr>
          <w:p w:rsidRPr="00E0381D" w:rsidR="00024323" w:rsidP="00562EA4" w:rsidRDefault="00024323" w14:paraId="3B4DCD57" w14:textId="77777777">
            <w:pPr>
              <w:spacing w:after="0" w:line="240" w:lineRule="auto"/>
              <w:jc w:val="center"/>
              <w:rPr>
                <w:rFonts w:ascii="Calibri" w:hAnsi="Calibri" w:eastAsia="Times New Roman" w:cs="Times New Roman"/>
                <w:b/>
                <w:bCs/>
                <w:color w:val="FFFFFF" w:themeColor="background1"/>
                <w:sz w:val="20"/>
                <w:lang w:val="es-ES" w:eastAsia="es-ES"/>
              </w:rPr>
            </w:pPr>
            <w:r w:rsidRPr="00E0381D">
              <w:rPr>
                <w:rFonts w:ascii="Calibri" w:hAnsi="Calibri" w:eastAsia="Times New Roman" w:cs="Times New Roman"/>
                <w:b/>
                <w:bCs/>
                <w:color w:val="FFFFFF" w:themeColor="background1"/>
                <w:sz w:val="20"/>
                <w:lang w:val="es-ES" w:eastAsia="es-ES"/>
              </w:rPr>
              <w:t>Ingreso promedio grupo de control</w:t>
            </w:r>
            <w:r w:rsidRPr="00E0381D">
              <w:rPr>
                <w:rFonts w:ascii="Calibri" w:hAnsi="Calibri" w:eastAsia="Times New Roman" w:cs="Times New Roman"/>
                <w:b/>
                <w:bCs/>
                <w:color w:val="FFFFFF" w:themeColor="background1"/>
                <w:sz w:val="20"/>
                <w:shd w:val="clear" w:color="auto" w:fill="548DD4" w:themeFill="text2" w:themeFillTint="99"/>
                <w:lang w:val="es-ES" w:eastAsia="es-ES"/>
              </w:rPr>
              <w:t xml:space="preserve"> </w:t>
            </w:r>
          </w:p>
        </w:tc>
        <w:tc>
          <w:tcPr>
            <w:tcW w:w="1694" w:type="dxa"/>
            <w:tcBorders>
              <w:top w:val="single" w:color="auto" w:sz="4" w:space="0"/>
              <w:left w:val="nil"/>
              <w:bottom w:val="single" w:color="auto" w:sz="4" w:space="0"/>
              <w:right w:val="single" w:color="auto" w:sz="4" w:space="0"/>
            </w:tcBorders>
            <w:shd w:val="clear" w:color="000000" w:fill="FFFFFF"/>
            <w:noWrap/>
            <w:vAlign w:val="center"/>
            <w:hideMark/>
          </w:tcPr>
          <w:p w:rsidRPr="00184002" w:rsidR="00024323" w:rsidP="00562EA4" w:rsidRDefault="00024323" w14:paraId="32CB64C3" w14:textId="77777777">
            <w:pPr>
              <w:spacing w:after="0" w:line="240" w:lineRule="auto"/>
              <w:jc w:val="center"/>
              <w:rPr>
                <w:rFonts w:ascii="Calibri" w:hAnsi="Calibri" w:eastAsia="Times New Roman" w:cs="Times New Roman"/>
                <w:color w:val="000000"/>
                <w:sz w:val="20"/>
                <w:lang w:val="es-ES" w:eastAsia="es-ES"/>
              </w:rPr>
            </w:pPr>
            <w:r w:rsidRPr="00184002">
              <w:rPr>
                <w:rFonts w:ascii="Calibri" w:hAnsi="Calibri" w:eastAsia="Times New Roman" w:cs="Times New Roman"/>
                <w:color w:val="000000"/>
                <w:sz w:val="20"/>
                <w:lang w:val="es-ES" w:eastAsia="es-ES"/>
              </w:rPr>
              <w:t>2.</w:t>
            </w:r>
            <w:r>
              <w:rPr>
                <w:rFonts w:ascii="Calibri" w:hAnsi="Calibri" w:eastAsia="Times New Roman" w:cs="Times New Roman"/>
                <w:color w:val="000000"/>
                <w:sz w:val="20"/>
                <w:lang w:val="es-ES" w:eastAsia="es-ES"/>
              </w:rPr>
              <w:t>224</w:t>
            </w:r>
          </w:p>
        </w:tc>
        <w:tc>
          <w:tcPr>
            <w:tcW w:w="1590" w:type="dxa"/>
            <w:tcBorders>
              <w:top w:val="single" w:color="auto" w:sz="4" w:space="0"/>
              <w:left w:val="single" w:color="auto" w:sz="4" w:space="0"/>
              <w:bottom w:val="single" w:color="auto" w:sz="4" w:space="0"/>
              <w:right w:val="single" w:color="auto" w:sz="4" w:space="0"/>
            </w:tcBorders>
            <w:shd w:val="clear" w:color="000000" w:fill="FFFFFF"/>
            <w:noWrap/>
            <w:vAlign w:val="center"/>
            <w:hideMark/>
          </w:tcPr>
          <w:p w:rsidRPr="00184002" w:rsidR="00024323" w:rsidP="00562EA4" w:rsidRDefault="00024323" w14:paraId="3FE564BB" w14:textId="77777777">
            <w:pPr>
              <w:spacing w:after="0" w:line="240" w:lineRule="auto"/>
              <w:jc w:val="center"/>
              <w:rPr>
                <w:rFonts w:ascii="Calibri" w:hAnsi="Calibri" w:eastAsia="Times New Roman" w:cs="Times New Roman"/>
                <w:color w:val="000000"/>
                <w:sz w:val="20"/>
                <w:lang w:val="es-ES" w:eastAsia="es-ES"/>
              </w:rPr>
            </w:pPr>
            <w:r w:rsidRPr="00184002">
              <w:rPr>
                <w:rFonts w:ascii="Calibri" w:hAnsi="Calibri" w:eastAsia="Times New Roman" w:cs="Times New Roman"/>
                <w:color w:val="000000"/>
                <w:sz w:val="20"/>
                <w:lang w:val="es-ES" w:eastAsia="es-ES"/>
              </w:rPr>
              <w:t>3</w:t>
            </w:r>
            <w:r>
              <w:rPr>
                <w:rFonts w:ascii="Calibri" w:hAnsi="Calibri" w:eastAsia="Times New Roman" w:cs="Times New Roman"/>
                <w:color w:val="000000"/>
                <w:sz w:val="20"/>
                <w:lang w:val="es-ES" w:eastAsia="es-ES"/>
              </w:rPr>
              <w:t>19,4</w:t>
            </w:r>
          </w:p>
        </w:tc>
      </w:tr>
    </w:tbl>
    <w:p w:rsidRPr="000369EB" w:rsidR="00076048" w:rsidP="00076048" w:rsidRDefault="00076048" w14:paraId="7D37815D" w14:textId="77777777">
      <w:pPr>
        <w:pStyle w:val="ListParagraph"/>
        <w:tabs>
          <w:tab w:val="left" w:pos="90"/>
          <w:tab w:val="left" w:pos="270"/>
        </w:tabs>
        <w:ind w:left="0"/>
        <w:jc w:val="both"/>
        <w:rPr>
          <w:rFonts w:ascii="Arial" w:hAnsi="Arial" w:cs="Arial"/>
          <w:lang w:val="es-ES"/>
        </w:rPr>
      </w:pPr>
    </w:p>
    <w:p w:rsidRPr="000369EB" w:rsidR="00024323" w:rsidP="00024323" w:rsidRDefault="00024323" w14:paraId="78FB0EAF" w14:textId="77777777">
      <w:pPr>
        <w:pStyle w:val="ListParagraph"/>
        <w:tabs>
          <w:tab w:val="left" w:pos="90"/>
          <w:tab w:val="left" w:pos="270"/>
        </w:tabs>
        <w:ind w:left="0"/>
        <w:jc w:val="both"/>
        <w:rPr>
          <w:rFonts w:ascii="Arial" w:hAnsi="Arial" w:cs="Arial"/>
          <w:lang w:val="es-ES"/>
        </w:rPr>
      </w:pPr>
    </w:p>
    <w:p w:rsidRPr="0078661C" w:rsidR="00667044" w:rsidP="00667044" w:rsidRDefault="00667044" w14:paraId="39733FFB" w14:textId="09473352">
      <w:pPr>
        <w:pStyle w:val="ListParagraph"/>
        <w:rPr>
          <w:rFonts w:ascii="Arial" w:hAnsi="Arial" w:cs="Arial"/>
          <w:lang w:val="es-ES"/>
        </w:rPr>
      </w:pPr>
    </w:p>
    <w:p w:rsidRPr="001822A8" w:rsidR="00E0720B" w:rsidP="00184002" w:rsidRDefault="00AC59A6" w14:paraId="156A58E7" w14:textId="66E2ACAA">
      <w:pPr>
        <w:pStyle w:val="ListParagraph"/>
        <w:numPr>
          <w:ilvl w:val="0"/>
          <w:numId w:val="8"/>
        </w:numPr>
        <w:ind w:left="0"/>
        <w:jc w:val="both"/>
        <w:rPr>
          <w:rFonts w:ascii="Arial" w:hAnsi="Arial" w:cs="Arial"/>
          <w:lang w:val="es-ES"/>
        </w:rPr>
      </w:pPr>
      <w:r w:rsidRPr="001822A8">
        <w:rPr>
          <w:rFonts w:ascii="Arial" w:hAnsi="Arial" w:cs="Arial"/>
          <w:lang w:val="es-ES"/>
        </w:rPr>
        <w:t xml:space="preserve">Respecto al número de beneficiarios </w:t>
      </w:r>
      <w:r w:rsidRPr="001822A8" w:rsidR="000369EB">
        <w:rPr>
          <w:rFonts w:ascii="Arial" w:hAnsi="Arial" w:cs="Arial"/>
          <w:lang w:val="es-ES"/>
        </w:rPr>
        <w:t>del programa se consideran a los 19</w:t>
      </w:r>
      <w:r w:rsidRPr="001822A8" w:rsidR="00691DDB">
        <w:rPr>
          <w:rFonts w:ascii="Arial" w:hAnsi="Arial" w:cs="Arial"/>
          <w:lang w:val="es-ES"/>
        </w:rPr>
        <w:t>.</w:t>
      </w:r>
      <w:r w:rsidRPr="001822A8" w:rsidR="000369EB">
        <w:rPr>
          <w:rFonts w:ascii="Arial" w:hAnsi="Arial" w:cs="Arial"/>
          <w:lang w:val="es-ES"/>
        </w:rPr>
        <w:t>024</w:t>
      </w:r>
      <w:r w:rsidRPr="001822A8" w:rsidR="00691DDB">
        <w:rPr>
          <w:rFonts w:ascii="Arial" w:hAnsi="Arial" w:cs="Arial"/>
          <w:lang w:val="es-ES"/>
        </w:rPr>
        <w:t xml:space="preserve"> </w:t>
      </w:r>
      <w:r w:rsidRPr="001822A8" w:rsidR="00582F4D">
        <w:rPr>
          <w:rFonts w:ascii="Arial" w:hAnsi="Arial" w:cs="Arial"/>
          <w:lang w:val="es-ES"/>
        </w:rPr>
        <w:t xml:space="preserve">beneficiarios </w:t>
      </w:r>
      <w:r w:rsidRPr="001822A8" w:rsidR="000369EB">
        <w:rPr>
          <w:rFonts w:ascii="Arial" w:hAnsi="Arial" w:cs="Arial"/>
          <w:lang w:val="es-ES"/>
        </w:rPr>
        <w:t xml:space="preserve">del Componente 2 que fueron intermediados mediante capacitación in situ. </w:t>
      </w:r>
      <w:r w:rsidRPr="001822A8" w:rsidR="00E0720B">
        <w:rPr>
          <w:rFonts w:ascii="Arial" w:hAnsi="Arial" w:cs="Arial"/>
          <w:lang w:val="es-ES"/>
        </w:rPr>
        <w:t xml:space="preserve">Datos desagregados por año del número de </w:t>
      </w:r>
      <w:r w:rsidRPr="001822A8" w:rsidR="000369EB">
        <w:rPr>
          <w:rFonts w:ascii="Arial" w:hAnsi="Arial" w:cs="Arial"/>
          <w:lang w:val="es-ES"/>
        </w:rPr>
        <w:t xml:space="preserve">capacitaciones </w:t>
      </w:r>
      <w:r w:rsidRPr="001822A8" w:rsidR="00E0720B">
        <w:rPr>
          <w:rFonts w:ascii="Arial" w:hAnsi="Arial" w:cs="Arial"/>
          <w:lang w:val="es-ES"/>
        </w:rPr>
        <w:t>se presentan en la Tabla A1 en Anexos.</w:t>
      </w:r>
      <w:r w:rsidRPr="001822A8" w:rsidR="00582F4D">
        <w:rPr>
          <w:rFonts w:ascii="Arial" w:hAnsi="Arial" w:cs="Arial"/>
          <w:lang w:val="es-ES"/>
        </w:rPr>
        <w:t xml:space="preserve"> </w:t>
      </w:r>
    </w:p>
    <w:p w:rsidRPr="00076048" w:rsidR="00076048" w:rsidP="00076048" w:rsidRDefault="00076048" w14:paraId="21B2DFE6" w14:textId="77777777">
      <w:pPr>
        <w:pStyle w:val="ListParagraph"/>
        <w:rPr>
          <w:rFonts w:ascii="Arial" w:hAnsi="Arial" w:cs="Arial"/>
          <w:b/>
          <w:lang w:val="es-ES"/>
        </w:rPr>
      </w:pPr>
    </w:p>
    <w:p w:rsidR="00076048" w:rsidRDefault="00076048" w14:paraId="0B092D32" w14:textId="77777777">
      <w:pPr>
        <w:rPr>
          <w:rFonts w:ascii="Arial" w:hAnsi="Arial" w:cs="Arial"/>
          <w:b/>
          <w:lang w:val="es-ES"/>
        </w:rPr>
      </w:pPr>
      <w:r>
        <w:rPr>
          <w:rFonts w:ascii="Arial" w:hAnsi="Arial" w:cs="Arial"/>
          <w:b/>
          <w:lang w:val="es-ES"/>
        </w:rPr>
        <w:br w:type="page"/>
      </w:r>
    </w:p>
    <w:p w:rsidR="00076048" w:rsidP="00076048" w:rsidRDefault="00076048" w14:paraId="664440E9" w14:textId="2C2C4A79">
      <w:pPr>
        <w:pStyle w:val="ListParagraph"/>
        <w:jc w:val="center"/>
        <w:rPr>
          <w:rFonts w:ascii="Arial" w:hAnsi="Arial" w:cs="Arial"/>
          <w:b/>
          <w:lang w:val="es-ES"/>
        </w:rPr>
      </w:pPr>
      <w:r w:rsidRPr="00076048">
        <w:rPr>
          <w:rFonts w:ascii="Arial" w:hAnsi="Arial" w:cs="Arial"/>
          <w:b/>
          <w:lang w:val="es-ES"/>
        </w:rPr>
        <w:lastRenderedPageBreak/>
        <w:t xml:space="preserve">Tabla </w:t>
      </w:r>
      <w:r>
        <w:rPr>
          <w:rFonts w:ascii="Arial" w:hAnsi="Arial" w:cs="Arial"/>
          <w:b/>
          <w:lang w:val="es-ES"/>
        </w:rPr>
        <w:t>2</w:t>
      </w:r>
      <w:r w:rsidRPr="00076048">
        <w:rPr>
          <w:rFonts w:ascii="Arial" w:hAnsi="Arial" w:cs="Arial"/>
          <w:b/>
          <w:lang w:val="es-ES"/>
        </w:rPr>
        <w:t xml:space="preserve">: </w:t>
      </w:r>
      <w:r w:rsidR="005B0724">
        <w:rPr>
          <w:rFonts w:ascii="Arial" w:hAnsi="Arial" w:cs="Arial"/>
          <w:b/>
          <w:lang w:val="es-ES"/>
        </w:rPr>
        <w:t xml:space="preserve">Variables </w:t>
      </w:r>
      <w:r>
        <w:rPr>
          <w:rFonts w:ascii="Arial" w:hAnsi="Arial" w:cs="Arial"/>
          <w:b/>
          <w:lang w:val="es-ES"/>
        </w:rPr>
        <w:t>identificad</w:t>
      </w:r>
      <w:r w:rsidR="005B0724">
        <w:rPr>
          <w:rFonts w:ascii="Arial" w:hAnsi="Arial" w:cs="Arial"/>
          <w:b/>
          <w:lang w:val="es-ES"/>
        </w:rPr>
        <w:t>a</w:t>
      </w:r>
      <w:r>
        <w:rPr>
          <w:rFonts w:ascii="Arial" w:hAnsi="Arial" w:cs="Arial"/>
          <w:b/>
          <w:lang w:val="es-ES"/>
        </w:rPr>
        <w:t xml:space="preserve">s </w:t>
      </w:r>
      <w:r w:rsidR="005B0724">
        <w:rPr>
          <w:rFonts w:ascii="Arial" w:hAnsi="Arial" w:cs="Arial"/>
          <w:b/>
          <w:lang w:val="es-ES"/>
        </w:rPr>
        <w:t>para el cálculo de beneficios</w:t>
      </w:r>
    </w:p>
    <w:tbl>
      <w:tblPr>
        <w:tblW w:w="5355" w:type="dxa"/>
        <w:jc w:val="center"/>
        <w:tblLook w:val="04A0" w:firstRow="1" w:lastRow="0" w:firstColumn="1" w:lastColumn="0" w:noHBand="0" w:noVBand="1"/>
      </w:tblPr>
      <w:tblGrid>
        <w:gridCol w:w="2670"/>
        <w:gridCol w:w="2685"/>
      </w:tblGrid>
      <w:tr w:rsidRPr="00076048" w:rsidR="00076048" w:rsidTr="00076048" w14:paraId="3079D88A" w14:textId="77777777">
        <w:trPr>
          <w:trHeight w:val="300"/>
          <w:jc w:val="center"/>
        </w:trPr>
        <w:tc>
          <w:tcPr>
            <w:tcW w:w="2670" w:type="dxa"/>
            <w:tcBorders>
              <w:top w:val="nil"/>
              <w:left w:val="nil"/>
              <w:bottom w:val="nil"/>
              <w:right w:val="nil"/>
            </w:tcBorders>
            <w:shd w:val="clear" w:color="000000" w:fill="FFFFFF"/>
            <w:noWrap/>
            <w:vAlign w:val="center"/>
            <w:hideMark/>
          </w:tcPr>
          <w:p w:rsidRPr="00076048" w:rsidR="00076048" w:rsidP="00076048" w:rsidRDefault="00076048" w14:paraId="3EECF615" w14:textId="77777777">
            <w:pPr>
              <w:spacing w:after="0" w:line="240" w:lineRule="auto"/>
              <w:rPr>
                <w:rFonts w:ascii="Calibri" w:hAnsi="Calibri" w:eastAsia="Times New Roman" w:cs="Calibri"/>
                <w:color w:val="000000"/>
                <w:sz w:val="20"/>
                <w:szCs w:val="20"/>
                <w:lang w:val="es-ES_tradnl"/>
              </w:rPr>
            </w:pPr>
            <w:r w:rsidRPr="00076048">
              <w:rPr>
                <w:rFonts w:ascii="Calibri" w:hAnsi="Calibri" w:eastAsia="Times New Roman" w:cs="Calibri"/>
                <w:color w:val="000000"/>
                <w:sz w:val="20"/>
                <w:szCs w:val="20"/>
                <w:lang w:val="es-ES"/>
              </w:rPr>
              <w:t> </w:t>
            </w:r>
          </w:p>
        </w:tc>
        <w:tc>
          <w:tcPr>
            <w:tcW w:w="2685" w:type="dxa"/>
            <w:tcBorders>
              <w:top w:val="single" w:color="auto" w:sz="8" w:space="0"/>
              <w:left w:val="single" w:color="auto" w:sz="8" w:space="0"/>
              <w:bottom w:val="single" w:color="auto" w:sz="8" w:space="0"/>
              <w:right w:val="single" w:color="auto" w:sz="8" w:space="0"/>
            </w:tcBorders>
            <w:shd w:val="clear" w:color="000000" w:fill="FFFFFF"/>
            <w:noWrap/>
            <w:vAlign w:val="center"/>
            <w:hideMark/>
          </w:tcPr>
          <w:p w:rsidRPr="00076048" w:rsidR="00076048" w:rsidP="00076048" w:rsidRDefault="00076048" w14:paraId="23A9499D" w14:textId="77777777">
            <w:pPr>
              <w:spacing w:after="0" w:line="240" w:lineRule="auto"/>
              <w:jc w:val="center"/>
              <w:rPr>
                <w:rFonts w:ascii="Calibri" w:hAnsi="Calibri" w:eastAsia="Times New Roman" w:cs="Calibri"/>
                <w:b/>
                <w:bCs/>
                <w:color w:val="000000"/>
                <w:sz w:val="20"/>
                <w:szCs w:val="20"/>
              </w:rPr>
            </w:pPr>
            <w:r w:rsidRPr="00076048">
              <w:rPr>
                <w:rFonts w:ascii="Calibri" w:hAnsi="Calibri" w:eastAsia="Times New Roman" w:cs="Calibri"/>
                <w:b/>
                <w:bCs/>
                <w:color w:val="000000"/>
                <w:sz w:val="20"/>
                <w:szCs w:val="20"/>
                <w:lang w:val="es-ES"/>
              </w:rPr>
              <w:t>Beneficios del programa</w:t>
            </w:r>
          </w:p>
        </w:tc>
      </w:tr>
      <w:tr w:rsidRPr="00076048" w:rsidR="00076048" w:rsidTr="00076048" w14:paraId="30B5F4E2" w14:textId="77777777">
        <w:trPr>
          <w:trHeight w:val="300"/>
          <w:jc w:val="center"/>
        </w:trPr>
        <w:tc>
          <w:tcPr>
            <w:tcW w:w="2670" w:type="dxa"/>
            <w:tcBorders>
              <w:top w:val="single" w:color="auto" w:sz="8" w:space="0"/>
              <w:left w:val="single" w:color="auto" w:sz="8" w:space="0"/>
              <w:bottom w:val="single" w:color="auto" w:sz="8" w:space="0"/>
              <w:right w:val="single" w:color="auto" w:sz="8" w:space="0"/>
            </w:tcBorders>
            <w:shd w:val="clear" w:color="000000" w:fill="548DD4"/>
            <w:noWrap/>
            <w:vAlign w:val="center"/>
            <w:hideMark/>
          </w:tcPr>
          <w:p w:rsidRPr="00076048" w:rsidR="00076048" w:rsidP="00076048" w:rsidRDefault="00076048" w14:paraId="4D74EB11" w14:textId="77777777">
            <w:pPr>
              <w:spacing w:after="0" w:line="240" w:lineRule="auto"/>
              <w:rPr>
                <w:rFonts w:ascii="Calibri" w:hAnsi="Calibri" w:eastAsia="Times New Roman" w:cs="Calibri"/>
                <w:b/>
                <w:bCs/>
                <w:color w:val="FFFFFF"/>
                <w:sz w:val="20"/>
                <w:szCs w:val="20"/>
                <w:lang w:val="es-ES_tradnl"/>
              </w:rPr>
            </w:pPr>
            <w:r w:rsidRPr="00076048">
              <w:rPr>
                <w:rFonts w:ascii="Calibri" w:hAnsi="Calibri" w:eastAsia="Times New Roman" w:cs="Calibri"/>
                <w:b/>
                <w:bCs/>
                <w:color w:val="FFFFFF"/>
                <w:sz w:val="20"/>
                <w:szCs w:val="20"/>
                <w:lang w:val="es-ES_tradnl"/>
              </w:rPr>
              <w:t>Acceso a Empleo</w:t>
            </w:r>
          </w:p>
        </w:tc>
        <w:tc>
          <w:tcPr>
            <w:tcW w:w="2685" w:type="dxa"/>
            <w:tcBorders>
              <w:top w:val="nil"/>
              <w:left w:val="nil"/>
              <w:bottom w:val="single" w:color="auto" w:sz="8" w:space="0"/>
              <w:right w:val="single" w:color="auto" w:sz="8" w:space="0"/>
            </w:tcBorders>
            <w:shd w:val="clear" w:color="000000" w:fill="FFFFFF"/>
            <w:noWrap/>
            <w:vAlign w:val="center"/>
            <w:hideMark/>
          </w:tcPr>
          <w:p w:rsidRPr="00076048" w:rsidR="00076048" w:rsidP="00076048" w:rsidRDefault="00076048" w14:paraId="196AC937" w14:textId="6EF4A37F">
            <w:pPr>
              <w:spacing w:after="0" w:line="240" w:lineRule="auto"/>
              <w:jc w:val="center"/>
              <w:rPr>
                <w:rFonts w:ascii="Calibri" w:hAnsi="Calibri" w:eastAsia="Times New Roman" w:cs="Calibri"/>
                <w:color w:val="000000"/>
                <w:sz w:val="20"/>
                <w:szCs w:val="20"/>
              </w:rPr>
            </w:pPr>
            <w:r w:rsidRPr="00076048">
              <w:rPr>
                <w:rFonts w:ascii="Calibri" w:hAnsi="Calibri" w:eastAsia="Times New Roman" w:cs="Calibri"/>
                <w:color w:val="000000"/>
                <w:sz w:val="20"/>
                <w:szCs w:val="20"/>
                <w:lang w:val="es-ES"/>
              </w:rPr>
              <w:t>8,</w:t>
            </w:r>
            <w:r w:rsidR="00DB1C71">
              <w:rPr>
                <w:rFonts w:ascii="Calibri" w:hAnsi="Calibri" w:eastAsia="Times New Roman" w:cs="Calibri"/>
                <w:color w:val="000000"/>
                <w:sz w:val="20"/>
                <w:szCs w:val="20"/>
                <w:lang w:val="es-ES"/>
              </w:rPr>
              <w:t>40</w:t>
            </w:r>
            <w:r w:rsidRPr="00076048">
              <w:rPr>
                <w:rFonts w:ascii="Calibri" w:hAnsi="Calibri" w:eastAsia="Times New Roman" w:cs="Calibri"/>
                <w:color w:val="000000"/>
                <w:sz w:val="20"/>
                <w:szCs w:val="20"/>
                <w:lang w:val="es-ES"/>
              </w:rPr>
              <w:t xml:space="preserve"> pp. </w:t>
            </w:r>
          </w:p>
        </w:tc>
      </w:tr>
      <w:tr w:rsidRPr="00076048" w:rsidR="00076048" w:rsidTr="00076048" w14:paraId="4B72DFA0" w14:textId="77777777">
        <w:trPr>
          <w:trHeight w:val="300"/>
          <w:jc w:val="center"/>
        </w:trPr>
        <w:tc>
          <w:tcPr>
            <w:tcW w:w="2670" w:type="dxa"/>
            <w:tcBorders>
              <w:top w:val="nil"/>
              <w:left w:val="single" w:color="auto" w:sz="8" w:space="0"/>
              <w:bottom w:val="single" w:color="auto" w:sz="8" w:space="0"/>
              <w:right w:val="single" w:color="auto" w:sz="8" w:space="0"/>
            </w:tcBorders>
            <w:shd w:val="clear" w:color="000000" w:fill="548DD4"/>
            <w:noWrap/>
            <w:vAlign w:val="center"/>
            <w:hideMark/>
          </w:tcPr>
          <w:p w:rsidRPr="00076048" w:rsidR="00076048" w:rsidP="00076048" w:rsidRDefault="00076048" w14:paraId="4F805AE4" w14:textId="77777777">
            <w:pPr>
              <w:spacing w:after="0" w:line="240" w:lineRule="auto"/>
              <w:rPr>
                <w:rFonts w:ascii="Calibri" w:hAnsi="Calibri" w:eastAsia="Times New Roman" w:cs="Calibri"/>
                <w:b/>
                <w:bCs/>
                <w:color w:val="FFFFFF"/>
                <w:sz w:val="20"/>
                <w:szCs w:val="20"/>
                <w:lang w:val="es-ES_tradnl"/>
              </w:rPr>
            </w:pPr>
            <w:r w:rsidRPr="00076048">
              <w:rPr>
                <w:rFonts w:ascii="Calibri" w:hAnsi="Calibri" w:eastAsia="Times New Roman" w:cs="Calibri"/>
                <w:b/>
                <w:bCs/>
                <w:color w:val="FFFFFF"/>
                <w:sz w:val="20"/>
                <w:szCs w:val="20"/>
                <w:lang w:val="es-ES_tradnl"/>
              </w:rPr>
              <w:t>Ingresos Laborales</w:t>
            </w:r>
          </w:p>
        </w:tc>
        <w:tc>
          <w:tcPr>
            <w:tcW w:w="2685" w:type="dxa"/>
            <w:tcBorders>
              <w:top w:val="nil"/>
              <w:left w:val="nil"/>
              <w:bottom w:val="single" w:color="auto" w:sz="8" w:space="0"/>
              <w:right w:val="single" w:color="auto" w:sz="8" w:space="0"/>
            </w:tcBorders>
            <w:shd w:val="clear" w:color="000000" w:fill="FFFFFF"/>
            <w:noWrap/>
            <w:vAlign w:val="center"/>
            <w:hideMark/>
          </w:tcPr>
          <w:p w:rsidRPr="00076048" w:rsidR="00076048" w:rsidP="00076048" w:rsidRDefault="00076048" w14:paraId="0A2BC009" w14:textId="1E63F432">
            <w:pPr>
              <w:spacing w:after="0" w:line="240" w:lineRule="auto"/>
              <w:jc w:val="center"/>
              <w:rPr>
                <w:rFonts w:ascii="Calibri" w:hAnsi="Calibri" w:eastAsia="Times New Roman" w:cs="Calibri"/>
                <w:color w:val="000000"/>
                <w:sz w:val="20"/>
                <w:szCs w:val="20"/>
              </w:rPr>
            </w:pPr>
            <w:r w:rsidRPr="00076048">
              <w:rPr>
                <w:rFonts w:ascii="Calibri" w:hAnsi="Calibri" w:eastAsia="Times New Roman" w:cs="Calibri"/>
                <w:color w:val="000000"/>
                <w:sz w:val="20"/>
                <w:szCs w:val="20"/>
              </w:rPr>
              <w:t>8,7</w:t>
            </w:r>
            <w:r w:rsidR="00DB1C71">
              <w:rPr>
                <w:rFonts w:ascii="Calibri" w:hAnsi="Calibri" w:eastAsia="Times New Roman" w:cs="Calibri"/>
                <w:color w:val="000000"/>
                <w:sz w:val="20"/>
                <w:szCs w:val="20"/>
              </w:rPr>
              <w:t xml:space="preserve">7 </w:t>
            </w:r>
            <w:r w:rsidRPr="00076048">
              <w:rPr>
                <w:rFonts w:ascii="Calibri" w:hAnsi="Calibri" w:eastAsia="Times New Roman" w:cs="Calibri"/>
                <w:color w:val="000000"/>
                <w:sz w:val="20"/>
                <w:szCs w:val="20"/>
              </w:rPr>
              <w:t>%</w:t>
            </w:r>
          </w:p>
        </w:tc>
      </w:tr>
      <w:tr w:rsidRPr="00076048" w:rsidR="00076048" w:rsidTr="00076048" w14:paraId="73EC666D" w14:textId="77777777">
        <w:trPr>
          <w:trHeight w:val="300"/>
          <w:jc w:val="center"/>
        </w:trPr>
        <w:tc>
          <w:tcPr>
            <w:tcW w:w="2670" w:type="dxa"/>
            <w:tcBorders>
              <w:top w:val="nil"/>
              <w:left w:val="single" w:color="auto" w:sz="8" w:space="0"/>
              <w:bottom w:val="single" w:color="auto" w:sz="8" w:space="0"/>
              <w:right w:val="single" w:color="auto" w:sz="8" w:space="0"/>
            </w:tcBorders>
            <w:shd w:val="clear" w:color="000000" w:fill="548DD4"/>
            <w:noWrap/>
            <w:vAlign w:val="center"/>
            <w:hideMark/>
          </w:tcPr>
          <w:p w:rsidRPr="00076048" w:rsidR="00076048" w:rsidP="00076048" w:rsidRDefault="00076048" w14:paraId="10F9EC79" w14:textId="50AB6D75">
            <w:pPr>
              <w:spacing w:after="0" w:line="240" w:lineRule="auto"/>
              <w:rPr>
                <w:rFonts w:ascii="Calibri" w:hAnsi="Calibri" w:eastAsia="Times New Roman" w:cs="Calibri"/>
                <w:b/>
                <w:bCs/>
                <w:color w:val="FFFFFF"/>
                <w:sz w:val="20"/>
                <w:szCs w:val="20"/>
                <w:lang w:val="es-ES_tradnl"/>
              </w:rPr>
            </w:pPr>
            <w:r w:rsidRPr="00076048">
              <w:rPr>
                <w:rFonts w:ascii="Calibri" w:hAnsi="Calibri" w:eastAsia="Times New Roman" w:cs="Calibri"/>
                <w:b/>
                <w:bCs/>
                <w:color w:val="FFFFFF"/>
                <w:sz w:val="20"/>
                <w:szCs w:val="20"/>
                <w:lang w:val="es-ES_tradnl"/>
              </w:rPr>
              <w:t>Tiempo de impacto</w:t>
            </w:r>
            <w:r>
              <w:rPr>
                <w:rFonts w:ascii="Calibri" w:hAnsi="Calibri" w:eastAsia="Times New Roman" w:cs="Calibri"/>
                <w:b/>
                <w:bCs/>
                <w:color w:val="FFFFFF"/>
                <w:sz w:val="20"/>
                <w:szCs w:val="20"/>
                <w:lang w:val="es-ES_tradnl"/>
              </w:rPr>
              <w:t xml:space="preserve"> (años)</w:t>
            </w:r>
          </w:p>
        </w:tc>
        <w:tc>
          <w:tcPr>
            <w:tcW w:w="2685" w:type="dxa"/>
            <w:tcBorders>
              <w:top w:val="nil"/>
              <w:left w:val="nil"/>
              <w:bottom w:val="single" w:color="auto" w:sz="8" w:space="0"/>
              <w:right w:val="single" w:color="auto" w:sz="8" w:space="0"/>
            </w:tcBorders>
            <w:shd w:val="clear" w:color="000000" w:fill="FFFFFF"/>
            <w:noWrap/>
            <w:vAlign w:val="center"/>
            <w:hideMark/>
          </w:tcPr>
          <w:p w:rsidRPr="00076048" w:rsidR="00076048" w:rsidP="00076048" w:rsidRDefault="00076048" w14:paraId="5EF18E49" w14:textId="5B930F92">
            <w:pPr>
              <w:spacing w:after="0" w:line="240" w:lineRule="auto"/>
              <w:jc w:val="center"/>
              <w:rPr>
                <w:rFonts w:ascii="Calibri" w:hAnsi="Calibri" w:eastAsia="Times New Roman" w:cs="Calibri"/>
                <w:color w:val="000000"/>
                <w:sz w:val="20"/>
                <w:szCs w:val="20"/>
              </w:rPr>
            </w:pPr>
            <w:r w:rsidRPr="00076048">
              <w:rPr>
                <w:rFonts w:ascii="Calibri" w:hAnsi="Calibri" w:eastAsia="Times New Roman" w:cs="Calibri"/>
                <w:color w:val="000000"/>
                <w:sz w:val="20"/>
                <w:szCs w:val="20"/>
              </w:rPr>
              <w:t xml:space="preserve">3 </w:t>
            </w:r>
          </w:p>
        </w:tc>
      </w:tr>
      <w:tr w:rsidRPr="00076048" w:rsidR="00076048" w:rsidTr="00076048" w14:paraId="0C0F3DB2" w14:textId="77777777">
        <w:trPr>
          <w:trHeight w:val="300"/>
          <w:jc w:val="center"/>
        </w:trPr>
        <w:tc>
          <w:tcPr>
            <w:tcW w:w="2670" w:type="dxa"/>
            <w:tcBorders>
              <w:top w:val="nil"/>
              <w:left w:val="single" w:color="auto" w:sz="8" w:space="0"/>
              <w:bottom w:val="single" w:color="auto" w:sz="8" w:space="0"/>
              <w:right w:val="single" w:color="auto" w:sz="8" w:space="0"/>
            </w:tcBorders>
            <w:shd w:val="clear" w:color="000000" w:fill="548DD4"/>
            <w:noWrap/>
            <w:vAlign w:val="center"/>
            <w:hideMark/>
          </w:tcPr>
          <w:p w:rsidRPr="00076048" w:rsidR="00076048" w:rsidP="00076048" w:rsidRDefault="00076048" w14:paraId="4F22509E" w14:textId="6CE8C996">
            <w:pPr>
              <w:spacing w:after="0" w:line="240" w:lineRule="auto"/>
              <w:rPr>
                <w:rFonts w:ascii="Calibri" w:hAnsi="Calibri" w:eastAsia="Times New Roman" w:cs="Calibri"/>
                <w:b/>
                <w:bCs/>
                <w:color w:val="FFFFFF"/>
                <w:sz w:val="20"/>
                <w:szCs w:val="20"/>
                <w:lang w:val="es-ES_tradnl"/>
              </w:rPr>
            </w:pPr>
            <w:r w:rsidRPr="00076048">
              <w:rPr>
                <w:rFonts w:ascii="Calibri" w:hAnsi="Calibri" w:eastAsia="Times New Roman" w:cs="Calibri"/>
                <w:b/>
                <w:bCs/>
                <w:color w:val="FFFFFF"/>
                <w:sz w:val="20"/>
                <w:szCs w:val="20"/>
                <w:lang w:val="es-ES_tradnl"/>
              </w:rPr>
              <w:t>Beneficiarios</w:t>
            </w:r>
            <w:r>
              <w:rPr>
                <w:rFonts w:ascii="Calibri" w:hAnsi="Calibri" w:eastAsia="Times New Roman" w:cs="Calibri"/>
                <w:b/>
                <w:bCs/>
                <w:color w:val="FFFFFF"/>
                <w:sz w:val="20"/>
                <w:szCs w:val="20"/>
                <w:lang w:val="es-ES_tradnl"/>
              </w:rPr>
              <w:t xml:space="preserve"> (Número)</w:t>
            </w:r>
          </w:p>
        </w:tc>
        <w:tc>
          <w:tcPr>
            <w:tcW w:w="2685" w:type="dxa"/>
            <w:tcBorders>
              <w:top w:val="nil"/>
              <w:left w:val="nil"/>
              <w:bottom w:val="single" w:color="auto" w:sz="8" w:space="0"/>
              <w:right w:val="single" w:color="auto" w:sz="8" w:space="0"/>
            </w:tcBorders>
            <w:shd w:val="clear" w:color="000000" w:fill="FFFFFF"/>
            <w:noWrap/>
            <w:vAlign w:val="center"/>
            <w:hideMark/>
          </w:tcPr>
          <w:p w:rsidRPr="00076048" w:rsidR="00076048" w:rsidP="00076048" w:rsidRDefault="00076048" w14:paraId="727BA253" w14:textId="33C94DB9">
            <w:pPr>
              <w:spacing w:after="0" w:line="240" w:lineRule="auto"/>
              <w:jc w:val="center"/>
              <w:rPr>
                <w:rFonts w:ascii="Calibri" w:hAnsi="Calibri" w:eastAsia="Times New Roman" w:cs="Calibri"/>
                <w:color w:val="000000"/>
                <w:sz w:val="20"/>
                <w:szCs w:val="20"/>
              </w:rPr>
            </w:pPr>
            <w:r w:rsidRPr="00076048">
              <w:rPr>
                <w:rFonts w:ascii="Calibri" w:hAnsi="Calibri" w:eastAsia="Times New Roman" w:cs="Calibri"/>
                <w:color w:val="000000"/>
                <w:sz w:val="20"/>
                <w:szCs w:val="20"/>
              </w:rPr>
              <w:t>19</w:t>
            </w:r>
            <w:r>
              <w:rPr>
                <w:rFonts w:ascii="Calibri" w:hAnsi="Calibri" w:eastAsia="Times New Roman" w:cs="Calibri"/>
                <w:color w:val="000000"/>
                <w:sz w:val="20"/>
                <w:szCs w:val="20"/>
              </w:rPr>
              <w:t>.</w:t>
            </w:r>
            <w:r w:rsidRPr="00076048">
              <w:rPr>
                <w:rFonts w:ascii="Calibri" w:hAnsi="Calibri" w:eastAsia="Times New Roman" w:cs="Calibri"/>
                <w:color w:val="000000"/>
                <w:sz w:val="20"/>
                <w:szCs w:val="20"/>
              </w:rPr>
              <w:t>024</w:t>
            </w:r>
          </w:p>
        </w:tc>
      </w:tr>
    </w:tbl>
    <w:p w:rsidR="00076048" w:rsidP="00076048" w:rsidRDefault="00076048" w14:paraId="0ECF153A" w14:textId="396E194A">
      <w:pPr>
        <w:pStyle w:val="ListParagraph"/>
        <w:jc w:val="center"/>
        <w:rPr>
          <w:rFonts w:ascii="Arial" w:hAnsi="Arial" w:cs="Arial"/>
          <w:b/>
          <w:lang w:val="es-ES"/>
        </w:rPr>
      </w:pPr>
    </w:p>
    <w:p w:rsidRPr="00076048" w:rsidR="00076048" w:rsidP="00076048" w:rsidRDefault="00076048" w14:paraId="4FCD0B74" w14:textId="77777777">
      <w:pPr>
        <w:pStyle w:val="ListParagraph"/>
        <w:jc w:val="center"/>
        <w:rPr>
          <w:rFonts w:ascii="Arial" w:hAnsi="Arial" w:cs="Arial"/>
          <w:b/>
          <w:lang w:val="es-ES"/>
        </w:rPr>
      </w:pPr>
    </w:p>
    <w:p w:rsidRPr="0078661C" w:rsidR="0002042F" w:rsidP="0002042F" w:rsidRDefault="0002042F" w14:paraId="5C9CBF7C" w14:textId="77777777">
      <w:pPr>
        <w:pStyle w:val="ListParagraph"/>
        <w:numPr>
          <w:ilvl w:val="0"/>
          <w:numId w:val="7"/>
        </w:numPr>
        <w:spacing w:before="120" w:after="0"/>
        <w:ind w:left="0"/>
        <w:jc w:val="both"/>
        <w:rPr>
          <w:rFonts w:ascii="Arial" w:hAnsi="Arial" w:cs="Arial"/>
          <w:b/>
          <w:lang w:val="es-ES"/>
        </w:rPr>
      </w:pPr>
      <w:r w:rsidRPr="0078661C">
        <w:rPr>
          <w:rFonts w:ascii="Arial" w:hAnsi="Arial" w:cs="Arial"/>
          <w:b/>
          <w:lang w:val="es-ES"/>
        </w:rPr>
        <w:t>Costos Económicos</w:t>
      </w:r>
    </w:p>
    <w:p w:rsidRPr="0078661C" w:rsidR="00996CED" w:rsidP="00996CED" w:rsidRDefault="00996CED" w14:paraId="046ACE85" w14:textId="77777777">
      <w:pPr>
        <w:widowControl w:val="0"/>
        <w:autoSpaceDE w:val="0"/>
        <w:autoSpaceDN w:val="0"/>
        <w:adjustRightInd w:val="0"/>
        <w:spacing w:after="0" w:line="360" w:lineRule="auto"/>
        <w:jc w:val="both"/>
        <w:rPr>
          <w:rFonts w:ascii="Arial" w:hAnsi="Arial" w:cs="Arial"/>
          <w:color w:val="000000"/>
          <w:lang w:val="es-ES"/>
        </w:rPr>
      </w:pPr>
    </w:p>
    <w:p w:rsidR="000A4AD4" w:rsidP="000A4AD4" w:rsidRDefault="00E053DD" w14:paraId="108168F6" w14:textId="17710DBC">
      <w:pPr>
        <w:pStyle w:val="ListParagraph"/>
        <w:numPr>
          <w:ilvl w:val="0"/>
          <w:numId w:val="8"/>
        </w:numPr>
        <w:autoSpaceDE w:val="0"/>
        <w:autoSpaceDN w:val="0"/>
        <w:adjustRightInd w:val="0"/>
        <w:spacing w:after="0"/>
        <w:ind w:left="0"/>
        <w:jc w:val="both"/>
        <w:rPr>
          <w:rFonts w:ascii="Arial" w:hAnsi="Arial" w:cs="Arial"/>
          <w:lang w:val="es-ES"/>
        </w:rPr>
      </w:pPr>
      <w:r w:rsidRPr="000A4AD4">
        <w:rPr>
          <w:rFonts w:ascii="Arial" w:hAnsi="Arial" w:cs="Arial"/>
          <w:lang w:val="es-ES"/>
        </w:rPr>
        <w:t xml:space="preserve">Para el análisis de costos del programa se </w:t>
      </w:r>
      <w:r w:rsidRPr="000A4AD4" w:rsidR="00E81952">
        <w:rPr>
          <w:rFonts w:ascii="Arial" w:hAnsi="Arial" w:cs="Arial"/>
          <w:lang w:val="es-ES"/>
        </w:rPr>
        <w:t>considerarán</w:t>
      </w:r>
      <w:r w:rsidRPr="000A4AD4">
        <w:rPr>
          <w:rFonts w:ascii="Arial" w:hAnsi="Arial" w:cs="Arial"/>
          <w:lang w:val="es-ES"/>
        </w:rPr>
        <w:t xml:space="preserve"> los costos directos </w:t>
      </w:r>
      <w:r w:rsidRPr="000A4AD4" w:rsidR="00AF2983">
        <w:rPr>
          <w:rFonts w:ascii="Arial" w:hAnsi="Arial" w:cs="Arial"/>
          <w:lang w:val="es-ES"/>
        </w:rPr>
        <w:t xml:space="preserve">asociados a la </w:t>
      </w:r>
      <w:r w:rsidRPr="000A4AD4">
        <w:rPr>
          <w:rFonts w:ascii="Arial" w:hAnsi="Arial" w:cs="Arial"/>
          <w:lang w:val="es-ES"/>
        </w:rPr>
        <w:t xml:space="preserve">operación y </w:t>
      </w:r>
      <w:r w:rsidRPr="000A4AD4" w:rsidR="00AF2983">
        <w:rPr>
          <w:rFonts w:ascii="Arial" w:hAnsi="Arial" w:cs="Arial"/>
          <w:lang w:val="es-ES"/>
        </w:rPr>
        <w:t xml:space="preserve">los </w:t>
      </w:r>
      <w:r w:rsidRPr="000A4AD4">
        <w:rPr>
          <w:rFonts w:ascii="Arial" w:hAnsi="Arial" w:cs="Arial"/>
          <w:lang w:val="es-ES"/>
        </w:rPr>
        <w:t xml:space="preserve">costos económicos relacionados </w:t>
      </w:r>
      <w:r w:rsidRPr="000A4AD4" w:rsidR="00AF2983">
        <w:rPr>
          <w:rFonts w:ascii="Arial" w:hAnsi="Arial" w:cs="Arial"/>
          <w:lang w:val="es-ES"/>
        </w:rPr>
        <w:t xml:space="preserve">con </w:t>
      </w:r>
      <w:r w:rsidRPr="000A4AD4">
        <w:rPr>
          <w:rFonts w:ascii="Arial" w:hAnsi="Arial" w:cs="Arial"/>
          <w:lang w:val="es-ES"/>
        </w:rPr>
        <w:t>la provisión del programa.</w:t>
      </w:r>
    </w:p>
    <w:p w:rsidR="000A4AD4" w:rsidP="000A4AD4" w:rsidRDefault="000A4AD4" w14:paraId="4FA45206" w14:textId="77777777">
      <w:pPr>
        <w:pStyle w:val="ListParagraph"/>
        <w:autoSpaceDE w:val="0"/>
        <w:autoSpaceDN w:val="0"/>
        <w:adjustRightInd w:val="0"/>
        <w:spacing w:after="0"/>
        <w:ind w:left="0"/>
        <w:jc w:val="both"/>
        <w:rPr>
          <w:rFonts w:ascii="Arial" w:hAnsi="Arial" w:cs="Arial"/>
          <w:lang w:val="es-ES"/>
        </w:rPr>
      </w:pPr>
    </w:p>
    <w:p w:rsidRPr="00644428" w:rsidR="006671FD" w:rsidP="00644428" w:rsidRDefault="00E053DD" w14:paraId="6DEB93E8" w14:textId="2D30DA65">
      <w:pPr>
        <w:pStyle w:val="ListParagraph"/>
        <w:numPr>
          <w:ilvl w:val="0"/>
          <w:numId w:val="8"/>
        </w:numPr>
        <w:autoSpaceDE w:val="0"/>
        <w:autoSpaceDN w:val="0"/>
        <w:adjustRightInd w:val="0"/>
        <w:spacing w:after="0"/>
        <w:ind w:left="0"/>
        <w:jc w:val="both"/>
        <w:rPr>
          <w:rFonts w:ascii="Arial" w:hAnsi="Arial" w:cs="Arial"/>
          <w:lang w:val="es-ES"/>
        </w:rPr>
      </w:pPr>
      <w:r w:rsidRPr="00465A93">
        <w:rPr>
          <w:rFonts w:ascii="Arial" w:hAnsi="Arial" w:cs="Arial"/>
          <w:lang w:val="es-ES"/>
        </w:rPr>
        <w:t xml:space="preserve">En cuanto a los costos directos, se consideran costos de operación por </w:t>
      </w:r>
      <w:r w:rsidRPr="00465A93" w:rsidR="00CC1718">
        <w:rPr>
          <w:rFonts w:ascii="Arial" w:hAnsi="Arial" w:cs="Arial"/>
          <w:lang w:val="es-ES"/>
        </w:rPr>
        <w:t>US$</w:t>
      </w:r>
      <w:r w:rsidR="001335F5">
        <w:rPr>
          <w:rFonts w:ascii="Arial" w:hAnsi="Arial" w:cs="Arial"/>
          <w:lang w:val="es-ES"/>
        </w:rPr>
        <w:t>2</w:t>
      </w:r>
      <w:r w:rsidRPr="00465A93" w:rsidR="00996CED">
        <w:rPr>
          <w:rFonts w:ascii="Arial" w:hAnsi="Arial" w:cs="Arial"/>
          <w:lang w:val="es-ES"/>
        </w:rPr>
        <w:t>0 millones.</w:t>
      </w:r>
      <w:r w:rsidRPr="00465A93">
        <w:rPr>
          <w:rFonts w:ascii="Arial" w:hAnsi="Arial" w:cs="Arial"/>
          <w:lang w:val="es-ES"/>
        </w:rPr>
        <w:t xml:space="preserve"> </w:t>
      </w:r>
      <w:r w:rsidRPr="00644428" w:rsidR="00AF2983">
        <w:rPr>
          <w:rFonts w:ascii="Arial" w:hAnsi="Arial" w:cs="Arial"/>
          <w:lang w:val="es-ES"/>
        </w:rPr>
        <w:t xml:space="preserve">Estos </w:t>
      </w:r>
      <w:r w:rsidRPr="00644428">
        <w:rPr>
          <w:rFonts w:ascii="Arial" w:hAnsi="Arial" w:cs="Arial"/>
          <w:lang w:val="es-ES"/>
        </w:rPr>
        <w:t xml:space="preserve">costos se dividen en costos relacionados </w:t>
      </w:r>
      <w:r w:rsidRPr="00644428" w:rsidR="00B07FEF">
        <w:rPr>
          <w:rFonts w:ascii="Arial" w:hAnsi="Arial" w:cs="Arial"/>
          <w:lang w:val="es-ES"/>
        </w:rPr>
        <w:t>a</w:t>
      </w:r>
      <w:r w:rsidRPr="00644428" w:rsidR="00C44A42">
        <w:rPr>
          <w:rFonts w:ascii="Arial" w:hAnsi="Arial" w:cs="Arial"/>
          <w:lang w:val="es-ES"/>
        </w:rPr>
        <w:t xml:space="preserve">l Componente 1 “Ampliación del Servicio de Empleo” por </w:t>
      </w:r>
      <w:r w:rsidRPr="00644428" w:rsidR="00644428">
        <w:rPr>
          <w:rFonts w:ascii="Arial" w:hAnsi="Arial" w:cs="Arial"/>
          <w:lang w:val="es-ES"/>
        </w:rPr>
        <w:t>6,5 millones</w:t>
      </w:r>
      <w:r w:rsidR="00644428">
        <w:rPr>
          <w:rFonts w:ascii="Arial" w:hAnsi="Arial" w:cs="Arial"/>
          <w:lang w:val="es-ES"/>
        </w:rPr>
        <w:t xml:space="preserve"> de dólares</w:t>
      </w:r>
      <w:r w:rsidRPr="00644428" w:rsidR="00644428">
        <w:rPr>
          <w:rFonts w:ascii="Arial" w:hAnsi="Arial" w:cs="Arial"/>
          <w:lang w:val="es-ES"/>
        </w:rPr>
        <w:t>, el Componente 2 “Programa de Apoyo al Empleo de Adultos” por 12,6 millones</w:t>
      </w:r>
      <w:r w:rsidR="00644428">
        <w:rPr>
          <w:rFonts w:ascii="Arial" w:hAnsi="Arial" w:cs="Arial"/>
          <w:lang w:val="es-ES"/>
        </w:rPr>
        <w:t xml:space="preserve"> de dólares</w:t>
      </w:r>
      <w:r w:rsidRPr="00644428" w:rsidR="00644428">
        <w:rPr>
          <w:rFonts w:ascii="Arial" w:hAnsi="Arial" w:cs="Arial"/>
          <w:lang w:val="es-ES"/>
        </w:rPr>
        <w:t>, el Componente 3 “Planificación, análisis de políticas de empleo y evaluación”</w:t>
      </w:r>
      <w:r w:rsidR="00644428">
        <w:rPr>
          <w:rFonts w:ascii="Arial" w:hAnsi="Arial" w:cs="Arial"/>
          <w:lang w:val="es-ES"/>
        </w:rPr>
        <w:t xml:space="preserve"> con 442 mil dólares y gastos asociados a Administración y Auditorías por 436</w:t>
      </w:r>
      <w:r w:rsidR="0030728D">
        <w:rPr>
          <w:rFonts w:ascii="Arial" w:hAnsi="Arial" w:cs="Arial"/>
          <w:lang w:val="es-ES"/>
        </w:rPr>
        <w:t> </w:t>
      </w:r>
      <w:r w:rsidR="00644428">
        <w:rPr>
          <w:rFonts w:ascii="Arial" w:hAnsi="Arial" w:cs="Arial"/>
          <w:lang w:val="es-ES"/>
        </w:rPr>
        <w:t>mil</w:t>
      </w:r>
      <w:r w:rsidR="0030728D">
        <w:rPr>
          <w:rFonts w:ascii="Arial" w:hAnsi="Arial" w:cs="Arial"/>
          <w:lang w:val="es-ES"/>
        </w:rPr>
        <w:t> </w:t>
      </w:r>
      <w:r w:rsidR="00644428">
        <w:rPr>
          <w:rFonts w:ascii="Arial" w:hAnsi="Arial" w:cs="Arial"/>
          <w:lang w:val="es-ES"/>
        </w:rPr>
        <w:t>dólares</w:t>
      </w:r>
      <w:r w:rsidRPr="00644428" w:rsidR="00A970EE">
        <w:rPr>
          <w:rFonts w:ascii="Arial" w:hAnsi="Arial" w:cs="Arial"/>
          <w:lang w:val="es-ES"/>
        </w:rPr>
        <w:t>.</w:t>
      </w:r>
      <w:r w:rsidRPr="00644428" w:rsidR="00E0720B">
        <w:rPr>
          <w:rFonts w:ascii="Arial" w:hAnsi="Arial" w:cs="Arial"/>
          <w:lang w:val="es-ES"/>
        </w:rPr>
        <w:t xml:space="preserve"> Para el </w:t>
      </w:r>
      <w:r w:rsidRPr="00644428" w:rsidR="00514377">
        <w:rPr>
          <w:rFonts w:ascii="Arial" w:hAnsi="Arial" w:cs="Arial"/>
          <w:lang w:val="es-ES"/>
        </w:rPr>
        <w:t>cálculo</w:t>
      </w:r>
      <w:r w:rsidRPr="00644428" w:rsidR="00E0720B">
        <w:rPr>
          <w:rFonts w:ascii="Arial" w:hAnsi="Arial" w:cs="Arial"/>
          <w:lang w:val="es-ES"/>
        </w:rPr>
        <w:t xml:space="preserve"> del Valor Presente de los mismos, se define </w:t>
      </w:r>
      <w:r w:rsidRPr="00644428" w:rsidR="00593E90">
        <w:rPr>
          <w:rFonts w:ascii="Arial" w:hAnsi="Arial" w:cs="Arial"/>
          <w:lang w:val="es-ES"/>
        </w:rPr>
        <w:t xml:space="preserve">por simplicidad </w:t>
      </w:r>
      <w:r w:rsidRPr="00644428" w:rsidR="00E0720B">
        <w:rPr>
          <w:rFonts w:ascii="Arial" w:hAnsi="Arial" w:cs="Arial"/>
          <w:lang w:val="es-ES"/>
        </w:rPr>
        <w:t xml:space="preserve">un costo per </w:t>
      </w:r>
      <w:r w:rsidRPr="00644428" w:rsidR="00514377">
        <w:rPr>
          <w:rFonts w:ascii="Arial" w:hAnsi="Arial" w:cs="Arial"/>
          <w:lang w:val="es-ES"/>
        </w:rPr>
        <w:t>cápita</w:t>
      </w:r>
      <w:r w:rsidRPr="00644428" w:rsidR="00E0720B">
        <w:rPr>
          <w:rFonts w:ascii="Arial" w:hAnsi="Arial" w:cs="Arial"/>
          <w:lang w:val="es-ES"/>
        </w:rPr>
        <w:t xml:space="preserve"> </w:t>
      </w:r>
      <w:r w:rsidRPr="00644428" w:rsidR="001526B2">
        <w:rPr>
          <w:rFonts w:ascii="Arial" w:hAnsi="Arial" w:cs="Arial"/>
          <w:lang w:val="es-ES"/>
        </w:rPr>
        <w:t xml:space="preserve">que </w:t>
      </w:r>
      <w:r w:rsidRPr="00644428" w:rsidR="00E0720B">
        <w:rPr>
          <w:rFonts w:ascii="Arial" w:hAnsi="Arial" w:cs="Arial"/>
          <w:lang w:val="es-ES"/>
        </w:rPr>
        <w:t xml:space="preserve">va </w:t>
      </w:r>
      <w:r w:rsidRPr="00644428" w:rsidR="00514377">
        <w:rPr>
          <w:rFonts w:ascii="Arial" w:hAnsi="Arial" w:cs="Arial"/>
          <w:lang w:val="es-ES"/>
        </w:rPr>
        <w:t>incrementándose</w:t>
      </w:r>
      <w:r w:rsidRPr="00644428" w:rsidR="00E0720B">
        <w:rPr>
          <w:rFonts w:ascii="Arial" w:hAnsi="Arial" w:cs="Arial"/>
          <w:lang w:val="es-ES"/>
        </w:rPr>
        <w:t xml:space="preserve"> en función al número de beneficiarios del programa.</w:t>
      </w:r>
      <w:r w:rsidR="00644428">
        <w:rPr>
          <w:rFonts w:ascii="Arial" w:hAnsi="Arial" w:cs="Arial"/>
          <w:lang w:val="es-ES"/>
        </w:rPr>
        <w:t xml:space="preserve"> Esto también se explica por la lógica vertical del programa que estaba asociada a la consecución de objetivos en función a las mejoras que cada componente otorgaba en conjunto.</w:t>
      </w:r>
    </w:p>
    <w:p w:rsidRPr="006671FD" w:rsidR="006671FD" w:rsidP="00C074B4" w:rsidRDefault="006671FD" w14:paraId="0196226C" w14:textId="77777777">
      <w:pPr>
        <w:pStyle w:val="ListParagraph"/>
        <w:rPr>
          <w:rFonts w:ascii="Arial" w:hAnsi="Arial" w:cs="Arial"/>
          <w:lang w:val="es-ES"/>
        </w:rPr>
      </w:pPr>
    </w:p>
    <w:p w:rsidRPr="004219D4" w:rsidR="002D063D" w:rsidP="002D5DB3" w:rsidRDefault="00C44A42" w14:paraId="48371807" w14:textId="672685D5">
      <w:pPr>
        <w:pStyle w:val="ListParagraph"/>
        <w:numPr>
          <w:ilvl w:val="0"/>
          <w:numId w:val="8"/>
        </w:numPr>
        <w:autoSpaceDE w:val="0"/>
        <w:autoSpaceDN w:val="0"/>
        <w:adjustRightInd w:val="0"/>
        <w:spacing w:after="0"/>
        <w:ind w:left="0"/>
        <w:jc w:val="both"/>
        <w:rPr>
          <w:rFonts w:ascii="Arial" w:hAnsi="Arial" w:cs="Arial"/>
          <w:lang w:val="es-ES"/>
        </w:rPr>
      </w:pPr>
      <w:r w:rsidRPr="0078661C">
        <w:rPr>
          <w:rFonts w:ascii="Arial" w:hAnsi="Arial" w:cs="Arial"/>
          <w:lang w:val="es-ES"/>
        </w:rPr>
        <w:t>En cuanto a los costos económicos</w:t>
      </w:r>
      <w:r>
        <w:rPr>
          <w:rFonts w:ascii="Arial" w:hAnsi="Arial" w:cs="Arial"/>
          <w:lang w:val="es-ES"/>
        </w:rPr>
        <w:t xml:space="preserve"> de </w:t>
      </w:r>
      <w:r w:rsidRPr="0078661C" w:rsidR="002D7856">
        <w:rPr>
          <w:rFonts w:ascii="Arial" w:hAnsi="Arial" w:cs="Arial"/>
          <w:lang w:val="es-ES"/>
        </w:rPr>
        <w:t xml:space="preserve">la capacitación </w:t>
      </w:r>
      <w:r w:rsidRPr="0078661C" w:rsidR="002D063D">
        <w:rPr>
          <w:rFonts w:ascii="Arial" w:hAnsi="Arial" w:cs="Arial"/>
          <w:lang w:val="es-ES"/>
        </w:rPr>
        <w:t xml:space="preserve">en planta </w:t>
      </w:r>
      <w:r w:rsidRPr="0078661C" w:rsidR="002D7856">
        <w:rPr>
          <w:rFonts w:ascii="Arial" w:hAnsi="Arial" w:cs="Arial"/>
          <w:lang w:val="es-ES"/>
        </w:rPr>
        <w:t xml:space="preserve">del programa, </w:t>
      </w:r>
      <w:r w:rsidRPr="0078661C" w:rsidR="002D063D">
        <w:rPr>
          <w:rFonts w:ascii="Arial" w:hAnsi="Arial" w:cs="Arial"/>
          <w:lang w:val="es-ES"/>
        </w:rPr>
        <w:t xml:space="preserve">se asume que el pago del estipendio para capacitación </w:t>
      </w:r>
      <w:r>
        <w:rPr>
          <w:rFonts w:ascii="Arial" w:hAnsi="Arial" w:cs="Arial"/>
          <w:lang w:val="es-ES"/>
        </w:rPr>
        <w:t xml:space="preserve">era </w:t>
      </w:r>
      <w:r w:rsidRPr="0078661C" w:rsidR="002D063D">
        <w:rPr>
          <w:rFonts w:ascii="Arial" w:hAnsi="Arial" w:cs="Arial"/>
          <w:lang w:val="es-ES"/>
        </w:rPr>
        <w:t xml:space="preserve">exactamente igual </w:t>
      </w:r>
      <w:r w:rsidR="001526B2">
        <w:rPr>
          <w:rFonts w:ascii="Arial" w:hAnsi="Arial" w:cs="Arial"/>
          <w:lang w:val="es-ES"/>
        </w:rPr>
        <w:t xml:space="preserve">a </w:t>
      </w:r>
      <w:r w:rsidRPr="0078661C" w:rsidR="002D063D">
        <w:rPr>
          <w:rFonts w:ascii="Arial" w:hAnsi="Arial" w:cs="Arial"/>
          <w:lang w:val="es-ES"/>
        </w:rPr>
        <w:t xml:space="preserve">su costo de oportunidad por ingresar al programa, por lo </w:t>
      </w:r>
      <w:r w:rsidRPr="0078661C">
        <w:rPr>
          <w:rFonts w:ascii="Arial" w:hAnsi="Arial" w:cs="Arial"/>
          <w:lang w:val="es-ES"/>
        </w:rPr>
        <w:t>que,</w:t>
      </w:r>
      <w:r w:rsidRPr="0078661C" w:rsidR="002D063D">
        <w:rPr>
          <w:rFonts w:ascii="Arial" w:hAnsi="Arial" w:cs="Arial"/>
          <w:lang w:val="es-ES"/>
        </w:rPr>
        <w:t xml:space="preserve"> para los fines del presente </w:t>
      </w:r>
      <w:r w:rsidRPr="0078661C" w:rsidR="00A970EE">
        <w:rPr>
          <w:rFonts w:ascii="Arial" w:hAnsi="Arial" w:cs="Arial"/>
          <w:lang w:val="es-ES"/>
        </w:rPr>
        <w:t>análisis</w:t>
      </w:r>
      <w:r w:rsidRPr="0078661C" w:rsidR="002D063D">
        <w:rPr>
          <w:rFonts w:ascii="Arial" w:hAnsi="Arial" w:cs="Arial"/>
          <w:lang w:val="es-ES"/>
        </w:rPr>
        <w:t>, no</w:t>
      </w:r>
      <w:r w:rsidR="000A4AD4">
        <w:rPr>
          <w:rFonts w:ascii="Arial" w:hAnsi="Arial" w:cs="Arial"/>
          <w:lang w:val="es-ES"/>
        </w:rPr>
        <w:t xml:space="preserve"> se considera</w:t>
      </w:r>
      <w:r w:rsidRPr="0078661C" w:rsidR="002D063D">
        <w:rPr>
          <w:rFonts w:ascii="Arial" w:hAnsi="Arial" w:cs="Arial"/>
          <w:lang w:val="es-ES"/>
        </w:rPr>
        <w:t xml:space="preserve"> </w:t>
      </w:r>
      <w:r w:rsidR="000A4AD4">
        <w:rPr>
          <w:rFonts w:ascii="Arial" w:hAnsi="Arial" w:cs="Arial"/>
          <w:lang w:val="es-ES"/>
        </w:rPr>
        <w:t xml:space="preserve">algún </w:t>
      </w:r>
      <w:r w:rsidRPr="0078661C" w:rsidR="002D063D">
        <w:rPr>
          <w:rFonts w:ascii="Arial" w:hAnsi="Arial" w:cs="Arial"/>
          <w:lang w:val="es-ES"/>
        </w:rPr>
        <w:t xml:space="preserve">costo de oportunidad. </w:t>
      </w:r>
      <w:r w:rsidRPr="004219D4" w:rsidR="002D063D">
        <w:rPr>
          <w:rFonts w:ascii="Arial" w:hAnsi="Arial" w:cs="Arial"/>
          <w:lang w:val="es-ES"/>
        </w:rPr>
        <w:t xml:space="preserve">Este supuesto se sustenta en el hecho que el pago de estipendio para capacitación parte en </w:t>
      </w:r>
      <w:r w:rsidRPr="004219D4" w:rsidR="002D7856">
        <w:rPr>
          <w:rFonts w:ascii="Arial" w:hAnsi="Arial" w:cs="Arial"/>
          <w:lang w:val="es-ES"/>
        </w:rPr>
        <w:t>un salario mínimo</w:t>
      </w:r>
      <w:r w:rsidRPr="004219D4" w:rsidR="002D063D">
        <w:rPr>
          <w:rFonts w:ascii="Arial" w:hAnsi="Arial" w:cs="Arial"/>
          <w:lang w:val="es-ES"/>
        </w:rPr>
        <w:t xml:space="preserve"> y que aproximadamente el 32% de la población ocupada urbana tienen ingresos inferiores a este monto</w:t>
      </w:r>
      <w:r w:rsidRPr="004219D4" w:rsidR="002D063D">
        <w:rPr>
          <w:rStyle w:val="FootnoteReference"/>
          <w:rFonts w:ascii="Arial" w:hAnsi="Arial" w:cs="Arial"/>
          <w:lang w:val="es-ES"/>
        </w:rPr>
        <w:footnoteReference w:id="12"/>
      </w:r>
      <w:r w:rsidRPr="004219D4" w:rsidR="002D063D">
        <w:rPr>
          <w:rFonts w:ascii="Arial" w:hAnsi="Arial" w:cs="Arial"/>
          <w:lang w:val="es-ES"/>
        </w:rPr>
        <w:t xml:space="preserve">. </w:t>
      </w:r>
    </w:p>
    <w:p w:rsidR="00593E90" w:rsidP="00593E90" w:rsidRDefault="00593E90" w14:paraId="04A1935F" w14:textId="77777777">
      <w:pPr>
        <w:pStyle w:val="ListParagraph"/>
        <w:autoSpaceDE w:val="0"/>
        <w:autoSpaceDN w:val="0"/>
        <w:adjustRightInd w:val="0"/>
        <w:spacing w:after="0"/>
        <w:ind w:left="0"/>
        <w:jc w:val="both"/>
        <w:rPr>
          <w:rFonts w:ascii="Arial" w:hAnsi="Arial" w:cs="Arial"/>
          <w:lang w:val="es-ES"/>
        </w:rPr>
      </w:pPr>
    </w:p>
    <w:p w:rsidRPr="0078661C" w:rsidR="00996CED" w:rsidP="00F84237" w:rsidRDefault="002D063D" w14:paraId="459F5A49" w14:textId="03687DFD">
      <w:pPr>
        <w:pStyle w:val="ListParagraph"/>
        <w:numPr>
          <w:ilvl w:val="0"/>
          <w:numId w:val="8"/>
        </w:numPr>
        <w:autoSpaceDE w:val="0"/>
        <w:autoSpaceDN w:val="0"/>
        <w:adjustRightInd w:val="0"/>
        <w:spacing w:after="0"/>
        <w:ind w:left="0"/>
        <w:jc w:val="both"/>
        <w:rPr>
          <w:rFonts w:ascii="Arial" w:hAnsi="Arial" w:cs="Arial"/>
          <w:lang w:val="es-ES"/>
        </w:rPr>
      </w:pPr>
      <w:r w:rsidRPr="0078661C">
        <w:rPr>
          <w:rFonts w:ascii="Arial" w:hAnsi="Arial" w:cs="Arial"/>
          <w:lang w:val="es-ES"/>
        </w:rPr>
        <w:t xml:space="preserve">Un último costo </w:t>
      </w:r>
      <w:r w:rsidRPr="0078661C" w:rsidR="00A970EE">
        <w:rPr>
          <w:rFonts w:ascii="Arial" w:hAnsi="Arial" w:cs="Arial"/>
          <w:lang w:val="es-ES"/>
        </w:rPr>
        <w:t>económico</w:t>
      </w:r>
      <w:r w:rsidRPr="0078661C">
        <w:rPr>
          <w:rFonts w:ascii="Arial" w:hAnsi="Arial" w:cs="Arial"/>
          <w:lang w:val="es-ES"/>
        </w:rPr>
        <w:t xml:space="preserve"> identificado </w:t>
      </w:r>
      <w:r w:rsidRPr="0078661C" w:rsidR="00DF355E">
        <w:rPr>
          <w:rFonts w:ascii="Arial" w:hAnsi="Arial" w:cs="Arial"/>
          <w:lang w:val="es-ES"/>
        </w:rPr>
        <w:t>de</w:t>
      </w:r>
      <w:r w:rsidRPr="0078661C">
        <w:rPr>
          <w:rFonts w:ascii="Arial" w:hAnsi="Arial" w:cs="Arial"/>
          <w:lang w:val="es-ES"/>
        </w:rPr>
        <w:t xml:space="preserve">l programa se asocia a la presencia de un efecto </w:t>
      </w:r>
      <w:r w:rsidRPr="0078661C" w:rsidR="002D7856">
        <w:rPr>
          <w:rFonts w:ascii="Arial" w:hAnsi="Arial" w:cs="Arial"/>
          <w:lang w:val="es-ES"/>
        </w:rPr>
        <w:t>desplazamiento</w:t>
      </w:r>
      <w:r w:rsidRPr="0078661C">
        <w:rPr>
          <w:rStyle w:val="FootnoteReference"/>
          <w:rFonts w:ascii="Arial" w:hAnsi="Arial" w:cs="Arial"/>
          <w:lang w:val="es-ES"/>
        </w:rPr>
        <w:footnoteReference w:id="13"/>
      </w:r>
      <w:r w:rsidRPr="0078661C" w:rsidR="002D7856">
        <w:rPr>
          <w:rFonts w:ascii="Arial" w:hAnsi="Arial" w:cs="Arial"/>
          <w:lang w:val="es-ES"/>
        </w:rPr>
        <w:t xml:space="preserve"> </w:t>
      </w:r>
      <w:r w:rsidRPr="0078661C">
        <w:rPr>
          <w:rFonts w:ascii="Arial" w:hAnsi="Arial" w:cs="Arial"/>
          <w:lang w:val="es-ES"/>
        </w:rPr>
        <w:t xml:space="preserve">de beneficiarios del programa hacia no beneficiarios en el mercado laboral. </w:t>
      </w:r>
      <w:r w:rsidRPr="0078661C" w:rsidR="002D7856">
        <w:rPr>
          <w:rFonts w:ascii="Arial" w:hAnsi="Arial" w:cs="Arial"/>
          <w:lang w:val="es-ES"/>
        </w:rPr>
        <w:t xml:space="preserve">La literatura </w:t>
      </w:r>
      <w:r w:rsidRPr="0078661C">
        <w:rPr>
          <w:rFonts w:ascii="Arial" w:hAnsi="Arial" w:cs="Arial"/>
          <w:lang w:val="es-ES"/>
        </w:rPr>
        <w:t xml:space="preserve">económica </w:t>
      </w:r>
      <w:r w:rsidRPr="0078661C" w:rsidR="002D7856">
        <w:rPr>
          <w:rFonts w:ascii="Arial" w:hAnsi="Arial" w:cs="Arial"/>
          <w:lang w:val="es-ES"/>
        </w:rPr>
        <w:t xml:space="preserve">estima los efectos desplazamiento de </w:t>
      </w:r>
      <w:r w:rsidRPr="0078661C" w:rsidR="00E053DD">
        <w:rPr>
          <w:rFonts w:ascii="Arial" w:hAnsi="Arial" w:cs="Arial"/>
          <w:lang w:val="es-ES"/>
        </w:rPr>
        <w:t xml:space="preserve">este tipo de políticas </w:t>
      </w:r>
      <w:r w:rsidRPr="0078661C" w:rsidR="002D7856">
        <w:rPr>
          <w:rFonts w:ascii="Arial" w:hAnsi="Arial" w:cs="Arial"/>
          <w:lang w:val="es-ES"/>
        </w:rPr>
        <w:t>es escasa y tiene resultados</w:t>
      </w:r>
      <w:r w:rsidRPr="0078661C" w:rsidR="00E053DD">
        <w:rPr>
          <w:rFonts w:ascii="Arial" w:hAnsi="Arial" w:cs="Arial"/>
          <w:lang w:val="es-ES"/>
        </w:rPr>
        <w:t xml:space="preserve"> heterogéneos</w:t>
      </w:r>
      <w:r w:rsidRPr="0078661C" w:rsidR="002D7856">
        <w:rPr>
          <w:rFonts w:ascii="Arial" w:hAnsi="Arial" w:cs="Arial"/>
          <w:lang w:val="es-ES"/>
        </w:rPr>
        <w:t xml:space="preserve">. </w:t>
      </w:r>
      <w:r w:rsidRPr="0078661C" w:rsidR="00E053DD">
        <w:rPr>
          <w:rFonts w:ascii="Arial" w:hAnsi="Arial" w:cs="Arial"/>
          <w:lang w:val="es-ES"/>
        </w:rPr>
        <w:t>Para el caso de Francia, Crépon et al</w:t>
      </w:r>
      <w:r w:rsidRPr="0078661C" w:rsidR="00D56A15">
        <w:rPr>
          <w:rFonts w:ascii="Arial" w:hAnsi="Arial" w:cs="Arial"/>
          <w:lang w:val="es-ES"/>
        </w:rPr>
        <w:t>.</w:t>
      </w:r>
      <w:r w:rsidRPr="0078661C" w:rsidR="00E053DD">
        <w:rPr>
          <w:rFonts w:ascii="Arial" w:hAnsi="Arial" w:cs="Arial"/>
          <w:lang w:val="es-ES"/>
        </w:rPr>
        <w:t xml:space="preserve"> (2013) encuentran </w:t>
      </w:r>
      <w:r w:rsidRPr="0078661C" w:rsidR="00644428">
        <w:rPr>
          <w:rFonts w:ascii="Arial" w:hAnsi="Arial" w:cs="Arial"/>
          <w:lang w:val="es-ES"/>
        </w:rPr>
        <w:t>que,</w:t>
      </w:r>
      <w:r w:rsidRPr="0078661C" w:rsidR="00E053DD">
        <w:rPr>
          <w:rFonts w:ascii="Arial" w:hAnsi="Arial" w:cs="Arial"/>
          <w:lang w:val="es-ES"/>
        </w:rPr>
        <w:t xml:space="preserve"> si bien un programa de PAML tiene </w:t>
      </w:r>
      <w:r w:rsidRPr="0078661C" w:rsidR="002D7856">
        <w:rPr>
          <w:rFonts w:ascii="Arial" w:hAnsi="Arial" w:cs="Arial"/>
          <w:lang w:val="es-ES"/>
        </w:rPr>
        <w:t>efectos positivos sobre la inserción laboral de los beneficiarios, éstos se obtienen a expensas de una disminución en las tasas de inserción de los no beneficiarios</w:t>
      </w:r>
      <w:r w:rsidRPr="0078661C" w:rsidR="00E053DD">
        <w:rPr>
          <w:rFonts w:ascii="Arial" w:hAnsi="Arial" w:cs="Arial"/>
          <w:lang w:val="es-ES"/>
        </w:rPr>
        <w:t xml:space="preserve">, teniendo en agregado un </w:t>
      </w:r>
      <w:r w:rsidRPr="0078661C" w:rsidR="002D7856">
        <w:rPr>
          <w:rFonts w:ascii="Arial" w:hAnsi="Arial" w:cs="Arial"/>
          <w:lang w:val="es-ES"/>
        </w:rPr>
        <w:t xml:space="preserve">efecto neto </w:t>
      </w:r>
      <w:r w:rsidRPr="0078661C" w:rsidR="00E053DD">
        <w:rPr>
          <w:rFonts w:ascii="Arial" w:hAnsi="Arial" w:cs="Arial"/>
          <w:lang w:val="es-ES"/>
        </w:rPr>
        <w:t>nulo</w:t>
      </w:r>
      <w:r w:rsidRPr="0078661C" w:rsidR="002D7856">
        <w:rPr>
          <w:rFonts w:ascii="Arial" w:hAnsi="Arial" w:cs="Arial"/>
          <w:lang w:val="es-ES"/>
        </w:rPr>
        <w:t xml:space="preserve">. En contraste, </w:t>
      </w:r>
      <w:r w:rsidRPr="0078661C" w:rsidR="009627BC">
        <w:rPr>
          <w:rFonts w:ascii="Arial" w:hAnsi="Arial" w:cs="Arial"/>
          <w:lang w:val="es-ES"/>
        </w:rPr>
        <w:t>Berniell</w:t>
      </w:r>
      <w:r w:rsidRPr="0078661C" w:rsidR="002D7856">
        <w:rPr>
          <w:rFonts w:ascii="Arial" w:hAnsi="Arial" w:cs="Arial"/>
          <w:lang w:val="es-ES"/>
        </w:rPr>
        <w:t xml:space="preserve"> </w:t>
      </w:r>
      <w:r w:rsidRPr="0078661C" w:rsidR="00E053DD">
        <w:rPr>
          <w:rFonts w:ascii="Arial" w:hAnsi="Arial" w:cs="Arial"/>
          <w:lang w:val="es-ES"/>
        </w:rPr>
        <w:t xml:space="preserve">&amp; de la Mata </w:t>
      </w:r>
      <w:r w:rsidRPr="00C44A42" w:rsidR="00E053DD">
        <w:rPr>
          <w:rFonts w:ascii="Arial" w:hAnsi="Arial" w:cs="Arial"/>
          <w:lang w:val="es-ES"/>
        </w:rPr>
        <w:t>(</w:t>
      </w:r>
      <w:r w:rsidRPr="00C44A42" w:rsidR="000369EB">
        <w:rPr>
          <w:rFonts w:ascii="Arial" w:hAnsi="Arial"/>
          <w:lang w:val="es-ES"/>
        </w:rPr>
        <w:t>2017</w:t>
      </w:r>
      <w:r w:rsidRPr="00C44A42" w:rsidR="00E053DD">
        <w:rPr>
          <w:rFonts w:ascii="Arial" w:hAnsi="Arial" w:cs="Arial"/>
          <w:lang w:val="es-ES"/>
        </w:rPr>
        <w:t>)</w:t>
      </w:r>
      <w:r w:rsidRPr="0078661C" w:rsidR="00E053DD">
        <w:rPr>
          <w:rFonts w:ascii="Arial" w:hAnsi="Arial" w:cs="Arial"/>
          <w:lang w:val="es-ES"/>
        </w:rPr>
        <w:t xml:space="preserve"> aprovech</w:t>
      </w:r>
      <w:r w:rsidRPr="0078661C">
        <w:rPr>
          <w:rFonts w:ascii="Arial" w:hAnsi="Arial" w:cs="Arial"/>
          <w:lang w:val="es-ES"/>
        </w:rPr>
        <w:t>a</w:t>
      </w:r>
      <w:r w:rsidR="00E0720B">
        <w:rPr>
          <w:rFonts w:ascii="Arial" w:hAnsi="Arial" w:cs="Arial"/>
          <w:lang w:val="es-ES"/>
        </w:rPr>
        <w:t>ndo</w:t>
      </w:r>
      <w:r w:rsidRPr="0078661C">
        <w:rPr>
          <w:rFonts w:ascii="Arial" w:hAnsi="Arial" w:cs="Arial"/>
          <w:lang w:val="es-ES"/>
        </w:rPr>
        <w:t xml:space="preserve"> la </w:t>
      </w:r>
      <w:r w:rsidRPr="0078661C" w:rsidR="00E053DD">
        <w:rPr>
          <w:rFonts w:ascii="Arial" w:hAnsi="Arial" w:cs="Arial"/>
          <w:lang w:val="es-ES"/>
        </w:rPr>
        <w:t xml:space="preserve">asignación aleatoria </w:t>
      </w:r>
      <w:r w:rsidRPr="0078661C">
        <w:rPr>
          <w:rFonts w:ascii="Arial" w:hAnsi="Arial" w:cs="Arial"/>
          <w:lang w:val="es-ES"/>
        </w:rPr>
        <w:t xml:space="preserve">de un programa de capacitación en planta en </w:t>
      </w:r>
      <w:r w:rsidRPr="0078661C" w:rsidR="00E053DD">
        <w:rPr>
          <w:rFonts w:ascii="Arial" w:hAnsi="Arial" w:cs="Arial"/>
          <w:lang w:val="es-ES"/>
        </w:rPr>
        <w:lastRenderedPageBreak/>
        <w:t xml:space="preserve">Argentina </w:t>
      </w:r>
      <w:r w:rsidRPr="0078661C" w:rsidR="002D7856">
        <w:rPr>
          <w:rFonts w:ascii="Arial" w:hAnsi="Arial" w:cs="Arial"/>
          <w:lang w:val="es-ES"/>
        </w:rPr>
        <w:t>no encuentran evidencia de efecto desplazamiento</w:t>
      </w:r>
      <w:r w:rsidRPr="0078661C" w:rsidR="00E053DD">
        <w:rPr>
          <w:rFonts w:ascii="Arial" w:hAnsi="Arial" w:cs="Arial"/>
          <w:lang w:val="es-ES"/>
        </w:rPr>
        <w:t xml:space="preserve">. Para el presente análisis se asume un escenario </w:t>
      </w:r>
      <w:r w:rsidRPr="0078661C">
        <w:rPr>
          <w:rFonts w:ascii="Arial" w:hAnsi="Arial" w:cs="Arial"/>
          <w:lang w:val="es-ES"/>
        </w:rPr>
        <w:t xml:space="preserve">donde </w:t>
      </w:r>
      <w:r w:rsidRPr="0078661C" w:rsidR="00E053DD">
        <w:rPr>
          <w:rFonts w:ascii="Arial" w:hAnsi="Arial" w:cs="Arial"/>
          <w:lang w:val="es-ES"/>
        </w:rPr>
        <w:t>no existe efecto desplazamiento</w:t>
      </w:r>
      <w:r w:rsidR="00E0720B">
        <w:rPr>
          <w:rFonts w:ascii="Arial" w:hAnsi="Arial" w:cs="Arial"/>
          <w:lang w:val="es-ES"/>
        </w:rPr>
        <w:t>, sin embargo, para dar flexibilidad a los resultados se presenta un escenario con costos de desplazamiento en el análisis de sensibilidad</w:t>
      </w:r>
      <w:r w:rsidRPr="0078661C" w:rsidR="00E053DD">
        <w:rPr>
          <w:rFonts w:ascii="Arial" w:hAnsi="Arial" w:cs="Arial"/>
          <w:lang w:val="es-ES"/>
        </w:rPr>
        <w:t xml:space="preserve">. </w:t>
      </w:r>
    </w:p>
    <w:p w:rsidRPr="0078661C" w:rsidR="00996CED" w:rsidP="0002042F" w:rsidRDefault="00996CED" w14:paraId="0D5773E5" w14:textId="77777777">
      <w:pPr>
        <w:pStyle w:val="ListParagraph"/>
        <w:spacing w:before="120" w:after="0"/>
        <w:ind w:left="0"/>
        <w:jc w:val="both"/>
        <w:rPr>
          <w:rFonts w:ascii="Arial" w:hAnsi="Arial" w:cs="Arial"/>
          <w:color w:val="000000"/>
          <w:lang w:val="es-ES"/>
        </w:rPr>
      </w:pPr>
    </w:p>
    <w:p w:rsidRPr="0078661C" w:rsidR="00541D07" w:rsidP="00F65A8C" w:rsidRDefault="00541D07" w14:paraId="6F05D5B4" w14:textId="77777777">
      <w:pPr>
        <w:pStyle w:val="ListParagraph"/>
        <w:numPr>
          <w:ilvl w:val="0"/>
          <w:numId w:val="7"/>
        </w:numPr>
        <w:spacing w:before="120" w:after="0"/>
        <w:ind w:left="0"/>
        <w:jc w:val="both"/>
        <w:rPr>
          <w:rFonts w:ascii="Arial" w:hAnsi="Arial" w:cs="Arial"/>
          <w:b/>
          <w:lang w:val="es-ES"/>
        </w:rPr>
      </w:pPr>
      <w:r w:rsidRPr="0078661C">
        <w:rPr>
          <w:rFonts w:ascii="Arial" w:hAnsi="Arial" w:cs="Arial"/>
          <w:b/>
          <w:lang w:val="es-ES"/>
        </w:rPr>
        <w:t xml:space="preserve">Retorno Económico </w:t>
      </w:r>
    </w:p>
    <w:p w:rsidRPr="0078661C" w:rsidR="00F65A8C" w:rsidP="00673134" w:rsidRDefault="00F65A8C" w14:paraId="4DE45F76" w14:textId="77777777">
      <w:pPr>
        <w:autoSpaceDE w:val="0"/>
        <w:autoSpaceDN w:val="0"/>
        <w:adjustRightInd w:val="0"/>
        <w:spacing w:after="0"/>
        <w:jc w:val="both"/>
        <w:rPr>
          <w:rFonts w:ascii="Arial" w:hAnsi="Arial" w:cs="Arial"/>
          <w:lang w:val="es-ES"/>
        </w:rPr>
      </w:pPr>
    </w:p>
    <w:p w:rsidRPr="0078661C" w:rsidR="00D04C32" w:rsidP="00A634D8" w:rsidRDefault="001526B2" w14:paraId="4D2F227C" w14:textId="45C6C82C">
      <w:pPr>
        <w:pStyle w:val="ListParagraph"/>
        <w:numPr>
          <w:ilvl w:val="0"/>
          <w:numId w:val="8"/>
        </w:numPr>
        <w:autoSpaceDE w:val="0"/>
        <w:autoSpaceDN w:val="0"/>
        <w:adjustRightInd w:val="0"/>
        <w:spacing w:after="0"/>
        <w:ind w:left="0"/>
        <w:jc w:val="both"/>
        <w:rPr>
          <w:rFonts w:ascii="Arial" w:hAnsi="Arial" w:cs="Arial"/>
          <w:lang w:val="es-ES"/>
        </w:rPr>
      </w:pPr>
      <w:r>
        <w:rPr>
          <w:rFonts w:ascii="Arial" w:hAnsi="Arial" w:cs="Arial"/>
          <w:lang w:val="es-ES"/>
        </w:rPr>
        <w:t xml:space="preserve">Con </w:t>
      </w:r>
      <w:r w:rsidRPr="0078661C" w:rsidR="00F65A8C">
        <w:rPr>
          <w:rFonts w:ascii="Arial" w:hAnsi="Arial" w:cs="Arial"/>
          <w:lang w:val="es-ES"/>
        </w:rPr>
        <w:t xml:space="preserve">base en los supuestos descritos en la sección anterior, se proyecta el flujo de costos y beneficios del proyecto </w:t>
      </w:r>
      <w:r w:rsidR="00C44A42">
        <w:rPr>
          <w:rFonts w:ascii="Arial" w:hAnsi="Arial" w:cs="Arial"/>
          <w:lang w:val="es-ES"/>
        </w:rPr>
        <w:t>para tres años</w:t>
      </w:r>
      <w:r w:rsidRPr="0078661C" w:rsidR="00F65A8C">
        <w:rPr>
          <w:rFonts w:ascii="Arial" w:hAnsi="Arial" w:cs="Arial"/>
          <w:lang w:val="es-ES"/>
        </w:rPr>
        <w:t xml:space="preserve">, con esta información se </w:t>
      </w:r>
      <w:r w:rsidRPr="0078661C" w:rsidR="00DF355E">
        <w:rPr>
          <w:rFonts w:ascii="Arial" w:hAnsi="Arial" w:cs="Arial"/>
          <w:lang w:val="es-ES"/>
        </w:rPr>
        <w:t xml:space="preserve">calcula </w:t>
      </w:r>
      <w:r w:rsidRPr="0078661C" w:rsidR="00F65A8C">
        <w:rPr>
          <w:rFonts w:ascii="Arial" w:hAnsi="Arial" w:cs="Arial"/>
          <w:lang w:val="es-ES"/>
        </w:rPr>
        <w:t>el Valor Presente Neto (VPN) y la Relación Beneficio-Costo.</w:t>
      </w:r>
      <w:r w:rsidRPr="0078661C" w:rsidR="00D04C32">
        <w:rPr>
          <w:rFonts w:ascii="Arial" w:hAnsi="Arial" w:cs="Arial"/>
          <w:lang w:val="es-ES"/>
        </w:rPr>
        <w:t xml:space="preserve"> </w:t>
      </w:r>
      <w:r w:rsidRPr="0078661C" w:rsidR="00A634D8">
        <w:rPr>
          <w:rFonts w:ascii="Arial" w:hAnsi="Arial" w:cs="Arial"/>
          <w:lang w:val="es-ES"/>
        </w:rPr>
        <w:t xml:space="preserve"> E</w:t>
      </w:r>
      <w:r w:rsidRPr="0078661C" w:rsidR="00D04C32">
        <w:rPr>
          <w:rFonts w:ascii="Arial" w:hAnsi="Arial" w:cs="Arial"/>
          <w:lang w:val="es-ES"/>
        </w:rPr>
        <w:t xml:space="preserve">l </w:t>
      </w:r>
      <w:r w:rsidRPr="0078661C" w:rsidR="0078661C">
        <w:rPr>
          <w:rFonts w:ascii="Arial" w:hAnsi="Arial" w:cs="Arial"/>
          <w:lang w:val="es-ES"/>
        </w:rPr>
        <w:t>cálculo</w:t>
      </w:r>
      <w:r w:rsidRPr="0078661C" w:rsidR="00D04C32">
        <w:rPr>
          <w:rFonts w:ascii="Arial" w:hAnsi="Arial" w:cs="Arial"/>
          <w:lang w:val="es-ES"/>
        </w:rPr>
        <w:t xml:space="preserve"> del VPN se realiza mediante la siguiente f</w:t>
      </w:r>
      <w:r>
        <w:rPr>
          <w:rFonts w:ascii="Arial" w:hAnsi="Arial" w:cs="Arial"/>
          <w:lang w:val="es-ES"/>
        </w:rPr>
        <w:t>ó</w:t>
      </w:r>
      <w:r w:rsidRPr="0078661C" w:rsidR="00D04C32">
        <w:rPr>
          <w:rFonts w:ascii="Arial" w:hAnsi="Arial" w:cs="Arial"/>
          <w:lang w:val="es-ES"/>
        </w:rPr>
        <w:t>rmula:</w:t>
      </w:r>
    </w:p>
    <w:p w:rsidRPr="0078661C" w:rsidR="00D04C32" w:rsidP="00C074B4" w:rsidRDefault="00D04C32" w14:paraId="244AC91D" w14:textId="77777777">
      <w:pPr>
        <w:pStyle w:val="ListParagraph"/>
        <w:rPr>
          <w:rFonts w:ascii="Arial" w:hAnsi="Arial" w:cs="Arial"/>
          <w:lang w:val="es-ES"/>
        </w:rPr>
      </w:pPr>
    </w:p>
    <w:p w:rsidRPr="0078661C" w:rsidR="00D04C32" w:rsidP="00D04C32" w:rsidRDefault="00A634D8" w14:paraId="64121DBF" w14:textId="77777777">
      <w:pPr>
        <w:pStyle w:val="ListParagraph"/>
        <w:autoSpaceDE w:val="0"/>
        <w:autoSpaceDN w:val="0"/>
        <w:adjustRightInd w:val="0"/>
        <w:spacing w:after="0"/>
        <w:ind w:left="0"/>
        <w:jc w:val="both"/>
        <w:rPr>
          <w:rFonts w:ascii="Arial" w:hAnsi="Arial" w:cs="Arial"/>
          <w:lang w:val="es-ES"/>
        </w:rPr>
      </w:pPr>
      <m:oMathPara>
        <m:oMath>
          <m:r>
            <w:rPr>
              <w:rFonts w:ascii="Cambria Math" w:hAnsi="Cambria Math" w:cs="Arial"/>
              <w:lang w:val="es-ES"/>
            </w:rPr>
            <m:t>VPN=</m:t>
          </m:r>
          <m:nary>
            <m:naryPr>
              <m:chr m:val="∑"/>
              <m:limLoc m:val="undOvr"/>
              <m:ctrlPr>
                <w:rPr>
                  <w:rFonts w:ascii="Cambria Math" w:hAnsi="Cambria Math" w:cs="Arial"/>
                  <w:i/>
                  <w:lang w:val="es-ES"/>
                </w:rPr>
              </m:ctrlPr>
            </m:naryPr>
            <m:sub>
              <m:r>
                <w:rPr>
                  <w:rFonts w:ascii="Cambria Math" w:hAnsi="Cambria Math" w:cs="Arial"/>
                  <w:lang w:val="es-ES"/>
                </w:rPr>
                <m:t>t=1</m:t>
              </m:r>
            </m:sub>
            <m:sup>
              <m:r>
                <w:rPr>
                  <w:rFonts w:ascii="Cambria Math" w:hAnsi="Cambria Math" w:cs="Arial"/>
                  <w:lang w:val="es-ES"/>
                </w:rPr>
                <m:t>n</m:t>
              </m:r>
            </m:sup>
            <m:e>
              <m:f>
                <m:fPr>
                  <m:ctrlPr>
                    <w:rPr>
                      <w:rFonts w:ascii="Cambria Math" w:hAnsi="Cambria Math" w:cs="Arial"/>
                      <w:i/>
                      <w:lang w:val="es-ES"/>
                    </w:rPr>
                  </m:ctrlPr>
                </m:fPr>
                <m:num>
                  <m:r>
                    <m:rPr>
                      <m:sty m:val="p"/>
                    </m:rPr>
                    <w:rPr>
                      <w:rFonts w:ascii="Cambria Math" w:hAnsi="Cambria Math" w:cs="Arial"/>
                      <w:lang w:val="es-ES"/>
                    </w:rPr>
                    <m:t>Beneficios econ</m:t>
                  </m:r>
                  <m:r>
                    <m:rPr>
                      <m:sty m:val="p"/>
                    </m:rPr>
                    <w:rPr>
                      <w:rFonts w:hint="eastAsia" w:ascii="Cambria Math" w:hAnsi="Cambria Math" w:cs="Arial"/>
                      <w:lang w:val="es-ES"/>
                    </w:rPr>
                    <m:t>ó</m:t>
                  </m:r>
                  <m:r>
                    <m:rPr>
                      <m:sty m:val="p"/>
                    </m:rPr>
                    <w:rPr>
                      <w:rFonts w:ascii="Cambria Math" w:hAnsi="Cambria Math" w:cs="Arial"/>
                      <w:lang w:val="es-ES"/>
                    </w:rPr>
                    <m:t>micos-Costos econ</m:t>
                  </m:r>
                  <m:r>
                    <m:rPr>
                      <m:sty m:val="p"/>
                    </m:rPr>
                    <w:rPr>
                      <w:rFonts w:hint="eastAsia" w:ascii="Cambria Math" w:hAnsi="Cambria Math" w:cs="Arial"/>
                      <w:lang w:val="es-ES"/>
                    </w:rPr>
                    <m:t>ó</m:t>
                  </m:r>
                  <m:r>
                    <m:rPr>
                      <m:sty m:val="p"/>
                    </m:rPr>
                    <w:rPr>
                      <w:rFonts w:ascii="Cambria Math" w:hAnsi="Cambria Math" w:cs="Arial"/>
                      <w:lang w:val="es-ES"/>
                    </w:rPr>
                    <m:t xml:space="preserve">micos </m:t>
                  </m:r>
                </m:num>
                <m:den>
                  <m:sSup>
                    <m:sSupPr>
                      <m:ctrlPr>
                        <w:rPr>
                          <w:rFonts w:ascii="Cambria Math" w:hAnsi="Cambria Math" w:cs="Arial"/>
                          <w:i/>
                          <w:lang w:val="es-ES"/>
                        </w:rPr>
                      </m:ctrlPr>
                    </m:sSupPr>
                    <m:e>
                      <m:r>
                        <w:rPr>
                          <w:rFonts w:ascii="Cambria Math" w:hAnsi="Cambria Math" w:cs="Arial"/>
                          <w:lang w:val="es-ES"/>
                        </w:rPr>
                        <m:t>(1+i)</m:t>
                      </m:r>
                    </m:e>
                    <m:sup>
                      <m:r>
                        <w:rPr>
                          <w:rFonts w:ascii="Cambria Math" w:hAnsi="Cambria Math" w:cs="Arial"/>
                          <w:lang w:val="es-ES"/>
                        </w:rPr>
                        <m:t>t-1</m:t>
                      </m:r>
                    </m:sup>
                  </m:sSup>
                </m:den>
              </m:f>
            </m:e>
          </m:nary>
        </m:oMath>
      </m:oMathPara>
    </w:p>
    <w:p w:rsidRPr="0078661C" w:rsidR="00D04C32" w:rsidP="00D04C32" w:rsidRDefault="00D04C32" w14:paraId="260C1BC7" w14:textId="77777777">
      <w:pPr>
        <w:autoSpaceDE w:val="0"/>
        <w:autoSpaceDN w:val="0"/>
        <w:adjustRightInd w:val="0"/>
        <w:spacing w:after="0"/>
        <w:jc w:val="both"/>
        <w:rPr>
          <w:rFonts w:ascii="Arial" w:hAnsi="Arial" w:cs="Arial"/>
          <w:lang w:val="es-ES"/>
        </w:rPr>
      </w:pPr>
    </w:p>
    <w:p w:rsidRPr="008D76D4" w:rsidR="008D76D4" w:rsidP="008D76D4" w:rsidRDefault="00D04C32" w14:paraId="3821F21D" w14:textId="0F7F9967">
      <w:pPr>
        <w:pStyle w:val="ListParagraph"/>
        <w:numPr>
          <w:ilvl w:val="0"/>
          <w:numId w:val="8"/>
        </w:numPr>
        <w:autoSpaceDE w:val="0"/>
        <w:autoSpaceDN w:val="0"/>
        <w:adjustRightInd w:val="0"/>
        <w:spacing w:after="0"/>
        <w:ind w:left="0"/>
        <w:jc w:val="both"/>
        <w:rPr>
          <w:rFonts w:ascii="Arial" w:hAnsi="Arial" w:cs="Arial"/>
          <w:lang w:val="es-ES"/>
        </w:rPr>
      </w:pPr>
      <w:r w:rsidRPr="008D76D4">
        <w:rPr>
          <w:rFonts w:ascii="Arial" w:hAnsi="Arial" w:cs="Arial"/>
          <w:lang w:val="es-ES"/>
        </w:rPr>
        <w:t xml:space="preserve">Donde </w:t>
      </w:r>
      <w:r w:rsidRPr="008D76D4" w:rsidR="004A2076">
        <w:rPr>
          <w:rFonts w:ascii="Arial" w:hAnsi="Arial" w:cs="Arial"/>
          <w:lang w:val="es-ES"/>
        </w:rPr>
        <w:t>i es la tasa de descuento definida de 12%</w:t>
      </w:r>
      <w:r w:rsidRPr="008D76D4" w:rsidR="00446DB8">
        <w:rPr>
          <w:rFonts w:ascii="Arial" w:hAnsi="Arial" w:cs="Arial"/>
          <w:lang w:val="es-ES"/>
        </w:rPr>
        <w:t>,</w:t>
      </w:r>
      <w:r w:rsidRPr="008D76D4" w:rsidR="004A2076">
        <w:rPr>
          <w:rFonts w:ascii="Arial" w:hAnsi="Arial" w:cs="Arial"/>
          <w:lang w:val="es-ES"/>
        </w:rPr>
        <w:t xml:space="preserve"> </w:t>
      </w:r>
      <w:r w:rsidRPr="008D76D4">
        <w:rPr>
          <w:rFonts w:ascii="Arial" w:hAnsi="Arial" w:cs="Arial"/>
          <w:lang w:val="es-ES"/>
        </w:rPr>
        <w:t xml:space="preserve">t </w:t>
      </w:r>
      <w:r w:rsidRPr="008D76D4" w:rsidR="00446DB8">
        <w:rPr>
          <w:rFonts w:ascii="Arial" w:hAnsi="Arial" w:cs="Arial"/>
          <w:lang w:val="es-ES"/>
        </w:rPr>
        <w:t>es el número de años que se esperan de beneficios</w:t>
      </w:r>
      <w:r w:rsidRPr="008D76D4" w:rsidR="004A2076">
        <w:rPr>
          <w:rFonts w:ascii="Arial" w:hAnsi="Arial" w:cs="Arial"/>
          <w:lang w:val="es-ES"/>
        </w:rPr>
        <w:t>.</w:t>
      </w:r>
      <w:r w:rsidRPr="008D76D4">
        <w:rPr>
          <w:rFonts w:ascii="Arial" w:hAnsi="Arial" w:cs="Arial"/>
          <w:lang w:val="es-ES"/>
        </w:rPr>
        <w:t xml:space="preserve"> Según los supuestos definidos anteriormente </w:t>
      </w:r>
      <w:r w:rsidRPr="008D76D4" w:rsidR="002060F3">
        <w:rPr>
          <w:rFonts w:ascii="Arial" w:hAnsi="Arial" w:cs="Arial"/>
          <w:lang w:val="es-ES"/>
        </w:rPr>
        <w:t xml:space="preserve">los </w:t>
      </w:r>
      <w:r w:rsidRPr="008D76D4" w:rsidR="006671FD">
        <w:rPr>
          <w:rFonts w:ascii="Arial" w:hAnsi="Arial" w:cs="Arial"/>
          <w:lang w:val="es-ES"/>
        </w:rPr>
        <w:t>b</w:t>
      </w:r>
      <w:r w:rsidRPr="008D76D4">
        <w:rPr>
          <w:rFonts w:ascii="Arial" w:hAnsi="Arial" w:cs="Arial"/>
          <w:lang w:val="es-ES"/>
        </w:rPr>
        <w:t>eneficio</w:t>
      </w:r>
      <w:r w:rsidRPr="008D76D4" w:rsidR="002060F3">
        <w:rPr>
          <w:rFonts w:ascii="Arial" w:hAnsi="Arial" w:cs="Arial"/>
          <w:lang w:val="es-ES"/>
        </w:rPr>
        <w:t>s</w:t>
      </w:r>
      <w:r w:rsidRPr="008D76D4">
        <w:rPr>
          <w:rFonts w:ascii="Arial" w:hAnsi="Arial" w:cs="Arial"/>
          <w:lang w:val="es-ES"/>
        </w:rPr>
        <w:t xml:space="preserve"> </w:t>
      </w:r>
      <w:r w:rsidRPr="008D76D4" w:rsidR="006671FD">
        <w:rPr>
          <w:rFonts w:ascii="Arial" w:hAnsi="Arial" w:cs="Arial"/>
          <w:lang w:val="es-ES"/>
        </w:rPr>
        <w:t>e</w:t>
      </w:r>
      <w:r w:rsidRPr="008D76D4" w:rsidR="002060F3">
        <w:rPr>
          <w:rFonts w:ascii="Arial" w:hAnsi="Arial" w:cs="Arial"/>
          <w:lang w:val="es-ES"/>
        </w:rPr>
        <w:t>conómicos</w:t>
      </w:r>
      <w:r w:rsidRPr="008D76D4" w:rsidR="00655634">
        <w:rPr>
          <w:rFonts w:ascii="Arial" w:hAnsi="Arial" w:cs="Arial"/>
          <w:lang w:val="es-ES"/>
        </w:rPr>
        <w:t xml:space="preserve"> por acceso a empleos </w:t>
      </w:r>
      <w:r w:rsidRPr="008D76D4" w:rsidR="008D76D4">
        <w:rPr>
          <w:rFonts w:ascii="Arial" w:hAnsi="Arial" w:cs="Arial"/>
          <w:lang w:val="es-ES"/>
        </w:rPr>
        <w:t xml:space="preserve">de calidad </w:t>
      </w:r>
      <w:r w:rsidRPr="008D76D4" w:rsidR="00655634">
        <w:rPr>
          <w:rFonts w:ascii="Arial" w:hAnsi="Arial" w:cs="Arial"/>
          <w:lang w:val="es-ES"/>
        </w:rPr>
        <w:t>se consideran en base al ingreso laboral del grupo de control de 319,54.</w:t>
      </w:r>
      <w:r w:rsidR="00CC3C2E">
        <w:rPr>
          <w:rFonts w:ascii="Arial" w:hAnsi="Arial" w:cs="Arial"/>
          <w:lang w:val="es-ES"/>
        </w:rPr>
        <w:t> </w:t>
      </w:r>
      <w:r w:rsidRPr="008D76D4" w:rsidR="008D76D4">
        <w:rPr>
          <w:rFonts w:ascii="Arial" w:hAnsi="Arial" w:cs="Arial"/>
          <w:lang w:val="es-ES"/>
        </w:rPr>
        <w:t xml:space="preserve"> Para esto se considera un impacto de 8,</w:t>
      </w:r>
      <w:r w:rsidR="00BA6EBC">
        <w:rPr>
          <w:rFonts w:ascii="Arial" w:hAnsi="Arial" w:cs="Arial"/>
          <w:lang w:val="es-ES"/>
        </w:rPr>
        <w:t xml:space="preserve">4 </w:t>
      </w:r>
      <w:r w:rsidRPr="008D76D4" w:rsidR="008D76D4">
        <w:rPr>
          <w:rFonts w:ascii="Arial" w:hAnsi="Arial" w:cs="Arial"/>
          <w:lang w:val="es-ES"/>
        </w:rPr>
        <w:t xml:space="preserve">pp. en acceso a empleo que se calcula por el año de ingreso de los beneficiarios al programa. </w:t>
      </w:r>
    </w:p>
    <w:p w:rsidRPr="008D76D4" w:rsidR="008D76D4" w:rsidP="008D76D4" w:rsidRDefault="008D76D4" w14:paraId="21CD8893" w14:textId="77777777">
      <w:pPr>
        <w:pStyle w:val="ListParagraph"/>
        <w:autoSpaceDE w:val="0"/>
        <w:autoSpaceDN w:val="0"/>
        <w:adjustRightInd w:val="0"/>
        <w:spacing w:after="0"/>
        <w:ind w:left="0"/>
        <w:jc w:val="both"/>
        <w:rPr>
          <w:rFonts w:ascii="Arial" w:hAnsi="Arial" w:cs="Arial"/>
          <w:lang w:val="es-ES"/>
        </w:rPr>
      </w:pPr>
    </w:p>
    <w:p w:rsidR="00F65A8C" w:rsidP="00562EA4" w:rsidRDefault="005B0724" w14:paraId="41F82B21" w14:textId="22586C44">
      <w:pPr>
        <w:pStyle w:val="ListParagraph"/>
        <w:numPr>
          <w:ilvl w:val="0"/>
          <w:numId w:val="8"/>
        </w:numPr>
        <w:autoSpaceDE w:val="0"/>
        <w:autoSpaceDN w:val="0"/>
        <w:adjustRightInd w:val="0"/>
        <w:spacing w:after="0"/>
        <w:ind w:left="0"/>
        <w:jc w:val="both"/>
        <w:rPr>
          <w:rFonts w:ascii="Arial" w:hAnsi="Arial" w:cs="Arial"/>
          <w:lang w:val="es-ES"/>
        </w:rPr>
      </w:pPr>
      <w:r w:rsidRPr="005B0724">
        <w:rPr>
          <w:rFonts w:ascii="Arial" w:hAnsi="Arial" w:cs="Arial"/>
          <w:lang w:val="es-ES"/>
        </w:rPr>
        <w:t xml:space="preserve">Con relación al </w:t>
      </w:r>
      <w:r w:rsidRPr="005B0724" w:rsidR="008D76D4">
        <w:rPr>
          <w:rFonts w:ascii="Arial" w:hAnsi="Arial" w:cs="Arial"/>
          <w:lang w:val="es-ES"/>
        </w:rPr>
        <w:t xml:space="preserve">impacto asociado a mayores ingresos en 8,7% para aquellos beneficiarios que se encuentran trabajando. </w:t>
      </w:r>
    </w:p>
    <w:p w:rsidRPr="005B0724" w:rsidR="005B0724" w:rsidP="005B0724" w:rsidRDefault="005B0724" w14:paraId="2C9048EF" w14:textId="77777777">
      <w:pPr>
        <w:pStyle w:val="ListParagraph"/>
        <w:rPr>
          <w:rFonts w:ascii="Arial" w:hAnsi="Arial" w:cs="Arial"/>
          <w:lang w:val="es-ES"/>
        </w:rPr>
      </w:pPr>
    </w:p>
    <w:p w:rsidR="005B0724" w:rsidP="005B0724" w:rsidRDefault="005B0724" w14:paraId="004B7C89" w14:textId="151B1548">
      <w:pPr>
        <w:pStyle w:val="ListParagraph"/>
        <w:jc w:val="center"/>
        <w:rPr>
          <w:rFonts w:ascii="Arial" w:hAnsi="Arial" w:cs="Arial"/>
          <w:b/>
          <w:lang w:val="es-ES"/>
        </w:rPr>
      </w:pPr>
      <w:r w:rsidRPr="00076048">
        <w:rPr>
          <w:rFonts w:ascii="Arial" w:hAnsi="Arial" w:cs="Arial"/>
          <w:b/>
          <w:lang w:val="es-ES"/>
        </w:rPr>
        <w:t xml:space="preserve">Tabla </w:t>
      </w:r>
      <w:r>
        <w:rPr>
          <w:rFonts w:ascii="Arial" w:hAnsi="Arial" w:cs="Arial"/>
          <w:b/>
          <w:lang w:val="es-ES"/>
        </w:rPr>
        <w:t>3</w:t>
      </w:r>
      <w:r w:rsidRPr="00076048">
        <w:rPr>
          <w:rFonts w:ascii="Arial" w:hAnsi="Arial" w:cs="Arial"/>
          <w:b/>
          <w:lang w:val="es-ES"/>
        </w:rPr>
        <w:t xml:space="preserve">: </w:t>
      </w:r>
      <w:r>
        <w:rPr>
          <w:rFonts w:ascii="Arial" w:hAnsi="Arial" w:cs="Arial"/>
          <w:b/>
          <w:lang w:val="es-ES"/>
        </w:rPr>
        <w:t xml:space="preserve">Calculo anual de beneficios </w:t>
      </w:r>
    </w:p>
    <w:p w:rsidRPr="005B0724" w:rsidR="005B0724" w:rsidP="005B0724" w:rsidRDefault="005B0724" w14:paraId="353E27F9" w14:textId="77777777">
      <w:pPr>
        <w:pStyle w:val="ListParagraph"/>
        <w:autoSpaceDE w:val="0"/>
        <w:autoSpaceDN w:val="0"/>
        <w:adjustRightInd w:val="0"/>
        <w:spacing w:after="0"/>
        <w:ind w:left="0"/>
        <w:jc w:val="both"/>
        <w:rPr>
          <w:rFonts w:ascii="Arial" w:hAnsi="Arial" w:cs="Arial"/>
          <w:lang w:val="es-ES"/>
        </w:rPr>
      </w:pPr>
    </w:p>
    <w:tbl>
      <w:tblPr>
        <w:tblW w:w="8671" w:type="dxa"/>
        <w:jc w:val="center"/>
        <w:tblLook w:val="04A0" w:firstRow="1" w:lastRow="0" w:firstColumn="1" w:lastColumn="0" w:noHBand="0" w:noVBand="1"/>
      </w:tblPr>
      <w:tblGrid>
        <w:gridCol w:w="2818"/>
        <w:gridCol w:w="2973"/>
        <w:gridCol w:w="2880"/>
      </w:tblGrid>
      <w:tr w:rsidRPr="005B0724" w:rsidR="005B0724" w:rsidTr="005B0724" w14:paraId="50058FC9" w14:textId="77777777">
        <w:trPr>
          <w:trHeight w:val="300"/>
          <w:jc w:val="center"/>
        </w:trPr>
        <w:tc>
          <w:tcPr>
            <w:tcW w:w="2818" w:type="dxa"/>
            <w:tcBorders>
              <w:top w:val="nil"/>
              <w:left w:val="nil"/>
              <w:bottom w:val="nil"/>
              <w:right w:val="nil"/>
            </w:tcBorders>
            <w:shd w:val="clear" w:color="000000" w:fill="FFFFFF"/>
            <w:noWrap/>
            <w:vAlign w:val="center"/>
            <w:hideMark/>
          </w:tcPr>
          <w:p w:rsidRPr="005B0724" w:rsidR="005B0724" w:rsidP="005B0724" w:rsidRDefault="005B0724" w14:paraId="1EF46D6B" w14:textId="77777777">
            <w:pPr>
              <w:spacing w:after="0" w:line="240" w:lineRule="auto"/>
              <w:rPr>
                <w:rFonts w:ascii="Calibri" w:hAnsi="Calibri" w:eastAsia="Times New Roman" w:cs="Calibri"/>
                <w:color w:val="000000"/>
                <w:sz w:val="20"/>
                <w:szCs w:val="20"/>
                <w:lang w:val="es-ES_tradnl"/>
              </w:rPr>
            </w:pPr>
            <w:r w:rsidRPr="005B0724">
              <w:rPr>
                <w:rFonts w:ascii="Calibri" w:hAnsi="Calibri" w:eastAsia="Times New Roman" w:cs="Calibri"/>
                <w:color w:val="000000"/>
                <w:sz w:val="20"/>
                <w:szCs w:val="20"/>
                <w:lang w:val="es-ES"/>
              </w:rPr>
              <w:t> </w:t>
            </w:r>
          </w:p>
        </w:tc>
        <w:tc>
          <w:tcPr>
            <w:tcW w:w="5853" w:type="dxa"/>
            <w:gridSpan w:val="2"/>
            <w:tcBorders>
              <w:top w:val="single" w:color="auto" w:sz="8" w:space="0"/>
              <w:left w:val="single" w:color="auto" w:sz="8" w:space="0"/>
              <w:bottom w:val="single" w:color="auto" w:sz="8" w:space="0"/>
              <w:right w:val="single" w:color="000000" w:sz="8" w:space="0"/>
            </w:tcBorders>
            <w:shd w:val="clear" w:color="000000" w:fill="FFFFFF"/>
            <w:noWrap/>
            <w:vAlign w:val="center"/>
            <w:hideMark/>
          </w:tcPr>
          <w:p w:rsidRPr="005B0724" w:rsidR="005B0724" w:rsidP="005B0724" w:rsidRDefault="005B0724" w14:paraId="221663F6" w14:textId="77777777">
            <w:pPr>
              <w:spacing w:after="0" w:line="240" w:lineRule="auto"/>
              <w:jc w:val="center"/>
              <w:rPr>
                <w:rFonts w:ascii="Calibri" w:hAnsi="Calibri" w:eastAsia="Times New Roman" w:cs="Calibri"/>
                <w:b/>
                <w:bCs/>
                <w:color w:val="000000"/>
                <w:sz w:val="20"/>
                <w:szCs w:val="20"/>
              </w:rPr>
            </w:pPr>
            <w:r w:rsidRPr="005B0724">
              <w:rPr>
                <w:rFonts w:ascii="Calibri" w:hAnsi="Calibri" w:eastAsia="Times New Roman" w:cs="Calibri"/>
                <w:b/>
                <w:bCs/>
                <w:color w:val="000000"/>
                <w:sz w:val="20"/>
                <w:szCs w:val="20"/>
                <w:lang w:val="es-ES"/>
              </w:rPr>
              <w:t>Beneficios del programa</w:t>
            </w:r>
          </w:p>
        </w:tc>
      </w:tr>
      <w:tr w:rsidRPr="005B0724" w:rsidR="005B0724" w:rsidTr="005B0724" w14:paraId="1419598B" w14:textId="77777777">
        <w:trPr>
          <w:trHeight w:val="300"/>
          <w:jc w:val="center"/>
        </w:trPr>
        <w:tc>
          <w:tcPr>
            <w:tcW w:w="2818" w:type="dxa"/>
            <w:tcBorders>
              <w:top w:val="nil"/>
              <w:left w:val="nil"/>
              <w:bottom w:val="nil"/>
              <w:right w:val="nil"/>
            </w:tcBorders>
            <w:shd w:val="clear" w:color="000000" w:fill="FFFFFF"/>
            <w:noWrap/>
            <w:vAlign w:val="center"/>
            <w:hideMark/>
          </w:tcPr>
          <w:p w:rsidRPr="005B0724" w:rsidR="005B0724" w:rsidP="005B0724" w:rsidRDefault="005B0724" w14:paraId="0069ED70" w14:textId="77777777">
            <w:pPr>
              <w:spacing w:after="0" w:line="240" w:lineRule="auto"/>
              <w:rPr>
                <w:rFonts w:ascii="Calibri" w:hAnsi="Calibri" w:eastAsia="Times New Roman" w:cs="Calibri"/>
                <w:color w:val="000000"/>
                <w:sz w:val="20"/>
                <w:szCs w:val="20"/>
              </w:rPr>
            </w:pPr>
            <w:r w:rsidRPr="005B0724">
              <w:rPr>
                <w:rFonts w:ascii="Calibri" w:hAnsi="Calibri" w:eastAsia="Times New Roman" w:cs="Calibri"/>
                <w:color w:val="000000"/>
                <w:sz w:val="20"/>
                <w:szCs w:val="20"/>
              </w:rPr>
              <w:t> </w:t>
            </w:r>
          </w:p>
        </w:tc>
        <w:tc>
          <w:tcPr>
            <w:tcW w:w="2973" w:type="dxa"/>
            <w:tcBorders>
              <w:top w:val="nil"/>
              <w:left w:val="single" w:color="auto" w:sz="8" w:space="0"/>
              <w:bottom w:val="single" w:color="auto" w:sz="8" w:space="0"/>
              <w:right w:val="single" w:color="auto" w:sz="8" w:space="0"/>
            </w:tcBorders>
            <w:shd w:val="clear" w:color="000000" w:fill="FFFFFF"/>
            <w:noWrap/>
            <w:vAlign w:val="center"/>
            <w:hideMark/>
          </w:tcPr>
          <w:p w:rsidRPr="005B0724" w:rsidR="005B0724" w:rsidP="005B0724" w:rsidRDefault="005B0724" w14:paraId="7AC685E0" w14:textId="77777777">
            <w:pPr>
              <w:spacing w:after="0" w:line="240" w:lineRule="auto"/>
              <w:jc w:val="center"/>
              <w:rPr>
                <w:rFonts w:ascii="Calibri" w:hAnsi="Calibri" w:eastAsia="Times New Roman" w:cs="Calibri"/>
                <w:b/>
                <w:bCs/>
                <w:color w:val="000000"/>
                <w:sz w:val="20"/>
                <w:szCs w:val="20"/>
                <w:lang w:val="es-ES_tradnl"/>
              </w:rPr>
            </w:pPr>
            <w:r w:rsidRPr="005B0724">
              <w:rPr>
                <w:rFonts w:ascii="Calibri" w:hAnsi="Calibri" w:eastAsia="Times New Roman" w:cs="Calibri"/>
                <w:b/>
                <w:bCs/>
                <w:color w:val="000000"/>
                <w:sz w:val="20"/>
                <w:szCs w:val="20"/>
                <w:lang w:val="es-ES_tradnl"/>
              </w:rPr>
              <w:t>Impacto identificado</w:t>
            </w:r>
          </w:p>
        </w:tc>
        <w:tc>
          <w:tcPr>
            <w:tcW w:w="2880" w:type="dxa"/>
            <w:tcBorders>
              <w:top w:val="nil"/>
              <w:left w:val="nil"/>
              <w:bottom w:val="single" w:color="auto" w:sz="8" w:space="0"/>
              <w:right w:val="single" w:color="auto" w:sz="8" w:space="0"/>
            </w:tcBorders>
            <w:shd w:val="clear" w:color="000000" w:fill="FFFFFF"/>
            <w:noWrap/>
            <w:vAlign w:val="center"/>
            <w:hideMark/>
          </w:tcPr>
          <w:p w:rsidRPr="005B0724" w:rsidR="005B0724" w:rsidP="005B0724" w:rsidRDefault="005B0724" w14:paraId="2D0AD851" w14:textId="77777777">
            <w:pPr>
              <w:spacing w:after="0" w:line="240" w:lineRule="auto"/>
              <w:jc w:val="center"/>
              <w:rPr>
                <w:rFonts w:ascii="Calibri" w:hAnsi="Calibri" w:eastAsia="Times New Roman" w:cs="Calibri"/>
                <w:b/>
                <w:bCs/>
                <w:color w:val="000000"/>
                <w:sz w:val="20"/>
                <w:szCs w:val="20"/>
                <w:lang w:val="es-ES_tradnl"/>
              </w:rPr>
            </w:pPr>
            <w:r w:rsidRPr="005B0724">
              <w:rPr>
                <w:rFonts w:ascii="Calibri" w:hAnsi="Calibri" w:eastAsia="Times New Roman" w:cs="Calibri"/>
                <w:b/>
                <w:bCs/>
                <w:color w:val="000000"/>
                <w:sz w:val="20"/>
                <w:szCs w:val="20"/>
                <w:lang w:val="es-ES_tradnl"/>
              </w:rPr>
              <w:t>Impacto anual estimado por beneficiario</w:t>
            </w:r>
          </w:p>
        </w:tc>
      </w:tr>
      <w:tr w:rsidRPr="005B0724" w:rsidR="005B0724" w:rsidTr="005B0724" w14:paraId="5D5420AF" w14:textId="77777777">
        <w:trPr>
          <w:trHeight w:val="300"/>
          <w:jc w:val="center"/>
        </w:trPr>
        <w:tc>
          <w:tcPr>
            <w:tcW w:w="2818" w:type="dxa"/>
            <w:tcBorders>
              <w:top w:val="single" w:color="auto" w:sz="8" w:space="0"/>
              <w:left w:val="single" w:color="auto" w:sz="8" w:space="0"/>
              <w:bottom w:val="single" w:color="auto" w:sz="8" w:space="0"/>
              <w:right w:val="single" w:color="auto" w:sz="8" w:space="0"/>
            </w:tcBorders>
            <w:shd w:val="clear" w:color="000000" w:fill="548DD4"/>
            <w:noWrap/>
            <w:vAlign w:val="center"/>
            <w:hideMark/>
          </w:tcPr>
          <w:p w:rsidRPr="005B0724" w:rsidR="005B0724" w:rsidP="005B0724" w:rsidRDefault="005B0724" w14:paraId="2B8CF33A" w14:textId="77777777">
            <w:pPr>
              <w:spacing w:after="0" w:line="240" w:lineRule="auto"/>
              <w:rPr>
                <w:rFonts w:ascii="Calibri" w:hAnsi="Calibri" w:eastAsia="Times New Roman" w:cs="Calibri"/>
                <w:b/>
                <w:bCs/>
                <w:color w:val="FFFFFF"/>
                <w:sz w:val="20"/>
                <w:szCs w:val="20"/>
              </w:rPr>
            </w:pPr>
            <w:r w:rsidRPr="005B0724">
              <w:rPr>
                <w:rFonts w:ascii="Calibri" w:hAnsi="Calibri" w:eastAsia="Times New Roman" w:cs="Calibri"/>
                <w:b/>
                <w:bCs/>
                <w:color w:val="FFFFFF"/>
                <w:sz w:val="20"/>
                <w:szCs w:val="20"/>
                <w:lang w:val="es-ES_tradnl"/>
              </w:rPr>
              <w:t>Acceso a Empleo</w:t>
            </w:r>
          </w:p>
        </w:tc>
        <w:tc>
          <w:tcPr>
            <w:tcW w:w="2973" w:type="dxa"/>
            <w:tcBorders>
              <w:top w:val="nil"/>
              <w:left w:val="nil"/>
              <w:bottom w:val="single" w:color="auto" w:sz="8" w:space="0"/>
              <w:right w:val="single" w:color="auto" w:sz="8" w:space="0"/>
            </w:tcBorders>
            <w:shd w:val="clear" w:color="000000" w:fill="FFFFFF"/>
            <w:noWrap/>
            <w:vAlign w:val="center"/>
            <w:hideMark/>
          </w:tcPr>
          <w:p w:rsidRPr="005B0724" w:rsidR="005B0724" w:rsidP="005B0724" w:rsidRDefault="005B0724" w14:paraId="595BC7B8" w14:textId="67ECBF2B">
            <w:pPr>
              <w:spacing w:after="0" w:line="240" w:lineRule="auto"/>
              <w:jc w:val="center"/>
              <w:rPr>
                <w:rFonts w:ascii="Calibri" w:hAnsi="Calibri" w:eastAsia="Times New Roman" w:cs="Calibri"/>
                <w:color w:val="000000"/>
                <w:sz w:val="20"/>
                <w:szCs w:val="20"/>
              </w:rPr>
            </w:pPr>
            <w:r w:rsidRPr="005B0724">
              <w:rPr>
                <w:rFonts w:ascii="Calibri" w:hAnsi="Calibri" w:eastAsia="Times New Roman" w:cs="Calibri"/>
                <w:color w:val="000000"/>
                <w:sz w:val="20"/>
                <w:szCs w:val="20"/>
                <w:lang w:val="es-ES"/>
              </w:rPr>
              <w:t>8,</w:t>
            </w:r>
            <w:r w:rsidR="00DB1C71">
              <w:rPr>
                <w:rFonts w:ascii="Calibri" w:hAnsi="Calibri" w:eastAsia="Times New Roman" w:cs="Calibri"/>
                <w:color w:val="000000"/>
                <w:sz w:val="20"/>
                <w:szCs w:val="20"/>
                <w:lang w:val="es-ES"/>
              </w:rPr>
              <w:t>40</w:t>
            </w:r>
            <w:r w:rsidRPr="005B0724">
              <w:rPr>
                <w:rFonts w:ascii="Calibri" w:hAnsi="Calibri" w:eastAsia="Times New Roman" w:cs="Calibri"/>
                <w:color w:val="000000"/>
                <w:sz w:val="20"/>
                <w:szCs w:val="20"/>
                <w:lang w:val="es-ES"/>
              </w:rPr>
              <w:t xml:space="preserve"> pp. </w:t>
            </w:r>
          </w:p>
        </w:tc>
        <w:tc>
          <w:tcPr>
            <w:tcW w:w="2880" w:type="dxa"/>
            <w:tcBorders>
              <w:top w:val="nil"/>
              <w:left w:val="nil"/>
              <w:bottom w:val="single" w:color="auto" w:sz="8" w:space="0"/>
              <w:right w:val="single" w:color="auto" w:sz="8" w:space="0"/>
            </w:tcBorders>
            <w:shd w:val="clear" w:color="000000" w:fill="FFFFFF"/>
            <w:noWrap/>
            <w:vAlign w:val="center"/>
            <w:hideMark/>
          </w:tcPr>
          <w:p w:rsidRPr="005B0724" w:rsidR="005B0724" w:rsidP="005B0724" w:rsidRDefault="005B0724" w14:paraId="3109BAE8" w14:textId="234C7777">
            <w:pPr>
              <w:spacing w:after="0" w:line="240" w:lineRule="auto"/>
              <w:jc w:val="center"/>
              <w:rPr>
                <w:rFonts w:ascii="Calibri" w:hAnsi="Calibri" w:eastAsia="Times New Roman" w:cs="Calibri"/>
                <w:color w:val="000000"/>
                <w:sz w:val="20"/>
                <w:szCs w:val="20"/>
              </w:rPr>
            </w:pPr>
            <w:r w:rsidRPr="005B0724">
              <w:rPr>
                <w:rFonts w:ascii="Calibri" w:hAnsi="Calibri" w:eastAsia="Times New Roman" w:cs="Calibri"/>
                <w:color w:val="000000"/>
                <w:sz w:val="20"/>
                <w:szCs w:val="20"/>
              </w:rPr>
              <w:t>317</w:t>
            </w:r>
            <w:r w:rsidR="00562EA4">
              <w:rPr>
                <w:rFonts w:ascii="Calibri" w:hAnsi="Calibri" w:eastAsia="Times New Roman" w:cs="Calibri"/>
                <w:color w:val="000000"/>
                <w:sz w:val="20"/>
                <w:szCs w:val="20"/>
              </w:rPr>
              <w:t>,</w:t>
            </w:r>
            <w:r w:rsidRPr="005B0724">
              <w:rPr>
                <w:rFonts w:ascii="Calibri" w:hAnsi="Calibri" w:eastAsia="Times New Roman" w:cs="Calibri"/>
                <w:color w:val="000000"/>
                <w:sz w:val="20"/>
                <w:szCs w:val="20"/>
              </w:rPr>
              <w:t>6</w:t>
            </w:r>
          </w:p>
        </w:tc>
      </w:tr>
      <w:tr w:rsidRPr="005B0724" w:rsidR="005B0724" w:rsidTr="005B0724" w14:paraId="5761A2DD" w14:textId="77777777">
        <w:trPr>
          <w:trHeight w:val="300"/>
          <w:jc w:val="center"/>
        </w:trPr>
        <w:tc>
          <w:tcPr>
            <w:tcW w:w="2818" w:type="dxa"/>
            <w:tcBorders>
              <w:top w:val="nil"/>
              <w:left w:val="single" w:color="auto" w:sz="8" w:space="0"/>
              <w:bottom w:val="single" w:color="auto" w:sz="8" w:space="0"/>
              <w:right w:val="single" w:color="auto" w:sz="8" w:space="0"/>
            </w:tcBorders>
            <w:shd w:val="clear" w:color="000000" w:fill="548DD4"/>
            <w:noWrap/>
            <w:vAlign w:val="center"/>
            <w:hideMark/>
          </w:tcPr>
          <w:p w:rsidRPr="005B0724" w:rsidR="005B0724" w:rsidP="005B0724" w:rsidRDefault="005B0724" w14:paraId="7F76C192" w14:textId="77777777">
            <w:pPr>
              <w:spacing w:after="0" w:line="240" w:lineRule="auto"/>
              <w:rPr>
                <w:rFonts w:ascii="Calibri" w:hAnsi="Calibri" w:eastAsia="Times New Roman" w:cs="Calibri"/>
                <w:b/>
                <w:bCs/>
                <w:color w:val="FFFFFF"/>
                <w:sz w:val="20"/>
                <w:szCs w:val="20"/>
              </w:rPr>
            </w:pPr>
            <w:r w:rsidRPr="005B0724">
              <w:rPr>
                <w:rFonts w:ascii="Calibri" w:hAnsi="Calibri" w:eastAsia="Times New Roman" w:cs="Calibri"/>
                <w:b/>
                <w:bCs/>
                <w:color w:val="FFFFFF"/>
                <w:sz w:val="20"/>
                <w:szCs w:val="20"/>
                <w:lang w:val="es-ES_tradnl"/>
              </w:rPr>
              <w:t>Ingresos Laborales</w:t>
            </w:r>
          </w:p>
        </w:tc>
        <w:tc>
          <w:tcPr>
            <w:tcW w:w="2973" w:type="dxa"/>
            <w:tcBorders>
              <w:top w:val="nil"/>
              <w:left w:val="nil"/>
              <w:bottom w:val="single" w:color="auto" w:sz="8" w:space="0"/>
              <w:right w:val="single" w:color="auto" w:sz="8" w:space="0"/>
            </w:tcBorders>
            <w:shd w:val="clear" w:color="000000" w:fill="FFFFFF"/>
            <w:noWrap/>
            <w:vAlign w:val="center"/>
            <w:hideMark/>
          </w:tcPr>
          <w:p w:rsidRPr="005B0724" w:rsidR="005B0724" w:rsidP="005B0724" w:rsidRDefault="005B0724" w14:paraId="09ED02BE" w14:textId="6EEF285F">
            <w:pPr>
              <w:spacing w:after="0" w:line="240" w:lineRule="auto"/>
              <w:jc w:val="center"/>
              <w:rPr>
                <w:rFonts w:ascii="Calibri" w:hAnsi="Calibri" w:eastAsia="Times New Roman" w:cs="Calibri"/>
                <w:color w:val="000000"/>
                <w:sz w:val="20"/>
                <w:szCs w:val="20"/>
              </w:rPr>
            </w:pPr>
            <w:r w:rsidRPr="005B0724">
              <w:rPr>
                <w:rFonts w:ascii="Calibri" w:hAnsi="Calibri" w:eastAsia="Times New Roman" w:cs="Calibri"/>
                <w:color w:val="000000"/>
                <w:sz w:val="20"/>
                <w:szCs w:val="20"/>
              </w:rPr>
              <w:t>8,7</w:t>
            </w:r>
            <w:r w:rsidR="00DB1C71">
              <w:rPr>
                <w:rFonts w:ascii="Calibri" w:hAnsi="Calibri" w:eastAsia="Times New Roman" w:cs="Calibri"/>
                <w:color w:val="000000"/>
                <w:sz w:val="20"/>
                <w:szCs w:val="20"/>
              </w:rPr>
              <w:t>7</w:t>
            </w:r>
            <w:r w:rsidR="00562EA4">
              <w:rPr>
                <w:rFonts w:ascii="Calibri" w:hAnsi="Calibri" w:eastAsia="Times New Roman" w:cs="Calibri"/>
                <w:color w:val="000000"/>
                <w:sz w:val="20"/>
                <w:szCs w:val="20"/>
              </w:rPr>
              <w:t xml:space="preserve"> </w:t>
            </w:r>
            <w:r w:rsidRPr="005B0724">
              <w:rPr>
                <w:rFonts w:ascii="Calibri" w:hAnsi="Calibri" w:eastAsia="Times New Roman" w:cs="Calibri"/>
                <w:color w:val="000000"/>
                <w:sz w:val="20"/>
                <w:szCs w:val="20"/>
              </w:rPr>
              <w:t>%</w:t>
            </w:r>
          </w:p>
        </w:tc>
        <w:tc>
          <w:tcPr>
            <w:tcW w:w="2880" w:type="dxa"/>
            <w:tcBorders>
              <w:top w:val="nil"/>
              <w:left w:val="nil"/>
              <w:bottom w:val="single" w:color="auto" w:sz="8" w:space="0"/>
              <w:right w:val="single" w:color="auto" w:sz="8" w:space="0"/>
            </w:tcBorders>
            <w:shd w:val="clear" w:color="000000" w:fill="FFFFFF"/>
            <w:noWrap/>
            <w:vAlign w:val="center"/>
            <w:hideMark/>
          </w:tcPr>
          <w:p w:rsidRPr="005B0724" w:rsidR="005B0724" w:rsidP="005B0724" w:rsidRDefault="005B0724" w14:paraId="648EDA82" w14:textId="7492830C">
            <w:pPr>
              <w:spacing w:after="0" w:line="240" w:lineRule="auto"/>
              <w:jc w:val="center"/>
              <w:rPr>
                <w:rFonts w:ascii="Calibri" w:hAnsi="Calibri" w:eastAsia="Times New Roman" w:cs="Calibri"/>
                <w:color w:val="000000"/>
                <w:sz w:val="20"/>
                <w:szCs w:val="20"/>
              </w:rPr>
            </w:pPr>
            <w:r w:rsidRPr="005B0724">
              <w:rPr>
                <w:rFonts w:ascii="Calibri" w:hAnsi="Calibri" w:eastAsia="Times New Roman" w:cs="Calibri"/>
                <w:color w:val="000000"/>
                <w:sz w:val="20"/>
                <w:szCs w:val="20"/>
              </w:rPr>
              <w:t>164</w:t>
            </w:r>
            <w:r w:rsidR="00562EA4">
              <w:rPr>
                <w:rFonts w:ascii="Calibri" w:hAnsi="Calibri" w:eastAsia="Times New Roman" w:cs="Calibri"/>
                <w:color w:val="000000"/>
                <w:sz w:val="20"/>
                <w:szCs w:val="20"/>
              </w:rPr>
              <w:t>,</w:t>
            </w:r>
            <w:r w:rsidRPr="005B0724">
              <w:rPr>
                <w:rFonts w:ascii="Calibri" w:hAnsi="Calibri" w:eastAsia="Times New Roman" w:cs="Calibri"/>
                <w:color w:val="000000"/>
                <w:sz w:val="20"/>
                <w:szCs w:val="20"/>
              </w:rPr>
              <w:t>0</w:t>
            </w:r>
          </w:p>
        </w:tc>
      </w:tr>
    </w:tbl>
    <w:p w:rsidR="005B0724" w:rsidP="00F65A8C" w:rsidRDefault="005B0724" w14:paraId="7E690FE9" w14:textId="1F9450E3">
      <w:pPr>
        <w:pStyle w:val="ListParagraph"/>
        <w:autoSpaceDE w:val="0"/>
        <w:autoSpaceDN w:val="0"/>
        <w:adjustRightInd w:val="0"/>
        <w:spacing w:after="0"/>
        <w:ind w:left="0"/>
        <w:jc w:val="both"/>
        <w:rPr>
          <w:rFonts w:ascii="Arial" w:hAnsi="Arial" w:cs="Arial"/>
          <w:lang w:val="es-ES"/>
        </w:rPr>
      </w:pPr>
    </w:p>
    <w:p w:rsidRPr="0078661C" w:rsidR="005B0724" w:rsidP="00F65A8C" w:rsidRDefault="005B0724" w14:paraId="17EFD608" w14:textId="77777777">
      <w:pPr>
        <w:pStyle w:val="ListParagraph"/>
        <w:autoSpaceDE w:val="0"/>
        <w:autoSpaceDN w:val="0"/>
        <w:adjustRightInd w:val="0"/>
        <w:spacing w:after="0"/>
        <w:ind w:left="0"/>
        <w:jc w:val="both"/>
        <w:rPr>
          <w:rFonts w:ascii="Arial" w:hAnsi="Arial" w:cs="Arial"/>
          <w:lang w:val="es-ES"/>
        </w:rPr>
      </w:pPr>
    </w:p>
    <w:p w:rsidR="00B926CA" w:rsidP="00B926CA" w:rsidRDefault="00B926CA" w14:paraId="32A318C3" w14:textId="42AA0AFF">
      <w:pPr>
        <w:autoSpaceDE w:val="0"/>
        <w:autoSpaceDN w:val="0"/>
        <w:adjustRightInd w:val="0"/>
        <w:spacing w:after="0"/>
        <w:jc w:val="center"/>
        <w:rPr>
          <w:rFonts w:ascii="Arial" w:hAnsi="Arial" w:cs="Arial"/>
          <w:b/>
          <w:lang w:val="es-ES"/>
        </w:rPr>
      </w:pPr>
      <w:r w:rsidRPr="0078661C">
        <w:rPr>
          <w:rFonts w:ascii="Arial" w:hAnsi="Arial" w:cs="Arial"/>
          <w:b/>
          <w:lang w:val="es-ES"/>
        </w:rPr>
        <w:t xml:space="preserve">Tabla </w:t>
      </w:r>
      <w:r w:rsidR="00E0720B">
        <w:rPr>
          <w:rFonts w:ascii="Arial" w:hAnsi="Arial" w:cs="Arial"/>
          <w:b/>
          <w:lang w:val="es-ES"/>
        </w:rPr>
        <w:t>4</w:t>
      </w:r>
      <w:r w:rsidRPr="0078661C">
        <w:rPr>
          <w:rFonts w:ascii="Arial" w:hAnsi="Arial" w:cs="Arial"/>
          <w:b/>
          <w:lang w:val="es-ES"/>
        </w:rPr>
        <w:t>: Valor Presente Neto</w:t>
      </w:r>
      <w:r w:rsidRPr="0078661C" w:rsidR="00B13A75">
        <w:rPr>
          <w:rFonts w:ascii="Arial" w:hAnsi="Arial" w:cs="Arial"/>
          <w:b/>
          <w:lang w:val="es-ES"/>
        </w:rPr>
        <w:t xml:space="preserve"> </w:t>
      </w:r>
      <w:r w:rsidRPr="0078661C" w:rsidR="002F3AB6">
        <w:rPr>
          <w:rFonts w:ascii="Arial" w:hAnsi="Arial" w:cs="Arial"/>
          <w:b/>
          <w:lang w:val="es-ES"/>
        </w:rPr>
        <w:t xml:space="preserve">y Ratio Beneficio/Costo </w:t>
      </w:r>
      <w:r w:rsidR="00E0720B">
        <w:rPr>
          <w:rFonts w:ascii="Arial" w:hAnsi="Arial" w:cs="Arial"/>
          <w:b/>
          <w:lang w:val="es-ES"/>
        </w:rPr>
        <w:t xml:space="preserve">Agregados </w:t>
      </w:r>
      <w:r w:rsidRPr="0078661C" w:rsidR="002F3AB6">
        <w:rPr>
          <w:rFonts w:ascii="Arial" w:hAnsi="Arial" w:cs="Arial"/>
          <w:b/>
          <w:lang w:val="es-ES"/>
        </w:rPr>
        <w:t>del Programa</w:t>
      </w:r>
    </w:p>
    <w:p w:rsidR="00EA2820" w:rsidP="00B926CA" w:rsidRDefault="00EA2820" w14:paraId="35F9AE5B" w14:textId="77777777">
      <w:pPr>
        <w:autoSpaceDE w:val="0"/>
        <w:autoSpaceDN w:val="0"/>
        <w:adjustRightInd w:val="0"/>
        <w:spacing w:after="0"/>
        <w:jc w:val="center"/>
        <w:rPr>
          <w:rFonts w:ascii="Arial" w:hAnsi="Arial" w:cs="Arial"/>
          <w:b/>
          <w:lang w:val="es-ES"/>
        </w:rPr>
      </w:pPr>
    </w:p>
    <w:tbl>
      <w:tblPr>
        <w:tblW w:w="6660" w:type="dxa"/>
        <w:jc w:val="center"/>
        <w:tblLook w:val="04A0" w:firstRow="1" w:lastRow="0" w:firstColumn="1" w:lastColumn="0" w:noHBand="0" w:noVBand="1"/>
      </w:tblPr>
      <w:tblGrid>
        <w:gridCol w:w="3420"/>
        <w:gridCol w:w="3240"/>
      </w:tblGrid>
      <w:tr w:rsidRPr="003406CF" w:rsidR="003406CF" w:rsidTr="003406CF" w14:paraId="4BB64A1D" w14:textId="77777777">
        <w:trPr>
          <w:trHeight w:val="708"/>
          <w:jc w:val="center"/>
        </w:trPr>
        <w:tc>
          <w:tcPr>
            <w:tcW w:w="6660" w:type="dxa"/>
            <w:gridSpan w:val="2"/>
            <w:tcBorders>
              <w:top w:val="nil"/>
              <w:left w:val="nil"/>
              <w:bottom w:val="single" w:color="auto" w:sz="4" w:space="0"/>
              <w:right w:val="nil"/>
            </w:tcBorders>
            <w:shd w:val="clear" w:color="000000" w:fill="4472C4"/>
            <w:vAlign w:val="center"/>
            <w:hideMark/>
          </w:tcPr>
          <w:p w:rsidRPr="003406CF" w:rsidR="003406CF" w:rsidP="003406CF" w:rsidRDefault="003406CF" w14:paraId="6FBD496A" w14:textId="77777777">
            <w:pPr>
              <w:spacing w:after="0" w:line="240" w:lineRule="auto"/>
              <w:jc w:val="center"/>
              <w:rPr>
                <w:rFonts w:ascii="Calibri" w:hAnsi="Calibri" w:eastAsia="Times New Roman" w:cs="Calibri"/>
                <w:b/>
                <w:bCs/>
                <w:color w:val="FFFFFF"/>
              </w:rPr>
            </w:pPr>
            <w:r w:rsidRPr="003406CF">
              <w:rPr>
                <w:rFonts w:ascii="Calibri" w:hAnsi="Calibri" w:eastAsia="Times New Roman" w:cs="Calibri"/>
                <w:b/>
                <w:bCs/>
                <w:color w:val="FFFFFF"/>
              </w:rPr>
              <w:t xml:space="preserve">PAE </w:t>
            </w:r>
            <w:r w:rsidRPr="003406CF">
              <w:rPr>
                <w:rFonts w:ascii="Calibri" w:hAnsi="Calibri" w:eastAsia="Times New Roman" w:cs="Calibri"/>
                <w:b/>
                <w:bCs/>
                <w:color w:val="FFFFFF"/>
              </w:rPr>
              <w:br/>
            </w:r>
            <w:r w:rsidRPr="003406CF">
              <w:rPr>
                <w:rFonts w:ascii="Calibri" w:hAnsi="Calibri" w:eastAsia="Times New Roman" w:cs="Calibri"/>
                <w:b/>
                <w:bCs/>
                <w:color w:val="FFFFFF"/>
                <w:lang w:val="es-ES_tradnl"/>
              </w:rPr>
              <w:t>Millones de dólares</w:t>
            </w:r>
          </w:p>
        </w:tc>
      </w:tr>
      <w:tr w:rsidRPr="003406CF" w:rsidR="003406CF" w:rsidTr="003406CF" w14:paraId="3E05B210" w14:textId="77777777">
        <w:trPr>
          <w:trHeight w:val="288"/>
          <w:jc w:val="center"/>
        </w:trPr>
        <w:tc>
          <w:tcPr>
            <w:tcW w:w="3420" w:type="dxa"/>
            <w:tcBorders>
              <w:top w:val="nil"/>
              <w:left w:val="nil"/>
              <w:bottom w:val="nil"/>
              <w:right w:val="nil"/>
            </w:tcBorders>
            <w:shd w:val="clear" w:color="000000" w:fill="FFFFFF"/>
            <w:noWrap/>
            <w:vAlign w:val="bottom"/>
            <w:hideMark/>
          </w:tcPr>
          <w:p w:rsidRPr="003406CF" w:rsidR="003406CF" w:rsidP="003406CF" w:rsidRDefault="003406CF" w14:paraId="2B4615E0" w14:textId="77777777">
            <w:pPr>
              <w:spacing w:after="0" w:line="240" w:lineRule="auto"/>
              <w:rPr>
                <w:rFonts w:ascii="Calibri" w:hAnsi="Calibri" w:eastAsia="Times New Roman" w:cs="Calibri"/>
                <w:color w:val="000000"/>
                <w:lang w:val="es-ES_tradnl"/>
              </w:rPr>
            </w:pPr>
            <w:r w:rsidRPr="003406CF">
              <w:rPr>
                <w:rFonts w:ascii="Calibri" w:hAnsi="Calibri" w:eastAsia="Times New Roman" w:cs="Calibri"/>
                <w:color w:val="000000"/>
                <w:lang w:val="es-ES_tradnl"/>
              </w:rPr>
              <w:t xml:space="preserve">Valor Presente de los Beneficios </w:t>
            </w:r>
          </w:p>
        </w:tc>
        <w:tc>
          <w:tcPr>
            <w:tcW w:w="3240" w:type="dxa"/>
            <w:tcBorders>
              <w:top w:val="nil"/>
              <w:left w:val="nil"/>
              <w:bottom w:val="nil"/>
              <w:right w:val="nil"/>
            </w:tcBorders>
            <w:shd w:val="clear" w:color="000000" w:fill="FFFFFF"/>
            <w:noWrap/>
            <w:vAlign w:val="bottom"/>
            <w:hideMark/>
          </w:tcPr>
          <w:p w:rsidRPr="003406CF" w:rsidR="003406CF" w:rsidP="003406CF" w:rsidRDefault="003406CF" w14:paraId="3AC1F5F6" w14:textId="4D1F7B6C">
            <w:pPr>
              <w:spacing w:after="0" w:line="240" w:lineRule="auto"/>
              <w:jc w:val="right"/>
              <w:rPr>
                <w:rFonts w:ascii="Calibri" w:hAnsi="Calibri" w:eastAsia="Times New Roman" w:cs="Calibri"/>
                <w:color w:val="000000"/>
              </w:rPr>
            </w:pPr>
            <w:r w:rsidRPr="003406CF">
              <w:rPr>
                <w:rFonts w:ascii="Calibri" w:hAnsi="Calibri" w:eastAsia="Times New Roman" w:cs="Calibri"/>
                <w:color w:val="000000"/>
                <w:lang w:val="es-ES_tradnl"/>
              </w:rPr>
              <w:t xml:space="preserve"> </w:t>
            </w:r>
            <w:r w:rsidRPr="003406CF">
              <w:rPr>
                <w:rFonts w:ascii="Calibri" w:hAnsi="Calibri" w:eastAsia="Times New Roman" w:cs="Calibri"/>
                <w:color w:val="000000"/>
              </w:rPr>
              <w:t xml:space="preserve">$ </w:t>
            </w:r>
            <w:r w:rsidR="00562EA4">
              <w:rPr>
                <w:rFonts w:ascii="Calibri" w:hAnsi="Calibri" w:eastAsia="Times New Roman" w:cs="Calibri"/>
                <w:color w:val="000000"/>
              </w:rPr>
              <w:t>18</w:t>
            </w:r>
            <w:r w:rsidR="00CF658C">
              <w:rPr>
                <w:rFonts w:ascii="Calibri" w:hAnsi="Calibri" w:eastAsia="Times New Roman" w:cs="Calibri"/>
                <w:color w:val="000000"/>
              </w:rPr>
              <w:t>,</w:t>
            </w:r>
            <w:r w:rsidR="00BA6EBC">
              <w:rPr>
                <w:rFonts w:ascii="Calibri" w:hAnsi="Calibri" w:eastAsia="Times New Roman" w:cs="Calibri"/>
                <w:color w:val="000000"/>
              </w:rPr>
              <w:t>54</w:t>
            </w:r>
            <w:r w:rsidRPr="003406CF">
              <w:rPr>
                <w:rFonts w:ascii="Calibri" w:hAnsi="Calibri" w:eastAsia="Times New Roman" w:cs="Calibri"/>
                <w:color w:val="000000"/>
              </w:rPr>
              <w:t xml:space="preserve"> </w:t>
            </w:r>
          </w:p>
        </w:tc>
      </w:tr>
      <w:tr w:rsidRPr="003406CF" w:rsidR="003406CF" w:rsidTr="003406CF" w14:paraId="45708C15" w14:textId="77777777">
        <w:trPr>
          <w:trHeight w:val="288"/>
          <w:jc w:val="center"/>
        </w:trPr>
        <w:tc>
          <w:tcPr>
            <w:tcW w:w="3420" w:type="dxa"/>
            <w:tcBorders>
              <w:top w:val="nil"/>
              <w:left w:val="nil"/>
              <w:bottom w:val="nil"/>
              <w:right w:val="nil"/>
            </w:tcBorders>
            <w:shd w:val="clear" w:color="000000" w:fill="FFFFFF"/>
            <w:noWrap/>
            <w:vAlign w:val="bottom"/>
            <w:hideMark/>
          </w:tcPr>
          <w:p w:rsidRPr="003406CF" w:rsidR="003406CF" w:rsidP="003406CF" w:rsidRDefault="003406CF" w14:paraId="7B8CE587" w14:textId="77777777">
            <w:pPr>
              <w:spacing w:after="0" w:line="240" w:lineRule="auto"/>
              <w:rPr>
                <w:rFonts w:ascii="Calibri" w:hAnsi="Calibri" w:eastAsia="Times New Roman" w:cs="Calibri"/>
                <w:color w:val="000000"/>
                <w:lang w:val="es-ES_tradnl"/>
              </w:rPr>
            </w:pPr>
            <w:r w:rsidRPr="003406CF">
              <w:rPr>
                <w:rFonts w:ascii="Calibri" w:hAnsi="Calibri" w:eastAsia="Times New Roman" w:cs="Calibri"/>
                <w:color w:val="000000"/>
                <w:lang w:val="es-ES_tradnl"/>
              </w:rPr>
              <w:t>Valor Presente de los Costos</w:t>
            </w:r>
          </w:p>
        </w:tc>
        <w:tc>
          <w:tcPr>
            <w:tcW w:w="3240" w:type="dxa"/>
            <w:tcBorders>
              <w:top w:val="nil"/>
              <w:left w:val="nil"/>
              <w:bottom w:val="nil"/>
              <w:right w:val="nil"/>
            </w:tcBorders>
            <w:shd w:val="clear" w:color="000000" w:fill="FFFFFF"/>
            <w:noWrap/>
            <w:vAlign w:val="bottom"/>
            <w:hideMark/>
          </w:tcPr>
          <w:p w:rsidRPr="003406CF" w:rsidR="003406CF" w:rsidP="003406CF" w:rsidRDefault="003406CF" w14:paraId="674E6473" w14:textId="5185B99D">
            <w:pPr>
              <w:spacing w:after="0" w:line="240" w:lineRule="auto"/>
              <w:jc w:val="right"/>
              <w:rPr>
                <w:rFonts w:ascii="Calibri" w:hAnsi="Calibri" w:eastAsia="Times New Roman" w:cs="Calibri"/>
                <w:color w:val="000000"/>
              </w:rPr>
            </w:pPr>
            <w:r w:rsidRPr="003406CF">
              <w:rPr>
                <w:rFonts w:ascii="Calibri" w:hAnsi="Calibri" w:eastAsia="Times New Roman" w:cs="Calibri"/>
                <w:color w:val="000000"/>
                <w:lang w:val="es-ES_tradnl"/>
              </w:rPr>
              <w:t xml:space="preserve"> </w:t>
            </w:r>
            <w:r w:rsidRPr="003406CF">
              <w:rPr>
                <w:rFonts w:ascii="Calibri" w:hAnsi="Calibri" w:eastAsia="Times New Roman" w:cs="Calibri"/>
                <w:color w:val="000000"/>
              </w:rPr>
              <w:t>$ 14</w:t>
            </w:r>
            <w:r w:rsidR="00CF658C">
              <w:rPr>
                <w:rFonts w:ascii="Calibri" w:hAnsi="Calibri" w:eastAsia="Times New Roman" w:cs="Calibri"/>
                <w:color w:val="000000"/>
              </w:rPr>
              <w:t>,</w:t>
            </w:r>
            <w:r w:rsidRPr="003406CF">
              <w:rPr>
                <w:rFonts w:ascii="Calibri" w:hAnsi="Calibri" w:eastAsia="Times New Roman" w:cs="Calibri"/>
                <w:color w:val="000000"/>
              </w:rPr>
              <w:t xml:space="preserve">87 </w:t>
            </w:r>
          </w:p>
        </w:tc>
      </w:tr>
      <w:tr w:rsidRPr="003406CF" w:rsidR="003406CF" w:rsidTr="003406CF" w14:paraId="663CD8F5" w14:textId="77777777">
        <w:trPr>
          <w:trHeight w:val="288"/>
          <w:jc w:val="center"/>
        </w:trPr>
        <w:tc>
          <w:tcPr>
            <w:tcW w:w="3420" w:type="dxa"/>
            <w:tcBorders>
              <w:top w:val="nil"/>
              <w:left w:val="nil"/>
              <w:bottom w:val="nil"/>
              <w:right w:val="nil"/>
            </w:tcBorders>
            <w:shd w:val="clear" w:color="000000" w:fill="FFFFFF"/>
            <w:noWrap/>
            <w:vAlign w:val="bottom"/>
            <w:hideMark/>
          </w:tcPr>
          <w:p w:rsidRPr="003406CF" w:rsidR="003406CF" w:rsidP="003406CF" w:rsidRDefault="003406CF" w14:paraId="09BAE896" w14:textId="77777777">
            <w:pPr>
              <w:spacing w:after="0" w:line="240" w:lineRule="auto"/>
              <w:rPr>
                <w:rFonts w:ascii="Calibri" w:hAnsi="Calibri" w:eastAsia="Times New Roman" w:cs="Calibri"/>
                <w:color w:val="000000"/>
                <w:lang w:val="es-ES_tradnl"/>
              </w:rPr>
            </w:pPr>
            <w:r w:rsidRPr="003406CF">
              <w:rPr>
                <w:rFonts w:ascii="Calibri" w:hAnsi="Calibri" w:eastAsia="Times New Roman" w:cs="Calibri"/>
                <w:color w:val="000000"/>
                <w:lang w:val="es-ES_tradnl"/>
              </w:rPr>
              <w:t>Valor Presente Neto</w:t>
            </w:r>
          </w:p>
        </w:tc>
        <w:tc>
          <w:tcPr>
            <w:tcW w:w="3240" w:type="dxa"/>
            <w:tcBorders>
              <w:top w:val="nil"/>
              <w:left w:val="nil"/>
              <w:bottom w:val="nil"/>
              <w:right w:val="nil"/>
            </w:tcBorders>
            <w:shd w:val="clear" w:color="000000" w:fill="FFFFFF"/>
            <w:noWrap/>
            <w:vAlign w:val="bottom"/>
            <w:hideMark/>
          </w:tcPr>
          <w:p w:rsidRPr="003406CF" w:rsidR="003406CF" w:rsidP="003406CF" w:rsidRDefault="003406CF" w14:paraId="627965A2" w14:textId="4C7EFA84">
            <w:pPr>
              <w:spacing w:after="0" w:line="240" w:lineRule="auto"/>
              <w:jc w:val="right"/>
              <w:rPr>
                <w:rFonts w:ascii="Calibri" w:hAnsi="Calibri" w:eastAsia="Times New Roman" w:cs="Calibri"/>
                <w:color w:val="000000"/>
              </w:rPr>
            </w:pPr>
            <w:r w:rsidRPr="003406CF">
              <w:rPr>
                <w:rFonts w:ascii="Calibri" w:hAnsi="Calibri" w:eastAsia="Times New Roman" w:cs="Calibri"/>
                <w:color w:val="000000"/>
              </w:rPr>
              <w:t xml:space="preserve"> $   </w:t>
            </w:r>
            <w:r w:rsidR="00562EA4">
              <w:rPr>
                <w:rFonts w:ascii="Calibri" w:hAnsi="Calibri" w:eastAsia="Times New Roman" w:cs="Calibri"/>
                <w:color w:val="000000"/>
              </w:rPr>
              <w:t>3</w:t>
            </w:r>
            <w:r w:rsidR="00CF658C">
              <w:rPr>
                <w:rFonts w:ascii="Calibri" w:hAnsi="Calibri" w:eastAsia="Times New Roman" w:cs="Calibri"/>
                <w:color w:val="000000"/>
              </w:rPr>
              <w:t>,</w:t>
            </w:r>
            <w:r w:rsidR="00BA6EBC">
              <w:rPr>
                <w:rFonts w:ascii="Calibri" w:hAnsi="Calibri" w:eastAsia="Times New Roman" w:cs="Calibri"/>
                <w:color w:val="000000"/>
              </w:rPr>
              <w:t>68</w:t>
            </w:r>
            <w:r w:rsidRPr="003406CF">
              <w:rPr>
                <w:rFonts w:ascii="Calibri" w:hAnsi="Calibri" w:eastAsia="Times New Roman" w:cs="Calibri"/>
                <w:color w:val="000000"/>
              </w:rPr>
              <w:t xml:space="preserve"> </w:t>
            </w:r>
          </w:p>
        </w:tc>
      </w:tr>
      <w:tr w:rsidRPr="003406CF" w:rsidR="003406CF" w:rsidTr="003406CF" w14:paraId="39FCFFBA" w14:textId="77777777">
        <w:trPr>
          <w:trHeight w:val="288"/>
          <w:jc w:val="center"/>
        </w:trPr>
        <w:tc>
          <w:tcPr>
            <w:tcW w:w="3420" w:type="dxa"/>
            <w:tcBorders>
              <w:top w:val="nil"/>
              <w:left w:val="nil"/>
              <w:bottom w:val="nil"/>
              <w:right w:val="nil"/>
            </w:tcBorders>
            <w:shd w:val="clear" w:color="000000" w:fill="FFFFFF"/>
            <w:noWrap/>
            <w:vAlign w:val="bottom"/>
            <w:hideMark/>
          </w:tcPr>
          <w:p w:rsidRPr="003406CF" w:rsidR="003406CF" w:rsidP="003406CF" w:rsidRDefault="003406CF" w14:paraId="475C186E" w14:textId="6A283DFB">
            <w:pPr>
              <w:spacing w:after="0" w:line="240" w:lineRule="auto"/>
              <w:rPr>
                <w:rFonts w:ascii="Calibri" w:hAnsi="Calibri" w:eastAsia="Times New Roman" w:cs="Calibri"/>
                <w:color w:val="000000"/>
                <w:lang w:val="es-ES_tradnl"/>
              </w:rPr>
            </w:pPr>
            <w:r w:rsidRPr="003406CF">
              <w:rPr>
                <w:rFonts w:ascii="Calibri" w:hAnsi="Calibri" w:eastAsia="Times New Roman" w:cs="Calibri"/>
                <w:color w:val="000000"/>
                <w:lang w:val="es-ES_tradnl"/>
              </w:rPr>
              <w:t>Retorno Económico (ERR)</w:t>
            </w:r>
          </w:p>
        </w:tc>
        <w:tc>
          <w:tcPr>
            <w:tcW w:w="3240" w:type="dxa"/>
            <w:tcBorders>
              <w:top w:val="nil"/>
              <w:left w:val="nil"/>
              <w:bottom w:val="nil"/>
              <w:right w:val="nil"/>
            </w:tcBorders>
            <w:shd w:val="clear" w:color="000000" w:fill="FFFFFF"/>
            <w:noWrap/>
            <w:vAlign w:val="bottom"/>
            <w:hideMark/>
          </w:tcPr>
          <w:p w:rsidRPr="003406CF" w:rsidR="003406CF" w:rsidP="003406CF" w:rsidRDefault="00562EA4" w14:paraId="3321FD3E" w14:textId="04C29363">
            <w:pPr>
              <w:spacing w:after="0" w:line="240" w:lineRule="auto"/>
              <w:jc w:val="right"/>
              <w:rPr>
                <w:rFonts w:ascii="Calibri" w:hAnsi="Calibri" w:eastAsia="Times New Roman" w:cs="Calibri"/>
                <w:color w:val="000000"/>
              </w:rPr>
            </w:pPr>
            <w:r>
              <w:rPr>
                <w:rFonts w:ascii="Calibri" w:hAnsi="Calibri" w:eastAsia="Times New Roman" w:cs="Calibri"/>
                <w:color w:val="000000"/>
              </w:rPr>
              <w:t>4</w:t>
            </w:r>
            <w:r w:rsidR="00BA6EBC">
              <w:rPr>
                <w:rFonts w:ascii="Calibri" w:hAnsi="Calibri" w:eastAsia="Times New Roman" w:cs="Calibri"/>
                <w:color w:val="000000"/>
              </w:rPr>
              <w:t>5</w:t>
            </w:r>
            <w:r w:rsidR="00CF658C">
              <w:rPr>
                <w:rFonts w:ascii="Calibri" w:hAnsi="Calibri" w:eastAsia="Times New Roman" w:cs="Calibri"/>
                <w:color w:val="000000"/>
              </w:rPr>
              <w:t>,</w:t>
            </w:r>
            <w:r w:rsidR="00BA6EBC">
              <w:rPr>
                <w:rFonts w:ascii="Calibri" w:hAnsi="Calibri" w:eastAsia="Times New Roman" w:cs="Calibri"/>
                <w:color w:val="000000"/>
              </w:rPr>
              <w:t>7</w:t>
            </w:r>
            <w:r>
              <w:rPr>
                <w:rFonts w:ascii="Calibri" w:hAnsi="Calibri" w:eastAsia="Times New Roman" w:cs="Calibri"/>
                <w:color w:val="000000"/>
              </w:rPr>
              <w:t>4</w:t>
            </w:r>
            <w:r w:rsidRPr="003406CF" w:rsidR="003406CF">
              <w:rPr>
                <w:rFonts w:ascii="Calibri" w:hAnsi="Calibri" w:eastAsia="Times New Roman" w:cs="Calibri"/>
                <w:color w:val="000000"/>
              </w:rPr>
              <w:t>%</w:t>
            </w:r>
          </w:p>
        </w:tc>
      </w:tr>
      <w:tr w:rsidRPr="003406CF" w:rsidR="003406CF" w:rsidTr="003406CF" w14:paraId="31F52184" w14:textId="77777777">
        <w:trPr>
          <w:trHeight w:val="288"/>
          <w:jc w:val="center"/>
        </w:trPr>
        <w:tc>
          <w:tcPr>
            <w:tcW w:w="3420" w:type="dxa"/>
            <w:tcBorders>
              <w:top w:val="nil"/>
              <w:left w:val="nil"/>
              <w:bottom w:val="single" w:color="auto" w:sz="4" w:space="0"/>
              <w:right w:val="nil"/>
            </w:tcBorders>
            <w:shd w:val="clear" w:color="000000" w:fill="FFFFFF"/>
            <w:noWrap/>
            <w:vAlign w:val="bottom"/>
            <w:hideMark/>
          </w:tcPr>
          <w:p w:rsidRPr="003406CF" w:rsidR="003406CF" w:rsidP="003406CF" w:rsidRDefault="003406CF" w14:paraId="39EB51FF" w14:textId="0F980A49">
            <w:pPr>
              <w:spacing w:after="0" w:line="240" w:lineRule="auto"/>
              <w:rPr>
                <w:rFonts w:ascii="Calibri" w:hAnsi="Calibri" w:eastAsia="Times New Roman" w:cs="Calibri"/>
                <w:color w:val="000000"/>
                <w:lang w:val="es-ES_tradnl"/>
              </w:rPr>
            </w:pPr>
            <w:r w:rsidRPr="003406CF">
              <w:rPr>
                <w:rFonts w:ascii="Calibri" w:hAnsi="Calibri" w:eastAsia="Times New Roman" w:cs="Calibri"/>
                <w:color w:val="000000"/>
                <w:lang w:val="es-ES_tradnl"/>
              </w:rPr>
              <w:t>Ratio Beneficio - Costo</w:t>
            </w:r>
          </w:p>
        </w:tc>
        <w:tc>
          <w:tcPr>
            <w:tcW w:w="3240" w:type="dxa"/>
            <w:tcBorders>
              <w:top w:val="nil"/>
              <w:left w:val="nil"/>
              <w:bottom w:val="single" w:color="auto" w:sz="4" w:space="0"/>
              <w:right w:val="nil"/>
            </w:tcBorders>
            <w:shd w:val="clear" w:color="000000" w:fill="FFFFFF"/>
            <w:noWrap/>
            <w:vAlign w:val="bottom"/>
            <w:hideMark/>
          </w:tcPr>
          <w:p w:rsidRPr="003406CF" w:rsidR="003406CF" w:rsidP="003406CF" w:rsidRDefault="003406CF" w14:paraId="13B56BCC" w14:textId="20EB3309">
            <w:pPr>
              <w:spacing w:after="0" w:line="240" w:lineRule="auto"/>
              <w:jc w:val="right"/>
              <w:rPr>
                <w:rFonts w:ascii="Calibri" w:hAnsi="Calibri" w:eastAsia="Times New Roman" w:cs="Calibri"/>
                <w:color w:val="000000"/>
              </w:rPr>
            </w:pPr>
            <w:r w:rsidRPr="003406CF">
              <w:rPr>
                <w:rFonts w:ascii="Calibri" w:hAnsi="Calibri" w:eastAsia="Times New Roman" w:cs="Calibri"/>
                <w:color w:val="000000"/>
              </w:rPr>
              <w:t xml:space="preserve">                                                  1</w:t>
            </w:r>
            <w:r w:rsidR="00CF658C">
              <w:rPr>
                <w:rFonts w:ascii="Calibri" w:hAnsi="Calibri" w:eastAsia="Times New Roman" w:cs="Calibri"/>
                <w:color w:val="000000"/>
              </w:rPr>
              <w:t>,</w:t>
            </w:r>
            <w:r w:rsidR="00562EA4">
              <w:rPr>
                <w:rFonts w:ascii="Calibri" w:hAnsi="Calibri" w:eastAsia="Times New Roman" w:cs="Calibri"/>
                <w:color w:val="000000"/>
              </w:rPr>
              <w:t>2</w:t>
            </w:r>
            <w:r w:rsidR="00BA6EBC">
              <w:rPr>
                <w:rFonts w:ascii="Calibri" w:hAnsi="Calibri" w:eastAsia="Times New Roman" w:cs="Calibri"/>
                <w:color w:val="000000"/>
              </w:rPr>
              <w:t>5</w:t>
            </w:r>
          </w:p>
        </w:tc>
      </w:tr>
    </w:tbl>
    <w:p w:rsidR="00EA2820" w:rsidP="00B926CA" w:rsidRDefault="00EA2820" w14:paraId="1391832E" w14:textId="2DA40A56">
      <w:pPr>
        <w:autoSpaceDE w:val="0"/>
        <w:autoSpaceDN w:val="0"/>
        <w:adjustRightInd w:val="0"/>
        <w:spacing w:after="0"/>
        <w:jc w:val="center"/>
        <w:rPr>
          <w:rFonts w:ascii="Arial" w:hAnsi="Arial" w:cs="Arial"/>
          <w:b/>
          <w:lang w:val="es-ES"/>
        </w:rPr>
      </w:pPr>
    </w:p>
    <w:p w:rsidRPr="008D76D4" w:rsidR="00932A3B" w:rsidP="00932A3B" w:rsidRDefault="00932A3B" w14:paraId="2B6F0845" w14:textId="4637144E">
      <w:pPr>
        <w:pStyle w:val="ListParagraph"/>
        <w:numPr>
          <w:ilvl w:val="0"/>
          <w:numId w:val="8"/>
        </w:numPr>
        <w:autoSpaceDE w:val="0"/>
        <w:autoSpaceDN w:val="0"/>
        <w:adjustRightInd w:val="0"/>
        <w:spacing w:after="0"/>
        <w:ind w:left="0"/>
        <w:jc w:val="both"/>
        <w:rPr>
          <w:rFonts w:ascii="Arial" w:hAnsi="Arial" w:cs="Arial"/>
          <w:lang w:val="es-ES"/>
        </w:rPr>
      </w:pPr>
      <w:r w:rsidRPr="008D76D4">
        <w:rPr>
          <w:rFonts w:ascii="Arial" w:hAnsi="Arial" w:cs="Arial"/>
          <w:lang w:val="es-ES"/>
        </w:rPr>
        <w:lastRenderedPageBreak/>
        <w:t xml:space="preserve">En términos de los beneficios del Programa presenta beneficios esperados por </w:t>
      </w:r>
      <w:r w:rsidR="00CC3C2E">
        <w:rPr>
          <w:rFonts w:ascii="Arial" w:hAnsi="Arial" w:cs="Arial"/>
          <w:lang w:val="es-ES"/>
        </w:rPr>
        <w:t>US$</w:t>
      </w:r>
      <w:r>
        <w:rPr>
          <w:rFonts w:ascii="Arial" w:hAnsi="Arial" w:cs="Arial"/>
          <w:lang w:val="es-ES"/>
        </w:rPr>
        <w:t>18</w:t>
      </w:r>
      <w:r w:rsidRPr="008D76D4">
        <w:rPr>
          <w:rFonts w:ascii="Arial" w:hAnsi="Arial" w:cs="Arial"/>
          <w:lang w:val="es-ES"/>
        </w:rPr>
        <w:t>,</w:t>
      </w:r>
      <w:r w:rsidR="004F5855">
        <w:rPr>
          <w:rFonts w:ascii="Arial" w:hAnsi="Arial" w:cs="Arial"/>
          <w:lang w:val="es-ES"/>
        </w:rPr>
        <w:t>54</w:t>
      </w:r>
      <w:r w:rsidR="00CC3C2E">
        <w:rPr>
          <w:rFonts w:ascii="Arial" w:hAnsi="Arial" w:cs="Arial"/>
          <w:lang w:val="es-ES"/>
        </w:rPr>
        <w:t> </w:t>
      </w:r>
      <w:r w:rsidRPr="008D76D4">
        <w:rPr>
          <w:rFonts w:ascii="Arial" w:hAnsi="Arial" w:cs="Arial"/>
          <w:lang w:val="es-ES"/>
        </w:rPr>
        <w:t xml:space="preserve">millones, lo que significa un beneficio neto (VPN) de </w:t>
      </w:r>
      <w:r w:rsidR="00CC3C2E">
        <w:rPr>
          <w:rFonts w:ascii="Arial" w:hAnsi="Arial" w:cs="Arial"/>
          <w:lang w:val="es-ES"/>
        </w:rPr>
        <w:t>US$</w:t>
      </w:r>
      <w:r>
        <w:rPr>
          <w:rFonts w:ascii="Arial" w:hAnsi="Arial" w:cs="Arial"/>
          <w:lang w:val="es-ES"/>
        </w:rPr>
        <w:t>3,6</w:t>
      </w:r>
      <w:r w:rsidR="004F5855">
        <w:rPr>
          <w:rFonts w:ascii="Arial" w:hAnsi="Arial" w:cs="Arial"/>
          <w:lang w:val="es-ES"/>
        </w:rPr>
        <w:t>8</w:t>
      </w:r>
      <w:r w:rsidR="00CC3C2E">
        <w:rPr>
          <w:rFonts w:ascii="Arial" w:hAnsi="Arial" w:cs="Arial"/>
          <w:lang w:val="es-ES"/>
        </w:rPr>
        <w:t> </w:t>
      </w:r>
      <w:r w:rsidRPr="008D76D4">
        <w:rPr>
          <w:rFonts w:ascii="Arial" w:hAnsi="Arial" w:cs="Arial"/>
          <w:lang w:val="es-ES"/>
        </w:rPr>
        <w:t>millones. Esto a su vez, se traduce en un Ratio Beneficio/Costo de 1,</w:t>
      </w:r>
      <w:r>
        <w:rPr>
          <w:rFonts w:ascii="Arial" w:hAnsi="Arial" w:cs="Arial"/>
          <w:lang w:val="es-ES"/>
        </w:rPr>
        <w:t>2</w:t>
      </w:r>
      <w:r w:rsidR="004F5855">
        <w:rPr>
          <w:rFonts w:ascii="Arial" w:hAnsi="Arial" w:cs="Arial"/>
          <w:lang w:val="es-ES"/>
        </w:rPr>
        <w:t>5</w:t>
      </w:r>
      <w:r w:rsidRPr="008D76D4">
        <w:rPr>
          <w:rFonts w:ascii="Arial" w:hAnsi="Arial" w:cs="Arial"/>
          <w:lang w:val="es-ES"/>
        </w:rPr>
        <w:t xml:space="preserve"> y una Tasa Interna de Retorno de </w:t>
      </w:r>
      <w:r>
        <w:rPr>
          <w:rFonts w:ascii="Arial" w:hAnsi="Arial" w:cs="Arial"/>
          <w:lang w:val="es-ES"/>
        </w:rPr>
        <w:t>4</w:t>
      </w:r>
      <w:r w:rsidR="004F5855">
        <w:rPr>
          <w:rFonts w:ascii="Arial" w:hAnsi="Arial" w:cs="Arial"/>
          <w:lang w:val="es-ES"/>
        </w:rPr>
        <w:t>6</w:t>
      </w:r>
      <w:r w:rsidRPr="008D76D4">
        <w:rPr>
          <w:rFonts w:ascii="Arial" w:hAnsi="Arial" w:cs="Arial"/>
          <w:lang w:val="es-ES"/>
        </w:rPr>
        <w:t xml:space="preserve">%. La </w:t>
      </w:r>
      <w:r>
        <w:rPr>
          <w:rFonts w:ascii="Arial" w:hAnsi="Arial" w:cs="Arial"/>
          <w:lang w:val="es-ES"/>
        </w:rPr>
        <w:t xml:space="preserve">desagregación del cálculo de beneficios se presenta en Anexos en la Tabla A2 y la </w:t>
      </w:r>
      <w:r w:rsidRPr="008D76D4">
        <w:rPr>
          <w:rFonts w:ascii="Arial" w:hAnsi="Arial" w:cs="Arial"/>
          <w:lang w:val="es-ES"/>
        </w:rPr>
        <w:t>desagregación del flujo de beneficios y costos se presenta en la Tabla A</w:t>
      </w:r>
      <w:r>
        <w:rPr>
          <w:rFonts w:ascii="Arial" w:hAnsi="Arial" w:cs="Arial"/>
          <w:lang w:val="es-ES"/>
        </w:rPr>
        <w:t>3.</w:t>
      </w:r>
      <w:r w:rsidRPr="008D76D4">
        <w:rPr>
          <w:rFonts w:ascii="Arial" w:hAnsi="Arial" w:cs="Arial"/>
          <w:lang w:val="es-ES"/>
        </w:rPr>
        <w:t xml:space="preserve"> </w:t>
      </w:r>
    </w:p>
    <w:p w:rsidR="00932A3B" w:rsidP="00B926CA" w:rsidRDefault="00932A3B" w14:paraId="092D56FE" w14:textId="77777777">
      <w:pPr>
        <w:autoSpaceDE w:val="0"/>
        <w:autoSpaceDN w:val="0"/>
        <w:adjustRightInd w:val="0"/>
        <w:spacing w:after="0"/>
        <w:jc w:val="center"/>
        <w:rPr>
          <w:rFonts w:ascii="Arial" w:hAnsi="Arial" w:cs="Arial"/>
          <w:b/>
          <w:lang w:val="es-ES"/>
        </w:rPr>
      </w:pPr>
    </w:p>
    <w:p w:rsidRPr="0078661C" w:rsidR="00541D07" w:rsidP="00F65A8C" w:rsidRDefault="0056524B" w14:paraId="60EFDF29" w14:textId="77777777">
      <w:pPr>
        <w:pStyle w:val="ListParagraph"/>
        <w:numPr>
          <w:ilvl w:val="0"/>
          <w:numId w:val="7"/>
        </w:numPr>
        <w:spacing w:before="120" w:after="0"/>
        <w:ind w:left="0"/>
        <w:jc w:val="both"/>
        <w:rPr>
          <w:rFonts w:ascii="Arial" w:hAnsi="Arial" w:cs="Arial"/>
          <w:b/>
          <w:lang w:val="es-ES"/>
        </w:rPr>
      </w:pPr>
      <w:r w:rsidRPr="0078661C">
        <w:rPr>
          <w:rFonts w:ascii="Arial" w:hAnsi="Arial" w:cs="Arial"/>
          <w:b/>
          <w:lang w:val="es-ES"/>
        </w:rPr>
        <w:t>Análisis</w:t>
      </w:r>
      <w:r w:rsidRPr="0078661C" w:rsidR="00541D07">
        <w:rPr>
          <w:rFonts w:ascii="Arial" w:hAnsi="Arial" w:cs="Arial"/>
          <w:b/>
          <w:lang w:val="es-ES"/>
        </w:rPr>
        <w:t xml:space="preserve"> de Sensibilidad</w:t>
      </w:r>
    </w:p>
    <w:p w:rsidRPr="0078661C" w:rsidR="00DD5F9F" w:rsidP="00DD5F9F" w:rsidRDefault="00DD5F9F" w14:paraId="6D511536" w14:textId="77777777">
      <w:pPr>
        <w:pStyle w:val="ListParagraph"/>
        <w:spacing w:before="120" w:after="0"/>
        <w:ind w:left="0"/>
        <w:jc w:val="both"/>
        <w:rPr>
          <w:rFonts w:ascii="Arial" w:hAnsi="Arial" w:cs="Arial"/>
          <w:b/>
          <w:lang w:val="es-ES"/>
        </w:rPr>
      </w:pPr>
    </w:p>
    <w:p w:rsidRPr="00B07FEF" w:rsidR="00C338F2" w:rsidP="00562EA4" w:rsidRDefault="00DD5F9F" w14:paraId="6F7E410E" w14:textId="36FFD4AD">
      <w:pPr>
        <w:pStyle w:val="ListParagraph"/>
        <w:numPr>
          <w:ilvl w:val="0"/>
          <w:numId w:val="8"/>
        </w:numPr>
        <w:ind w:left="0"/>
        <w:jc w:val="both"/>
        <w:rPr>
          <w:rFonts w:ascii="Arial" w:hAnsi="Arial" w:cs="Arial"/>
          <w:lang w:val="es-ES"/>
        </w:rPr>
      </w:pPr>
      <w:r w:rsidRPr="00B07FEF">
        <w:rPr>
          <w:rFonts w:ascii="Arial" w:hAnsi="Arial" w:cs="Arial"/>
          <w:lang w:val="es-ES"/>
        </w:rPr>
        <w:t xml:space="preserve">En la presente sección se </w:t>
      </w:r>
      <w:r w:rsidRPr="00B07FEF" w:rsidR="00C338F2">
        <w:rPr>
          <w:rFonts w:ascii="Arial" w:hAnsi="Arial" w:cs="Arial"/>
          <w:lang w:val="es-ES"/>
        </w:rPr>
        <w:t xml:space="preserve">presenta </w:t>
      </w:r>
      <w:r w:rsidRPr="00B07FEF">
        <w:rPr>
          <w:rFonts w:ascii="Arial" w:hAnsi="Arial" w:cs="Arial"/>
          <w:lang w:val="es-ES"/>
        </w:rPr>
        <w:t xml:space="preserve">el </w:t>
      </w:r>
      <w:r w:rsidRPr="00B07FEF" w:rsidR="00A970EE">
        <w:rPr>
          <w:rFonts w:ascii="Arial" w:hAnsi="Arial" w:cs="Arial"/>
          <w:lang w:val="es-ES"/>
        </w:rPr>
        <w:t>análisis</w:t>
      </w:r>
      <w:r w:rsidRPr="00B07FEF">
        <w:rPr>
          <w:rFonts w:ascii="Arial" w:hAnsi="Arial" w:cs="Arial"/>
          <w:lang w:val="es-ES"/>
        </w:rPr>
        <w:t xml:space="preserve"> de </w:t>
      </w:r>
      <w:r w:rsidRPr="00B07FEF" w:rsidR="00A970EE">
        <w:rPr>
          <w:rFonts w:ascii="Arial" w:hAnsi="Arial" w:cs="Arial"/>
          <w:lang w:val="es-ES"/>
        </w:rPr>
        <w:t>sensibilidad</w:t>
      </w:r>
      <w:r w:rsidRPr="00B07FEF">
        <w:rPr>
          <w:rFonts w:ascii="Arial" w:hAnsi="Arial" w:cs="Arial"/>
          <w:lang w:val="es-ES"/>
        </w:rPr>
        <w:t xml:space="preserve"> </w:t>
      </w:r>
      <w:r w:rsidRPr="00B07FEF" w:rsidR="00C338F2">
        <w:rPr>
          <w:rFonts w:ascii="Arial" w:hAnsi="Arial" w:cs="Arial"/>
          <w:lang w:val="es-ES"/>
        </w:rPr>
        <w:t xml:space="preserve">en el que se modifican </w:t>
      </w:r>
      <w:r w:rsidRPr="00B07FEF">
        <w:rPr>
          <w:rFonts w:ascii="Arial" w:hAnsi="Arial" w:cs="Arial"/>
          <w:lang w:val="es-ES"/>
        </w:rPr>
        <w:t>los supuestos descritos</w:t>
      </w:r>
      <w:r w:rsidRPr="00B07FEF" w:rsidR="00C338F2">
        <w:rPr>
          <w:rFonts w:ascii="Arial" w:hAnsi="Arial" w:cs="Arial"/>
          <w:lang w:val="es-ES"/>
        </w:rPr>
        <w:t xml:space="preserve"> anteriormente</w:t>
      </w:r>
      <w:r w:rsidRPr="00B07FEF" w:rsidR="002A45F0">
        <w:rPr>
          <w:rFonts w:ascii="Arial" w:hAnsi="Arial" w:cs="Arial"/>
          <w:lang w:val="es-ES"/>
        </w:rPr>
        <w:t xml:space="preserve">. </w:t>
      </w:r>
      <w:r w:rsidR="00B07FEF">
        <w:rPr>
          <w:rFonts w:ascii="Arial" w:hAnsi="Arial" w:cs="Arial"/>
          <w:lang w:val="es-BO"/>
        </w:rPr>
        <w:t xml:space="preserve">En el análisis de sensibilidad aquí presentado se modifica </w:t>
      </w:r>
      <w:r w:rsidRPr="008B750A" w:rsidR="00B07FEF">
        <w:rPr>
          <w:rFonts w:ascii="Arial" w:hAnsi="Arial" w:cs="Arial"/>
          <w:lang w:val="es-BO"/>
        </w:rPr>
        <w:t xml:space="preserve">la magnitud del impacto encontrado en las tres variables laborales utilizadas, una a la vez, para eso se considera una variación en </w:t>
      </w:r>
      <w:r w:rsidR="004F5855">
        <w:rPr>
          <w:rFonts w:ascii="Arial" w:hAnsi="Arial" w:cs="Arial"/>
          <w:lang w:val="es-BO"/>
        </w:rPr>
        <w:t>dos</w:t>
      </w:r>
      <w:r w:rsidRPr="008B750A" w:rsidR="00B07FEF">
        <w:rPr>
          <w:rFonts w:ascii="Arial" w:hAnsi="Arial" w:cs="Arial"/>
          <w:lang w:val="es-BO"/>
        </w:rPr>
        <w:t xml:space="preserve"> (</w:t>
      </w:r>
      <w:r w:rsidR="004F5855">
        <w:rPr>
          <w:rFonts w:ascii="Arial" w:hAnsi="Arial" w:cs="Arial"/>
          <w:lang w:val="es-BO"/>
        </w:rPr>
        <w:t>2</w:t>
      </w:r>
      <w:r w:rsidRPr="008B750A" w:rsidR="00B07FEF">
        <w:rPr>
          <w:rFonts w:ascii="Arial" w:hAnsi="Arial" w:cs="Arial"/>
          <w:lang w:val="es-BO"/>
        </w:rPr>
        <w:t>) desviación estándar en los impactos. Adicionalmente, se presenta el análisis de los resultados del programa ante la existencia de efecto desplazamiento</w:t>
      </w:r>
      <w:r w:rsidRPr="008B750A" w:rsidR="00B07FEF">
        <w:rPr>
          <w:rStyle w:val="FootnoteReference"/>
          <w:rFonts w:ascii="Arial" w:hAnsi="Arial" w:cs="Arial"/>
          <w:lang w:val="es-BO"/>
        </w:rPr>
        <w:footnoteReference w:id="14"/>
      </w:r>
      <w:r w:rsidRPr="008B750A" w:rsidR="00B07FEF">
        <w:rPr>
          <w:rFonts w:ascii="Arial" w:hAnsi="Arial" w:cs="Arial"/>
          <w:lang w:val="es-BO"/>
        </w:rPr>
        <w:t>.</w:t>
      </w:r>
    </w:p>
    <w:p w:rsidRPr="00B07FEF" w:rsidR="00B07FEF" w:rsidP="00B07FEF" w:rsidRDefault="00B07FEF" w14:paraId="18BF5FA3" w14:textId="77777777">
      <w:pPr>
        <w:pStyle w:val="ListParagraph"/>
        <w:ind w:left="0"/>
        <w:jc w:val="both"/>
        <w:rPr>
          <w:rFonts w:ascii="Arial" w:hAnsi="Arial" w:cs="Arial"/>
          <w:lang w:val="es-ES"/>
        </w:rPr>
      </w:pPr>
    </w:p>
    <w:p w:rsidR="00B07FEF" w:rsidP="00B07FEF" w:rsidRDefault="00C338F2" w14:paraId="15AB524D" w14:textId="0F8EB509">
      <w:pPr>
        <w:pStyle w:val="ListParagraph"/>
        <w:numPr>
          <w:ilvl w:val="0"/>
          <w:numId w:val="8"/>
        </w:numPr>
        <w:ind w:left="0"/>
        <w:jc w:val="both"/>
        <w:rPr>
          <w:rFonts w:ascii="Arial" w:hAnsi="Arial" w:cs="Arial"/>
          <w:lang w:val="es-ES"/>
        </w:rPr>
      </w:pPr>
      <w:r w:rsidRPr="0078661C">
        <w:rPr>
          <w:rFonts w:ascii="Arial" w:hAnsi="Arial" w:cs="Arial"/>
          <w:lang w:val="es-ES"/>
        </w:rPr>
        <w:t xml:space="preserve">Las </w:t>
      </w:r>
      <w:r w:rsidRPr="0078661C" w:rsidR="00C2589B">
        <w:rPr>
          <w:rFonts w:ascii="Arial" w:hAnsi="Arial" w:cs="Arial"/>
          <w:lang w:val="es-ES"/>
        </w:rPr>
        <w:t>tres</w:t>
      </w:r>
      <w:r w:rsidRPr="0078661C">
        <w:rPr>
          <w:rFonts w:ascii="Arial" w:hAnsi="Arial" w:cs="Arial"/>
          <w:lang w:val="es-ES"/>
        </w:rPr>
        <w:t xml:space="preserve"> últimas columnas muestran el VPN (en millones de dólares) de los beneficios netos de costos, tras hacer un análisis </w:t>
      </w:r>
      <w:r w:rsidRPr="0078661C">
        <w:rPr>
          <w:rFonts w:ascii="Arial" w:hAnsi="Arial" w:cs="Arial"/>
          <w:i/>
          <w:lang w:val="es-ES"/>
        </w:rPr>
        <w:t>ceteris paribus</w:t>
      </w:r>
      <w:r w:rsidRPr="0078661C">
        <w:rPr>
          <w:rFonts w:ascii="Arial" w:hAnsi="Arial" w:cs="Arial"/>
          <w:lang w:val="es-ES"/>
        </w:rPr>
        <w:t xml:space="preserve"> de sensibilidad en el que se modifica un parámetro a la vez. En todos los escenarios el proyecto es rentable</w:t>
      </w:r>
      <w:r w:rsidR="00B07FEF">
        <w:rPr>
          <w:rFonts w:ascii="Arial" w:hAnsi="Arial" w:cs="Arial"/>
          <w:lang w:val="es-ES"/>
        </w:rPr>
        <w:t>, siendo que la evaluación muestra resultados mucho más positivos a pesar de que en el presente análisis se toman los resultados más pesimistas.</w:t>
      </w:r>
    </w:p>
    <w:p w:rsidRPr="0078661C" w:rsidR="00B21AFF" w:rsidP="00B07FEF" w:rsidRDefault="00B07FEF" w14:paraId="6804191E" w14:textId="441FDE98">
      <w:pPr>
        <w:pStyle w:val="ListParagraph"/>
        <w:ind w:left="0"/>
        <w:jc w:val="both"/>
        <w:rPr>
          <w:rFonts w:ascii="Arial" w:hAnsi="Arial" w:cs="Arial"/>
          <w:lang w:val="es-ES"/>
        </w:rPr>
      </w:pPr>
      <w:r w:rsidRPr="0078661C">
        <w:rPr>
          <w:rFonts w:ascii="Arial" w:hAnsi="Arial" w:cs="Arial"/>
          <w:lang w:val="es-ES"/>
        </w:rPr>
        <w:t xml:space="preserve"> </w:t>
      </w:r>
    </w:p>
    <w:p w:rsidRPr="0078661C" w:rsidR="00C338F2" w:rsidP="00BD0746" w:rsidRDefault="00055F1B" w14:paraId="004493BB" w14:textId="33A7BE50">
      <w:pPr>
        <w:pStyle w:val="ListParagraph"/>
        <w:numPr>
          <w:ilvl w:val="0"/>
          <w:numId w:val="8"/>
        </w:numPr>
        <w:ind w:left="0"/>
        <w:jc w:val="both"/>
        <w:rPr>
          <w:rFonts w:ascii="Arial" w:hAnsi="Arial" w:cs="Arial"/>
          <w:lang w:val="es-ES"/>
        </w:rPr>
      </w:pPr>
      <w:r w:rsidRPr="0078661C">
        <w:rPr>
          <w:rFonts w:ascii="Arial" w:hAnsi="Arial" w:cs="Arial"/>
          <w:lang w:val="es-ES"/>
        </w:rPr>
        <w:t>Para dar flexibilidad al análisis</w:t>
      </w:r>
      <w:r w:rsidR="002D5DB3">
        <w:rPr>
          <w:rFonts w:ascii="Arial" w:hAnsi="Arial" w:cs="Arial"/>
          <w:lang w:val="es-ES"/>
        </w:rPr>
        <w:t xml:space="preserve"> y como se </w:t>
      </w:r>
      <w:r w:rsidR="001F0F05">
        <w:rPr>
          <w:rFonts w:ascii="Arial" w:hAnsi="Arial" w:cs="Arial"/>
          <w:lang w:val="es-ES"/>
        </w:rPr>
        <w:t>mencionó</w:t>
      </w:r>
      <w:r w:rsidR="002D5DB3">
        <w:rPr>
          <w:rFonts w:ascii="Arial" w:hAnsi="Arial" w:cs="Arial"/>
          <w:lang w:val="es-ES"/>
        </w:rPr>
        <w:t xml:space="preserve"> anteriormente</w:t>
      </w:r>
      <w:r w:rsidRPr="0078661C">
        <w:rPr>
          <w:rFonts w:ascii="Arial" w:hAnsi="Arial" w:cs="Arial"/>
          <w:lang w:val="es-ES"/>
        </w:rPr>
        <w:t>, se calcula el impacto de la existencia de</w:t>
      </w:r>
      <w:r w:rsidRPr="0078661C" w:rsidR="002F56E2">
        <w:rPr>
          <w:rFonts w:ascii="Arial" w:hAnsi="Arial" w:cs="Arial"/>
          <w:lang w:val="es-ES"/>
        </w:rPr>
        <w:t xml:space="preserve"> efecto desplazamiento</w:t>
      </w:r>
      <w:r w:rsidRPr="0078661C">
        <w:rPr>
          <w:rFonts w:ascii="Arial" w:hAnsi="Arial" w:cs="Arial"/>
          <w:lang w:val="es-ES"/>
        </w:rPr>
        <w:t>. Siguiendo a Gonzales (2014)</w:t>
      </w:r>
      <w:r w:rsidRPr="0078661C" w:rsidR="00B21AFF">
        <w:rPr>
          <w:rFonts w:ascii="Arial" w:hAnsi="Arial" w:cs="Arial"/>
          <w:lang w:val="es-ES"/>
        </w:rPr>
        <w:t>,</w:t>
      </w:r>
      <w:r w:rsidRPr="0078661C">
        <w:rPr>
          <w:rFonts w:ascii="Arial" w:hAnsi="Arial" w:cs="Arial"/>
          <w:lang w:val="es-ES"/>
        </w:rPr>
        <w:t xml:space="preserve"> se asume un escenario en el que existe un efecto desplazamiento al primer año, en el 50% de los no beneficiarios del PAE pierden su empleo y que dicho efecto desaparece en los siguientes periodos. Esto implica asumir, que el primer año el </w:t>
      </w:r>
      <w:r w:rsidRPr="0078661C" w:rsidR="00B21AFF">
        <w:rPr>
          <w:rFonts w:ascii="Arial" w:hAnsi="Arial" w:cs="Arial"/>
          <w:lang w:val="es-ES"/>
        </w:rPr>
        <w:t xml:space="preserve">beneficio </w:t>
      </w:r>
      <w:r w:rsidRPr="0078661C">
        <w:rPr>
          <w:rFonts w:ascii="Arial" w:hAnsi="Arial" w:cs="Arial"/>
          <w:lang w:val="es-ES"/>
        </w:rPr>
        <w:t>del programa</w:t>
      </w:r>
      <w:r w:rsidRPr="0078661C" w:rsidR="006826D7">
        <w:rPr>
          <w:rFonts w:ascii="Arial" w:hAnsi="Arial" w:cs="Arial"/>
          <w:lang w:val="es-ES"/>
        </w:rPr>
        <w:t xml:space="preserve"> </w:t>
      </w:r>
      <w:r w:rsidRPr="0078661C" w:rsidR="00C11D48">
        <w:rPr>
          <w:rFonts w:ascii="Arial" w:hAnsi="Arial" w:cs="Arial"/>
          <w:lang w:val="es-ES"/>
        </w:rPr>
        <w:t>a nivel agregado</w:t>
      </w:r>
      <w:r w:rsidRPr="0078661C">
        <w:rPr>
          <w:rFonts w:ascii="Arial" w:hAnsi="Arial" w:cs="Arial"/>
          <w:lang w:val="es-ES"/>
        </w:rPr>
        <w:t xml:space="preserve"> </w:t>
      </w:r>
      <w:r w:rsidRPr="0078661C" w:rsidR="00B21AFF">
        <w:rPr>
          <w:rFonts w:ascii="Arial" w:hAnsi="Arial" w:cs="Arial"/>
          <w:lang w:val="es-ES"/>
        </w:rPr>
        <w:t>es</w:t>
      </w:r>
      <w:r w:rsidRPr="0078661C">
        <w:rPr>
          <w:rFonts w:ascii="Arial" w:hAnsi="Arial" w:cs="Arial"/>
          <w:lang w:val="es-ES"/>
        </w:rPr>
        <w:t xml:space="preserve"> </w:t>
      </w:r>
      <w:r w:rsidRPr="0078661C" w:rsidR="00C11D48">
        <w:rPr>
          <w:rFonts w:ascii="Arial" w:hAnsi="Arial" w:cs="Arial"/>
          <w:lang w:val="es-ES"/>
        </w:rPr>
        <w:t xml:space="preserve">igual a </w:t>
      </w:r>
      <w:r w:rsidRPr="0078661C">
        <w:rPr>
          <w:rFonts w:ascii="Arial" w:hAnsi="Arial" w:cs="Arial"/>
          <w:lang w:val="es-ES"/>
        </w:rPr>
        <w:t>la mitad</w:t>
      </w:r>
      <w:r w:rsidRPr="0078661C" w:rsidR="00B21AFF">
        <w:rPr>
          <w:rFonts w:ascii="Arial" w:hAnsi="Arial" w:cs="Arial"/>
          <w:lang w:val="es-ES"/>
        </w:rPr>
        <w:t xml:space="preserve">. Incluso ante la presencia de este efecto desplazamiento </w:t>
      </w:r>
      <w:r w:rsidR="002D5DB3">
        <w:rPr>
          <w:rFonts w:ascii="Arial" w:hAnsi="Arial" w:cs="Arial"/>
          <w:lang w:val="es-ES"/>
        </w:rPr>
        <w:t>propuesto</w:t>
      </w:r>
      <w:r w:rsidRPr="0078661C" w:rsidR="00B21AFF">
        <w:rPr>
          <w:rFonts w:ascii="Arial" w:hAnsi="Arial" w:cs="Arial"/>
          <w:lang w:val="es-ES"/>
        </w:rPr>
        <w:t>, el proyecto es rentable.</w:t>
      </w:r>
    </w:p>
    <w:p w:rsidRPr="00C074B4" w:rsidR="00C11D48" w:rsidP="00C11D48" w:rsidRDefault="00C11D48" w14:paraId="0709F5D7" w14:textId="7DF13FA5">
      <w:pPr>
        <w:autoSpaceDE w:val="0"/>
        <w:autoSpaceDN w:val="0"/>
        <w:adjustRightInd w:val="0"/>
        <w:spacing w:after="0"/>
        <w:jc w:val="center"/>
        <w:rPr>
          <w:rFonts w:ascii="Arial" w:hAnsi="Arial" w:cs="Arial"/>
          <w:b/>
          <w:sz w:val="18"/>
          <w:szCs w:val="18"/>
          <w:lang w:val="es-ES"/>
        </w:rPr>
      </w:pPr>
      <w:r w:rsidRPr="00C074B4">
        <w:rPr>
          <w:rFonts w:ascii="Arial" w:hAnsi="Arial" w:cs="Arial"/>
          <w:b/>
          <w:sz w:val="18"/>
          <w:szCs w:val="18"/>
          <w:lang w:val="es-ES"/>
        </w:rPr>
        <w:t xml:space="preserve">Tabla </w:t>
      </w:r>
      <w:r w:rsidRPr="00C074B4" w:rsidR="00E0720B">
        <w:rPr>
          <w:rFonts w:ascii="Arial" w:hAnsi="Arial" w:cs="Arial"/>
          <w:b/>
          <w:sz w:val="18"/>
          <w:szCs w:val="18"/>
          <w:lang w:val="es-ES"/>
        </w:rPr>
        <w:t>5</w:t>
      </w:r>
      <w:r w:rsidRPr="00C074B4">
        <w:rPr>
          <w:rFonts w:ascii="Arial" w:hAnsi="Arial" w:cs="Arial"/>
          <w:b/>
          <w:sz w:val="18"/>
          <w:szCs w:val="18"/>
          <w:lang w:val="es-ES"/>
        </w:rPr>
        <w:t xml:space="preserve">: Análisis de Sensibilidad </w:t>
      </w:r>
    </w:p>
    <w:tbl>
      <w:tblPr>
        <w:tblW w:w="9081" w:type="dxa"/>
        <w:tblInd w:w="113" w:type="dxa"/>
        <w:tblLook w:val="04A0" w:firstRow="1" w:lastRow="0" w:firstColumn="1" w:lastColumn="0" w:noHBand="0" w:noVBand="1"/>
      </w:tblPr>
      <w:tblGrid>
        <w:gridCol w:w="2860"/>
        <w:gridCol w:w="1175"/>
        <w:gridCol w:w="766"/>
        <w:gridCol w:w="1239"/>
        <w:gridCol w:w="1158"/>
        <w:gridCol w:w="667"/>
        <w:gridCol w:w="1220"/>
      </w:tblGrid>
      <w:tr w:rsidRPr="00DC1078" w:rsidR="004F5855" w:rsidTr="004F5855" w14:paraId="7B137606" w14:textId="77777777">
        <w:trPr>
          <w:trHeight w:val="288"/>
        </w:trPr>
        <w:tc>
          <w:tcPr>
            <w:tcW w:w="2860" w:type="dxa"/>
            <w:vMerge w:val="restart"/>
            <w:tcBorders>
              <w:top w:val="single" w:color="auto" w:sz="4" w:space="0"/>
              <w:left w:val="single" w:color="auto" w:sz="4" w:space="0"/>
              <w:bottom w:val="single" w:color="auto" w:sz="4" w:space="0"/>
              <w:right w:val="single" w:color="auto" w:sz="4" w:space="0"/>
            </w:tcBorders>
            <w:shd w:val="clear" w:color="000000" w:fill="4472C4"/>
            <w:noWrap/>
            <w:vAlign w:val="center"/>
            <w:hideMark/>
          </w:tcPr>
          <w:p w:rsidRPr="00DB1C71" w:rsidR="004F5855" w:rsidP="004F5855" w:rsidRDefault="004F5855" w14:paraId="58A6D176" w14:textId="77777777">
            <w:pPr>
              <w:spacing w:after="0" w:line="240" w:lineRule="auto"/>
              <w:jc w:val="center"/>
              <w:rPr>
                <w:rFonts w:ascii="Arial" w:hAnsi="Arial" w:eastAsia="Times New Roman" w:cs="Arial"/>
                <w:b/>
                <w:bCs/>
                <w:color w:val="FFFFFF"/>
                <w:sz w:val="18"/>
                <w:szCs w:val="18"/>
                <w:lang w:val="es-ES_tradnl"/>
              </w:rPr>
            </w:pPr>
            <w:bookmarkStart w:name="RANGE!A1:G4" w:id="1"/>
            <w:r w:rsidRPr="00DB1C71">
              <w:rPr>
                <w:rFonts w:ascii="Arial" w:hAnsi="Arial" w:eastAsia="Times New Roman" w:cs="Arial"/>
                <w:b/>
                <w:bCs/>
                <w:color w:val="FFFFFF"/>
                <w:sz w:val="18"/>
                <w:szCs w:val="18"/>
                <w:lang w:val="es-ES_tradnl"/>
              </w:rPr>
              <w:t>Variable</w:t>
            </w:r>
            <w:bookmarkEnd w:id="1"/>
          </w:p>
        </w:tc>
        <w:tc>
          <w:tcPr>
            <w:tcW w:w="3180" w:type="dxa"/>
            <w:gridSpan w:val="3"/>
            <w:tcBorders>
              <w:top w:val="single" w:color="auto" w:sz="4" w:space="0"/>
              <w:left w:val="nil"/>
              <w:bottom w:val="single" w:color="auto" w:sz="4" w:space="0"/>
              <w:right w:val="single" w:color="auto" w:sz="4" w:space="0"/>
            </w:tcBorders>
            <w:shd w:val="clear" w:color="000000" w:fill="4472C4"/>
            <w:noWrap/>
            <w:vAlign w:val="center"/>
            <w:hideMark/>
          </w:tcPr>
          <w:p w:rsidRPr="00DB1C71" w:rsidR="004F5855" w:rsidP="004F5855" w:rsidRDefault="004F5855" w14:paraId="12BE8572" w14:textId="77777777">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Escenario</w:t>
            </w:r>
          </w:p>
        </w:tc>
        <w:tc>
          <w:tcPr>
            <w:tcW w:w="3041" w:type="dxa"/>
            <w:gridSpan w:val="3"/>
            <w:tcBorders>
              <w:top w:val="single" w:color="auto" w:sz="4" w:space="0"/>
              <w:left w:val="nil"/>
              <w:bottom w:val="single" w:color="auto" w:sz="4" w:space="0"/>
              <w:right w:val="single" w:color="auto" w:sz="4" w:space="0"/>
            </w:tcBorders>
            <w:shd w:val="clear" w:color="000000" w:fill="4472C4"/>
            <w:noWrap/>
            <w:vAlign w:val="center"/>
            <w:hideMark/>
          </w:tcPr>
          <w:p w:rsidRPr="00DB1C71" w:rsidR="004F5855" w:rsidP="004F5855" w:rsidRDefault="004F5855" w14:paraId="32121745" w14:textId="33E0E5C6">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VPN (en millones de US</w:t>
            </w:r>
            <w:r w:rsidR="00CC3C2E">
              <w:rPr>
                <w:rFonts w:ascii="Arial" w:hAnsi="Arial" w:eastAsia="Times New Roman" w:cs="Arial"/>
                <w:b/>
                <w:bCs/>
                <w:color w:val="FFFFFF"/>
                <w:sz w:val="18"/>
                <w:szCs w:val="18"/>
                <w:lang w:val="es-ES_tradnl"/>
              </w:rPr>
              <w:t>$</w:t>
            </w:r>
            <w:r w:rsidRPr="00DB1C71">
              <w:rPr>
                <w:rFonts w:ascii="Arial" w:hAnsi="Arial" w:eastAsia="Times New Roman" w:cs="Arial"/>
                <w:b/>
                <w:bCs/>
                <w:color w:val="FFFFFF"/>
                <w:sz w:val="18"/>
                <w:szCs w:val="18"/>
                <w:lang w:val="es-ES_tradnl"/>
              </w:rPr>
              <w:t>)</w:t>
            </w:r>
          </w:p>
        </w:tc>
      </w:tr>
      <w:tr w:rsidRPr="004F5855" w:rsidR="004F5855" w:rsidTr="004F5855" w14:paraId="2CCF9EC5" w14:textId="77777777">
        <w:trPr>
          <w:trHeight w:val="288"/>
        </w:trPr>
        <w:tc>
          <w:tcPr>
            <w:tcW w:w="2860" w:type="dxa"/>
            <w:vMerge/>
            <w:tcBorders>
              <w:top w:val="single" w:color="auto" w:sz="4" w:space="0"/>
              <w:left w:val="single" w:color="auto" w:sz="4" w:space="0"/>
              <w:bottom w:val="single" w:color="auto" w:sz="4" w:space="0"/>
              <w:right w:val="single" w:color="auto" w:sz="4" w:space="0"/>
            </w:tcBorders>
            <w:vAlign w:val="center"/>
            <w:hideMark/>
          </w:tcPr>
          <w:p w:rsidRPr="00DB1C71" w:rsidR="004F5855" w:rsidP="004F5855" w:rsidRDefault="004F5855" w14:paraId="34A3BAB8" w14:textId="77777777">
            <w:pPr>
              <w:spacing w:after="0" w:line="240" w:lineRule="auto"/>
              <w:rPr>
                <w:rFonts w:ascii="Arial" w:hAnsi="Arial" w:eastAsia="Times New Roman" w:cs="Arial"/>
                <w:b/>
                <w:bCs/>
                <w:color w:val="FFFFFF"/>
                <w:sz w:val="18"/>
                <w:szCs w:val="18"/>
                <w:lang w:val="es-ES_tradnl"/>
              </w:rPr>
            </w:pPr>
          </w:p>
        </w:tc>
        <w:tc>
          <w:tcPr>
            <w:tcW w:w="1175" w:type="dxa"/>
            <w:tcBorders>
              <w:top w:val="nil"/>
              <w:left w:val="nil"/>
              <w:bottom w:val="single" w:color="auto" w:sz="4" w:space="0"/>
              <w:right w:val="single" w:color="auto" w:sz="4" w:space="0"/>
            </w:tcBorders>
            <w:shd w:val="clear" w:color="000000" w:fill="4472C4"/>
            <w:noWrap/>
            <w:vAlign w:val="center"/>
            <w:hideMark/>
          </w:tcPr>
          <w:p w:rsidRPr="00DB1C71" w:rsidR="004F5855" w:rsidP="004F5855" w:rsidRDefault="004F5855" w14:paraId="083EE61C" w14:textId="77777777">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Pesimista</w:t>
            </w:r>
          </w:p>
        </w:tc>
        <w:tc>
          <w:tcPr>
            <w:tcW w:w="766" w:type="dxa"/>
            <w:tcBorders>
              <w:top w:val="nil"/>
              <w:left w:val="nil"/>
              <w:bottom w:val="single" w:color="auto" w:sz="4" w:space="0"/>
              <w:right w:val="single" w:color="auto" w:sz="4" w:space="0"/>
            </w:tcBorders>
            <w:shd w:val="clear" w:color="000000" w:fill="4472C4"/>
            <w:noWrap/>
            <w:vAlign w:val="center"/>
            <w:hideMark/>
          </w:tcPr>
          <w:p w:rsidRPr="00DB1C71" w:rsidR="004F5855" w:rsidP="004F5855" w:rsidRDefault="004F5855" w14:paraId="700E7BAA" w14:textId="77777777">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 xml:space="preserve">Base </w:t>
            </w:r>
          </w:p>
        </w:tc>
        <w:tc>
          <w:tcPr>
            <w:tcW w:w="1239" w:type="dxa"/>
            <w:tcBorders>
              <w:top w:val="nil"/>
              <w:left w:val="nil"/>
              <w:bottom w:val="single" w:color="auto" w:sz="4" w:space="0"/>
              <w:right w:val="single" w:color="auto" w:sz="4" w:space="0"/>
            </w:tcBorders>
            <w:shd w:val="clear" w:color="000000" w:fill="4472C4"/>
            <w:noWrap/>
            <w:vAlign w:val="center"/>
            <w:hideMark/>
          </w:tcPr>
          <w:p w:rsidRPr="00DB1C71" w:rsidR="004F5855" w:rsidP="004F5855" w:rsidRDefault="004F5855" w14:paraId="76AB0B23" w14:textId="77777777">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Optimista</w:t>
            </w:r>
          </w:p>
        </w:tc>
        <w:tc>
          <w:tcPr>
            <w:tcW w:w="1158" w:type="dxa"/>
            <w:tcBorders>
              <w:top w:val="nil"/>
              <w:left w:val="nil"/>
              <w:bottom w:val="single" w:color="auto" w:sz="4" w:space="0"/>
              <w:right w:val="single" w:color="auto" w:sz="4" w:space="0"/>
            </w:tcBorders>
            <w:shd w:val="clear" w:color="000000" w:fill="4472C4"/>
            <w:noWrap/>
            <w:vAlign w:val="center"/>
            <w:hideMark/>
          </w:tcPr>
          <w:p w:rsidRPr="00DB1C71" w:rsidR="004F5855" w:rsidP="004F5855" w:rsidRDefault="004F5855" w14:paraId="1AD72A97" w14:textId="77777777">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Pesimista</w:t>
            </w:r>
          </w:p>
        </w:tc>
        <w:tc>
          <w:tcPr>
            <w:tcW w:w="663" w:type="dxa"/>
            <w:tcBorders>
              <w:top w:val="nil"/>
              <w:left w:val="nil"/>
              <w:bottom w:val="single" w:color="auto" w:sz="4" w:space="0"/>
              <w:right w:val="single" w:color="auto" w:sz="4" w:space="0"/>
            </w:tcBorders>
            <w:shd w:val="clear" w:color="000000" w:fill="4472C4"/>
            <w:noWrap/>
            <w:vAlign w:val="center"/>
            <w:hideMark/>
          </w:tcPr>
          <w:p w:rsidRPr="00DB1C71" w:rsidR="004F5855" w:rsidP="004F5855" w:rsidRDefault="004F5855" w14:paraId="4B89937C" w14:textId="77777777">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 xml:space="preserve">Base </w:t>
            </w:r>
          </w:p>
        </w:tc>
        <w:tc>
          <w:tcPr>
            <w:tcW w:w="1220" w:type="dxa"/>
            <w:tcBorders>
              <w:top w:val="nil"/>
              <w:left w:val="nil"/>
              <w:bottom w:val="single" w:color="auto" w:sz="4" w:space="0"/>
              <w:right w:val="single" w:color="auto" w:sz="4" w:space="0"/>
            </w:tcBorders>
            <w:shd w:val="clear" w:color="000000" w:fill="4472C4"/>
            <w:noWrap/>
            <w:vAlign w:val="center"/>
            <w:hideMark/>
          </w:tcPr>
          <w:p w:rsidRPr="00DB1C71" w:rsidR="004F5855" w:rsidP="004F5855" w:rsidRDefault="004F5855" w14:paraId="77EBD176" w14:textId="77777777">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Optimista</w:t>
            </w:r>
          </w:p>
        </w:tc>
      </w:tr>
      <w:tr w:rsidRPr="004F5855" w:rsidR="004F5855" w:rsidTr="004F5855" w14:paraId="5EF38347" w14:textId="77777777">
        <w:trPr>
          <w:trHeight w:val="288"/>
        </w:trPr>
        <w:tc>
          <w:tcPr>
            <w:tcW w:w="2860" w:type="dxa"/>
            <w:tcBorders>
              <w:top w:val="nil"/>
              <w:left w:val="single" w:color="auto" w:sz="4" w:space="0"/>
              <w:bottom w:val="single" w:color="auto" w:sz="4" w:space="0"/>
              <w:right w:val="single" w:color="auto" w:sz="4" w:space="0"/>
            </w:tcBorders>
            <w:shd w:val="clear" w:color="000000" w:fill="FFFFFF"/>
            <w:vAlign w:val="center"/>
            <w:hideMark/>
          </w:tcPr>
          <w:p w:rsidRPr="00DB1C71" w:rsidR="004F5855" w:rsidP="004F5855" w:rsidRDefault="004F5855" w14:paraId="340AABA2" w14:textId="77777777">
            <w:pPr>
              <w:spacing w:after="0" w:line="240" w:lineRule="auto"/>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 xml:space="preserve">Impacto en acceso a empleo </w:t>
            </w:r>
          </w:p>
        </w:tc>
        <w:tc>
          <w:tcPr>
            <w:tcW w:w="1175"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186724F2" w14:textId="1949ED54">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7</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00%</w:t>
            </w:r>
          </w:p>
        </w:tc>
        <w:tc>
          <w:tcPr>
            <w:tcW w:w="766"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48010924" w14:textId="772DF114">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8</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40%</w:t>
            </w:r>
          </w:p>
        </w:tc>
        <w:tc>
          <w:tcPr>
            <w:tcW w:w="1239"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6AC890E1" w14:textId="1C93EBAC">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9</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80%</w:t>
            </w:r>
          </w:p>
        </w:tc>
        <w:tc>
          <w:tcPr>
            <w:tcW w:w="1158"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2B6AE9AC" w14:textId="285C8030">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$1</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 xml:space="preserve">63 </w:t>
            </w:r>
          </w:p>
        </w:tc>
        <w:tc>
          <w:tcPr>
            <w:tcW w:w="663"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3F932E8C" w14:textId="62172305">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$3</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 xml:space="preserve">68 </w:t>
            </w:r>
          </w:p>
        </w:tc>
        <w:tc>
          <w:tcPr>
            <w:tcW w:w="1220"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0C6D7A25" w14:textId="2D9F62BC">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$5</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 xml:space="preserve">72 </w:t>
            </w:r>
          </w:p>
        </w:tc>
      </w:tr>
      <w:tr w:rsidRPr="004F5855" w:rsidR="004F5855" w:rsidTr="004F5855" w14:paraId="2C26D104" w14:textId="77777777">
        <w:trPr>
          <w:trHeight w:val="288"/>
        </w:trPr>
        <w:tc>
          <w:tcPr>
            <w:tcW w:w="2860" w:type="dxa"/>
            <w:tcBorders>
              <w:top w:val="nil"/>
              <w:left w:val="single" w:color="auto" w:sz="4" w:space="0"/>
              <w:bottom w:val="single" w:color="auto" w:sz="4" w:space="0"/>
              <w:right w:val="single" w:color="auto" w:sz="4" w:space="0"/>
            </w:tcBorders>
            <w:shd w:val="clear" w:color="000000" w:fill="FFFFFF"/>
            <w:vAlign w:val="center"/>
            <w:hideMark/>
          </w:tcPr>
          <w:p w:rsidRPr="00DB1C71" w:rsidR="004F5855" w:rsidP="004F5855" w:rsidRDefault="004F5855" w14:paraId="3F003095" w14:textId="77777777">
            <w:pPr>
              <w:spacing w:after="0" w:line="240" w:lineRule="auto"/>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Impacto en ingreso laboral</w:t>
            </w:r>
          </w:p>
        </w:tc>
        <w:tc>
          <w:tcPr>
            <w:tcW w:w="1175"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05548C4A" w14:textId="284793D3">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7</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42%</w:t>
            </w:r>
          </w:p>
        </w:tc>
        <w:tc>
          <w:tcPr>
            <w:tcW w:w="766"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1796A34A" w14:textId="357DDCBA">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8</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77%</w:t>
            </w:r>
          </w:p>
        </w:tc>
        <w:tc>
          <w:tcPr>
            <w:tcW w:w="1239"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09030E66" w14:textId="125F4D0C">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10</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12%</w:t>
            </w:r>
          </w:p>
        </w:tc>
        <w:tc>
          <w:tcPr>
            <w:tcW w:w="1158"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554C2197" w14:textId="50D80859">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$2</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 xml:space="preserve">71 </w:t>
            </w:r>
          </w:p>
        </w:tc>
        <w:tc>
          <w:tcPr>
            <w:tcW w:w="663"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64B18315" w14:textId="44B6333F">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$3</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 xml:space="preserve">68 </w:t>
            </w:r>
          </w:p>
        </w:tc>
        <w:tc>
          <w:tcPr>
            <w:tcW w:w="1220"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08FEA5AF" w14:textId="42A278E2">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$4</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 xml:space="preserve">64 </w:t>
            </w:r>
          </w:p>
        </w:tc>
      </w:tr>
      <w:tr w:rsidRPr="004F5855" w:rsidR="004F5855" w:rsidTr="004F5855" w14:paraId="378481FB" w14:textId="77777777">
        <w:trPr>
          <w:trHeight w:val="288"/>
        </w:trPr>
        <w:tc>
          <w:tcPr>
            <w:tcW w:w="2860" w:type="dxa"/>
            <w:tcBorders>
              <w:top w:val="nil"/>
              <w:left w:val="single" w:color="auto" w:sz="4" w:space="0"/>
              <w:bottom w:val="single" w:color="auto" w:sz="4" w:space="0"/>
              <w:right w:val="single" w:color="auto" w:sz="4" w:space="0"/>
            </w:tcBorders>
            <w:shd w:val="clear" w:color="000000" w:fill="FFFFFF"/>
            <w:vAlign w:val="center"/>
            <w:hideMark/>
          </w:tcPr>
          <w:p w:rsidRPr="00DB1C71" w:rsidR="004F5855" w:rsidP="004F5855" w:rsidRDefault="004F5855" w14:paraId="682D40E5" w14:textId="77777777">
            <w:pPr>
              <w:spacing w:after="0" w:line="240" w:lineRule="auto"/>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 xml:space="preserve">Efecto Desplazamiento </w:t>
            </w:r>
          </w:p>
        </w:tc>
        <w:tc>
          <w:tcPr>
            <w:tcW w:w="1175"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2B1F851B" w14:textId="77777777">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50%</w:t>
            </w:r>
          </w:p>
        </w:tc>
        <w:tc>
          <w:tcPr>
            <w:tcW w:w="766"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73423692" w14:textId="77777777">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0</w:t>
            </w:r>
          </w:p>
        </w:tc>
        <w:tc>
          <w:tcPr>
            <w:tcW w:w="1239" w:type="dxa"/>
            <w:tcBorders>
              <w:top w:val="nil"/>
              <w:left w:val="nil"/>
              <w:bottom w:val="single" w:color="auto" w:sz="4" w:space="0"/>
              <w:right w:val="single" w:color="auto" w:sz="4" w:space="0"/>
            </w:tcBorders>
            <w:shd w:val="diagStripe" w:color="000000" w:fill="FFFFFF"/>
            <w:noWrap/>
            <w:vAlign w:val="center"/>
            <w:hideMark/>
          </w:tcPr>
          <w:p w:rsidRPr="00DB1C71" w:rsidR="004F5855" w:rsidP="004F5855" w:rsidRDefault="004F5855" w14:paraId="4E34701B" w14:textId="77777777">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 </w:t>
            </w:r>
          </w:p>
        </w:tc>
        <w:tc>
          <w:tcPr>
            <w:tcW w:w="1158"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4CBD9965" w14:textId="37281A77">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$0</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 xml:space="preserve">33 </w:t>
            </w:r>
          </w:p>
        </w:tc>
        <w:tc>
          <w:tcPr>
            <w:tcW w:w="663"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20B28C83" w14:textId="50429F37">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$3</w:t>
            </w:r>
            <w:r w:rsidR="00DB1C71">
              <w:rPr>
                <w:rFonts w:ascii="Arial" w:hAnsi="Arial" w:eastAsia="Times New Roman" w:cs="Arial"/>
                <w:color w:val="000000"/>
                <w:sz w:val="18"/>
                <w:szCs w:val="18"/>
                <w:lang w:val="es-ES_tradnl"/>
              </w:rPr>
              <w:t>,</w:t>
            </w:r>
            <w:r w:rsidRPr="00DB1C71">
              <w:rPr>
                <w:rFonts w:ascii="Arial" w:hAnsi="Arial" w:eastAsia="Times New Roman" w:cs="Arial"/>
                <w:color w:val="000000"/>
                <w:sz w:val="18"/>
                <w:szCs w:val="18"/>
                <w:lang w:val="es-ES_tradnl"/>
              </w:rPr>
              <w:t xml:space="preserve">68 </w:t>
            </w:r>
          </w:p>
        </w:tc>
        <w:tc>
          <w:tcPr>
            <w:tcW w:w="1220" w:type="dxa"/>
            <w:tcBorders>
              <w:top w:val="nil"/>
              <w:left w:val="nil"/>
              <w:bottom w:val="single" w:color="auto" w:sz="4" w:space="0"/>
              <w:right w:val="single" w:color="auto" w:sz="4" w:space="0"/>
            </w:tcBorders>
            <w:shd w:val="diagStripe" w:color="000000" w:fill="FFFFFF"/>
            <w:noWrap/>
            <w:vAlign w:val="center"/>
            <w:hideMark/>
          </w:tcPr>
          <w:p w:rsidRPr="00DB1C71" w:rsidR="004F5855" w:rsidP="004F5855" w:rsidRDefault="004F5855" w14:paraId="7CC548BD" w14:textId="77777777">
            <w:pPr>
              <w:spacing w:after="0" w:line="240" w:lineRule="auto"/>
              <w:jc w:val="center"/>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 </w:t>
            </w:r>
          </w:p>
        </w:tc>
      </w:tr>
    </w:tbl>
    <w:p w:rsidR="00EA2820" w:rsidP="00C11D48" w:rsidRDefault="00EA2820" w14:paraId="2428ED7B" w14:textId="200D3F89">
      <w:pPr>
        <w:autoSpaceDE w:val="0"/>
        <w:autoSpaceDN w:val="0"/>
        <w:adjustRightInd w:val="0"/>
        <w:spacing w:after="0"/>
        <w:jc w:val="center"/>
        <w:rPr>
          <w:rFonts w:ascii="Arial" w:hAnsi="Arial" w:cs="Arial"/>
          <w:b/>
          <w:sz w:val="18"/>
          <w:szCs w:val="18"/>
          <w:lang w:val="es-ES"/>
        </w:rPr>
      </w:pPr>
    </w:p>
    <w:p w:rsidRPr="0078661C" w:rsidR="004F5855" w:rsidP="004F5855" w:rsidRDefault="004F5855" w14:paraId="5BDC1A21" w14:textId="471FD0AF">
      <w:pPr>
        <w:pStyle w:val="ListParagraph"/>
        <w:numPr>
          <w:ilvl w:val="0"/>
          <w:numId w:val="8"/>
        </w:numPr>
        <w:ind w:left="0"/>
        <w:jc w:val="both"/>
        <w:rPr>
          <w:rFonts w:ascii="Arial" w:hAnsi="Arial" w:cs="Arial"/>
          <w:lang w:val="es-ES"/>
        </w:rPr>
      </w:pPr>
      <w:r>
        <w:rPr>
          <w:rFonts w:ascii="Arial" w:hAnsi="Arial" w:cs="Arial"/>
          <w:lang w:val="es-ES_tradnl"/>
        </w:rPr>
        <w:t xml:space="preserve">Adicionalmente se presentan un </w:t>
      </w:r>
      <w:r w:rsidRPr="004F5855">
        <w:rPr>
          <w:rFonts w:ascii="Arial" w:hAnsi="Arial" w:cs="Arial"/>
          <w:lang w:val="es-ES_tradnl"/>
        </w:rPr>
        <w:t xml:space="preserve">escenario pesimista complejo para el </w:t>
      </w:r>
      <w:r>
        <w:rPr>
          <w:rFonts w:ascii="Arial" w:hAnsi="Arial" w:cs="Arial"/>
          <w:lang w:val="es-ES_tradnl"/>
        </w:rPr>
        <w:t>C</w:t>
      </w:r>
      <w:r w:rsidRPr="004F5855">
        <w:rPr>
          <w:rFonts w:ascii="Arial" w:hAnsi="Arial" w:cs="Arial"/>
          <w:lang w:val="es-ES_tradnl"/>
        </w:rPr>
        <w:t xml:space="preserve">omponente </w:t>
      </w:r>
      <w:r>
        <w:rPr>
          <w:rFonts w:ascii="Arial" w:hAnsi="Arial" w:cs="Arial"/>
          <w:lang w:val="es-ES_tradnl"/>
        </w:rPr>
        <w:t>2</w:t>
      </w:r>
      <w:r w:rsidRPr="004F5855">
        <w:rPr>
          <w:rFonts w:ascii="Arial" w:hAnsi="Arial" w:cs="Arial"/>
          <w:lang w:val="es-ES_tradnl"/>
        </w:rPr>
        <w:t xml:space="preserve">, este asume que el impacto </w:t>
      </w:r>
      <w:r>
        <w:rPr>
          <w:rFonts w:ascii="Arial" w:hAnsi="Arial" w:cs="Arial"/>
          <w:lang w:val="es-ES_tradnl"/>
        </w:rPr>
        <w:t xml:space="preserve">en acceso a empleo </w:t>
      </w:r>
      <w:r w:rsidRPr="004F5855">
        <w:rPr>
          <w:rFonts w:ascii="Arial" w:hAnsi="Arial" w:cs="Arial"/>
          <w:lang w:val="es-ES_tradnl"/>
        </w:rPr>
        <w:t xml:space="preserve">se reduce de </w:t>
      </w:r>
      <w:r>
        <w:rPr>
          <w:rFonts w:ascii="Arial" w:hAnsi="Arial" w:cs="Arial"/>
          <w:lang w:val="es-ES_tradnl"/>
        </w:rPr>
        <w:t>8,4</w:t>
      </w:r>
      <w:r w:rsidRPr="004F5855">
        <w:rPr>
          <w:rFonts w:ascii="Arial" w:hAnsi="Arial" w:cs="Arial"/>
          <w:lang w:val="es-ES_tradnl"/>
        </w:rPr>
        <w:t xml:space="preserve"> pp. a </w:t>
      </w:r>
      <w:r>
        <w:rPr>
          <w:rFonts w:ascii="Arial" w:hAnsi="Arial" w:cs="Arial"/>
          <w:lang w:val="es-ES_tradnl"/>
        </w:rPr>
        <w:t>7</w:t>
      </w:r>
      <w:r w:rsidRPr="004F5855">
        <w:rPr>
          <w:rFonts w:ascii="Arial" w:hAnsi="Arial" w:cs="Arial"/>
          <w:lang w:val="es-ES_tradnl"/>
        </w:rPr>
        <w:t>,</w:t>
      </w:r>
      <w:r>
        <w:rPr>
          <w:rFonts w:ascii="Arial" w:hAnsi="Arial" w:cs="Arial"/>
          <w:lang w:val="es-ES_tradnl"/>
        </w:rPr>
        <w:t>00</w:t>
      </w:r>
      <w:r w:rsidRPr="004F5855">
        <w:rPr>
          <w:rFonts w:ascii="Arial" w:hAnsi="Arial" w:cs="Arial"/>
          <w:lang w:val="es-ES_tradnl"/>
        </w:rPr>
        <w:t xml:space="preserve"> pp. y que el impacto </w:t>
      </w:r>
      <w:r w:rsidRPr="004F5855">
        <w:rPr>
          <w:rFonts w:ascii="Arial" w:hAnsi="Arial" w:cs="Arial"/>
          <w:lang w:val="es-ES_tradnl"/>
        </w:rPr>
        <w:lastRenderedPageBreak/>
        <w:t xml:space="preserve">asociado </w:t>
      </w:r>
      <w:r>
        <w:rPr>
          <w:rFonts w:ascii="Arial" w:hAnsi="Arial" w:cs="Arial"/>
          <w:lang w:val="es-ES_tradnl"/>
        </w:rPr>
        <w:t xml:space="preserve">a mejoras en el ingreso laboral se reduce de 8,77% </w:t>
      </w:r>
      <w:r w:rsidR="006B50EB">
        <w:rPr>
          <w:rFonts w:ascii="Arial" w:hAnsi="Arial" w:cs="Arial"/>
          <w:lang w:val="es-ES_tradnl"/>
        </w:rPr>
        <w:t>a 7,42</w:t>
      </w:r>
      <w:r w:rsidRPr="004F5855">
        <w:rPr>
          <w:rFonts w:ascii="Arial" w:hAnsi="Arial" w:cs="Arial"/>
          <w:lang w:val="es-ES_tradnl"/>
        </w:rPr>
        <w:t>%</w:t>
      </w:r>
      <w:r w:rsidRPr="0078661C">
        <w:rPr>
          <w:rFonts w:ascii="Arial" w:hAnsi="Arial" w:cs="Arial"/>
          <w:lang w:val="es-ES"/>
        </w:rPr>
        <w:t>.</w:t>
      </w:r>
      <w:r w:rsidR="006B50EB">
        <w:rPr>
          <w:rFonts w:ascii="Arial" w:hAnsi="Arial" w:cs="Arial"/>
          <w:lang w:val="es-ES"/>
        </w:rPr>
        <w:t xml:space="preserve"> Bajo estas condiciones el VPN ex post del programa sería todavía positivo e igual a 0,67.</w:t>
      </w:r>
    </w:p>
    <w:p w:rsidR="004F5855" w:rsidP="00C11D48" w:rsidRDefault="004F5855" w14:paraId="374B3925" w14:textId="77777777">
      <w:pPr>
        <w:autoSpaceDE w:val="0"/>
        <w:autoSpaceDN w:val="0"/>
        <w:adjustRightInd w:val="0"/>
        <w:spacing w:after="0"/>
        <w:jc w:val="center"/>
        <w:rPr>
          <w:rFonts w:ascii="Arial" w:hAnsi="Arial" w:cs="Arial"/>
          <w:b/>
          <w:sz w:val="18"/>
          <w:szCs w:val="18"/>
          <w:lang w:val="es-ES"/>
        </w:rPr>
      </w:pPr>
    </w:p>
    <w:p w:rsidRPr="00C074B4" w:rsidR="004F5855" w:rsidP="004F5855" w:rsidRDefault="004F5855" w14:paraId="3C748D89" w14:textId="145DD571">
      <w:pPr>
        <w:autoSpaceDE w:val="0"/>
        <w:autoSpaceDN w:val="0"/>
        <w:adjustRightInd w:val="0"/>
        <w:spacing w:after="0"/>
        <w:jc w:val="center"/>
        <w:rPr>
          <w:rFonts w:ascii="Arial" w:hAnsi="Arial" w:cs="Arial"/>
          <w:b/>
          <w:sz w:val="18"/>
          <w:szCs w:val="18"/>
          <w:lang w:val="es-ES"/>
        </w:rPr>
      </w:pPr>
      <w:r w:rsidRPr="00C074B4">
        <w:rPr>
          <w:rFonts w:ascii="Arial" w:hAnsi="Arial" w:cs="Arial"/>
          <w:b/>
          <w:sz w:val="18"/>
          <w:szCs w:val="18"/>
          <w:lang w:val="es-ES"/>
        </w:rPr>
        <w:t xml:space="preserve">Tabla </w:t>
      </w:r>
      <w:r>
        <w:rPr>
          <w:rFonts w:ascii="Arial" w:hAnsi="Arial" w:cs="Arial"/>
          <w:b/>
          <w:sz w:val="18"/>
          <w:szCs w:val="18"/>
          <w:lang w:val="es-ES"/>
        </w:rPr>
        <w:t>6</w:t>
      </w:r>
      <w:r w:rsidRPr="00C074B4">
        <w:rPr>
          <w:rFonts w:ascii="Arial" w:hAnsi="Arial" w:cs="Arial"/>
          <w:b/>
          <w:sz w:val="18"/>
          <w:szCs w:val="18"/>
          <w:lang w:val="es-ES"/>
        </w:rPr>
        <w:t xml:space="preserve">: Análisis de Sensibilidad </w:t>
      </w:r>
      <w:r>
        <w:rPr>
          <w:rFonts w:ascii="Arial" w:hAnsi="Arial" w:cs="Arial"/>
          <w:b/>
          <w:sz w:val="18"/>
          <w:szCs w:val="18"/>
          <w:lang w:val="es-ES"/>
        </w:rPr>
        <w:t>complejo</w:t>
      </w:r>
    </w:p>
    <w:tbl>
      <w:tblPr>
        <w:tblW w:w="7020" w:type="dxa"/>
        <w:jc w:val="center"/>
        <w:tblLook w:val="04A0" w:firstRow="1" w:lastRow="0" w:firstColumn="1" w:lastColumn="0" w:noHBand="0" w:noVBand="1"/>
      </w:tblPr>
      <w:tblGrid>
        <w:gridCol w:w="2860"/>
        <w:gridCol w:w="1100"/>
        <w:gridCol w:w="1100"/>
        <w:gridCol w:w="1057"/>
        <w:gridCol w:w="980"/>
      </w:tblGrid>
      <w:tr w:rsidRPr="00DC1078" w:rsidR="004F5855" w:rsidTr="004F5855" w14:paraId="64E25B75" w14:textId="77777777">
        <w:trPr>
          <w:trHeight w:val="288"/>
          <w:jc w:val="center"/>
        </w:trPr>
        <w:tc>
          <w:tcPr>
            <w:tcW w:w="2860" w:type="dxa"/>
            <w:vMerge w:val="restart"/>
            <w:tcBorders>
              <w:top w:val="single" w:color="auto" w:sz="4" w:space="0"/>
              <w:left w:val="single" w:color="auto" w:sz="4" w:space="0"/>
              <w:bottom w:val="single" w:color="auto" w:sz="4" w:space="0"/>
              <w:right w:val="single" w:color="auto" w:sz="4" w:space="0"/>
            </w:tcBorders>
            <w:shd w:val="clear" w:color="000000" w:fill="4472C4"/>
            <w:noWrap/>
            <w:vAlign w:val="center"/>
            <w:hideMark/>
          </w:tcPr>
          <w:p w:rsidRPr="00DB1C71" w:rsidR="004F5855" w:rsidP="004F5855" w:rsidRDefault="004F5855" w14:paraId="2A31D9C3" w14:textId="77777777">
            <w:pPr>
              <w:spacing w:after="0" w:line="240" w:lineRule="auto"/>
              <w:jc w:val="center"/>
              <w:rPr>
                <w:rFonts w:ascii="Arial" w:hAnsi="Arial" w:eastAsia="Times New Roman" w:cs="Arial"/>
                <w:b/>
                <w:bCs/>
                <w:color w:val="FFFFFF"/>
                <w:sz w:val="18"/>
                <w:szCs w:val="18"/>
              </w:rPr>
            </w:pPr>
            <w:r w:rsidRPr="00DB1C71">
              <w:rPr>
                <w:rFonts w:ascii="Arial" w:hAnsi="Arial" w:eastAsia="Times New Roman" w:cs="Arial"/>
                <w:b/>
                <w:bCs/>
                <w:color w:val="FFFFFF"/>
                <w:sz w:val="18"/>
                <w:szCs w:val="18"/>
              </w:rPr>
              <w:t>Variable</w:t>
            </w:r>
          </w:p>
        </w:tc>
        <w:tc>
          <w:tcPr>
            <w:tcW w:w="2200" w:type="dxa"/>
            <w:gridSpan w:val="2"/>
            <w:tcBorders>
              <w:top w:val="single" w:color="auto" w:sz="4" w:space="0"/>
              <w:left w:val="nil"/>
              <w:bottom w:val="single" w:color="auto" w:sz="4" w:space="0"/>
              <w:right w:val="single" w:color="auto" w:sz="4" w:space="0"/>
            </w:tcBorders>
            <w:shd w:val="clear" w:color="000000" w:fill="4472C4"/>
            <w:noWrap/>
            <w:vAlign w:val="center"/>
            <w:hideMark/>
          </w:tcPr>
          <w:p w:rsidRPr="00DB1C71" w:rsidR="004F5855" w:rsidP="004F5855" w:rsidRDefault="004F5855" w14:paraId="557BCA3B" w14:textId="77777777">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Escenario</w:t>
            </w:r>
          </w:p>
        </w:tc>
        <w:tc>
          <w:tcPr>
            <w:tcW w:w="1960" w:type="dxa"/>
            <w:gridSpan w:val="2"/>
            <w:tcBorders>
              <w:top w:val="single" w:color="auto" w:sz="4" w:space="0"/>
              <w:left w:val="nil"/>
              <w:bottom w:val="single" w:color="auto" w:sz="4" w:space="0"/>
              <w:right w:val="single" w:color="auto" w:sz="4" w:space="0"/>
            </w:tcBorders>
            <w:shd w:val="clear" w:color="000000" w:fill="4472C4"/>
            <w:noWrap/>
            <w:vAlign w:val="center"/>
            <w:hideMark/>
          </w:tcPr>
          <w:p w:rsidRPr="00DB1C71" w:rsidR="004F5855" w:rsidP="004F5855" w:rsidRDefault="004F5855" w14:paraId="090A22B6" w14:textId="77777777">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VPN (en millones de $US)</w:t>
            </w:r>
          </w:p>
        </w:tc>
      </w:tr>
      <w:tr w:rsidRPr="00DB1C71" w:rsidR="004F5855" w:rsidTr="004F5855" w14:paraId="73538DC5" w14:textId="77777777">
        <w:trPr>
          <w:trHeight w:val="456"/>
          <w:jc w:val="center"/>
        </w:trPr>
        <w:tc>
          <w:tcPr>
            <w:tcW w:w="2860" w:type="dxa"/>
            <w:vMerge/>
            <w:tcBorders>
              <w:top w:val="single" w:color="auto" w:sz="4" w:space="0"/>
              <w:left w:val="single" w:color="auto" w:sz="4" w:space="0"/>
              <w:bottom w:val="single" w:color="auto" w:sz="4" w:space="0"/>
              <w:right w:val="single" w:color="auto" w:sz="4" w:space="0"/>
            </w:tcBorders>
            <w:vAlign w:val="center"/>
            <w:hideMark/>
          </w:tcPr>
          <w:p w:rsidRPr="00DB1C71" w:rsidR="004F5855" w:rsidP="004F5855" w:rsidRDefault="004F5855" w14:paraId="5ADB924F" w14:textId="77777777">
            <w:pPr>
              <w:spacing w:after="0" w:line="240" w:lineRule="auto"/>
              <w:rPr>
                <w:rFonts w:ascii="Arial" w:hAnsi="Arial" w:eastAsia="Times New Roman" w:cs="Arial"/>
                <w:b/>
                <w:bCs/>
                <w:color w:val="FFFFFF"/>
                <w:sz w:val="18"/>
                <w:szCs w:val="18"/>
                <w:lang w:val="es-ES_tradnl"/>
              </w:rPr>
            </w:pPr>
          </w:p>
        </w:tc>
        <w:tc>
          <w:tcPr>
            <w:tcW w:w="1100" w:type="dxa"/>
            <w:tcBorders>
              <w:top w:val="nil"/>
              <w:left w:val="nil"/>
              <w:bottom w:val="single" w:color="auto" w:sz="4" w:space="0"/>
              <w:right w:val="single" w:color="auto" w:sz="4" w:space="0"/>
            </w:tcBorders>
            <w:shd w:val="clear" w:color="000000" w:fill="4472C4"/>
            <w:vAlign w:val="center"/>
            <w:hideMark/>
          </w:tcPr>
          <w:p w:rsidRPr="00DB1C71" w:rsidR="004F5855" w:rsidP="004F5855" w:rsidRDefault="004F5855" w14:paraId="3488D5BD" w14:textId="77777777">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Pesimista Complejo</w:t>
            </w:r>
          </w:p>
        </w:tc>
        <w:tc>
          <w:tcPr>
            <w:tcW w:w="1100" w:type="dxa"/>
            <w:tcBorders>
              <w:top w:val="nil"/>
              <w:left w:val="nil"/>
              <w:bottom w:val="single" w:color="auto" w:sz="4" w:space="0"/>
              <w:right w:val="single" w:color="auto" w:sz="4" w:space="0"/>
            </w:tcBorders>
            <w:shd w:val="clear" w:color="000000" w:fill="4472C4"/>
            <w:vAlign w:val="center"/>
            <w:hideMark/>
          </w:tcPr>
          <w:p w:rsidRPr="00DB1C71" w:rsidR="004F5855" w:rsidP="004F5855" w:rsidRDefault="004F5855" w14:paraId="007C82DD" w14:textId="77777777">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 xml:space="preserve">Base </w:t>
            </w:r>
          </w:p>
        </w:tc>
        <w:tc>
          <w:tcPr>
            <w:tcW w:w="980" w:type="dxa"/>
            <w:tcBorders>
              <w:top w:val="nil"/>
              <w:left w:val="nil"/>
              <w:bottom w:val="single" w:color="auto" w:sz="4" w:space="0"/>
              <w:right w:val="single" w:color="auto" w:sz="4" w:space="0"/>
            </w:tcBorders>
            <w:shd w:val="clear" w:color="000000" w:fill="4472C4"/>
            <w:vAlign w:val="center"/>
            <w:hideMark/>
          </w:tcPr>
          <w:p w:rsidRPr="00DB1C71" w:rsidR="004F5855" w:rsidP="004F5855" w:rsidRDefault="004F5855" w14:paraId="43B50B89" w14:textId="77777777">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Pesimista Complejo</w:t>
            </w:r>
          </w:p>
        </w:tc>
        <w:tc>
          <w:tcPr>
            <w:tcW w:w="980" w:type="dxa"/>
            <w:tcBorders>
              <w:top w:val="nil"/>
              <w:left w:val="nil"/>
              <w:bottom w:val="single" w:color="auto" w:sz="4" w:space="0"/>
              <w:right w:val="single" w:color="auto" w:sz="4" w:space="0"/>
            </w:tcBorders>
            <w:shd w:val="clear" w:color="000000" w:fill="4472C4"/>
            <w:vAlign w:val="center"/>
            <w:hideMark/>
          </w:tcPr>
          <w:p w:rsidRPr="00DB1C71" w:rsidR="004F5855" w:rsidP="004F5855" w:rsidRDefault="004F5855" w14:paraId="138869E7" w14:textId="77777777">
            <w:pPr>
              <w:spacing w:after="0" w:line="240" w:lineRule="auto"/>
              <w:jc w:val="center"/>
              <w:rPr>
                <w:rFonts w:ascii="Arial" w:hAnsi="Arial" w:eastAsia="Times New Roman" w:cs="Arial"/>
                <w:b/>
                <w:bCs/>
                <w:color w:val="FFFFFF"/>
                <w:sz w:val="18"/>
                <w:szCs w:val="18"/>
                <w:lang w:val="es-ES_tradnl"/>
              </w:rPr>
            </w:pPr>
            <w:r w:rsidRPr="00DB1C71">
              <w:rPr>
                <w:rFonts w:ascii="Arial" w:hAnsi="Arial" w:eastAsia="Times New Roman" w:cs="Arial"/>
                <w:b/>
                <w:bCs/>
                <w:color w:val="FFFFFF"/>
                <w:sz w:val="18"/>
                <w:szCs w:val="18"/>
                <w:lang w:val="es-ES_tradnl"/>
              </w:rPr>
              <w:t xml:space="preserve">Base </w:t>
            </w:r>
          </w:p>
        </w:tc>
      </w:tr>
      <w:tr w:rsidRPr="00DB1C71" w:rsidR="004F5855" w:rsidTr="004F5855" w14:paraId="4C308709" w14:textId="77777777">
        <w:trPr>
          <w:trHeight w:val="288"/>
          <w:jc w:val="center"/>
        </w:trPr>
        <w:tc>
          <w:tcPr>
            <w:tcW w:w="2860" w:type="dxa"/>
            <w:tcBorders>
              <w:top w:val="nil"/>
              <w:left w:val="single" w:color="auto" w:sz="4" w:space="0"/>
              <w:bottom w:val="single" w:color="auto" w:sz="4" w:space="0"/>
              <w:right w:val="single" w:color="auto" w:sz="4" w:space="0"/>
            </w:tcBorders>
            <w:shd w:val="clear" w:color="000000" w:fill="FFFFFF"/>
            <w:vAlign w:val="center"/>
            <w:hideMark/>
          </w:tcPr>
          <w:p w:rsidRPr="00DB1C71" w:rsidR="004F5855" w:rsidP="004F5855" w:rsidRDefault="004F5855" w14:paraId="6772AA03" w14:textId="77777777">
            <w:pPr>
              <w:spacing w:after="0" w:line="240" w:lineRule="auto"/>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 xml:space="preserve">Impacto en acceso a empleo </w:t>
            </w:r>
          </w:p>
        </w:tc>
        <w:tc>
          <w:tcPr>
            <w:tcW w:w="1100"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34F12136" w14:textId="79407AE0">
            <w:pPr>
              <w:spacing w:after="0" w:line="240" w:lineRule="auto"/>
              <w:jc w:val="center"/>
              <w:rPr>
                <w:rFonts w:ascii="Arial" w:hAnsi="Arial" w:eastAsia="Times New Roman" w:cs="Arial"/>
                <w:color w:val="000000"/>
                <w:sz w:val="18"/>
                <w:szCs w:val="18"/>
              </w:rPr>
            </w:pPr>
            <w:r w:rsidRPr="00DB1C71">
              <w:rPr>
                <w:rFonts w:ascii="Arial" w:hAnsi="Arial" w:eastAsia="Times New Roman" w:cs="Arial"/>
                <w:color w:val="000000"/>
                <w:sz w:val="18"/>
                <w:szCs w:val="18"/>
              </w:rPr>
              <w:t>7</w:t>
            </w:r>
            <w:r w:rsidR="00DB1C71">
              <w:rPr>
                <w:rFonts w:ascii="Arial" w:hAnsi="Arial" w:eastAsia="Times New Roman" w:cs="Arial"/>
                <w:color w:val="000000"/>
                <w:sz w:val="18"/>
                <w:szCs w:val="18"/>
              </w:rPr>
              <w:t>,</w:t>
            </w:r>
            <w:r w:rsidRPr="00DB1C71">
              <w:rPr>
                <w:rFonts w:ascii="Arial" w:hAnsi="Arial" w:eastAsia="Times New Roman" w:cs="Arial"/>
                <w:color w:val="000000"/>
                <w:sz w:val="18"/>
                <w:szCs w:val="18"/>
              </w:rPr>
              <w:t>00%</w:t>
            </w:r>
          </w:p>
        </w:tc>
        <w:tc>
          <w:tcPr>
            <w:tcW w:w="1100"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2193F294" w14:textId="39A426BC">
            <w:pPr>
              <w:spacing w:after="0" w:line="240" w:lineRule="auto"/>
              <w:jc w:val="center"/>
              <w:rPr>
                <w:rFonts w:ascii="Arial" w:hAnsi="Arial" w:eastAsia="Times New Roman" w:cs="Arial"/>
                <w:color w:val="000000"/>
                <w:sz w:val="18"/>
                <w:szCs w:val="18"/>
              </w:rPr>
            </w:pPr>
            <w:r w:rsidRPr="00DB1C71">
              <w:rPr>
                <w:rFonts w:ascii="Arial" w:hAnsi="Arial" w:eastAsia="Times New Roman" w:cs="Arial"/>
                <w:color w:val="000000"/>
                <w:sz w:val="18"/>
                <w:szCs w:val="18"/>
              </w:rPr>
              <w:t>8</w:t>
            </w:r>
            <w:r w:rsidR="00DB1C71">
              <w:rPr>
                <w:rFonts w:ascii="Arial" w:hAnsi="Arial" w:eastAsia="Times New Roman" w:cs="Arial"/>
                <w:color w:val="000000"/>
                <w:sz w:val="18"/>
                <w:szCs w:val="18"/>
              </w:rPr>
              <w:t>,</w:t>
            </w:r>
            <w:r w:rsidRPr="00DB1C71">
              <w:rPr>
                <w:rFonts w:ascii="Arial" w:hAnsi="Arial" w:eastAsia="Times New Roman" w:cs="Arial"/>
                <w:color w:val="000000"/>
                <w:sz w:val="18"/>
                <w:szCs w:val="18"/>
              </w:rPr>
              <w:t>40%</w:t>
            </w:r>
          </w:p>
        </w:tc>
        <w:tc>
          <w:tcPr>
            <w:tcW w:w="980" w:type="dxa"/>
            <w:vMerge w:val="restart"/>
            <w:tcBorders>
              <w:top w:val="nil"/>
              <w:left w:val="single" w:color="auto" w:sz="4" w:space="0"/>
              <w:bottom w:val="single" w:color="auto" w:sz="4" w:space="0"/>
              <w:right w:val="single" w:color="auto" w:sz="4" w:space="0"/>
            </w:tcBorders>
            <w:shd w:val="clear" w:color="000000" w:fill="FFFFFF"/>
            <w:noWrap/>
            <w:vAlign w:val="center"/>
            <w:hideMark/>
          </w:tcPr>
          <w:p w:rsidRPr="00DB1C71" w:rsidR="004F5855" w:rsidP="004F5855" w:rsidRDefault="004F5855" w14:paraId="43CDE910" w14:textId="5C2BF01E">
            <w:pPr>
              <w:spacing w:after="0" w:line="240" w:lineRule="auto"/>
              <w:jc w:val="center"/>
              <w:rPr>
                <w:rFonts w:ascii="Arial" w:hAnsi="Arial" w:eastAsia="Times New Roman" w:cs="Arial"/>
                <w:color w:val="000000"/>
                <w:sz w:val="18"/>
                <w:szCs w:val="18"/>
              </w:rPr>
            </w:pPr>
            <w:r w:rsidRPr="00DB1C71">
              <w:rPr>
                <w:rFonts w:ascii="Arial" w:hAnsi="Arial" w:eastAsia="Times New Roman" w:cs="Arial"/>
                <w:color w:val="000000"/>
                <w:sz w:val="18"/>
                <w:szCs w:val="18"/>
              </w:rPr>
              <w:t>$0</w:t>
            </w:r>
            <w:r w:rsidR="00DB1C71">
              <w:rPr>
                <w:rFonts w:ascii="Arial" w:hAnsi="Arial" w:eastAsia="Times New Roman" w:cs="Arial"/>
                <w:color w:val="000000"/>
                <w:sz w:val="18"/>
                <w:szCs w:val="18"/>
              </w:rPr>
              <w:t>,</w:t>
            </w:r>
            <w:r w:rsidRPr="00DB1C71">
              <w:rPr>
                <w:rFonts w:ascii="Arial" w:hAnsi="Arial" w:eastAsia="Times New Roman" w:cs="Arial"/>
                <w:color w:val="000000"/>
                <w:sz w:val="18"/>
                <w:szCs w:val="18"/>
              </w:rPr>
              <w:t xml:space="preserve">67 </w:t>
            </w:r>
          </w:p>
        </w:tc>
        <w:tc>
          <w:tcPr>
            <w:tcW w:w="980" w:type="dxa"/>
            <w:vMerge w:val="restart"/>
            <w:tcBorders>
              <w:top w:val="nil"/>
              <w:left w:val="single" w:color="auto" w:sz="4" w:space="0"/>
              <w:bottom w:val="single" w:color="auto" w:sz="4" w:space="0"/>
              <w:right w:val="single" w:color="auto" w:sz="4" w:space="0"/>
            </w:tcBorders>
            <w:shd w:val="clear" w:color="000000" w:fill="FFFFFF"/>
            <w:noWrap/>
            <w:vAlign w:val="center"/>
            <w:hideMark/>
          </w:tcPr>
          <w:p w:rsidRPr="00DB1C71" w:rsidR="004F5855" w:rsidP="004F5855" w:rsidRDefault="004F5855" w14:paraId="4D72E7B9" w14:textId="64C20EF9">
            <w:pPr>
              <w:spacing w:after="0" w:line="240" w:lineRule="auto"/>
              <w:jc w:val="center"/>
              <w:rPr>
                <w:rFonts w:ascii="Arial" w:hAnsi="Arial" w:eastAsia="Times New Roman" w:cs="Arial"/>
                <w:color w:val="000000"/>
                <w:sz w:val="18"/>
                <w:szCs w:val="18"/>
              </w:rPr>
            </w:pPr>
            <w:r w:rsidRPr="00DB1C71">
              <w:rPr>
                <w:rFonts w:ascii="Arial" w:hAnsi="Arial" w:eastAsia="Times New Roman" w:cs="Arial"/>
                <w:color w:val="000000"/>
                <w:sz w:val="18"/>
                <w:szCs w:val="18"/>
              </w:rPr>
              <w:t>$3</w:t>
            </w:r>
            <w:r w:rsidR="00DB1C71">
              <w:rPr>
                <w:rFonts w:ascii="Arial" w:hAnsi="Arial" w:eastAsia="Times New Roman" w:cs="Arial"/>
                <w:color w:val="000000"/>
                <w:sz w:val="18"/>
                <w:szCs w:val="18"/>
              </w:rPr>
              <w:t>,</w:t>
            </w:r>
            <w:r w:rsidRPr="00DB1C71">
              <w:rPr>
                <w:rFonts w:ascii="Arial" w:hAnsi="Arial" w:eastAsia="Times New Roman" w:cs="Arial"/>
                <w:color w:val="000000"/>
                <w:sz w:val="18"/>
                <w:szCs w:val="18"/>
              </w:rPr>
              <w:t xml:space="preserve">68 </w:t>
            </w:r>
          </w:p>
        </w:tc>
      </w:tr>
      <w:tr w:rsidRPr="00DB1C71" w:rsidR="004F5855" w:rsidTr="004F5855" w14:paraId="3281E40C" w14:textId="77777777">
        <w:trPr>
          <w:trHeight w:val="288"/>
          <w:jc w:val="center"/>
        </w:trPr>
        <w:tc>
          <w:tcPr>
            <w:tcW w:w="2860" w:type="dxa"/>
            <w:tcBorders>
              <w:top w:val="nil"/>
              <w:left w:val="single" w:color="auto" w:sz="4" w:space="0"/>
              <w:bottom w:val="single" w:color="auto" w:sz="4" w:space="0"/>
              <w:right w:val="single" w:color="auto" w:sz="4" w:space="0"/>
            </w:tcBorders>
            <w:shd w:val="clear" w:color="000000" w:fill="FFFFFF"/>
            <w:vAlign w:val="center"/>
            <w:hideMark/>
          </w:tcPr>
          <w:p w:rsidRPr="00DB1C71" w:rsidR="004F5855" w:rsidP="004F5855" w:rsidRDefault="004F5855" w14:paraId="7CB95482" w14:textId="77777777">
            <w:pPr>
              <w:spacing w:after="0" w:line="240" w:lineRule="auto"/>
              <w:rPr>
                <w:rFonts w:ascii="Arial" w:hAnsi="Arial" w:eastAsia="Times New Roman" w:cs="Arial"/>
                <w:color w:val="000000"/>
                <w:sz w:val="18"/>
                <w:szCs w:val="18"/>
                <w:lang w:val="es-ES_tradnl"/>
              </w:rPr>
            </w:pPr>
            <w:r w:rsidRPr="00DB1C71">
              <w:rPr>
                <w:rFonts w:ascii="Arial" w:hAnsi="Arial" w:eastAsia="Times New Roman" w:cs="Arial"/>
                <w:color w:val="000000"/>
                <w:sz w:val="18"/>
                <w:szCs w:val="18"/>
                <w:lang w:val="es-ES_tradnl"/>
              </w:rPr>
              <w:t>Impacto en ingreso laboral</w:t>
            </w:r>
          </w:p>
        </w:tc>
        <w:tc>
          <w:tcPr>
            <w:tcW w:w="1100"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6CEC032C" w14:textId="44B8AD52">
            <w:pPr>
              <w:spacing w:after="0" w:line="240" w:lineRule="auto"/>
              <w:jc w:val="center"/>
              <w:rPr>
                <w:rFonts w:ascii="Arial" w:hAnsi="Arial" w:eastAsia="Times New Roman" w:cs="Arial"/>
                <w:color w:val="000000"/>
                <w:sz w:val="18"/>
                <w:szCs w:val="18"/>
              </w:rPr>
            </w:pPr>
            <w:r w:rsidRPr="00DB1C71">
              <w:rPr>
                <w:rFonts w:ascii="Arial" w:hAnsi="Arial" w:eastAsia="Times New Roman" w:cs="Arial"/>
                <w:color w:val="000000"/>
                <w:sz w:val="18"/>
                <w:szCs w:val="18"/>
              </w:rPr>
              <w:t>7</w:t>
            </w:r>
            <w:r w:rsidR="00DB1C71">
              <w:rPr>
                <w:rFonts w:ascii="Arial" w:hAnsi="Arial" w:eastAsia="Times New Roman" w:cs="Arial"/>
                <w:color w:val="000000"/>
                <w:sz w:val="18"/>
                <w:szCs w:val="18"/>
              </w:rPr>
              <w:t>,</w:t>
            </w:r>
            <w:r w:rsidRPr="00DB1C71">
              <w:rPr>
                <w:rFonts w:ascii="Arial" w:hAnsi="Arial" w:eastAsia="Times New Roman" w:cs="Arial"/>
                <w:color w:val="000000"/>
                <w:sz w:val="18"/>
                <w:szCs w:val="18"/>
              </w:rPr>
              <w:t>42%</w:t>
            </w:r>
          </w:p>
        </w:tc>
        <w:tc>
          <w:tcPr>
            <w:tcW w:w="1100" w:type="dxa"/>
            <w:tcBorders>
              <w:top w:val="nil"/>
              <w:left w:val="nil"/>
              <w:bottom w:val="single" w:color="auto" w:sz="4" w:space="0"/>
              <w:right w:val="single" w:color="auto" w:sz="4" w:space="0"/>
            </w:tcBorders>
            <w:shd w:val="clear" w:color="000000" w:fill="FFFFFF"/>
            <w:noWrap/>
            <w:vAlign w:val="center"/>
            <w:hideMark/>
          </w:tcPr>
          <w:p w:rsidRPr="00DB1C71" w:rsidR="004F5855" w:rsidP="004F5855" w:rsidRDefault="004F5855" w14:paraId="3542AA3E" w14:textId="0D03ABBE">
            <w:pPr>
              <w:spacing w:after="0" w:line="240" w:lineRule="auto"/>
              <w:jc w:val="center"/>
              <w:rPr>
                <w:rFonts w:ascii="Arial" w:hAnsi="Arial" w:eastAsia="Times New Roman" w:cs="Arial"/>
                <w:color w:val="000000"/>
                <w:sz w:val="18"/>
                <w:szCs w:val="18"/>
              </w:rPr>
            </w:pPr>
            <w:r w:rsidRPr="00DB1C71">
              <w:rPr>
                <w:rFonts w:ascii="Arial" w:hAnsi="Arial" w:eastAsia="Times New Roman" w:cs="Arial"/>
                <w:color w:val="000000"/>
                <w:sz w:val="18"/>
                <w:szCs w:val="18"/>
              </w:rPr>
              <w:t>8</w:t>
            </w:r>
            <w:r w:rsidR="00DB1C71">
              <w:rPr>
                <w:rFonts w:ascii="Arial" w:hAnsi="Arial" w:eastAsia="Times New Roman" w:cs="Arial"/>
                <w:color w:val="000000"/>
                <w:sz w:val="18"/>
                <w:szCs w:val="18"/>
              </w:rPr>
              <w:t>,</w:t>
            </w:r>
            <w:r w:rsidRPr="00DB1C71">
              <w:rPr>
                <w:rFonts w:ascii="Arial" w:hAnsi="Arial" w:eastAsia="Times New Roman" w:cs="Arial"/>
                <w:color w:val="000000"/>
                <w:sz w:val="18"/>
                <w:szCs w:val="18"/>
              </w:rPr>
              <w:t>77%</w:t>
            </w:r>
          </w:p>
        </w:tc>
        <w:tc>
          <w:tcPr>
            <w:tcW w:w="980" w:type="dxa"/>
            <w:vMerge/>
            <w:tcBorders>
              <w:top w:val="nil"/>
              <w:left w:val="single" w:color="auto" w:sz="4" w:space="0"/>
              <w:bottom w:val="single" w:color="auto" w:sz="4" w:space="0"/>
              <w:right w:val="single" w:color="auto" w:sz="4" w:space="0"/>
            </w:tcBorders>
            <w:vAlign w:val="center"/>
            <w:hideMark/>
          </w:tcPr>
          <w:p w:rsidRPr="00DB1C71" w:rsidR="004F5855" w:rsidP="004F5855" w:rsidRDefault="004F5855" w14:paraId="5989DEB8" w14:textId="77777777">
            <w:pPr>
              <w:spacing w:after="0" w:line="240" w:lineRule="auto"/>
              <w:rPr>
                <w:rFonts w:ascii="Arial" w:hAnsi="Arial" w:eastAsia="Times New Roman" w:cs="Arial"/>
                <w:color w:val="000000"/>
                <w:sz w:val="18"/>
                <w:szCs w:val="18"/>
              </w:rPr>
            </w:pPr>
          </w:p>
        </w:tc>
        <w:tc>
          <w:tcPr>
            <w:tcW w:w="980" w:type="dxa"/>
            <w:vMerge/>
            <w:tcBorders>
              <w:top w:val="nil"/>
              <w:left w:val="single" w:color="auto" w:sz="4" w:space="0"/>
              <w:bottom w:val="single" w:color="auto" w:sz="4" w:space="0"/>
              <w:right w:val="single" w:color="auto" w:sz="4" w:space="0"/>
            </w:tcBorders>
            <w:vAlign w:val="center"/>
            <w:hideMark/>
          </w:tcPr>
          <w:p w:rsidRPr="00DB1C71" w:rsidR="004F5855" w:rsidP="004F5855" w:rsidRDefault="004F5855" w14:paraId="19321CA7" w14:textId="77777777">
            <w:pPr>
              <w:spacing w:after="0" w:line="240" w:lineRule="auto"/>
              <w:rPr>
                <w:rFonts w:ascii="Arial" w:hAnsi="Arial" w:eastAsia="Times New Roman" w:cs="Arial"/>
                <w:color w:val="000000"/>
                <w:sz w:val="18"/>
                <w:szCs w:val="18"/>
              </w:rPr>
            </w:pPr>
          </w:p>
        </w:tc>
      </w:tr>
    </w:tbl>
    <w:p w:rsidRPr="00DB1C71" w:rsidR="00766A7D" w:rsidP="00C11D48" w:rsidRDefault="00766A7D" w14:paraId="56CE955E" w14:textId="77777777">
      <w:pPr>
        <w:autoSpaceDE w:val="0"/>
        <w:autoSpaceDN w:val="0"/>
        <w:adjustRightInd w:val="0"/>
        <w:spacing w:after="0"/>
        <w:jc w:val="center"/>
        <w:rPr>
          <w:rFonts w:ascii="Arial" w:hAnsi="Arial" w:cs="Arial"/>
          <w:b/>
          <w:lang w:val="es-ES"/>
        </w:rPr>
      </w:pPr>
    </w:p>
    <w:p w:rsidRPr="0078661C" w:rsidR="00FF5495" w:rsidP="00FF5495" w:rsidRDefault="00FF5495" w14:paraId="183CDC54" w14:textId="77777777">
      <w:pPr>
        <w:pStyle w:val="ListParagraph"/>
        <w:numPr>
          <w:ilvl w:val="0"/>
          <w:numId w:val="7"/>
        </w:numPr>
        <w:spacing w:before="120" w:after="0"/>
        <w:ind w:left="0"/>
        <w:jc w:val="both"/>
        <w:rPr>
          <w:rFonts w:ascii="Arial" w:hAnsi="Arial" w:cs="Arial"/>
          <w:b/>
          <w:lang w:val="es-ES"/>
        </w:rPr>
      </w:pPr>
      <w:r w:rsidRPr="0078661C">
        <w:rPr>
          <w:rFonts w:ascii="Arial" w:hAnsi="Arial" w:cs="Arial"/>
          <w:b/>
          <w:lang w:val="es-ES"/>
        </w:rPr>
        <w:t>Conclusiones</w:t>
      </w:r>
    </w:p>
    <w:p w:rsidRPr="0078661C" w:rsidR="00FF5495" w:rsidP="00011D76" w:rsidRDefault="00FF5495" w14:paraId="71DD3DC8" w14:textId="77777777">
      <w:pPr>
        <w:pStyle w:val="ListParagraph"/>
        <w:rPr>
          <w:rFonts w:ascii="Arial" w:hAnsi="Arial" w:cs="Arial"/>
          <w:lang w:val="es-ES"/>
        </w:rPr>
      </w:pPr>
    </w:p>
    <w:p w:rsidR="00531007" w:rsidP="00011D76" w:rsidRDefault="00FF5495" w14:paraId="4F98157F" w14:textId="49511D6C">
      <w:pPr>
        <w:pStyle w:val="ListParagraph"/>
        <w:numPr>
          <w:ilvl w:val="0"/>
          <w:numId w:val="8"/>
        </w:numPr>
        <w:ind w:left="0"/>
        <w:jc w:val="both"/>
        <w:rPr>
          <w:rFonts w:ascii="Arial" w:hAnsi="Arial" w:cs="Arial"/>
          <w:lang w:val="es-ES"/>
        </w:rPr>
      </w:pPr>
      <w:r w:rsidRPr="0078661C">
        <w:rPr>
          <w:rFonts w:ascii="Arial" w:hAnsi="Arial" w:cs="Arial"/>
          <w:lang w:val="es-ES"/>
        </w:rPr>
        <w:t xml:space="preserve">El presente </w:t>
      </w:r>
      <w:r w:rsidRPr="0078661C" w:rsidR="00A970EE">
        <w:rPr>
          <w:rFonts w:ascii="Arial" w:hAnsi="Arial" w:cs="Arial"/>
          <w:lang w:val="es-ES"/>
        </w:rPr>
        <w:t>análisis</w:t>
      </w:r>
      <w:r w:rsidRPr="0078661C">
        <w:rPr>
          <w:rFonts w:ascii="Arial" w:hAnsi="Arial" w:cs="Arial"/>
          <w:lang w:val="es-ES"/>
        </w:rPr>
        <w:t xml:space="preserve"> </w:t>
      </w:r>
      <w:r w:rsidRPr="0078661C" w:rsidR="00A970EE">
        <w:rPr>
          <w:rFonts w:ascii="Arial" w:hAnsi="Arial" w:cs="Arial"/>
          <w:lang w:val="es-ES"/>
        </w:rPr>
        <w:t>económico</w:t>
      </w:r>
      <w:r w:rsidRPr="0078661C">
        <w:rPr>
          <w:rFonts w:ascii="Arial" w:hAnsi="Arial" w:cs="Arial"/>
          <w:lang w:val="es-ES"/>
        </w:rPr>
        <w:t xml:space="preserve"> de la </w:t>
      </w:r>
      <w:r w:rsidRPr="0078661C" w:rsidR="00A970EE">
        <w:rPr>
          <w:rFonts w:ascii="Arial" w:hAnsi="Arial" w:cs="Arial"/>
          <w:lang w:val="es-ES"/>
        </w:rPr>
        <w:t>operación</w:t>
      </w:r>
      <w:r w:rsidRPr="0078661C">
        <w:rPr>
          <w:rFonts w:ascii="Arial" w:hAnsi="Arial" w:cs="Arial"/>
          <w:lang w:val="es-ES"/>
        </w:rPr>
        <w:t xml:space="preserve"> Programa de </w:t>
      </w:r>
      <w:r w:rsidRPr="0078661C" w:rsidR="00A970EE">
        <w:rPr>
          <w:rFonts w:ascii="Arial" w:hAnsi="Arial" w:cs="Arial"/>
          <w:lang w:val="es-ES"/>
        </w:rPr>
        <w:t>Apoyo</w:t>
      </w:r>
      <w:r w:rsidRPr="0078661C">
        <w:rPr>
          <w:rFonts w:ascii="Arial" w:hAnsi="Arial" w:cs="Arial"/>
          <w:lang w:val="es-ES"/>
        </w:rPr>
        <w:t xml:space="preserve"> al Empleo I concluye que los beneficios esperados de la implementación del programa superan los costos del mismo, incluso ante el uso de supuestos conservadores</w:t>
      </w:r>
      <w:r w:rsidR="00B07FEF">
        <w:rPr>
          <w:rFonts w:ascii="Arial" w:hAnsi="Arial" w:cs="Arial"/>
          <w:lang w:val="es-ES"/>
        </w:rPr>
        <w:t xml:space="preserve"> y empleando los impactos más conservadores encontrados en el programa</w:t>
      </w:r>
      <w:r w:rsidRPr="0078661C">
        <w:rPr>
          <w:rFonts w:ascii="Arial" w:hAnsi="Arial" w:cs="Arial"/>
          <w:lang w:val="es-ES"/>
        </w:rPr>
        <w:t xml:space="preserve">. </w:t>
      </w:r>
    </w:p>
    <w:p w:rsidRPr="0078661C" w:rsidR="00B07FEF" w:rsidP="00B07FEF" w:rsidRDefault="00B07FEF" w14:paraId="47E29585" w14:textId="77777777">
      <w:pPr>
        <w:pStyle w:val="ListParagraph"/>
        <w:ind w:left="0"/>
        <w:jc w:val="both"/>
        <w:rPr>
          <w:rFonts w:ascii="Arial" w:hAnsi="Arial" w:cs="Arial"/>
          <w:lang w:val="es-ES"/>
        </w:rPr>
      </w:pPr>
    </w:p>
    <w:p w:rsidRPr="0078661C" w:rsidR="00531007" w:rsidP="00011D76" w:rsidRDefault="00FF5495" w14:paraId="21084EA7" w14:textId="766098CD">
      <w:pPr>
        <w:pStyle w:val="ListParagraph"/>
        <w:numPr>
          <w:ilvl w:val="0"/>
          <w:numId w:val="8"/>
        </w:numPr>
        <w:ind w:left="0"/>
        <w:jc w:val="both"/>
        <w:rPr>
          <w:rFonts w:ascii="Arial" w:hAnsi="Arial" w:cs="Arial"/>
          <w:lang w:val="es-ES"/>
        </w:rPr>
      </w:pPr>
      <w:r w:rsidRPr="0078661C">
        <w:rPr>
          <w:rFonts w:ascii="Arial" w:hAnsi="Arial" w:cs="Arial"/>
          <w:lang w:val="es-ES"/>
        </w:rPr>
        <w:t xml:space="preserve">Desde una perspectiva sin proyecto, los buscadores de empleo intermediados </w:t>
      </w:r>
      <w:r w:rsidR="00B07FEF">
        <w:rPr>
          <w:rFonts w:ascii="Arial" w:hAnsi="Arial" w:cs="Arial"/>
          <w:lang w:val="es-ES"/>
        </w:rPr>
        <w:t>por el PAE pueden señalizar su nivel de habilidades, por lo que les es más fácil acceder a empleos de calidad en comparación con el grupo de control</w:t>
      </w:r>
      <w:r w:rsidRPr="0078661C">
        <w:rPr>
          <w:rFonts w:ascii="Arial" w:hAnsi="Arial" w:cs="Arial"/>
          <w:lang w:val="es-ES"/>
        </w:rPr>
        <w:t xml:space="preserve">. </w:t>
      </w:r>
      <w:r w:rsidR="00B07FEF">
        <w:rPr>
          <w:rFonts w:ascii="Arial" w:hAnsi="Arial" w:cs="Arial"/>
          <w:lang w:val="es-ES"/>
        </w:rPr>
        <w:t xml:space="preserve">Es importante remarcar que los resultados corresponden únicamente a los </w:t>
      </w:r>
      <w:r w:rsidR="00645962">
        <w:rPr>
          <w:rFonts w:ascii="Arial" w:hAnsi="Arial" w:cs="Arial"/>
          <w:lang w:val="es-ES"/>
        </w:rPr>
        <w:t>impactos asociados al Componente 2 del PAE, siendo que también el Componente 1 puede haber generado beneficios a los buscadores de empleo y a las empresas que gracias a una mayor cobertura del programa pudieran haber mejorado su acceso a más y mejores empleos.</w:t>
      </w:r>
    </w:p>
    <w:p w:rsidRPr="0078661C" w:rsidR="00531007" w:rsidP="00531007" w:rsidRDefault="00531007" w14:paraId="56BE1371" w14:textId="77777777">
      <w:pPr>
        <w:pStyle w:val="ListParagraph"/>
        <w:rPr>
          <w:rFonts w:ascii="Arial" w:hAnsi="Arial" w:cs="Arial"/>
          <w:lang w:val="es-ES"/>
        </w:rPr>
      </w:pPr>
    </w:p>
    <w:p w:rsidRPr="0078661C" w:rsidR="00FF5495" w:rsidP="00011D76" w:rsidRDefault="00FF5495" w14:paraId="54FCA76C" w14:textId="55DBA203">
      <w:pPr>
        <w:pStyle w:val="ListParagraph"/>
        <w:numPr>
          <w:ilvl w:val="0"/>
          <w:numId w:val="8"/>
        </w:numPr>
        <w:ind w:left="0"/>
        <w:jc w:val="both"/>
        <w:rPr>
          <w:rFonts w:ascii="Arial" w:hAnsi="Arial" w:cs="Arial"/>
          <w:lang w:val="es-ES"/>
        </w:rPr>
      </w:pPr>
      <w:r w:rsidRPr="0078661C">
        <w:rPr>
          <w:rFonts w:ascii="Arial" w:hAnsi="Arial" w:cs="Arial"/>
          <w:lang w:val="es-ES"/>
        </w:rPr>
        <w:t xml:space="preserve">Considerando que los beneficios </w:t>
      </w:r>
      <w:r w:rsidRPr="0078661C" w:rsidR="00531007">
        <w:rPr>
          <w:rFonts w:ascii="Arial" w:hAnsi="Arial" w:cs="Arial"/>
          <w:lang w:val="es-ES"/>
        </w:rPr>
        <w:t xml:space="preserve">superan a los costos de la intervención y que </w:t>
      </w:r>
      <w:r w:rsidRPr="0078661C">
        <w:rPr>
          <w:rFonts w:ascii="Arial" w:hAnsi="Arial" w:cs="Arial"/>
          <w:lang w:val="es-ES"/>
        </w:rPr>
        <w:t xml:space="preserve">según nuestros </w:t>
      </w:r>
      <w:r w:rsidRPr="0078661C" w:rsidR="00A970EE">
        <w:rPr>
          <w:rFonts w:ascii="Arial" w:hAnsi="Arial" w:cs="Arial"/>
          <w:lang w:val="es-ES"/>
        </w:rPr>
        <w:t>cálculos</w:t>
      </w:r>
      <w:r w:rsidRPr="0078661C">
        <w:rPr>
          <w:rFonts w:ascii="Arial" w:hAnsi="Arial" w:cs="Arial"/>
          <w:lang w:val="es-ES"/>
        </w:rPr>
        <w:t xml:space="preserve"> </w:t>
      </w:r>
      <w:r w:rsidRPr="0078661C" w:rsidR="00531007">
        <w:rPr>
          <w:rFonts w:ascii="Arial" w:hAnsi="Arial" w:cs="Arial"/>
          <w:lang w:val="es-ES"/>
        </w:rPr>
        <w:t>el proyecto tendría un VPN de US$</w:t>
      </w:r>
      <w:r w:rsidR="006B50EB">
        <w:rPr>
          <w:rFonts w:ascii="Arial" w:hAnsi="Arial" w:cs="Arial"/>
          <w:lang w:val="es-ES"/>
        </w:rPr>
        <w:t>3</w:t>
      </w:r>
      <w:r w:rsidR="00645962">
        <w:rPr>
          <w:rFonts w:ascii="Arial" w:hAnsi="Arial" w:cs="Arial"/>
          <w:lang w:val="es-ES"/>
        </w:rPr>
        <w:t>,</w:t>
      </w:r>
      <w:r w:rsidR="006B50EB">
        <w:rPr>
          <w:rFonts w:ascii="Arial" w:hAnsi="Arial" w:cs="Arial"/>
          <w:lang w:val="es-ES"/>
        </w:rPr>
        <w:t>68</w:t>
      </w:r>
      <w:r w:rsidRPr="0078661C" w:rsidR="00531007">
        <w:rPr>
          <w:rFonts w:ascii="Arial" w:hAnsi="Arial" w:cs="Arial"/>
          <w:lang w:val="es-ES"/>
        </w:rPr>
        <w:t xml:space="preserve"> millones y un ratio Costo Beneficio de </w:t>
      </w:r>
      <w:r w:rsidR="00645962">
        <w:rPr>
          <w:rFonts w:ascii="Arial" w:hAnsi="Arial" w:cs="Arial"/>
          <w:lang w:val="es-ES"/>
        </w:rPr>
        <w:t>1</w:t>
      </w:r>
      <w:r w:rsidR="005D4ADE">
        <w:rPr>
          <w:rFonts w:ascii="Arial" w:hAnsi="Arial" w:cs="Arial"/>
          <w:lang w:val="es-ES"/>
        </w:rPr>
        <w:t>,</w:t>
      </w:r>
      <w:r w:rsidR="006B50EB">
        <w:rPr>
          <w:rFonts w:ascii="Arial" w:hAnsi="Arial" w:cs="Arial"/>
          <w:lang w:val="es-ES"/>
        </w:rPr>
        <w:t>25</w:t>
      </w:r>
      <w:r w:rsidRPr="0078661C">
        <w:rPr>
          <w:rFonts w:ascii="Arial" w:hAnsi="Arial" w:cs="Arial"/>
          <w:lang w:val="es-ES"/>
        </w:rPr>
        <w:t>,</w:t>
      </w:r>
      <w:r w:rsidR="00CC3C2E">
        <w:rPr>
          <w:rFonts w:ascii="Arial" w:hAnsi="Arial" w:cs="Arial"/>
          <w:lang w:val="es-ES"/>
        </w:rPr>
        <w:t> </w:t>
      </w:r>
      <w:r w:rsidR="00645962">
        <w:rPr>
          <w:rFonts w:ascii="Arial" w:hAnsi="Arial" w:cs="Arial"/>
          <w:lang w:val="es-ES"/>
        </w:rPr>
        <w:t>solamente considerando los impactos del Componente 2</w:t>
      </w:r>
      <w:r w:rsidRPr="0078661C">
        <w:rPr>
          <w:rFonts w:ascii="Arial" w:hAnsi="Arial" w:cs="Arial"/>
          <w:lang w:val="es-ES"/>
        </w:rPr>
        <w:t xml:space="preserve"> </w:t>
      </w:r>
      <w:r w:rsidR="00645962">
        <w:rPr>
          <w:rFonts w:ascii="Arial" w:hAnsi="Arial" w:cs="Arial"/>
          <w:lang w:val="es-ES"/>
        </w:rPr>
        <w:t>y solamente para un periodo de tiempo de 3 años. D</w:t>
      </w:r>
      <w:r w:rsidRPr="0078661C">
        <w:rPr>
          <w:rFonts w:ascii="Arial" w:hAnsi="Arial" w:cs="Arial"/>
          <w:lang w:val="es-ES"/>
        </w:rPr>
        <w:t xml:space="preserve">esde un punto de vista económico se considera </w:t>
      </w:r>
      <w:r w:rsidR="006B50EB">
        <w:rPr>
          <w:rFonts w:ascii="Arial" w:hAnsi="Arial" w:cs="Arial"/>
          <w:lang w:val="es-ES"/>
        </w:rPr>
        <w:t xml:space="preserve">que </w:t>
      </w:r>
      <w:r w:rsidRPr="0078661C">
        <w:rPr>
          <w:rFonts w:ascii="Arial" w:hAnsi="Arial" w:cs="Arial"/>
          <w:lang w:val="es-ES"/>
        </w:rPr>
        <w:t xml:space="preserve">la implementación del </w:t>
      </w:r>
      <w:r w:rsidRPr="0078661C" w:rsidR="00A970EE">
        <w:rPr>
          <w:rFonts w:ascii="Arial" w:hAnsi="Arial" w:cs="Arial"/>
          <w:lang w:val="es-ES"/>
        </w:rPr>
        <w:t>Programa</w:t>
      </w:r>
      <w:r w:rsidRPr="0078661C">
        <w:rPr>
          <w:rFonts w:ascii="Arial" w:hAnsi="Arial" w:cs="Arial"/>
          <w:lang w:val="es-ES"/>
        </w:rPr>
        <w:t xml:space="preserve"> de Apoyo al Empleo </w:t>
      </w:r>
      <w:r w:rsidR="006B50EB">
        <w:rPr>
          <w:rFonts w:ascii="Arial" w:hAnsi="Arial" w:cs="Arial"/>
          <w:lang w:val="es-ES"/>
        </w:rPr>
        <w:t>tuvo un impacto económico positivo, incluso sin considerar beneficios laborales asociados a acceso a empleo formal y mejoras en la productividad y beneficios no laborales</w:t>
      </w:r>
      <w:r w:rsidRPr="0078661C">
        <w:rPr>
          <w:rFonts w:ascii="Arial" w:hAnsi="Arial" w:cs="Arial"/>
          <w:lang w:val="es-ES"/>
        </w:rPr>
        <w:t>.</w:t>
      </w:r>
    </w:p>
    <w:p w:rsidR="00D45D2D" w:rsidRDefault="00D45D2D" w14:paraId="7BAFBE1C" w14:textId="77777777">
      <w:pPr>
        <w:rPr>
          <w:rFonts w:ascii="Arial" w:hAnsi="Arial" w:cs="Arial"/>
          <w:b/>
          <w:lang w:val="es-ES"/>
        </w:rPr>
      </w:pPr>
      <w:r>
        <w:rPr>
          <w:rFonts w:ascii="Arial" w:hAnsi="Arial" w:cs="Arial"/>
          <w:b/>
          <w:lang w:val="es-ES"/>
        </w:rPr>
        <w:br w:type="page"/>
      </w:r>
    </w:p>
    <w:p w:rsidRPr="0078661C" w:rsidR="00D23ED9" w:rsidP="00D23ED9" w:rsidRDefault="00D23ED9" w14:paraId="201D3D3F" w14:textId="77777777">
      <w:pPr>
        <w:pStyle w:val="ListParagraph"/>
        <w:numPr>
          <w:ilvl w:val="0"/>
          <w:numId w:val="7"/>
        </w:numPr>
        <w:spacing w:before="120" w:after="0"/>
        <w:ind w:left="0"/>
        <w:jc w:val="both"/>
        <w:rPr>
          <w:rFonts w:ascii="Arial" w:hAnsi="Arial" w:cs="Arial"/>
          <w:lang w:val="es-ES"/>
        </w:rPr>
      </w:pPr>
      <w:r w:rsidRPr="0078661C">
        <w:rPr>
          <w:rFonts w:ascii="Arial" w:hAnsi="Arial" w:cs="Arial"/>
          <w:b/>
          <w:lang w:val="es-ES"/>
        </w:rPr>
        <w:lastRenderedPageBreak/>
        <w:t>Referencias</w:t>
      </w:r>
    </w:p>
    <w:p w:rsidRPr="0078661C" w:rsidR="00D23ED9" w:rsidP="00D23ED9" w:rsidRDefault="00D23ED9" w14:paraId="1CC36425" w14:textId="77777777">
      <w:pPr>
        <w:pStyle w:val="ListParagraph"/>
        <w:spacing w:before="120" w:after="0"/>
        <w:ind w:left="0"/>
        <w:jc w:val="both"/>
        <w:rPr>
          <w:rFonts w:ascii="Arial" w:hAnsi="Arial" w:cs="Arial"/>
          <w:lang w:val="es-ES"/>
        </w:rPr>
      </w:pPr>
    </w:p>
    <w:p w:rsidRPr="0078661C" w:rsidR="00D23ED9" w:rsidP="00D56A15" w:rsidRDefault="00D23ED9" w14:paraId="0EE59325"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fr-FR"/>
        </w:rPr>
        <w:t>Alaimo V., Bosch M., Kaplan D., Pages C.</w:t>
      </w:r>
      <w:r w:rsidRPr="0078661C" w:rsidR="00D56A15">
        <w:rPr>
          <w:rFonts w:ascii="Arial" w:hAnsi="Arial" w:cs="Arial"/>
          <w:lang w:val="fr-FR"/>
        </w:rPr>
        <w:t xml:space="preserve"> &amp;</w:t>
      </w:r>
      <w:r w:rsidRPr="0078661C">
        <w:rPr>
          <w:rFonts w:ascii="Arial" w:hAnsi="Arial" w:cs="Arial"/>
          <w:lang w:val="fr-FR"/>
        </w:rPr>
        <w:t xml:space="preserve"> Ripani L., (2015). </w:t>
      </w:r>
      <w:r w:rsidRPr="0078661C">
        <w:rPr>
          <w:rFonts w:ascii="Arial" w:hAnsi="Arial" w:cs="Arial"/>
          <w:lang w:val="es-ES"/>
        </w:rPr>
        <w:t>“Empleos para Crecer”. BID Washington, DC.</w:t>
      </w:r>
    </w:p>
    <w:p w:rsidRPr="0078661C" w:rsidR="006C3959" w:rsidP="00D56A15" w:rsidRDefault="006C3959" w14:paraId="184AB2A8" w14:textId="77777777">
      <w:pPr>
        <w:pStyle w:val="ListParagraph"/>
        <w:tabs>
          <w:tab w:val="left" w:pos="0"/>
        </w:tabs>
        <w:spacing w:before="120" w:after="0"/>
        <w:ind w:left="0"/>
        <w:jc w:val="both"/>
        <w:rPr>
          <w:rFonts w:ascii="Arial" w:hAnsi="Arial" w:cs="Arial"/>
          <w:lang w:val="es-ES"/>
        </w:rPr>
      </w:pPr>
    </w:p>
    <w:p w:rsidRPr="0078661C" w:rsidR="00D23ED9" w:rsidP="00D56A15" w:rsidRDefault="00D23ED9" w14:paraId="04B4A410"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fr-FR"/>
        </w:rPr>
        <w:t xml:space="preserve">Attanasio, O., Kugler, A., &amp; Meghir, C. (2011). </w:t>
      </w:r>
      <w:r w:rsidRPr="0078661C" w:rsidR="00D56A15">
        <w:rPr>
          <w:rFonts w:ascii="Arial" w:hAnsi="Arial" w:cs="Arial"/>
        </w:rPr>
        <w:t>“</w:t>
      </w:r>
      <w:r w:rsidRPr="0078661C">
        <w:rPr>
          <w:rFonts w:ascii="Arial" w:hAnsi="Arial" w:cs="Arial"/>
        </w:rPr>
        <w:t>Subsidizing vocational training for disadvantaged youth in Colombia: Evidence from a randomized trial</w:t>
      </w:r>
      <w:r w:rsidRPr="0078661C" w:rsidR="00D56A15">
        <w:rPr>
          <w:rFonts w:ascii="Arial" w:hAnsi="Arial" w:cs="Arial"/>
        </w:rPr>
        <w:t>”</w:t>
      </w:r>
      <w:r w:rsidRPr="0078661C">
        <w:rPr>
          <w:rFonts w:ascii="Arial" w:hAnsi="Arial" w:cs="Arial"/>
        </w:rPr>
        <w:t xml:space="preserve">. </w:t>
      </w:r>
      <w:r w:rsidRPr="0078661C">
        <w:rPr>
          <w:rFonts w:ascii="Arial" w:hAnsi="Arial" w:cs="Arial"/>
          <w:lang w:val="es-ES"/>
        </w:rPr>
        <w:t>American Economic Journal: Applied Economics, 188-220.</w:t>
      </w:r>
    </w:p>
    <w:p w:rsidRPr="0078661C" w:rsidR="009C339A" w:rsidP="00D56A15" w:rsidRDefault="009C339A" w14:paraId="2106A2CD" w14:textId="77777777">
      <w:pPr>
        <w:pStyle w:val="ListParagraph"/>
        <w:tabs>
          <w:tab w:val="left" w:pos="0"/>
        </w:tabs>
        <w:ind w:left="0"/>
        <w:rPr>
          <w:rFonts w:ascii="Arial" w:hAnsi="Arial" w:cs="Arial"/>
          <w:lang w:val="es-ES"/>
        </w:rPr>
      </w:pPr>
    </w:p>
    <w:p w:rsidRPr="0078661C" w:rsidR="00D23ED9" w:rsidP="00D56A15" w:rsidRDefault="00D23ED9" w14:paraId="16A053AA"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Banco Interamericano de Desarrollo (2015)</w:t>
      </w:r>
      <w:r w:rsidRPr="0078661C" w:rsidR="00D56A15">
        <w:rPr>
          <w:rFonts w:ascii="Arial" w:hAnsi="Arial" w:cs="Arial"/>
          <w:lang w:val="es-ES"/>
        </w:rPr>
        <w:t>.</w:t>
      </w:r>
      <w:r w:rsidRPr="0078661C">
        <w:rPr>
          <w:rFonts w:ascii="Arial" w:hAnsi="Arial" w:cs="Arial"/>
          <w:lang w:val="es-ES"/>
        </w:rPr>
        <w:t xml:space="preserve"> </w:t>
      </w:r>
      <w:r w:rsidRPr="0078661C" w:rsidR="00D56A15">
        <w:rPr>
          <w:rFonts w:ascii="Arial" w:hAnsi="Arial" w:cs="Arial"/>
          <w:lang w:val="es-ES"/>
        </w:rPr>
        <w:t>“</w:t>
      </w:r>
      <w:r w:rsidRPr="0078661C">
        <w:rPr>
          <w:rFonts w:ascii="Arial" w:hAnsi="Arial" w:cs="Arial"/>
          <w:lang w:val="es-ES"/>
        </w:rPr>
        <w:t xml:space="preserve">Desafíos para el </w:t>
      </w:r>
      <w:r w:rsidRPr="0078661C" w:rsidR="00D56A15">
        <w:rPr>
          <w:rFonts w:ascii="Arial" w:hAnsi="Arial" w:cs="Arial"/>
          <w:lang w:val="es-ES"/>
        </w:rPr>
        <w:t>Desarrollo del país”</w:t>
      </w:r>
      <w:r w:rsidRPr="0078661C">
        <w:rPr>
          <w:rFonts w:ascii="Arial" w:hAnsi="Arial" w:cs="Arial"/>
          <w:lang w:val="es-ES"/>
        </w:rPr>
        <w:t>.</w:t>
      </w:r>
    </w:p>
    <w:p w:rsidRPr="0078661C" w:rsidR="006C3959" w:rsidP="00D56A15" w:rsidRDefault="006C3959" w14:paraId="1FB65549" w14:textId="77777777">
      <w:pPr>
        <w:pStyle w:val="ListParagraph"/>
        <w:tabs>
          <w:tab w:val="left" w:pos="0"/>
        </w:tabs>
        <w:ind w:left="0"/>
        <w:rPr>
          <w:rFonts w:ascii="Arial" w:hAnsi="Arial" w:cs="Arial"/>
          <w:lang w:val="es-ES"/>
        </w:rPr>
      </w:pPr>
    </w:p>
    <w:p w:rsidRPr="00286B65" w:rsidR="009C339A" w:rsidP="00562EA4" w:rsidRDefault="006C3959" w14:paraId="64CAC673" w14:textId="5EA726D0">
      <w:pPr>
        <w:pStyle w:val="ListParagraph"/>
        <w:numPr>
          <w:ilvl w:val="0"/>
          <w:numId w:val="17"/>
        </w:numPr>
        <w:tabs>
          <w:tab w:val="left" w:pos="0"/>
        </w:tabs>
        <w:spacing w:before="120" w:after="0"/>
        <w:ind w:left="0"/>
        <w:jc w:val="both"/>
        <w:rPr>
          <w:rFonts w:ascii="Arial" w:hAnsi="Arial" w:cs="Arial"/>
        </w:rPr>
      </w:pPr>
      <w:r w:rsidRPr="00645962">
        <w:rPr>
          <w:rFonts w:ascii="Arial" w:hAnsi="Arial"/>
        </w:rPr>
        <w:t>Berniell &amp; de la Mata (</w:t>
      </w:r>
      <w:r w:rsidR="00645962">
        <w:rPr>
          <w:rFonts w:ascii="Arial" w:hAnsi="Arial"/>
        </w:rPr>
        <w:t>2017</w:t>
      </w:r>
      <w:r w:rsidRPr="00645962">
        <w:rPr>
          <w:rFonts w:ascii="Arial" w:hAnsi="Arial"/>
        </w:rPr>
        <w:t>)</w:t>
      </w:r>
      <w:r w:rsidRPr="00645962" w:rsidR="00D56A15">
        <w:rPr>
          <w:rFonts w:ascii="Arial" w:hAnsi="Arial"/>
        </w:rPr>
        <w:t>.</w:t>
      </w:r>
      <w:r w:rsidRPr="00645962">
        <w:rPr>
          <w:rFonts w:ascii="Arial" w:hAnsi="Arial"/>
        </w:rPr>
        <w:t xml:space="preserve"> </w:t>
      </w:r>
      <w:r w:rsidRPr="00645962" w:rsidR="00D56A15">
        <w:rPr>
          <w:rFonts w:ascii="Arial" w:hAnsi="Arial" w:cs="Arial"/>
        </w:rPr>
        <w:t>“</w:t>
      </w:r>
      <w:r w:rsidRPr="00645962">
        <w:rPr>
          <w:rFonts w:ascii="Arial" w:hAnsi="Arial" w:cs="Arial"/>
        </w:rPr>
        <w:t>Starting on the right track: Experimental evidence from a large-scale apprenticeship program</w:t>
      </w:r>
      <w:r w:rsidRPr="00645962" w:rsidR="00D56A15">
        <w:rPr>
          <w:rFonts w:ascii="Arial" w:hAnsi="Arial" w:cs="Arial"/>
        </w:rPr>
        <w:t>”</w:t>
      </w:r>
      <w:r w:rsidRPr="00645962">
        <w:rPr>
          <w:rFonts w:ascii="Arial" w:hAnsi="Arial" w:cs="Arial"/>
        </w:rPr>
        <w:t xml:space="preserve">. </w:t>
      </w:r>
    </w:p>
    <w:p w:rsidRPr="00286B65" w:rsidR="00645962" w:rsidP="00645962" w:rsidRDefault="00645962" w14:paraId="4730AB3F" w14:textId="77777777">
      <w:pPr>
        <w:pStyle w:val="ListParagraph"/>
        <w:tabs>
          <w:tab w:val="left" w:pos="0"/>
        </w:tabs>
        <w:spacing w:before="120" w:after="0"/>
        <w:ind w:left="0"/>
        <w:jc w:val="both"/>
        <w:rPr>
          <w:rFonts w:ascii="Arial" w:hAnsi="Arial" w:cs="Arial"/>
        </w:rPr>
      </w:pPr>
    </w:p>
    <w:p w:rsidRPr="0078661C" w:rsidR="00D23ED9" w:rsidP="00D56A15" w:rsidRDefault="00D23ED9" w14:paraId="522C239C"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Betcherman, G., Godfrey M.</w:t>
      </w:r>
      <w:r w:rsidRPr="0078661C" w:rsidR="00D56A15">
        <w:rPr>
          <w:rFonts w:ascii="Arial" w:hAnsi="Arial" w:cs="Arial"/>
        </w:rPr>
        <w:t xml:space="preserve"> &amp;</w:t>
      </w:r>
      <w:r w:rsidRPr="0078661C">
        <w:rPr>
          <w:rFonts w:ascii="Arial" w:hAnsi="Arial" w:cs="Arial"/>
        </w:rPr>
        <w:t xml:space="preserve"> Puerto S. (2007). “A Review of Interventions to Support Young Workers: Findings of the Youth Employment Inventory”. </w:t>
      </w:r>
      <w:r w:rsidRPr="0078661C">
        <w:rPr>
          <w:rFonts w:ascii="Arial" w:hAnsi="Arial" w:cs="Arial"/>
          <w:lang w:val="es-ES"/>
        </w:rPr>
        <w:t>Social Protection Discussion Paper</w:t>
      </w:r>
      <w:bookmarkStart w:name="_GoBack" w:id="2"/>
      <w:bookmarkEnd w:id="2"/>
      <w:r w:rsidRPr="0078661C">
        <w:rPr>
          <w:rFonts w:ascii="Arial" w:hAnsi="Arial" w:cs="Arial"/>
          <w:lang w:val="es-ES"/>
        </w:rPr>
        <w:t xml:space="preserve"> No 0715. Banco Mundial.</w:t>
      </w:r>
    </w:p>
    <w:p w:rsidRPr="0078661C" w:rsidR="009C339A" w:rsidP="00D56A15" w:rsidRDefault="009C339A" w14:paraId="025EFEDA" w14:textId="77777777">
      <w:pPr>
        <w:pStyle w:val="ListParagraph"/>
        <w:tabs>
          <w:tab w:val="left" w:pos="0"/>
        </w:tabs>
        <w:ind w:left="0"/>
        <w:rPr>
          <w:rFonts w:ascii="Arial" w:hAnsi="Arial" w:cs="Arial"/>
          <w:lang w:val="es-ES"/>
        </w:rPr>
      </w:pPr>
    </w:p>
    <w:p w:rsidRPr="0078661C" w:rsidR="00D23ED9" w:rsidP="00D56A15" w:rsidRDefault="00D23ED9" w14:paraId="1163A93F" w14:textId="77777777">
      <w:pPr>
        <w:pStyle w:val="ListParagraph"/>
        <w:numPr>
          <w:ilvl w:val="0"/>
          <w:numId w:val="17"/>
        </w:numPr>
        <w:tabs>
          <w:tab w:val="left" w:pos="0"/>
        </w:tabs>
        <w:spacing w:before="120" w:after="0"/>
        <w:ind w:left="0"/>
        <w:jc w:val="both"/>
        <w:rPr>
          <w:rFonts w:ascii="Arial" w:hAnsi="Arial" w:cs="Arial"/>
          <w:lang w:val="es-ES"/>
        </w:rPr>
      </w:pPr>
      <w:r w:rsidRPr="00D365E0">
        <w:rPr>
          <w:rFonts w:ascii="Arial" w:hAnsi="Arial"/>
        </w:rPr>
        <w:t xml:space="preserve">Betcherman, G., Olivas K. &amp; Dar A. (2004). </w:t>
      </w:r>
      <w:r w:rsidRPr="0078661C">
        <w:rPr>
          <w:rFonts w:ascii="Arial" w:hAnsi="Arial" w:cs="Arial"/>
        </w:rPr>
        <w:t xml:space="preserve">“Impacts of Active Labor Market Programs: New Evidence from Evaluations with Particular Attention to Developing and Transition Countries”. </w:t>
      </w:r>
      <w:r w:rsidRPr="0078661C">
        <w:rPr>
          <w:rFonts w:ascii="Arial" w:hAnsi="Arial" w:cs="Arial"/>
          <w:lang w:val="es-ES"/>
        </w:rPr>
        <w:t xml:space="preserve">Social Protection Discussion Paper Series No 0402. Banco Mundial. </w:t>
      </w:r>
    </w:p>
    <w:p w:rsidRPr="0078661C" w:rsidR="009C339A" w:rsidP="00D56A15" w:rsidRDefault="009C339A" w14:paraId="37608445" w14:textId="77777777">
      <w:pPr>
        <w:pStyle w:val="ListParagraph"/>
        <w:tabs>
          <w:tab w:val="left" w:pos="0"/>
        </w:tabs>
        <w:ind w:left="0"/>
        <w:rPr>
          <w:rFonts w:ascii="Arial" w:hAnsi="Arial" w:cs="Arial"/>
          <w:lang w:val="es-ES"/>
        </w:rPr>
      </w:pPr>
    </w:p>
    <w:p w:rsidRPr="0078661C" w:rsidR="00D23ED9" w:rsidP="00D56A15" w:rsidRDefault="00D23ED9" w14:paraId="0CBF2642" w14:textId="77777777">
      <w:pPr>
        <w:pStyle w:val="ListParagraph"/>
        <w:numPr>
          <w:ilvl w:val="0"/>
          <w:numId w:val="17"/>
        </w:numPr>
        <w:tabs>
          <w:tab w:val="left" w:pos="0"/>
        </w:tabs>
        <w:spacing w:before="120" w:after="0"/>
        <w:ind w:left="0"/>
        <w:jc w:val="both"/>
        <w:rPr>
          <w:rFonts w:ascii="Arial" w:hAnsi="Arial" w:cs="Arial"/>
        </w:rPr>
      </w:pPr>
      <w:r w:rsidRPr="0078661C">
        <w:rPr>
          <w:rFonts w:ascii="Arial" w:hAnsi="Arial" w:cs="Arial"/>
        </w:rPr>
        <w:t>BID (2012). “Guidelines for the Economic Analysis of IDB-Funded Projects”. Office of Strategic Planning and Development Effectiveness. BID Washington, DC</w:t>
      </w:r>
      <w:r w:rsidRPr="0078661C" w:rsidR="000F43FC">
        <w:rPr>
          <w:rFonts w:ascii="Arial" w:hAnsi="Arial" w:cs="Arial"/>
        </w:rPr>
        <w:t>.</w:t>
      </w:r>
    </w:p>
    <w:p w:rsidRPr="0078661C" w:rsidR="009C339A" w:rsidP="00D56A15" w:rsidRDefault="009C339A" w14:paraId="1C2B67A1" w14:textId="77777777">
      <w:pPr>
        <w:pStyle w:val="ListParagraph"/>
        <w:tabs>
          <w:tab w:val="left" w:pos="0"/>
        </w:tabs>
        <w:ind w:left="0"/>
        <w:rPr>
          <w:rFonts w:ascii="Arial" w:hAnsi="Arial" w:cs="Arial"/>
        </w:rPr>
      </w:pPr>
    </w:p>
    <w:p w:rsidRPr="0078661C" w:rsidR="00D23ED9" w:rsidP="00D56A15" w:rsidRDefault="00D23ED9" w14:paraId="48334110" w14:textId="77777777">
      <w:pPr>
        <w:pStyle w:val="ListParagraph"/>
        <w:numPr>
          <w:ilvl w:val="0"/>
          <w:numId w:val="17"/>
        </w:numPr>
        <w:tabs>
          <w:tab w:val="left" w:pos="0"/>
        </w:tabs>
        <w:spacing w:before="120" w:after="0"/>
        <w:ind w:left="0"/>
        <w:jc w:val="both"/>
        <w:rPr>
          <w:rFonts w:ascii="Arial" w:hAnsi="Arial" w:cs="Arial"/>
        </w:rPr>
      </w:pPr>
      <w:r w:rsidRPr="0078661C">
        <w:rPr>
          <w:rFonts w:ascii="Arial" w:hAnsi="Arial" w:cs="Arial"/>
        </w:rPr>
        <w:t>BID, AMSPE, OCDE (2015) “The World of Public Employment Services”. Inter-American Development Bank (IDB); World Association of Public Employment Services; Organisation for Economic Co-Operation and Development.</w:t>
      </w:r>
    </w:p>
    <w:p w:rsidRPr="0078661C" w:rsidR="009C339A" w:rsidP="00D56A15" w:rsidRDefault="009C339A" w14:paraId="7153D7C7" w14:textId="77777777">
      <w:pPr>
        <w:pStyle w:val="ListParagraph"/>
        <w:tabs>
          <w:tab w:val="left" w:pos="0"/>
        </w:tabs>
        <w:spacing w:before="120" w:after="0"/>
        <w:ind w:left="0"/>
        <w:jc w:val="both"/>
        <w:rPr>
          <w:rFonts w:ascii="Arial" w:hAnsi="Arial" w:cs="Arial"/>
        </w:rPr>
      </w:pPr>
    </w:p>
    <w:p w:rsidRPr="0078661C" w:rsidR="00D23ED9" w:rsidP="00D56A15" w:rsidRDefault="00D23ED9" w14:paraId="3889ECBF"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Card D, Kluve J.</w:t>
      </w:r>
      <w:r w:rsidRPr="0078661C" w:rsidR="00D56A15">
        <w:rPr>
          <w:rFonts w:ascii="Arial" w:hAnsi="Arial" w:cs="Arial"/>
        </w:rPr>
        <w:t>&amp;</w:t>
      </w:r>
      <w:r w:rsidRPr="0078661C">
        <w:rPr>
          <w:rFonts w:ascii="Arial" w:hAnsi="Arial" w:cs="Arial"/>
        </w:rPr>
        <w:t xml:space="preserve"> Weber A., (2010) “Active Labor Market Policy Evaluations: A Meta-Analysis”. </w:t>
      </w:r>
      <w:r w:rsidRPr="0078661C">
        <w:rPr>
          <w:rFonts w:ascii="Arial" w:hAnsi="Arial" w:cs="Arial"/>
          <w:lang w:val="es-ES"/>
        </w:rPr>
        <w:t>The Economic Journal, Volume 120, Issue 548</w:t>
      </w:r>
      <w:r w:rsidRPr="0078661C" w:rsidR="009C339A">
        <w:rPr>
          <w:rFonts w:ascii="Arial" w:hAnsi="Arial" w:cs="Arial"/>
          <w:lang w:val="es-ES"/>
        </w:rPr>
        <w:t>.</w:t>
      </w:r>
    </w:p>
    <w:p w:rsidRPr="0078661C" w:rsidR="009C339A" w:rsidP="00D56A15" w:rsidRDefault="009C339A" w14:paraId="1E4C342E" w14:textId="77777777">
      <w:pPr>
        <w:pStyle w:val="ListParagraph"/>
        <w:tabs>
          <w:tab w:val="left" w:pos="0"/>
        </w:tabs>
        <w:spacing w:before="120" w:after="0"/>
        <w:ind w:left="0"/>
        <w:jc w:val="both"/>
        <w:rPr>
          <w:rFonts w:ascii="Arial" w:hAnsi="Arial" w:cs="Arial"/>
          <w:lang w:val="es-ES"/>
        </w:rPr>
      </w:pPr>
    </w:p>
    <w:p w:rsidRPr="0078661C" w:rsidR="00D23ED9" w:rsidP="00D56A15" w:rsidRDefault="00D23ED9" w14:paraId="6C7A858D" w14:textId="7084FA43">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Card D, Kluve J.</w:t>
      </w:r>
      <w:r w:rsidRPr="0078661C" w:rsidR="00D56A15">
        <w:rPr>
          <w:rFonts w:ascii="Arial" w:hAnsi="Arial" w:cs="Arial"/>
        </w:rPr>
        <w:t xml:space="preserve"> &amp;</w:t>
      </w:r>
      <w:r w:rsidRPr="0078661C">
        <w:rPr>
          <w:rFonts w:ascii="Arial" w:hAnsi="Arial" w:cs="Arial"/>
        </w:rPr>
        <w:t xml:space="preserve"> Weber A., (2015) “What Works? A </w:t>
      </w:r>
      <w:r w:rsidRPr="0078661C" w:rsidR="001F0F05">
        <w:rPr>
          <w:rFonts w:ascii="Arial" w:hAnsi="Arial" w:cs="Arial"/>
        </w:rPr>
        <w:t>Meta-Analysis</w:t>
      </w:r>
      <w:r w:rsidRPr="0078661C">
        <w:rPr>
          <w:rFonts w:ascii="Arial" w:hAnsi="Arial" w:cs="Arial"/>
        </w:rPr>
        <w:t xml:space="preserve"> of Recent Active Labor Market Program Evaluations”. </w:t>
      </w:r>
      <w:r w:rsidRPr="0078661C">
        <w:rPr>
          <w:rFonts w:ascii="Arial" w:hAnsi="Arial" w:cs="Arial"/>
          <w:lang w:val="es-ES"/>
        </w:rPr>
        <w:t>IZA Discussion Paper No. 9236.</w:t>
      </w:r>
    </w:p>
    <w:p w:rsidRPr="0078661C" w:rsidR="009C339A" w:rsidP="00D56A15" w:rsidRDefault="009C339A" w14:paraId="33625EF2" w14:textId="77777777">
      <w:pPr>
        <w:pStyle w:val="ListParagraph"/>
        <w:tabs>
          <w:tab w:val="left" w:pos="0"/>
        </w:tabs>
        <w:spacing w:before="120" w:after="0"/>
        <w:ind w:left="0"/>
        <w:jc w:val="both"/>
        <w:rPr>
          <w:rFonts w:ascii="Arial" w:hAnsi="Arial" w:cs="Arial"/>
          <w:lang w:val="es-ES"/>
        </w:rPr>
      </w:pPr>
    </w:p>
    <w:p w:rsidRPr="0078661C" w:rsidR="00D23ED9" w:rsidP="00D56A15" w:rsidRDefault="00D23ED9" w14:paraId="5FE132F8" w14:textId="7A07C259">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 xml:space="preserve">Card, D., </w:t>
      </w:r>
      <w:r w:rsidR="00826DE6">
        <w:rPr>
          <w:rFonts w:ascii="Arial" w:hAnsi="Arial" w:cs="Arial"/>
        </w:rPr>
        <w:t>Ibarrarán</w:t>
      </w:r>
      <w:r w:rsidRPr="0078661C">
        <w:rPr>
          <w:rFonts w:ascii="Arial" w:hAnsi="Arial" w:cs="Arial"/>
        </w:rPr>
        <w:t xml:space="preserve">, P., Regalia, F., Rosas-Shady, D., &amp; Soares, Y. (2011). </w:t>
      </w:r>
      <w:r w:rsidRPr="0078661C" w:rsidR="00D56A15">
        <w:rPr>
          <w:rFonts w:ascii="Arial" w:hAnsi="Arial" w:cs="Arial"/>
        </w:rPr>
        <w:t>“</w:t>
      </w:r>
      <w:r w:rsidRPr="0078661C">
        <w:rPr>
          <w:rFonts w:ascii="Arial" w:hAnsi="Arial" w:cs="Arial"/>
        </w:rPr>
        <w:t>The labor market impacts of youth training in the Dominican Republic</w:t>
      </w:r>
      <w:r w:rsidRPr="0078661C" w:rsidR="00D56A15">
        <w:rPr>
          <w:rFonts w:ascii="Arial" w:hAnsi="Arial" w:cs="Arial"/>
        </w:rPr>
        <w:t>”</w:t>
      </w:r>
      <w:r w:rsidRPr="0078661C">
        <w:rPr>
          <w:rFonts w:ascii="Arial" w:hAnsi="Arial" w:cs="Arial"/>
        </w:rPr>
        <w:t>. </w:t>
      </w:r>
      <w:r w:rsidRPr="0078661C">
        <w:rPr>
          <w:rFonts w:ascii="Arial" w:hAnsi="Arial" w:cs="Arial"/>
          <w:lang w:val="es-ES"/>
        </w:rPr>
        <w:t>Journal of Labor Economics, 29(2)</w:t>
      </w:r>
      <w:r w:rsidRPr="0078661C" w:rsidR="000F43FC">
        <w:rPr>
          <w:rFonts w:ascii="Arial" w:hAnsi="Arial" w:cs="Arial"/>
          <w:lang w:val="es-ES"/>
        </w:rPr>
        <w:t>.</w:t>
      </w:r>
    </w:p>
    <w:p w:rsidRPr="0078661C" w:rsidR="009C339A" w:rsidP="00D56A15" w:rsidRDefault="009C339A" w14:paraId="5D6D31C1" w14:textId="77777777">
      <w:pPr>
        <w:pStyle w:val="ListParagraph"/>
        <w:tabs>
          <w:tab w:val="left" w:pos="0"/>
        </w:tabs>
        <w:spacing w:before="120" w:after="0"/>
        <w:ind w:left="0"/>
        <w:jc w:val="both"/>
        <w:rPr>
          <w:rFonts w:ascii="Arial" w:hAnsi="Arial" w:cs="Arial"/>
          <w:lang w:val="es-ES"/>
        </w:rPr>
      </w:pPr>
    </w:p>
    <w:p w:rsidRPr="0078661C" w:rsidR="00D23ED9" w:rsidP="00D56A15" w:rsidRDefault="00D23ED9" w14:paraId="411A94E7"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 xml:space="preserve">Card, D., Kluve, J., &amp; Weber, A. (2010). </w:t>
      </w:r>
      <w:r w:rsidRPr="0078661C" w:rsidR="00D56A15">
        <w:rPr>
          <w:rFonts w:ascii="Arial" w:hAnsi="Arial" w:cs="Arial"/>
        </w:rPr>
        <w:t>“</w:t>
      </w:r>
      <w:r w:rsidRPr="0078661C">
        <w:rPr>
          <w:rFonts w:ascii="Arial" w:hAnsi="Arial" w:cs="Arial"/>
        </w:rPr>
        <w:t>Active Labour Market Policy Evaluations: A Meta</w:t>
      </w:r>
      <w:r w:rsidRPr="0078661C">
        <w:rPr>
          <w:rFonts w:ascii="Cambria Math" w:hAnsi="Cambria Math" w:cs="Cambria Math"/>
        </w:rPr>
        <w:t>‐</w:t>
      </w:r>
      <w:r w:rsidRPr="0078661C">
        <w:rPr>
          <w:rFonts w:ascii="Arial" w:hAnsi="Arial" w:cs="Arial"/>
        </w:rPr>
        <w:t>Analysis</w:t>
      </w:r>
      <w:r w:rsidRPr="0078661C" w:rsidR="00D56A15">
        <w:rPr>
          <w:rFonts w:ascii="Arial" w:hAnsi="Arial" w:cs="Arial"/>
        </w:rPr>
        <w:t>”</w:t>
      </w:r>
      <w:r w:rsidRPr="0078661C">
        <w:rPr>
          <w:rFonts w:ascii="Arial" w:hAnsi="Arial" w:cs="Arial"/>
        </w:rPr>
        <w:t xml:space="preserve">. </w:t>
      </w:r>
      <w:r w:rsidRPr="0078661C">
        <w:rPr>
          <w:rFonts w:ascii="Arial" w:hAnsi="Arial" w:cs="Arial"/>
          <w:lang w:val="es-ES"/>
        </w:rPr>
        <w:t xml:space="preserve">The Economic Journal, 120(548). </w:t>
      </w:r>
    </w:p>
    <w:p w:rsidRPr="0078661C" w:rsidR="009C339A" w:rsidP="00D56A15" w:rsidRDefault="009C339A" w14:paraId="33CF28F3" w14:textId="77777777">
      <w:pPr>
        <w:pStyle w:val="ListParagraph"/>
        <w:tabs>
          <w:tab w:val="left" w:pos="0"/>
        </w:tabs>
        <w:spacing w:before="120" w:after="0"/>
        <w:ind w:left="0"/>
        <w:jc w:val="both"/>
        <w:rPr>
          <w:rFonts w:ascii="Arial" w:hAnsi="Arial" w:cs="Arial"/>
          <w:lang w:val="es-ES"/>
        </w:rPr>
      </w:pPr>
    </w:p>
    <w:p w:rsidRPr="0078661C" w:rsidR="00D23ED9" w:rsidP="00D56A15" w:rsidRDefault="00D23ED9" w14:paraId="2D62D39C"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Chacaltana, J., &amp; Sulmont, D. (2003). “Políticas Activas en el Mercado Laboral Peruano: el potencial de la capacitación y los servicios de empleo”. Políticas de empleo en el Perú, 1, 221-298.</w:t>
      </w:r>
    </w:p>
    <w:p w:rsidRPr="0078661C" w:rsidR="009C339A" w:rsidP="00D56A15" w:rsidRDefault="009C339A" w14:paraId="435CDFA3" w14:textId="77777777">
      <w:pPr>
        <w:pStyle w:val="ListParagraph"/>
        <w:tabs>
          <w:tab w:val="left" w:pos="0"/>
        </w:tabs>
        <w:spacing w:before="120" w:after="0"/>
        <w:ind w:left="0"/>
        <w:jc w:val="both"/>
        <w:rPr>
          <w:rFonts w:ascii="Arial" w:hAnsi="Arial" w:cs="Arial"/>
          <w:lang w:val="es-ES"/>
        </w:rPr>
      </w:pPr>
    </w:p>
    <w:p w:rsidRPr="0078661C" w:rsidR="009C339A" w:rsidP="00D56A15" w:rsidRDefault="009C339A" w14:paraId="5CFC537E" w14:textId="77777777">
      <w:pPr>
        <w:pStyle w:val="ListParagraph"/>
        <w:numPr>
          <w:ilvl w:val="0"/>
          <w:numId w:val="17"/>
        </w:numPr>
        <w:tabs>
          <w:tab w:val="left" w:pos="0"/>
        </w:tabs>
        <w:spacing w:before="120" w:after="0"/>
        <w:ind w:left="0"/>
        <w:jc w:val="both"/>
        <w:rPr>
          <w:rFonts w:ascii="Arial" w:hAnsi="Arial" w:cs="Arial"/>
        </w:rPr>
      </w:pPr>
      <w:r w:rsidRPr="0078661C">
        <w:rPr>
          <w:rFonts w:ascii="Arial" w:hAnsi="Arial" w:cs="Arial"/>
        </w:rPr>
        <w:t>Crepón, B., Duflo E., Gurgand, M., Rathelot, R.</w:t>
      </w:r>
      <w:r w:rsidRPr="0078661C" w:rsidR="00D56A15">
        <w:rPr>
          <w:rFonts w:ascii="Arial" w:hAnsi="Arial" w:cs="Arial"/>
        </w:rPr>
        <w:t xml:space="preserve"> &amp;</w:t>
      </w:r>
      <w:r w:rsidRPr="0078661C">
        <w:rPr>
          <w:rFonts w:ascii="Arial" w:hAnsi="Arial" w:cs="Arial"/>
        </w:rPr>
        <w:t xml:space="preserve"> Zamora, P. (2013). “Do Labour Market Policies Have Displacement Effects? Evidence from a Clustered Randomized Experiment” Quarterly Journal of Economics, 128(2).</w:t>
      </w:r>
    </w:p>
    <w:p w:rsidRPr="0078661C" w:rsidR="009C339A" w:rsidP="00D56A15" w:rsidRDefault="009C339A" w14:paraId="571BFC76" w14:textId="77777777">
      <w:pPr>
        <w:pStyle w:val="ListParagraph"/>
        <w:tabs>
          <w:tab w:val="left" w:pos="0"/>
        </w:tabs>
        <w:spacing w:before="120" w:after="0"/>
        <w:ind w:left="0"/>
        <w:jc w:val="both"/>
        <w:rPr>
          <w:rFonts w:ascii="Arial" w:hAnsi="Arial" w:cs="Arial"/>
        </w:rPr>
      </w:pPr>
    </w:p>
    <w:p w:rsidRPr="0078661C" w:rsidR="00D23ED9" w:rsidP="00D56A15" w:rsidRDefault="00D56A15" w14:paraId="67B12616"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Dammert, A., J. Galdo, &amp;</w:t>
      </w:r>
      <w:r w:rsidRPr="0078661C" w:rsidR="00D23ED9">
        <w:rPr>
          <w:rFonts w:ascii="Arial" w:hAnsi="Arial" w:cs="Arial"/>
        </w:rPr>
        <w:t xml:space="preserve"> V. Galdo (2014). “Mobile phones for labor market intermediation: A multi-treatment experimental design". </w:t>
      </w:r>
      <w:r w:rsidRPr="0078661C" w:rsidR="00D23ED9">
        <w:rPr>
          <w:rFonts w:ascii="Arial" w:hAnsi="Arial" w:cs="Arial"/>
          <w:lang w:val="es-ES"/>
        </w:rPr>
        <w:t>Mimeo</w:t>
      </w:r>
      <w:r w:rsidRPr="0078661C" w:rsidR="000F43FC">
        <w:rPr>
          <w:rFonts w:ascii="Arial" w:hAnsi="Arial" w:cs="Arial"/>
          <w:lang w:val="es-ES"/>
        </w:rPr>
        <w:t>.</w:t>
      </w:r>
    </w:p>
    <w:p w:rsidRPr="0078661C" w:rsidR="009C339A" w:rsidP="00D56A15" w:rsidRDefault="009C339A" w14:paraId="120F176D" w14:textId="77777777">
      <w:pPr>
        <w:pStyle w:val="ListParagraph"/>
        <w:tabs>
          <w:tab w:val="left" w:pos="0"/>
        </w:tabs>
        <w:spacing w:before="120" w:after="0"/>
        <w:ind w:left="0"/>
        <w:jc w:val="both"/>
        <w:rPr>
          <w:rFonts w:ascii="Arial" w:hAnsi="Arial" w:cs="Arial"/>
          <w:lang w:val="es-ES"/>
        </w:rPr>
      </w:pPr>
    </w:p>
    <w:p w:rsidRPr="00CA6AC3" w:rsidR="00D23ED9" w:rsidP="00D56A15" w:rsidRDefault="00D23ED9" w14:paraId="6802669E" w14:textId="0305B8FF">
      <w:pPr>
        <w:pStyle w:val="ListParagraph"/>
        <w:numPr>
          <w:ilvl w:val="0"/>
          <w:numId w:val="17"/>
        </w:numPr>
        <w:tabs>
          <w:tab w:val="left" w:pos="0"/>
        </w:tabs>
        <w:spacing w:before="120" w:after="0"/>
        <w:ind w:left="0"/>
        <w:jc w:val="both"/>
        <w:rPr>
          <w:rFonts w:ascii="Arial" w:hAnsi="Arial" w:cs="Arial"/>
        </w:rPr>
      </w:pPr>
      <w:r w:rsidRPr="0078661C">
        <w:rPr>
          <w:rFonts w:ascii="Arial" w:hAnsi="Arial" w:cs="Arial"/>
        </w:rPr>
        <w:t xml:space="preserve">Di Capua L. (2015). “Análisis económico del programa Strengthening Human and Social Development in Barbados (BA-L1032)”. </w:t>
      </w:r>
      <w:r w:rsidRPr="00CA6AC3">
        <w:rPr>
          <w:rFonts w:ascii="Arial" w:hAnsi="Arial" w:cs="Arial"/>
        </w:rPr>
        <w:t>Inter-American Development Bank, internal document.</w:t>
      </w:r>
    </w:p>
    <w:p w:rsidRPr="00CA6AC3" w:rsidR="009C339A" w:rsidP="00D56A15" w:rsidRDefault="009C339A" w14:paraId="3F27BA2D" w14:textId="77777777">
      <w:pPr>
        <w:pStyle w:val="ListParagraph"/>
        <w:tabs>
          <w:tab w:val="left" w:pos="0"/>
        </w:tabs>
        <w:spacing w:before="120" w:after="0"/>
        <w:ind w:left="0"/>
        <w:jc w:val="both"/>
        <w:rPr>
          <w:rFonts w:ascii="Arial" w:hAnsi="Arial" w:cs="Arial"/>
        </w:rPr>
      </w:pPr>
    </w:p>
    <w:p w:rsidRPr="0078661C" w:rsidR="00D23ED9" w:rsidP="00D56A15" w:rsidRDefault="00D23ED9" w14:paraId="721E3712" w14:textId="77777777">
      <w:pPr>
        <w:pStyle w:val="ListParagraph"/>
        <w:numPr>
          <w:ilvl w:val="0"/>
          <w:numId w:val="17"/>
        </w:numPr>
        <w:tabs>
          <w:tab w:val="left" w:pos="0"/>
        </w:tabs>
        <w:spacing w:before="120" w:after="0"/>
        <w:ind w:left="0"/>
        <w:jc w:val="both"/>
        <w:rPr>
          <w:rFonts w:ascii="Arial" w:hAnsi="Arial" w:cs="Arial"/>
        </w:rPr>
      </w:pPr>
      <w:r w:rsidRPr="0078661C">
        <w:rPr>
          <w:rFonts w:ascii="Arial" w:hAnsi="Arial" w:cs="Arial"/>
        </w:rPr>
        <w:t>Dolton P. &amp; O'Neill D.  (1995). "The Impact of Restart on Reservation Wages and Long-Term Unemployment," Oxford Bulletin of Economics and Statistics, Department of Economics, University of Oxford, vol. 57(4).</w:t>
      </w:r>
    </w:p>
    <w:p w:rsidRPr="0078661C" w:rsidR="009C339A" w:rsidP="00D56A15" w:rsidRDefault="009C339A" w14:paraId="0C33AEDE" w14:textId="77777777">
      <w:pPr>
        <w:pStyle w:val="ListParagraph"/>
        <w:tabs>
          <w:tab w:val="left" w:pos="0"/>
        </w:tabs>
        <w:spacing w:before="120" w:after="0"/>
        <w:ind w:left="0"/>
        <w:jc w:val="both"/>
        <w:rPr>
          <w:rFonts w:ascii="Arial" w:hAnsi="Arial" w:cs="Arial"/>
        </w:rPr>
      </w:pPr>
    </w:p>
    <w:p w:rsidRPr="0078661C" w:rsidR="00D23ED9" w:rsidP="00D56A15" w:rsidRDefault="00D23ED9" w14:paraId="35C841C2" w14:textId="77777777">
      <w:pPr>
        <w:pStyle w:val="ListParagraph"/>
        <w:numPr>
          <w:ilvl w:val="0"/>
          <w:numId w:val="17"/>
        </w:numPr>
        <w:tabs>
          <w:tab w:val="left" w:pos="0"/>
        </w:tabs>
        <w:spacing w:before="120" w:after="0"/>
        <w:ind w:left="0"/>
        <w:jc w:val="both"/>
        <w:rPr>
          <w:rFonts w:ascii="Arial" w:hAnsi="Arial" w:cs="Arial"/>
        </w:rPr>
      </w:pPr>
      <w:r w:rsidRPr="0078661C">
        <w:rPr>
          <w:rFonts w:ascii="Arial" w:hAnsi="Arial" w:cs="Arial"/>
        </w:rPr>
        <w:t>Dolton P. &amp; O'Neill D.  (1995). "Unemployment Duration and the Restart Effect: Some Experimental Evidence," Economic Journal, Royal Economic Society, vol. 106(435)</w:t>
      </w:r>
      <w:r w:rsidRPr="0078661C" w:rsidR="006C3959">
        <w:rPr>
          <w:rFonts w:ascii="Arial" w:hAnsi="Arial" w:cs="Arial"/>
        </w:rPr>
        <w:t>.</w:t>
      </w:r>
    </w:p>
    <w:p w:rsidRPr="0078661C" w:rsidR="006C3959" w:rsidP="00D56A15" w:rsidRDefault="006C3959" w14:paraId="5E8F7169" w14:textId="77777777">
      <w:pPr>
        <w:pStyle w:val="ListParagraph"/>
        <w:tabs>
          <w:tab w:val="left" w:pos="0"/>
        </w:tabs>
        <w:ind w:left="0"/>
        <w:rPr>
          <w:rFonts w:ascii="Arial" w:hAnsi="Arial" w:cs="Arial"/>
        </w:rPr>
      </w:pPr>
    </w:p>
    <w:p w:rsidRPr="0078661C" w:rsidR="006C3959" w:rsidP="00D56A15" w:rsidRDefault="006C3959" w14:paraId="3FFEC35A"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 xml:space="preserve">Ecorys (2012). </w:t>
      </w:r>
      <w:r w:rsidRPr="0078661C" w:rsidR="00D56A15">
        <w:rPr>
          <w:rFonts w:ascii="Arial" w:hAnsi="Arial" w:cs="Arial"/>
        </w:rPr>
        <w:t>“</w:t>
      </w:r>
      <w:r w:rsidRPr="0078661C">
        <w:rPr>
          <w:rFonts w:ascii="Arial" w:hAnsi="Arial" w:cs="Arial"/>
        </w:rPr>
        <w:t>PES Performance Measurement Systems and Geographical Labour Mobility</w:t>
      </w:r>
      <w:r w:rsidRPr="0078661C" w:rsidR="00D56A15">
        <w:rPr>
          <w:rFonts w:ascii="Arial" w:hAnsi="Arial" w:cs="Arial"/>
        </w:rPr>
        <w:t>”</w:t>
      </w:r>
      <w:r w:rsidRPr="0078661C">
        <w:rPr>
          <w:rFonts w:ascii="Arial" w:hAnsi="Arial" w:cs="Arial"/>
        </w:rPr>
        <w:t xml:space="preserve">. </w:t>
      </w:r>
      <w:r w:rsidRPr="0078661C">
        <w:rPr>
          <w:rFonts w:ascii="Arial" w:hAnsi="Arial" w:cs="Arial"/>
          <w:lang w:val="es-ES"/>
        </w:rPr>
        <w:t xml:space="preserve">Rotterdam, London. Final </w:t>
      </w:r>
      <w:r w:rsidRPr="0078661C" w:rsidR="00D56A15">
        <w:rPr>
          <w:rFonts w:ascii="Arial" w:hAnsi="Arial" w:cs="Arial"/>
          <w:lang w:val="es-ES"/>
        </w:rPr>
        <w:t>R</w:t>
      </w:r>
      <w:r w:rsidRPr="0078661C">
        <w:rPr>
          <w:rFonts w:ascii="Arial" w:hAnsi="Arial" w:cs="Arial"/>
          <w:lang w:val="es-ES"/>
        </w:rPr>
        <w:t>eport.</w:t>
      </w:r>
    </w:p>
    <w:p w:rsidRPr="0078661C" w:rsidR="009C339A" w:rsidP="00D56A15" w:rsidRDefault="009C339A" w14:paraId="2B99375A" w14:textId="77777777">
      <w:pPr>
        <w:pStyle w:val="ListParagraph"/>
        <w:tabs>
          <w:tab w:val="left" w:pos="0"/>
        </w:tabs>
        <w:spacing w:before="120" w:after="0"/>
        <w:ind w:left="0"/>
        <w:jc w:val="both"/>
        <w:rPr>
          <w:rFonts w:ascii="Arial" w:hAnsi="Arial" w:cs="Arial"/>
          <w:lang w:val="es-ES"/>
        </w:rPr>
      </w:pPr>
    </w:p>
    <w:p w:rsidR="00D23ED9" w:rsidP="00D56A15" w:rsidRDefault="00D23ED9" w14:paraId="2FED4180"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Flores, R. “Innovaciones en la Evaluación de Impacto del Servicio de Intermediación Laboral en México”. Banco Interamericano de Desarrollo. Nota técnica IDB-TN-118 (Abril 2010).</w:t>
      </w:r>
    </w:p>
    <w:p w:rsidRPr="0003327B" w:rsidR="0003327B" w:rsidP="00C074B4" w:rsidRDefault="0003327B" w14:paraId="3BF6A21E" w14:textId="77777777">
      <w:pPr>
        <w:pStyle w:val="ListParagraph"/>
        <w:rPr>
          <w:rFonts w:ascii="Arial" w:hAnsi="Arial" w:cs="Arial"/>
          <w:lang w:val="es-ES"/>
        </w:rPr>
      </w:pPr>
    </w:p>
    <w:p w:rsidRPr="0003327B" w:rsidR="0003327B" w:rsidP="0003327B" w:rsidRDefault="0003327B" w14:paraId="7FB631D6" w14:textId="0D96B12F">
      <w:pPr>
        <w:pStyle w:val="ListParagraph"/>
        <w:numPr>
          <w:ilvl w:val="0"/>
          <w:numId w:val="17"/>
        </w:numPr>
        <w:tabs>
          <w:tab w:val="left" w:pos="0"/>
        </w:tabs>
        <w:spacing w:before="120" w:after="0"/>
        <w:ind w:left="0"/>
        <w:jc w:val="both"/>
        <w:rPr>
          <w:rFonts w:ascii="Arial" w:hAnsi="Arial" w:cs="Arial"/>
        </w:rPr>
      </w:pPr>
      <w:r w:rsidRPr="00D12261">
        <w:rPr>
          <w:rFonts w:ascii="Arial" w:hAnsi="Arial" w:cs="Arial"/>
        </w:rPr>
        <w:t xml:space="preserve">Fondo Monetario Internacional (2016). </w:t>
      </w:r>
      <w:r w:rsidRPr="0003327B">
        <w:rPr>
          <w:rFonts w:ascii="Arial" w:hAnsi="Arial" w:cs="Arial"/>
        </w:rPr>
        <w:t>World Economic Outlook, Too Slow for Too Long, Abril 2016.</w:t>
      </w:r>
    </w:p>
    <w:p w:rsidRPr="0003327B" w:rsidR="009C339A" w:rsidP="00D56A15" w:rsidRDefault="009C339A" w14:paraId="0BA2CFE3" w14:textId="77777777">
      <w:pPr>
        <w:pStyle w:val="ListParagraph"/>
        <w:tabs>
          <w:tab w:val="left" w:pos="0"/>
        </w:tabs>
        <w:spacing w:before="120" w:after="0"/>
        <w:ind w:left="0"/>
        <w:jc w:val="both"/>
        <w:rPr>
          <w:rFonts w:ascii="Arial" w:hAnsi="Arial" w:cs="Arial"/>
        </w:rPr>
      </w:pPr>
    </w:p>
    <w:p w:rsidRPr="0078661C" w:rsidR="00D23ED9" w:rsidP="00D56A15" w:rsidRDefault="00D56A15" w14:paraId="000DF596"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Gelber A., Isen A. &amp;</w:t>
      </w:r>
      <w:r w:rsidRPr="0078661C" w:rsidR="00D23ED9">
        <w:rPr>
          <w:rFonts w:ascii="Arial" w:hAnsi="Arial" w:cs="Arial"/>
        </w:rPr>
        <w:t xml:space="preserve"> Kessler J. (2016). “The Effects of Youth Employment: Evidence from New York City Summer Youth Employment Program Lotteries”. </w:t>
      </w:r>
      <w:r w:rsidRPr="0078661C" w:rsidR="00D23ED9">
        <w:rPr>
          <w:rFonts w:ascii="Arial" w:hAnsi="Arial" w:cs="Arial"/>
          <w:lang w:val="es-ES"/>
        </w:rPr>
        <w:t>The Quarterly Journal of Economics (26)</w:t>
      </w:r>
      <w:r w:rsidRPr="0078661C" w:rsidR="000F43FC">
        <w:rPr>
          <w:rFonts w:ascii="Arial" w:hAnsi="Arial" w:cs="Arial"/>
          <w:lang w:val="es-ES"/>
        </w:rPr>
        <w:t>.</w:t>
      </w:r>
    </w:p>
    <w:p w:rsidRPr="0078661C" w:rsidR="009C339A" w:rsidP="00D56A15" w:rsidRDefault="009C339A" w14:paraId="32931EDC" w14:textId="77777777">
      <w:pPr>
        <w:pStyle w:val="ListParagraph"/>
        <w:tabs>
          <w:tab w:val="left" w:pos="0"/>
        </w:tabs>
        <w:spacing w:before="120" w:after="0"/>
        <w:ind w:left="0"/>
        <w:jc w:val="both"/>
        <w:rPr>
          <w:rFonts w:ascii="Arial" w:hAnsi="Arial" w:cs="Arial"/>
          <w:lang w:val="es-ES"/>
        </w:rPr>
      </w:pPr>
    </w:p>
    <w:p w:rsidRPr="0078661C" w:rsidR="00D23ED9" w:rsidP="00D56A15" w:rsidRDefault="00D23ED9" w14:paraId="5113AD92"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González-Velosa, C. (2014). “Análisis económico del programa Mejoramiento de la efectividad de los servicios de ventanilla única de promoción del empleo (CE) para la inserción laboral formal de los jóvenes en el Perú urbano (PE-L1152)”. Inter-American Development Bank, internal document.</w:t>
      </w:r>
    </w:p>
    <w:p w:rsidRPr="0078661C" w:rsidR="009C339A" w:rsidP="00D56A15" w:rsidRDefault="009C339A" w14:paraId="7AF6A4BC" w14:textId="77777777">
      <w:pPr>
        <w:pStyle w:val="ListParagraph"/>
        <w:tabs>
          <w:tab w:val="left" w:pos="0"/>
        </w:tabs>
        <w:spacing w:before="120" w:after="0"/>
        <w:ind w:left="0"/>
        <w:jc w:val="both"/>
        <w:rPr>
          <w:rFonts w:ascii="Arial" w:hAnsi="Arial" w:cs="Arial"/>
          <w:lang w:val="es-ES"/>
        </w:rPr>
      </w:pPr>
    </w:p>
    <w:p w:rsidRPr="0078661C" w:rsidR="00D23ED9" w:rsidP="00D56A15" w:rsidRDefault="00D23ED9" w14:paraId="631AB34F"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 xml:space="preserve">González-Velosa, C., Rippani, L. </w:t>
      </w:r>
      <w:r w:rsidRPr="0078661C" w:rsidR="00D56A15">
        <w:rPr>
          <w:rFonts w:ascii="Arial" w:hAnsi="Arial" w:cs="Arial"/>
          <w:lang w:val="es-ES"/>
        </w:rPr>
        <w:t>&amp;</w:t>
      </w:r>
      <w:r w:rsidRPr="0078661C">
        <w:rPr>
          <w:rFonts w:ascii="Arial" w:hAnsi="Arial" w:cs="Arial"/>
          <w:lang w:val="es-ES"/>
        </w:rPr>
        <w:t xml:space="preserve"> D. Rosas-Shady.</w:t>
      </w:r>
      <w:r w:rsidRPr="0078661C" w:rsidR="000E62B2">
        <w:rPr>
          <w:rFonts w:ascii="Arial" w:hAnsi="Arial" w:cs="Arial"/>
          <w:lang w:val="es-ES"/>
        </w:rPr>
        <w:t xml:space="preserve"> (2012)</w:t>
      </w:r>
      <w:r w:rsidRPr="0078661C">
        <w:rPr>
          <w:rFonts w:ascii="Arial" w:hAnsi="Arial" w:cs="Arial"/>
          <w:lang w:val="es-ES"/>
        </w:rPr>
        <w:t xml:space="preserve"> “¿Cómo mejorar las oportunidades de inserción laboral de los jóvenes en América Latina?”. Banco Interamericano de Desarrollo, Unidad de Mercados Laborales y Seguridad Social. Nota Técnica IDB-TN-305.</w:t>
      </w:r>
    </w:p>
    <w:p w:rsidRPr="0078661C" w:rsidR="006C3959" w:rsidP="00D56A15" w:rsidRDefault="006C3959" w14:paraId="125DD703" w14:textId="77777777">
      <w:pPr>
        <w:pStyle w:val="ListParagraph"/>
        <w:tabs>
          <w:tab w:val="left" w:pos="0"/>
        </w:tabs>
        <w:ind w:left="0"/>
        <w:rPr>
          <w:rFonts w:ascii="Arial" w:hAnsi="Arial" w:cs="Arial"/>
          <w:lang w:val="es-ES"/>
        </w:rPr>
      </w:pPr>
    </w:p>
    <w:p w:rsidRPr="0078661C" w:rsidR="006C3959" w:rsidP="00D56A15" w:rsidRDefault="006C3959" w14:paraId="350E447D"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 xml:space="preserve">Hernani W. &amp; Villarroel P. (2015). “Capacitación Laboral y Empleabilidad: Evidencia de Mi Primer Empleo Digno”. ARU Working Paper.  </w:t>
      </w:r>
    </w:p>
    <w:p w:rsidRPr="0078661C" w:rsidR="009C339A" w:rsidP="00D56A15" w:rsidRDefault="009C339A" w14:paraId="7F66444D" w14:textId="77777777">
      <w:pPr>
        <w:pStyle w:val="ListParagraph"/>
        <w:tabs>
          <w:tab w:val="left" w:pos="0"/>
        </w:tabs>
        <w:spacing w:before="120" w:after="0"/>
        <w:ind w:left="0"/>
        <w:jc w:val="both"/>
        <w:rPr>
          <w:rFonts w:ascii="Arial" w:hAnsi="Arial" w:cs="Arial"/>
          <w:lang w:val="es-ES"/>
        </w:rPr>
      </w:pPr>
    </w:p>
    <w:p w:rsidRPr="0078661C" w:rsidR="00D23ED9" w:rsidP="00D56A15" w:rsidRDefault="00D23ED9" w14:paraId="11573676"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lastRenderedPageBreak/>
        <w:t xml:space="preserve">Ibarrarán, P., &amp; Rosas D. (2009). “Evaluating the Impact of Job Training Programmes in Latin America: Evidence from IDB Funded Operations”. </w:t>
      </w:r>
      <w:r w:rsidRPr="0078661C">
        <w:rPr>
          <w:rFonts w:ascii="Arial" w:hAnsi="Arial" w:cs="Arial"/>
          <w:lang w:val="es-ES"/>
        </w:rPr>
        <w:t>Journal of Development Effectiveness. 1 (2): 195-216.</w:t>
      </w:r>
    </w:p>
    <w:p w:rsidRPr="0078661C" w:rsidR="006C3959" w:rsidP="00D56A15" w:rsidRDefault="006C3959" w14:paraId="59D10357" w14:textId="77777777">
      <w:pPr>
        <w:pStyle w:val="ListParagraph"/>
        <w:tabs>
          <w:tab w:val="left" w:pos="0"/>
        </w:tabs>
        <w:ind w:left="0"/>
        <w:rPr>
          <w:rFonts w:ascii="Arial" w:hAnsi="Arial" w:cs="Arial"/>
          <w:lang w:val="es-ES"/>
        </w:rPr>
      </w:pPr>
    </w:p>
    <w:p w:rsidRPr="0078661C" w:rsidR="006C3959" w:rsidP="00D56A15" w:rsidRDefault="006C3959" w14:paraId="4279FC78" w14:textId="77777777">
      <w:pPr>
        <w:pStyle w:val="ListParagraph"/>
        <w:numPr>
          <w:ilvl w:val="0"/>
          <w:numId w:val="17"/>
        </w:numPr>
        <w:tabs>
          <w:tab w:val="left" w:pos="0"/>
        </w:tabs>
        <w:spacing w:before="120" w:after="0"/>
        <w:ind w:left="0"/>
        <w:jc w:val="both"/>
        <w:rPr>
          <w:rFonts w:ascii="Arial" w:hAnsi="Arial" w:cs="Arial"/>
          <w:lang w:val="es-ES"/>
        </w:rPr>
      </w:pPr>
      <w:r w:rsidRPr="00D365E0">
        <w:rPr>
          <w:rFonts w:ascii="Arial" w:hAnsi="Arial"/>
        </w:rPr>
        <w:t>Ibarrarán J., Kluve J., Ripani L. &amp; Rosas David (2015)</w:t>
      </w:r>
      <w:r w:rsidRPr="00D365E0" w:rsidR="00D56A15">
        <w:rPr>
          <w:rFonts w:ascii="Arial" w:hAnsi="Arial"/>
        </w:rPr>
        <w:t>.</w:t>
      </w:r>
      <w:r w:rsidRPr="00D365E0">
        <w:rPr>
          <w:rFonts w:ascii="Arial" w:hAnsi="Arial"/>
        </w:rPr>
        <w:t xml:space="preserve"> </w:t>
      </w:r>
      <w:r w:rsidRPr="0078661C" w:rsidR="00D56A15">
        <w:rPr>
          <w:rFonts w:ascii="Arial" w:hAnsi="Arial" w:cs="Arial"/>
        </w:rPr>
        <w:t>“</w:t>
      </w:r>
      <w:r w:rsidRPr="0078661C">
        <w:rPr>
          <w:rFonts w:ascii="Arial" w:hAnsi="Arial" w:cs="Arial"/>
        </w:rPr>
        <w:t>Experimental Evidence on the Long-Term Impacts of a Youth Training Program</w:t>
      </w:r>
      <w:r w:rsidRPr="0078661C" w:rsidR="00D56A15">
        <w:rPr>
          <w:rFonts w:ascii="Arial" w:hAnsi="Arial" w:cs="Arial"/>
        </w:rPr>
        <w:t>”</w:t>
      </w:r>
      <w:r w:rsidRPr="0078661C">
        <w:rPr>
          <w:rFonts w:ascii="Arial" w:hAnsi="Arial" w:cs="Arial"/>
        </w:rPr>
        <w:t xml:space="preserve">. </w:t>
      </w:r>
      <w:r w:rsidRPr="0078661C">
        <w:rPr>
          <w:rFonts w:ascii="Arial" w:hAnsi="Arial" w:cs="Arial"/>
          <w:lang w:val="es-ES"/>
        </w:rPr>
        <w:t>IZA DP No.9136</w:t>
      </w:r>
      <w:r w:rsidRPr="0078661C" w:rsidR="000F43FC">
        <w:rPr>
          <w:rFonts w:ascii="Arial" w:hAnsi="Arial" w:cs="Arial"/>
          <w:lang w:val="es-ES"/>
        </w:rPr>
        <w:t>.</w:t>
      </w:r>
    </w:p>
    <w:p w:rsidRPr="0078661C" w:rsidR="009C339A" w:rsidP="00D56A15" w:rsidRDefault="009C339A" w14:paraId="5CD75598" w14:textId="77777777">
      <w:pPr>
        <w:pStyle w:val="ListParagraph"/>
        <w:tabs>
          <w:tab w:val="left" w:pos="0"/>
        </w:tabs>
        <w:spacing w:before="120" w:after="0"/>
        <w:ind w:left="0"/>
        <w:jc w:val="both"/>
        <w:rPr>
          <w:rFonts w:ascii="Arial" w:hAnsi="Arial" w:cs="Arial"/>
          <w:lang w:val="es-ES"/>
        </w:rPr>
      </w:pPr>
    </w:p>
    <w:p w:rsidRPr="0078661C" w:rsidR="00D23ED9" w:rsidP="00D56A15" w:rsidRDefault="00D23ED9" w14:paraId="4BFB856E"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Kaplan D. (2012) “Análisis económico del programa Programa de Apoyo a la Capacitación y al Empleo (PACE) - FASE III (ME-L1114)”. Inter-American Development Bank, internal document.</w:t>
      </w:r>
    </w:p>
    <w:p w:rsidRPr="0078661C" w:rsidR="009C339A" w:rsidP="00D56A15" w:rsidRDefault="009C339A" w14:paraId="0B3AA54E" w14:textId="77777777">
      <w:pPr>
        <w:pStyle w:val="ListParagraph"/>
        <w:tabs>
          <w:tab w:val="left" w:pos="0"/>
        </w:tabs>
        <w:spacing w:before="120" w:after="0"/>
        <w:ind w:left="0"/>
        <w:jc w:val="both"/>
        <w:rPr>
          <w:rFonts w:ascii="Arial" w:hAnsi="Arial" w:cs="Arial"/>
          <w:lang w:val="es-ES"/>
        </w:rPr>
      </w:pPr>
    </w:p>
    <w:p w:rsidRPr="0078661C" w:rsidR="00D23ED9" w:rsidP="00D56A15" w:rsidRDefault="00D23ED9" w14:paraId="63E45ABB"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 xml:space="preserve">Kluve J. (2014). “Youth labor market interventions Comprehensive programs that focus on skills can reduce unemployment and upgrade skills in OECD countries”. </w:t>
      </w:r>
      <w:r w:rsidRPr="0078661C">
        <w:rPr>
          <w:rFonts w:ascii="Arial" w:hAnsi="Arial" w:cs="Arial"/>
          <w:lang w:val="es-ES"/>
        </w:rPr>
        <w:t>Youth labor market interventions. IZA World of Labor 2014: 106</w:t>
      </w:r>
      <w:r w:rsidRPr="0078661C" w:rsidR="000F43FC">
        <w:rPr>
          <w:rFonts w:ascii="Arial" w:hAnsi="Arial" w:cs="Arial"/>
          <w:lang w:val="es-ES"/>
        </w:rPr>
        <w:t>.</w:t>
      </w:r>
    </w:p>
    <w:p w:rsidRPr="0078661C" w:rsidR="009C339A" w:rsidP="00D56A15" w:rsidRDefault="009C339A" w14:paraId="4A799704" w14:textId="77777777">
      <w:pPr>
        <w:pStyle w:val="ListParagraph"/>
        <w:tabs>
          <w:tab w:val="left" w:pos="0"/>
        </w:tabs>
        <w:spacing w:before="120" w:after="0"/>
        <w:ind w:left="0"/>
        <w:jc w:val="both"/>
        <w:rPr>
          <w:rFonts w:ascii="Arial" w:hAnsi="Arial" w:cs="Arial"/>
          <w:lang w:val="es-ES"/>
        </w:rPr>
      </w:pPr>
    </w:p>
    <w:p w:rsidRPr="0078661C" w:rsidR="00D23ED9" w:rsidP="00D56A15" w:rsidRDefault="00D23ED9" w14:paraId="35A3618D" w14:textId="16B7DBED">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Muriel B. &amp; Jemio L.(2016). “</w:t>
      </w:r>
      <w:r w:rsidRPr="0078661C" w:rsidR="00465780">
        <w:rPr>
          <w:rFonts w:ascii="Arial" w:hAnsi="Arial" w:cs="Arial"/>
          <w:lang w:val="es-ES"/>
        </w:rPr>
        <w:t>Cálculo</w:t>
      </w:r>
      <w:r w:rsidRPr="0078661C">
        <w:rPr>
          <w:rFonts w:ascii="Arial" w:hAnsi="Arial" w:cs="Arial"/>
          <w:lang w:val="es-ES"/>
        </w:rPr>
        <w:t xml:space="preserve"> del Gasto Público en Programas No Contributivos en Bolivia”. BID Washington, DC. Mimeo</w:t>
      </w:r>
      <w:r w:rsidRPr="0078661C" w:rsidR="006C3959">
        <w:rPr>
          <w:rFonts w:ascii="Arial" w:hAnsi="Arial" w:cs="Arial"/>
          <w:lang w:val="es-ES"/>
        </w:rPr>
        <w:t>.</w:t>
      </w:r>
    </w:p>
    <w:p w:rsidRPr="0078661C" w:rsidR="006C3959" w:rsidP="00D56A15" w:rsidRDefault="006C3959" w14:paraId="57E223AE" w14:textId="77777777">
      <w:pPr>
        <w:pStyle w:val="ListParagraph"/>
        <w:tabs>
          <w:tab w:val="left" w:pos="0"/>
        </w:tabs>
        <w:ind w:left="0"/>
        <w:rPr>
          <w:rFonts w:ascii="Arial" w:hAnsi="Arial" w:cs="Arial"/>
          <w:lang w:val="es-ES"/>
        </w:rPr>
      </w:pPr>
    </w:p>
    <w:p w:rsidR="006C3959" w:rsidP="00D56A15" w:rsidRDefault="006C3959" w14:paraId="197FB2AA"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 xml:space="preserve">Nunn A. (2013). </w:t>
      </w:r>
      <w:r w:rsidRPr="0078661C" w:rsidR="00D56A15">
        <w:rPr>
          <w:rFonts w:ascii="Arial" w:hAnsi="Arial" w:cs="Arial"/>
        </w:rPr>
        <w:t>“</w:t>
      </w:r>
      <w:r w:rsidRPr="0078661C">
        <w:rPr>
          <w:rFonts w:ascii="Arial" w:hAnsi="Arial" w:cs="Arial"/>
        </w:rPr>
        <w:t>Review of Performance Management in Public Employment Services</w:t>
      </w:r>
      <w:r w:rsidRPr="0078661C" w:rsidR="00D56A15">
        <w:rPr>
          <w:rFonts w:ascii="Arial" w:hAnsi="Arial" w:cs="Arial"/>
        </w:rPr>
        <w:t>”</w:t>
      </w:r>
      <w:r w:rsidRPr="0078661C">
        <w:rPr>
          <w:rFonts w:ascii="Arial" w:hAnsi="Arial" w:cs="Arial"/>
        </w:rPr>
        <w:t xml:space="preserve">. </w:t>
      </w:r>
      <w:r w:rsidRPr="0078661C">
        <w:rPr>
          <w:rFonts w:ascii="Arial" w:hAnsi="Arial" w:cs="Arial"/>
          <w:lang w:val="es-ES"/>
        </w:rPr>
        <w:t>European Commission, Brussels.</w:t>
      </w:r>
    </w:p>
    <w:p w:rsidRPr="0003327B" w:rsidR="0003327B" w:rsidP="00C074B4" w:rsidRDefault="0003327B" w14:paraId="52F5DF2D" w14:textId="77777777">
      <w:pPr>
        <w:pStyle w:val="ListParagraph"/>
        <w:rPr>
          <w:rFonts w:ascii="Arial" w:hAnsi="Arial" w:cs="Arial"/>
          <w:lang w:val="es-ES"/>
        </w:rPr>
      </w:pPr>
    </w:p>
    <w:p w:rsidRPr="0003327B" w:rsidR="0003327B" w:rsidP="0003327B" w:rsidRDefault="0003327B" w14:paraId="3D7F9CC3" w14:textId="77777777">
      <w:pPr>
        <w:pStyle w:val="ListParagraph"/>
        <w:numPr>
          <w:ilvl w:val="0"/>
          <w:numId w:val="17"/>
        </w:numPr>
        <w:tabs>
          <w:tab w:val="left" w:pos="0"/>
        </w:tabs>
        <w:spacing w:before="120" w:after="0"/>
        <w:ind w:left="0"/>
        <w:jc w:val="both"/>
        <w:rPr>
          <w:rFonts w:ascii="Arial" w:hAnsi="Arial" w:cs="Arial"/>
        </w:rPr>
      </w:pPr>
      <w:r w:rsidRPr="0003327B">
        <w:rPr>
          <w:rFonts w:ascii="Arial" w:hAnsi="Arial" w:cs="Arial"/>
        </w:rPr>
        <w:t>Urquidi &amp; Valencia (forthcoming). “Minimum Wage Policy and its Impacts over Income, Employment and Formality in Bolivia”</w:t>
      </w:r>
      <w:r>
        <w:rPr>
          <w:rFonts w:ascii="Arial" w:hAnsi="Arial" w:cs="Arial"/>
        </w:rPr>
        <w:t>.</w:t>
      </w:r>
    </w:p>
    <w:p w:rsidRPr="0003327B" w:rsidR="009C339A" w:rsidP="00D56A15" w:rsidRDefault="009C339A" w14:paraId="63ADAF64" w14:textId="77777777">
      <w:pPr>
        <w:pStyle w:val="ListParagraph"/>
        <w:tabs>
          <w:tab w:val="left" w:pos="0"/>
        </w:tabs>
        <w:spacing w:before="120" w:after="0"/>
        <w:ind w:left="0"/>
        <w:jc w:val="both"/>
        <w:rPr>
          <w:rFonts w:ascii="Arial" w:hAnsi="Arial" w:cs="Arial"/>
        </w:rPr>
      </w:pPr>
    </w:p>
    <w:p w:rsidRPr="0078661C" w:rsidR="00D23ED9" w:rsidP="00D56A15" w:rsidRDefault="00D23ED9" w14:paraId="192E8545"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 xml:space="preserve">Van Den Berg, G &amp; Van Der Klaauw B (2006). </w:t>
      </w:r>
      <w:r w:rsidRPr="0078661C">
        <w:rPr>
          <w:rFonts w:ascii="Arial" w:hAnsi="Arial" w:cs="Arial"/>
        </w:rPr>
        <w:t xml:space="preserve">“Counseling and Monitoring of Unemployed Workers: Theory and Evidence from a Controlled Social Experiment”. </w:t>
      </w:r>
      <w:r w:rsidRPr="0078661C">
        <w:rPr>
          <w:rFonts w:ascii="Arial" w:hAnsi="Arial" w:cs="Arial"/>
          <w:lang w:val="es-ES"/>
        </w:rPr>
        <w:t>International Economic Review, Vol. 47, No. 3.</w:t>
      </w:r>
    </w:p>
    <w:p w:rsidRPr="0078661C" w:rsidR="009C339A" w:rsidP="00D56A15" w:rsidRDefault="009C339A" w14:paraId="28BB57CC" w14:textId="77777777">
      <w:pPr>
        <w:pStyle w:val="ListParagraph"/>
        <w:tabs>
          <w:tab w:val="left" w:pos="0"/>
        </w:tabs>
        <w:spacing w:before="120" w:after="0"/>
        <w:ind w:left="0"/>
        <w:jc w:val="both"/>
        <w:rPr>
          <w:rFonts w:ascii="Arial" w:hAnsi="Arial" w:cs="Arial"/>
          <w:lang w:val="es-ES"/>
        </w:rPr>
      </w:pPr>
    </w:p>
    <w:p w:rsidRPr="0078661C" w:rsidR="00D23ED9" w:rsidP="00D56A15" w:rsidRDefault="00D23ED9" w14:paraId="3623FBA3" w14:textId="77777777">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Van Gamaren E. (2010). “Evaluación de Impacto del Programa de Apoyo al Empleo”. Centro de Estudios Económicos. El Colegio de México</w:t>
      </w:r>
      <w:r w:rsidRPr="0078661C" w:rsidR="000F43FC">
        <w:rPr>
          <w:rFonts w:ascii="Arial" w:hAnsi="Arial" w:cs="Arial"/>
          <w:lang w:val="es-ES"/>
        </w:rPr>
        <w:t>.</w:t>
      </w:r>
    </w:p>
    <w:p w:rsidRPr="0078661C" w:rsidR="009C339A" w:rsidP="00D56A15" w:rsidRDefault="009C339A" w14:paraId="1D795D7B" w14:textId="77777777">
      <w:pPr>
        <w:pStyle w:val="ListParagraph"/>
        <w:tabs>
          <w:tab w:val="left" w:pos="0"/>
        </w:tabs>
        <w:spacing w:before="120" w:after="0"/>
        <w:ind w:left="0"/>
        <w:jc w:val="both"/>
        <w:rPr>
          <w:rFonts w:ascii="Arial" w:hAnsi="Arial" w:cs="Arial"/>
          <w:lang w:val="es-ES"/>
        </w:rPr>
      </w:pPr>
    </w:p>
    <w:p w:rsidRPr="00D424DB" w:rsidR="002060F3" w:rsidP="00D56A15" w:rsidRDefault="00D23ED9" w14:paraId="5403F32D" w14:textId="47D7DC10">
      <w:pPr>
        <w:pStyle w:val="ListParagraph"/>
        <w:numPr>
          <w:ilvl w:val="0"/>
          <w:numId w:val="17"/>
        </w:numPr>
        <w:tabs>
          <w:tab w:val="left" w:pos="0"/>
        </w:tabs>
        <w:spacing w:before="120" w:after="0"/>
        <w:ind w:left="0"/>
        <w:jc w:val="both"/>
        <w:rPr>
          <w:rFonts w:ascii="Arial" w:hAnsi="Arial" w:cs="Arial"/>
        </w:rPr>
      </w:pPr>
      <w:r w:rsidRPr="0078661C">
        <w:rPr>
          <w:rFonts w:ascii="Arial" w:hAnsi="Arial" w:cs="Arial"/>
        </w:rPr>
        <w:t>Vera, C (2014)  “A Qu</w:t>
      </w:r>
      <w:r w:rsidR="001A5BAD">
        <w:rPr>
          <w:rFonts w:ascii="Arial" w:hAnsi="Arial" w:cs="Arial"/>
        </w:rPr>
        <w:t>a</w:t>
      </w:r>
      <w:r w:rsidRPr="0078661C">
        <w:rPr>
          <w:rFonts w:ascii="Arial" w:hAnsi="Arial" w:cs="Arial"/>
        </w:rPr>
        <w:t xml:space="preserve">si-Experimental Evaluation of the Public Employment Service: Evidence from Peru”. </w:t>
      </w:r>
      <w:r w:rsidRPr="00D424DB">
        <w:rPr>
          <w:rFonts w:ascii="Arial" w:hAnsi="Arial" w:cs="Arial"/>
        </w:rPr>
        <w:t xml:space="preserve">Mimeo. </w:t>
      </w:r>
    </w:p>
    <w:p w:rsidRPr="00D424DB" w:rsidR="002060F3" w:rsidRDefault="002060F3" w14:paraId="3694E7BB" w14:textId="77777777">
      <w:pPr>
        <w:rPr>
          <w:rFonts w:ascii="Arial" w:hAnsi="Arial" w:cs="Arial"/>
        </w:rPr>
      </w:pPr>
      <w:r w:rsidRPr="00D424DB">
        <w:rPr>
          <w:rFonts w:ascii="Arial" w:hAnsi="Arial" w:cs="Arial"/>
        </w:rPr>
        <w:br w:type="page"/>
      </w:r>
    </w:p>
    <w:p w:rsidR="00D23ED9" w:rsidP="00831A6B" w:rsidRDefault="002060F3" w14:paraId="098AB75F" w14:textId="77777777">
      <w:pPr>
        <w:pStyle w:val="ListParagraph"/>
        <w:spacing w:before="120" w:after="0"/>
        <w:ind w:left="0"/>
        <w:jc w:val="center"/>
        <w:rPr>
          <w:rFonts w:ascii="Arial" w:hAnsi="Arial" w:cs="Arial"/>
          <w:b/>
          <w:lang w:val="es-ES"/>
        </w:rPr>
      </w:pPr>
      <w:r w:rsidRPr="0078661C">
        <w:rPr>
          <w:rFonts w:ascii="Arial" w:hAnsi="Arial" w:cs="Arial"/>
          <w:b/>
          <w:lang w:val="es-ES"/>
        </w:rPr>
        <w:lastRenderedPageBreak/>
        <w:t xml:space="preserve">Anexo </w:t>
      </w:r>
    </w:p>
    <w:p w:rsidR="008457CF" w:rsidP="00831A6B" w:rsidRDefault="008457CF" w14:paraId="29A96119" w14:textId="77777777">
      <w:pPr>
        <w:pStyle w:val="ListParagraph"/>
        <w:spacing w:before="120" w:after="0"/>
        <w:ind w:left="0"/>
        <w:jc w:val="center"/>
        <w:rPr>
          <w:rFonts w:ascii="Arial" w:hAnsi="Arial" w:cs="Arial"/>
          <w:b/>
          <w:lang w:val="es-ES"/>
        </w:rPr>
      </w:pPr>
    </w:p>
    <w:p w:rsidR="008457CF" w:rsidP="00F42B1D" w:rsidRDefault="008457CF" w14:paraId="61FECEA7" w14:textId="490DD874">
      <w:pPr>
        <w:jc w:val="center"/>
        <w:rPr>
          <w:rFonts w:ascii="Calibri" w:hAnsi="Calibri" w:eastAsia="Times New Roman" w:cs="Times New Roman"/>
          <w:color w:val="000000"/>
          <w:lang w:val="es-ES" w:eastAsia="es-ES"/>
        </w:rPr>
      </w:pPr>
      <w:r w:rsidRPr="00961ADB">
        <w:rPr>
          <w:rFonts w:ascii="Arial" w:hAnsi="Arial" w:cs="Arial"/>
          <w:b/>
          <w:lang w:val="es-ES"/>
        </w:rPr>
        <w:t>Tabla A</w:t>
      </w:r>
      <w:r>
        <w:rPr>
          <w:rFonts w:ascii="Arial" w:hAnsi="Arial" w:cs="Arial"/>
          <w:b/>
          <w:lang w:val="es-ES"/>
        </w:rPr>
        <w:t>1</w:t>
      </w:r>
      <w:r w:rsidRPr="00961ADB">
        <w:rPr>
          <w:rFonts w:ascii="Arial" w:hAnsi="Arial" w:cs="Arial"/>
          <w:b/>
          <w:lang w:val="es-ES"/>
        </w:rPr>
        <w:t xml:space="preserve">: </w:t>
      </w:r>
      <w:r w:rsidR="00AF5196">
        <w:rPr>
          <w:rFonts w:ascii="Arial" w:hAnsi="Arial" w:cs="Arial"/>
          <w:b/>
          <w:lang w:val="es-ES"/>
        </w:rPr>
        <w:t xml:space="preserve">Número de </w:t>
      </w:r>
      <w:r>
        <w:rPr>
          <w:rFonts w:ascii="Arial" w:hAnsi="Arial" w:cs="Arial"/>
          <w:b/>
          <w:lang w:val="es-ES"/>
        </w:rPr>
        <w:t xml:space="preserve">Beneficiarios de </w:t>
      </w:r>
      <w:r w:rsidR="00D854CA">
        <w:rPr>
          <w:rFonts w:ascii="Arial" w:hAnsi="Arial" w:cs="Arial"/>
          <w:b/>
          <w:lang w:val="es-ES"/>
        </w:rPr>
        <w:t>Capacitación in situ</w:t>
      </w:r>
    </w:p>
    <w:tbl>
      <w:tblPr>
        <w:tblW w:w="8800" w:type="dxa"/>
        <w:jc w:val="center"/>
        <w:tblCellMar>
          <w:left w:w="70" w:type="dxa"/>
          <w:right w:w="70" w:type="dxa"/>
        </w:tblCellMar>
        <w:tblLook w:val="04A0" w:firstRow="1" w:lastRow="0" w:firstColumn="1" w:lastColumn="0" w:noHBand="0" w:noVBand="1"/>
      </w:tblPr>
      <w:tblGrid>
        <w:gridCol w:w="2135"/>
        <w:gridCol w:w="904"/>
        <w:gridCol w:w="991"/>
        <w:gridCol w:w="900"/>
        <w:gridCol w:w="900"/>
        <w:gridCol w:w="990"/>
        <w:gridCol w:w="810"/>
        <w:gridCol w:w="1170"/>
      </w:tblGrid>
      <w:tr w:rsidRPr="00961ADB" w:rsidR="00645962" w:rsidTr="00E0381D" w14:paraId="39EDC559" w14:textId="2AB2FE6D">
        <w:trPr>
          <w:trHeight w:val="300"/>
          <w:jc w:val="center"/>
        </w:trPr>
        <w:tc>
          <w:tcPr>
            <w:tcW w:w="2135" w:type="dxa"/>
            <w:tcBorders>
              <w:top w:val="nil"/>
              <w:left w:val="nil"/>
              <w:bottom w:val="single" w:color="auto" w:sz="4" w:space="0"/>
            </w:tcBorders>
            <w:shd w:val="clear" w:color="auto" w:fill="548DD4" w:themeFill="text2" w:themeFillTint="99"/>
            <w:noWrap/>
            <w:vAlign w:val="bottom"/>
            <w:hideMark/>
          </w:tcPr>
          <w:p w:rsidRPr="00304796" w:rsidR="00645962" w:rsidP="00DE2791" w:rsidRDefault="00645962" w14:paraId="074ABCF4" w14:textId="72779EF6">
            <w:pPr>
              <w:spacing w:after="0" w:line="240" w:lineRule="auto"/>
              <w:rPr>
                <w:rFonts w:ascii="Arial" w:hAnsi="Arial" w:eastAsia="Times New Roman" w:cs="Arial"/>
                <w:b/>
                <w:bCs/>
                <w:color w:val="FFFFFF" w:themeColor="background1"/>
                <w:sz w:val="20"/>
                <w:szCs w:val="20"/>
                <w:lang w:val="es-ES" w:eastAsia="es-ES"/>
              </w:rPr>
            </w:pPr>
          </w:p>
        </w:tc>
        <w:tc>
          <w:tcPr>
            <w:tcW w:w="904" w:type="dxa"/>
            <w:tcBorders>
              <w:top w:val="nil"/>
              <w:bottom w:val="single" w:color="auto" w:sz="4" w:space="0"/>
            </w:tcBorders>
            <w:shd w:val="clear" w:color="auto" w:fill="548DD4" w:themeFill="text2" w:themeFillTint="99"/>
            <w:noWrap/>
            <w:vAlign w:val="bottom"/>
            <w:hideMark/>
          </w:tcPr>
          <w:p w:rsidRPr="00304796" w:rsidR="00645962" w:rsidP="00DE2791" w:rsidRDefault="00645962" w14:paraId="593F9FC6" w14:textId="721A4870">
            <w:pPr>
              <w:spacing w:after="0" w:line="240" w:lineRule="auto"/>
              <w:jc w:val="center"/>
              <w:rPr>
                <w:rFonts w:ascii="Arial" w:hAnsi="Arial" w:eastAsia="Times New Roman" w:cs="Arial"/>
                <w:b/>
                <w:bCs/>
                <w:color w:val="FFFFFF" w:themeColor="background1"/>
                <w:sz w:val="20"/>
                <w:szCs w:val="20"/>
                <w:lang w:val="es-ES" w:eastAsia="es-ES"/>
              </w:rPr>
            </w:pPr>
            <w:r w:rsidRPr="00304796">
              <w:rPr>
                <w:rFonts w:ascii="Arial" w:hAnsi="Arial" w:eastAsia="Times New Roman" w:cs="Arial"/>
                <w:b/>
                <w:bCs/>
                <w:color w:val="FFFFFF" w:themeColor="background1"/>
                <w:sz w:val="20"/>
                <w:szCs w:val="20"/>
                <w:lang w:val="es-ES" w:eastAsia="es-ES"/>
              </w:rPr>
              <w:t>Año 1</w:t>
            </w:r>
          </w:p>
        </w:tc>
        <w:tc>
          <w:tcPr>
            <w:tcW w:w="991" w:type="dxa"/>
            <w:tcBorders>
              <w:top w:val="nil"/>
              <w:bottom w:val="single" w:color="auto" w:sz="4" w:space="0"/>
            </w:tcBorders>
            <w:shd w:val="clear" w:color="auto" w:fill="548DD4" w:themeFill="text2" w:themeFillTint="99"/>
            <w:noWrap/>
            <w:vAlign w:val="bottom"/>
            <w:hideMark/>
          </w:tcPr>
          <w:p w:rsidRPr="00304796" w:rsidR="00645962" w:rsidP="00DE2791" w:rsidRDefault="00645962" w14:paraId="78E1658A" w14:textId="7559E14D">
            <w:pPr>
              <w:spacing w:after="0" w:line="240" w:lineRule="auto"/>
              <w:jc w:val="center"/>
              <w:rPr>
                <w:rFonts w:ascii="Arial" w:hAnsi="Arial" w:eastAsia="Times New Roman" w:cs="Arial"/>
                <w:b/>
                <w:bCs/>
                <w:color w:val="FFFFFF" w:themeColor="background1"/>
                <w:sz w:val="20"/>
                <w:szCs w:val="20"/>
                <w:lang w:val="es-ES" w:eastAsia="es-ES"/>
              </w:rPr>
            </w:pPr>
            <w:r w:rsidRPr="00304796">
              <w:rPr>
                <w:rFonts w:ascii="Arial" w:hAnsi="Arial" w:eastAsia="Times New Roman" w:cs="Arial"/>
                <w:b/>
                <w:bCs/>
                <w:color w:val="FFFFFF" w:themeColor="background1"/>
                <w:sz w:val="20"/>
                <w:szCs w:val="20"/>
                <w:lang w:val="es-ES" w:eastAsia="es-ES"/>
              </w:rPr>
              <w:t>Año 2</w:t>
            </w:r>
          </w:p>
        </w:tc>
        <w:tc>
          <w:tcPr>
            <w:tcW w:w="900" w:type="dxa"/>
            <w:tcBorders>
              <w:top w:val="nil"/>
              <w:bottom w:val="single" w:color="auto" w:sz="4" w:space="0"/>
            </w:tcBorders>
            <w:shd w:val="clear" w:color="auto" w:fill="548DD4" w:themeFill="text2" w:themeFillTint="99"/>
            <w:noWrap/>
            <w:vAlign w:val="bottom"/>
            <w:hideMark/>
          </w:tcPr>
          <w:p w:rsidRPr="00304796" w:rsidR="00645962" w:rsidP="00DE2791" w:rsidRDefault="00645962" w14:paraId="7A014D93" w14:textId="1425477A">
            <w:pPr>
              <w:spacing w:after="0" w:line="240" w:lineRule="auto"/>
              <w:jc w:val="center"/>
              <w:rPr>
                <w:rFonts w:ascii="Arial" w:hAnsi="Arial" w:eastAsia="Times New Roman" w:cs="Arial"/>
                <w:b/>
                <w:bCs/>
                <w:color w:val="FFFFFF" w:themeColor="background1"/>
                <w:sz w:val="20"/>
                <w:szCs w:val="20"/>
                <w:lang w:val="es-ES" w:eastAsia="es-ES"/>
              </w:rPr>
            </w:pPr>
            <w:r w:rsidRPr="00304796">
              <w:rPr>
                <w:rFonts w:ascii="Arial" w:hAnsi="Arial" w:eastAsia="Times New Roman" w:cs="Arial"/>
                <w:b/>
                <w:bCs/>
                <w:color w:val="FFFFFF" w:themeColor="background1"/>
                <w:sz w:val="20"/>
                <w:szCs w:val="20"/>
                <w:lang w:val="es-ES" w:eastAsia="es-ES"/>
              </w:rPr>
              <w:t>Año 3</w:t>
            </w:r>
          </w:p>
        </w:tc>
        <w:tc>
          <w:tcPr>
            <w:tcW w:w="900" w:type="dxa"/>
            <w:tcBorders>
              <w:top w:val="nil"/>
              <w:bottom w:val="single" w:color="auto" w:sz="4" w:space="0"/>
            </w:tcBorders>
            <w:shd w:val="clear" w:color="auto" w:fill="548DD4" w:themeFill="text2" w:themeFillTint="99"/>
            <w:noWrap/>
            <w:vAlign w:val="bottom"/>
            <w:hideMark/>
          </w:tcPr>
          <w:p w:rsidRPr="00304796" w:rsidR="00645962" w:rsidP="00DE2791" w:rsidRDefault="00645962" w14:paraId="1F09F691" w14:textId="7533DA93">
            <w:pPr>
              <w:spacing w:after="0" w:line="240" w:lineRule="auto"/>
              <w:jc w:val="center"/>
              <w:rPr>
                <w:rFonts w:ascii="Arial" w:hAnsi="Arial" w:eastAsia="Times New Roman" w:cs="Arial"/>
                <w:b/>
                <w:bCs/>
                <w:color w:val="FFFFFF" w:themeColor="background1"/>
                <w:sz w:val="20"/>
                <w:szCs w:val="20"/>
                <w:lang w:val="es-ES" w:eastAsia="es-ES"/>
              </w:rPr>
            </w:pPr>
            <w:r w:rsidRPr="00304796">
              <w:rPr>
                <w:rFonts w:ascii="Arial" w:hAnsi="Arial" w:eastAsia="Times New Roman" w:cs="Arial"/>
                <w:b/>
                <w:bCs/>
                <w:color w:val="FFFFFF" w:themeColor="background1"/>
                <w:sz w:val="20"/>
                <w:szCs w:val="20"/>
                <w:lang w:val="es-ES" w:eastAsia="es-ES"/>
              </w:rPr>
              <w:t>Año 4</w:t>
            </w:r>
          </w:p>
        </w:tc>
        <w:tc>
          <w:tcPr>
            <w:tcW w:w="990" w:type="dxa"/>
            <w:tcBorders>
              <w:top w:val="nil"/>
              <w:bottom w:val="single" w:color="auto" w:sz="4" w:space="0"/>
            </w:tcBorders>
            <w:shd w:val="clear" w:color="auto" w:fill="548DD4" w:themeFill="text2" w:themeFillTint="99"/>
            <w:noWrap/>
            <w:vAlign w:val="bottom"/>
            <w:hideMark/>
          </w:tcPr>
          <w:p w:rsidRPr="00304796" w:rsidR="00645962" w:rsidP="00DE2791" w:rsidRDefault="00645962" w14:paraId="5C44DD62" w14:textId="61552FA3">
            <w:pPr>
              <w:spacing w:after="0" w:line="240" w:lineRule="auto"/>
              <w:jc w:val="center"/>
              <w:rPr>
                <w:rFonts w:ascii="Arial" w:hAnsi="Arial" w:eastAsia="Times New Roman" w:cs="Arial"/>
                <w:b/>
                <w:bCs/>
                <w:color w:val="FFFFFF" w:themeColor="background1"/>
                <w:sz w:val="20"/>
                <w:szCs w:val="20"/>
                <w:lang w:val="es-ES" w:eastAsia="es-ES"/>
              </w:rPr>
            </w:pPr>
            <w:r w:rsidRPr="00304796">
              <w:rPr>
                <w:rFonts w:ascii="Arial" w:hAnsi="Arial" w:eastAsia="Times New Roman" w:cs="Arial"/>
                <w:b/>
                <w:bCs/>
                <w:color w:val="FFFFFF" w:themeColor="background1"/>
                <w:sz w:val="20"/>
                <w:szCs w:val="20"/>
                <w:lang w:val="es-ES" w:eastAsia="es-ES"/>
              </w:rPr>
              <w:t>Año 5</w:t>
            </w:r>
          </w:p>
        </w:tc>
        <w:tc>
          <w:tcPr>
            <w:tcW w:w="810" w:type="dxa"/>
            <w:tcBorders>
              <w:top w:val="nil"/>
              <w:bottom w:val="single" w:color="auto" w:sz="4" w:space="0"/>
            </w:tcBorders>
            <w:shd w:val="clear" w:color="auto" w:fill="548DD4" w:themeFill="text2" w:themeFillTint="99"/>
            <w:noWrap/>
            <w:vAlign w:val="bottom"/>
            <w:hideMark/>
          </w:tcPr>
          <w:p w:rsidRPr="00304796" w:rsidR="00645962" w:rsidP="00DE2791" w:rsidRDefault="00645962" w14:paraId="58EDE818" w14:textId="1DCF48B0">
            <w:pPr>
              <w:spacing w:after="0" w:line="240" w:lineRule="auto"/>
              <w:jc w:val="center"/>
              <w:rPr>
                <w:rFonts w:ascii="Arial" w:hAnsi="Arial" w:eastAsia="Times New Roman" w:cs="Arial"/>
                <w:b/>
                <w:bCs/>
                <w:color w:val="FFFFFF" w:themeColor="background1"/>
                <w:sz w:val="20"/>
                <w:szCs w:val="20"/>
                <w:lang w:val="es-ES" w:eastAsia="es-ES"/>
              </w:rPr>
            </w:pPr>
            <w:r w:rsidRPr="00304796">
              <w:rPr>
                <w:rFonts w:ascii="Arial" w:hAnsi="Arial" w:eastAsia="Times New Roman" w:cs="Arial"/>
                <w:b/>
                <w:bCs/>
                <w:color w:val="FFFFFF" w:themeColor="background1"/>
                <w:sz w:val="20"/>
                <w:szCs w:val="20"/>
                <w:lang w:val="es-ES" w:eastAsia="es-ES"/>
              </w:rPr>
              <w:t xml:space="preserve">Año 6 </w:t>
            </w:r>
          </w:p>
        </w:tc>
        <w:tc>
          <w:tcPr>
            <w:tcW w:w="1170" w:type="dxa"/>
            <w:tcBorders>
              <w:top w:val="nil"/>
              <w:bottom w:val="single" w:color="auto" w:sz="4" w:space="0"/>
            </w:tcBorders>
            <w:shd w:val="clear" w:color="auto" w:fill="548DD4" w:themeFill="text2" w:themeFillTint="99"/>
            <w:vAlign w:val="bottom"/>
          </w:tcPr>
          <w:p w:rsidRPr="00304796" w:rsidR="00645962" w:rsidP="00DE2791" w:rsidRDefault="00645962" w14:paraId="2FD756DE" w14:textId="494C845F">
            <w:pPr>
              <w:spacing w:after="0" w:line="240" w:lineRule="auto"/>
              <w:jc w:val="center"/>
              <w:rPr>
                <w:rFonts w:ascii="Arial" w:hAnsi="Arial" w:eastAsia="Times New Roman" w:cs="Arial"/>
                <w:b/>
                <w:bCs/>
                <w:color w:val="FFFFFF" w:themeColor="background1"/>
                <w:sz w:val="20"/>
                <w:szCs w:val="20"/>
                <w:lang w:val="es-ES" w:eastAsia="es-ES"/>
              </w:rPr>
            </w:pPr>
            <w:r w:rsidRPr="00304796">
              <w:rPr>
                <w:rFonts w:ascii="Arial" w:hAnsi="Arial" w:eastAsia="Times New Roman" w:cs="Arial"/>
                <w:b/>
                <w:bCs/>
                <w:color w:val="FFFFFF" w:themeColor="background1"/>
                <w:sz w:val="20"/>
                <w:szCs w:val="20"/>
                <w:lang w:val="es-ES" w:eastAsia="es-ES"/>
              </w:rPr>
              <w:t>Total</w:t>
            </w:r>
          </w:p>
        </w:tc>
      </w:tr>
      <w:tr w:rsidRPr="00E2527C" w:rsidR="00645962" w:rsidTr="00562EA4" w14:paraId="1B544627" w14:textId="732C501F">
        <w:trPr>
          <w:trHeight w:val="300"/>
          <w:jc w:val="center"/>
        </w:trPr>
        <w:tc>
          <w:tcPr>
            <w:tcW w:w="2135" w:type="dxa"/>
            <w:tcBorders>
              <w:top w:val="single" w:color="auto" w:sz="4" w:space="0"/>
              <w:left w:val="nil"/>
              <w:bottom w:val="single" w:color="auto" w:sz="4" w:space="0"/>
            </w:tcBorders>
            <w:shd w:val="clear" w:color="auto" w:fill="auto"/>
            <w:noWrap/>
            <w:vAlign w:val="center"/>
            <w:hideMark/>
          </w:tcPr>
          <w:p w:rsidRPr="00304796" w:rsidR="00645962" w:rsidP="00645962" w:rsidRDefault="00645962" w14:paraId="71B8BEFF" w14:textId="2D4D32BB">
            <w:pPr>
              <w:spacing w:after="0" w:line="240" w:lineRule="auto"/>
              <w:rPr>
                <w:rFonts w:ascii="Arial" w:hAnsi="Arial" w:eastAsia="Times New Roman" w:cs="Arial"/>
                <w:color w:val="000000"/>
                <w:sz w:val="20"/>
                <w:szCs w:val="20"/>
                <w:lang w:val="es-ES" w:eastAsia="es-ES"/>
              </w:rPr>
            </w:pPr>
            <w:r w:rsidRPr="00304796">
              <w:rPr>
                <w:rFonts w:ascii="Arial" w:hAnsi="Arial" w:eastAsia="Times New Roman" w:cs="Arial"/>
                <w:color w:val="000000"/>
                <w:sz w:val="20"/>
                <w:szCs w:val="20"/>
                <w:lang w:val="es-ES" w:eastAsia="es-ES"/>
              </w:rPr>
              <w:t>Beneficiarios d</w:t>
            </w:r>
            <w:r w:rsidRPr="00304796" w:rsidR="00562EA4">
              <w:rPr>
                <w:rFonts w:ascii="Arial" w:hAnsi="Arial" w:eastAsia="Times New Roman" w:cs="Arial"/>
                <w:color w:val="000000"/>
                <w:sz w:val="20"/>
                <w:szCs w:val="20"/>
                <w:lang w:val="es-ES" w:eastAsia="es-ES"/>
              </w:rPr>
              <w:t>e Capacitación in situ</w:t>
            </w:r>
          </w:p>
        </w:tc>
        <w:tc>
          <w:tcPr>
            <w:tcW w:w="904" w:type="dxa"/>
            <w:tcBorders>
              <w:top w:val="single" w:color="auto" w:sz="4" w:space="0"/>
              <w:bottom w:val="single" w:color="auto" w:sz="4" w:space="0"/>
            </w:tcBorders>
            <w:shd w:val="clear" w:color="auto" w:fill="auto"/>
            <w:noWrap/>
            <w:vAlign w:val="center"/>
            <w:hideMark/>
          </w:tcPr>
          <w:p w:rsidRPr="00304796" w:rsidR="00645962" w:rsidP="00645962" w:rsidRDefault="00645962" w14:paraId="57842A68" w14:textId="2463EA6C">
            <w:pPr>
              <w:spacing w:after="0" w:line="240" w:lineRule="auto"/>
              <w:jc w:val="center"/>
              <w:rPr>
                <w:rFonts w:ascii="Arial" w:hAnsi="Arial" w:eastAsia="Times New Roman" w:cs="Arial"/>
                <w:color w:val="000000"/>
                <w:sz w:val="20"/>
                <w:szCs w:val="20"/>
                <w:lang w:val="es-ES" w:eastAsia="es-ES"/>
              </w:rPr>
            </w:pPr>
            <w:r w:rsidRPr="00304796">
              <w:rPr>
                <w:rFonts w:ascii="Arial" w:hAnsi="Arial" w:cs="Arial"/>
                <w:sz w:val="20"/>
                <w:szCs w:val="20"/>
                <w:lang w:val="es-ES_tradnl"/>
              </w:rPr>
              <w:t xml:space="preserve"> </w:t>
            </w:r>
            <w:r w:rsidRPr="00304796">
              <w:rPr>
                <w:rFonts w:ascii="Arial" w:hAnsi="Arial" w:cs="Arial"/>
                <w:sz w:val="20"/>
                <w:szCs w:val="20"/>
              </w:rPr>
              <w:t xml:space="preserve">220 </w:t>
            </w:r>
          </w:p>
        </w:tc>
        <w:tc>
          <w:tcPr>
            <w:tcW w:w="991" w:type="dxa"/>
            <w:tcBorders>
              <w:top w:val="single" w:color="auto" w:sz="4" w:space="0"/>
              <w:bottom w:val="single" w:color="auto" w:sz="4" w:space="0"/>
            </w:tcBorders>
            <w:shd w:val="clear" w:color="auto" w:fill="auto"/>
            <w:noWrap/>
            <w:vAlign w:val="center"/>
            <w:hideMark/>
          </w:tcPr>
          <w:p w:rsidRPr="00304796" w:rsidR="00645962" w:rsidP="00645962" w:rsidRDefault="00645962" w14:paraId="045BB5AC" w14:textId="7BD78487">
            <w:pPr>
              <w:spacing w:after="0" w:line="240" w:lineRule="auto"/>
              <w:jc w:val="center"/>
              <w:rPr>
                <w:rFonts w:ascii="Arial" w:hAnsi="Arial" w:eastAsia="Times New Roman" w:cs="Arial"/>
                <w:color w:val="000000"/>
                <w:sz w:val="20"/>
                <w:szCs w:val="20"/>
                <w:lang w:val="es-ES" w:eastAsia="es-ES"/>
              </w:rPr>
            </w:pPr>
            <w:r w:rsidRPr="00304796">
              <w:rPr>
                <w:rFonts w:ascii="Arial" w:hAnsi="Arial" w:cs="Arial"/>
                <w:sz w:val="20"/>
                <w:szCs w:val="20"/>
              </w:rPr>
              <w:t xml:space="preserve"> 3.884 </w:t>
            </w:r>
          </w:p>
        </w:tc>
        <w:tc>
          <w:tcPr>
            <w:tcW w:w="900" w:type="dxa"/>
            <w:tcBorders>
              <w:top w:val="single" w:color="auto" w:sz="4" w:space="0"/>
              <w:bottom w:val="single" w:color="auto" w:sz="4" w:space="0"/>
            </w:tcBorders>
            <w:shd w:val="clear" w:color="auto" w:fill="auto"/>
            <w:noWrap/>
            <w:vAlign w:val="center"/>
            <w:hideMark/>
          </w:tcPr>
          <w:p w:rsidRPr="00304796" w:rsidR="00645962" w:rsidP="00645962" w:rsidRDefault="00645962" w14:paraId="4D552B73" w14:textId="000CA2AF">
            <w:pPr>
              <w:spacing w:after="0" w:line="240" w:lineRule="auto"/>
              <w:jc w:val="center"/>
              <w:rPr>
                <w:rFonts w:ascii="Arial" w:hAnsi="Arial" w:eastAsia="Times New Roman" w:cs="Arial"/>
                <w:color w:val="000000"/>
                <w:sz w:val="20"/>
                <w:szCs w:val="20"/>
                <w:lang w:val="es-ES" w:eastAsia="es-ES"/>
              </w:rPr>
            </w:pPr>
            <w:r w:rsidRPr="00304796">
              <w:rPr>
                <w:rFonts w:ascii="Arial" w:hAnsi="Arial" w:cs="Arial"/>
                <w:sz w:val="20"/>
                <w:szCs w:val="20"/>
              </w:rPr>
              <w:t xml:space="preserve"> 4.203 </w:t>
            </w:r>
          </w:p>
        </w:tc>
        <w:tc>
          <w:tcPr>
            <w:tcW w:w="900" w:type="dxa"/>
            <w:tcBorders>
              <w:top w:val="single" w:color="auto" w:sz="4" w:space="0"/>
              <w:bottom w:val="single" w:color="auto" w:sz="4" w:space="0"/>
            </w:tcBorders>
            <w:shd w:val="clear" w:color="auto" w:fill="auto"/>
            <w:noWrap/>
            <w:vAlign w:val="center"/>
            <w:hideMark/>
          </w:tcPr>
          <w:p w:rsidRPr="00304796" w:rsidR="00645962" w:rsidP="00645962" w:rsidRDefault="00645962" w14:paraId="5770BBCF" w14:textId="45D2B8E2">
            <w:pPr>
              <w:spacing w:after="0" w:line="240" w:lineRule="auto"/>
              <w:jc w:val="center"/>
              <w:rPr>
                <w:rFonts w:ascii="Arial" w:hAnsi="Arial" w:eastAsia="Times New Roman" w:cs="Arial"/>
                <w:color w:val="000000"/>
                <w:sz w:val="20"/>
                <w:szCs w:val="20"/>
                <w:lang w:val="es-ES" w:eastAsia="es-ES"/>
              </w:rPr>
            </w:pPr>
            <w:r w:rsidRPr="00304796">
              <w:rPr>
                <w:rFonts w:ascii="Arial" w:hAnsi="Arial" w:cs="Arial"/>
                <w:sz w:val="20"/>
                <w:szCs w:val="20"/>
              </w:rPr>
              <w:t xml:space="preserve"> 4.465 </w:t>
            </w:r>
          </w:p>
        </w:tc>
        <w:tc>
          <w:tcPr>
            <w:tcW w:w="990" w:type="dxa"/>
            <w:tcBorders>
              <w:top w:val="single" w:color="auto" w:sz="4" w:space="0"/>
              <w:bottom w:val="single" w:color="auto" w:sz="4" w:space="0"/>
            </w:tcBorders>
            <w:shd w:val="clear" w:color="auto" w:fill="auto"/>
            <w:noWrap/>
            <w:vAlign w:val="center"/>
            <w:hideMark/>
          </w:tcPr>
          <w:p w:rsidRPr="00304796" w:rsidR="00645962" w:rsidP="00645962" w:rsidRDefault="00645962" w14:paraId="1AE1D6A8" w14:textId="15B22CD5">
            <w:pPr>
              <w:spacing w:after="0" w:line="240" w:lineRule="auto"/>
              <w:jc w:val="center"/>
              <w:rPr>
                <w:rFonts w:ascii="Arial" w:hAnsi="Arial" w:eastAsia="Times New Roman" w:cs="Arial"/>
                <w:color w:val="000000"/>
                <w:sz w:val="20"/>
                <w:szCs w:val="20"/>
                <w:lang w:val="es-ES" w:eastAsia="es-ES"/>
              </w:rPr>
            </w:pPr>
            <w:r w:rsidRPr="00304796">
              <w:rPr>
                <w:rFonts w:ascii="Arial" w:hAnsi="Arial" w:cs="Arial"/>
                <w:sz w:val="20"/>
                <w:szCs w:val="20"/>
              </w:rPr>
              <w:t xml:space="preserve"> 5.554 </w:t>
            </w:r>
          </w:p>
        </w:tc>
        <w:tc>
          <w:tcPr>
            <w:tcW w:w="810" w:type="dxa"/>
            <w:tcBorders>
              <w:top w:val="single" w:color="auto" w:sz="4" w:space="0"/>
              <w:bottom w:val="single" w:color="auto" w:sz="4" w:space="0"/>
            </w:tcBorders>
            <w:shd w:val="clear" w:color="auto" w:fill="auto"/>
            <w:noWrap/>
            <w:vAlign w:val="center"/>
            <w:hideMark/>
          </w:tcPr>
          <w:p w:rsidRPr="00304796" w:rsidR="00645962" w:rsidP="00645962" w:rsidRDefault="00645962" w14:paraId="64F4B86E" w14:textId="2F8A0801">
            <w:pPr>
              <w:spacing w:after="0" w:line="240" w:lineRule="auto"/>
              <w:jc w:val="center"/>
              <w:rPr>
                <w:rFonts w:ascii="Arial" w:hAnsi="Arial" w:eastAsia="Times New Roman" w:cs="Arial"/>
                <w:b/>
                <w:bCs/>
                <w:color w:val="000000"/>
                <w:sz w:val="20"/>
                <w:szCs w:val="20"/>
                <w:lang w:val="es-ES" w:eastAsia="es-ES"/>
              </w:rPr>
            </w:pPr>
            <w:r w:rsidRPr="00304796">
              <w:rPr>
                <w:rFonts w:ascii="Arial" w:hAnsi="Arial" w:cs="Arial"/>
                <w:sz w:val="20"/>
                <w:szCs w:val="20"/>
              </w:rPr>
              <w:t xml:space="preserve"> 698 </w:t>
            </w:r>
          </w:p>
        </w:tc>
        <w:tc>
          <w:tcPr>
            <w:tcW w:w="1170" w:type="dxa"/>
            <w:tcBorders>
              <w:top w:val="single" w:color="auto" w:sz="4" w:space="0"/>
              <w:bottom w:val="single" w:color="auto" w:sz="4" w:space="0"/>
            </w:tcBorders>
            <w:vAlign w:val="center"/>
          </w:tcPr>
          <w:p w:rsidRPr="00304796" w:rsidR="00645962" w:rsidP="00645962" w:rsidRDefault="00645962" w14:paraId="060AAE6D" w14:textId="3A4BFBA9">
            <w:pPr>
              <w:spacing w:after="0" w:line="240" w:lineRule="auto"/>
              <w:jc w:val="center"/>
              <w:rPr>
                <w:rFonts w:ascii="Arial" w:hAnsi="Arial" w:cs="Arial"/>
                <w:sz w:val="20"/>
                <w:szCs w:val="20"/>
              </w:rPr>
            </w:pPr>
            <w:r w:rsidRPr="00304796">
              <w:rPr>
                <w:rFonts w:ascii="Arial" w:hAnsi="Arial" w:cs="Arial"/>
                <w:sz w:val="20"/>
                <w:szCs w:val="20"/>
              </w:rPr>
              <w:t>19.024</w:t>
            </w:r>
          </w:p>
        </w:tc>
      </w:tr>
    </w:tbl>
    <w:p w:rsidRPr="00961ADB" w:rsidR="008457CF" w:rsidP="00DE2791" w:rsidRDefault="008457CF" w14:paraId="0B14191E" w14:textId="54DC4311">
      <w:pPr>
        <w:spacing w:after="0" w:line="240" w:lineRule="auto"/>
        <w:rPr>
          <w:rFonts w:ascii="Calibri" w:hAnsi="Calibri" w:eastAsia="Times New Roman" w:cs="Times New Roman"/>
          <w:color w:val="000000"/>
          <w:sz w:val="20"/>
          <w:lang w:val="es-ES" w:eastAsia="es-ES"/>
        </w:rPr>
      </w:pPr>
      <w:r>
        <w:rPr>
          <w:rFonts w:ascii="Calibri" w:hAnsi="Calibri" w:eastAsia="Times New Roman" w:cs="Times New Roman"/>
          <w:color w:val="000000"/>
          <w:sz w:val="20"/>
          <w:lang w:val="es-ES" w:eastAsia="es-ES"/>
        </w:rPr>
        <w:t>Fuente</w:t>
      </w:r>
      <w:r w:rsidRPr="00961ADB">
        <w:rPr>
          <w:rFonts w:ascii="Calibri" w:hAnsi="Calibri" w:eastAsia="Times New Roman" w:cs="Times New Roman"/>
          <w:color w:val="000000"/>
          <w:sz w:val="20"/>
          <w:lang w:val="es-ES" w:eastAsia="es-ES"/>
        </w:rPr>
        <w:t>:</w:t>
      </w:r>
      <w:r>
        <w:rPr>
          <w:rFonts w:ascii="Calibri" w:hAnsi="Calibri" w:eastAsia="Times New Roman" w:cs="Times New Roman"/>
          <w:color w:val="000000"/>
          <w:sz w:val="20"/>
          <w:lang w:val="es-ES" w:eastAsia="es-ES"/>
        </w:rPr>
        <w:t xml:space="preserve"> </w:t>
      </w:r>
      <w:r w:rsidR="008D76D4">
        <w:rPr>
          <w:rFonts w:ascii="Calibri" w:hAnsi="Calibri" w:eastAsia="Times New Roman" w:cs="Times New Roman"/>
          <w:color w:val="000000"/>
          <w:sz w:val="20"/>
          <w:lang w:val="es-ES" w:eastAsia="es-ES"/>
        </w:rPr>
        <w:t>Informes Semestrales del PAE.</w:t>
      </w:r>
      <w:r>
        <w:rPr>
          <w:rFonts w:ascii="Calibri" w:hAnsi="Calibri" w:eastAsia="Times New Roman" w:cs="Times New Roman"/>
          <w:color w:val="000000"/>
          <w:sz w:val="20"/>
          <w:lang w:val="es-ES" w:eastAsia="es-ES"/>
        </w:rPr>
        <w:t xml:space="preserve"> </w:t>
      </w:r>
    </w:p>
    <w:p w:rsidR="008457CF" w:rsidP="00F42B1D" w:rsidRDefault="008457CF" w14:paraId="1D144A4D" w14:textId="59BC84C8">
      <w:pPr>
        <w:jc w:val="center"/>
        <w:rPr>
          <w:rFonts w:ascii="Arial" w:hAnsi="Arial" w:cs="Arial"/>
          <w:b/>
          <w:lang w:val="es-ES"/>
        </w:rPr>
      </w:pPr>
    </w:p>
    <w:p w:rsidRPr="00D854CA" w:rsidR="00932A3B" w:rsidP="00932A3B" w:rsidRDefault="00B24015" w14:paraId="741AFEC1" w14:textId="7C034B23">
      <w:pPr>
        <w:jc w:val="center"/>
        <w:rPr>
          <w:rFonts w:ascii="Arial" w:hAnsi="Arial" w:cs="Arial"/>
          <w:b/>
          <w:lang w:val="es-ES_tradnl"/>
        </w:rPr>
      </w:pPr>
      <w:r>
        <w:rPr>
          <w:rFonts w:ascii="Arial" w:hAnsi="Arial" w:cs="Arial"/>
          <w:b/>
          <w:lang w:val="es-ES_tradnl"/>
        </w:rPr>
        <w:t>Tabla</w:t>
      </w:r>
      <w:r w:rsidRPr="00D854CA" w:rsidR="00932A3B">
        <w:rPr>
          <w:rFonts w:ascii="Arial" w:hAnsi="Arial" w:cs="Arial"/>
          <w:b/>
          <w:lang w:val="es-ES_tradnl"/>
        </w:rPr>
        <w:t> A</w:t>
      </w:r>
      <w:r>
        <w:rPr>
          <w:rFonts w:ascii="Arial" w:hAnsi="Arial" w:cs="Arial"/>
          <w:b/>
          <w:lang w:val="es-ES_tradnl"/>
        </w:rPr>
        <w:t>2</w:t>
      </w:r>
      <w:r w:rsidRPr="00D854CA" w:rsidR="00932A3B">
        <w:rPr>
          <w:rFonts w:ascii="Arial" w:hAnsi="Arial" w:cs="Arial"/>
          <w:b/>
          <w:lang w:val="es-ES_tradnl"/>
        </w:rPr>
        <w:t xml:space="preserve">: </w:t>
      </w:r>
      <w:r w:rsidRPr="00932A3B" w:rsidR="00932A3B">
        <w:rPr>
          <w:rFonts w:ascii="Arial" w:hAnsi="Arial" w:cs="Arial"/>
          <w:b/>
          <w:lang w:val="es-ES_tradnl"/>
        </w:rPr>
        <w:t>Cálculo de beneficios del programa</w:t>
      </w:r>
      <w:r w:rsidRPr="00D854CA" w:rsidR="00932A3B">
        <w:rPr>
          <w:rFonts w:ascii="Arial" w:hAnsi="Arial" w:cs="Arial"/>
          <w:b/>
          <w:lang w:val="es-ES_tradnl"/>
        </w:rPr>
        <w:t xml:space="preserve"> </w:t>
      </w:r>
    </w:p>
    <w:tbl>
      <w:tblPr>
        <w:tblStyle w:val="TableGrid"/>
        <w:tblW w:w="0" w:type="auto"/>
        <w:tblLook w:val="04A0" w:firstRow="1" w:lastRow="0" w:firstColumn="1" w:lastColumn="0" w:noHBand="0" w:noVBand="1"/>
      </w:tblPr>
      <w:tblGrid>
        <w:gridCol w:w="4788"/>
        <w:gridCol w:w="4788"/>
      </w:tblGrid>
      <w:tr w:rsidR="00EE650C" w:rsidTr="00932A3B" w14:paraId="2EE8A74B" w14:textId="77777777">
        <w:tc>
          <w:tcPr>
            <w:tcW w:w="4788" w:type="dxa"/>
            <w:shd w:val="clear" w:color="auto" w:fill="4F81BD" w:themeFill="accent1"/>
          </w:tcPr>
          <w:p w:rsidRPr="00304796" w:rsidR="00EE650C" w:rsidP="00F42B1D" w:rsidRDefault="00EE650C" w14:paraId="67AA68B4" w14:textId="77777777">
            <w:pPr>
              <w:jc w:val="center"/>
              <w:rPr>
                <w:rFonts w:ascii="Arial" w:hAnsi="Arial" w:cs="Arial"/>
                <w:b/>
                <w:color w:val="FFFFFF" w:themeColor="background1"/>
                <w:sz w:val="20"/>
                <w:szCs w:val="20"/>
                <w:lang w:val="es-ES"/>
              </w:rPr>
            </w:pPr>
          </w:p>
        </w:tc>
        <w:tc>
          <w:tcPr>
            <w:tcW w:w="4788" w:type="dxa"/>
            <w:shd w:val="clear" w:color="auto" w:fill="4F81BD" w:themeFill="accent1"/>
          </w:tcPr>
          <w:p w:rsidRPr="00304796" w:rsidR="00EE650C" w:rsidP="00F42B1D" w:rsidRDefault="00EE650C" w14:paraId="0F7FA4F9" w14:textId="186E29D6">
            <w:pPr>
              <w:jc w:val="center"/>
              <w:rPr>
                <w:rFonts w:ascii="Arial" w:hAnsi="Arial" w:cs="Arial"/>
                <w:b/>
                <w:color w:val="FFFFFF" w:themeColor="background1"/>
                <w:sz w:val="20"/>
                <w:szCs w:val="20"/>
                <w:lang w:val="es-ES_tradnl"/>
              </w:rPr>
            </w:pPr>
            <w:r w:rsidRPr="00304796">
              <w:rPr>
                <w:rFonts w:ascii="Arial" w:hAnsi="Arial" w:cs="Arial"/>
                <w:b/>
                <w:color w:val="FFFFFF" w:themeColor="background1"/>
                <w:sz w:val="20"/>
                <w:szCs w:val="20"/>
                <w:lang w:val="es-ES_tradnl"/>
              </w:rPr>
              <w:t>Beneficios</w:t>
            </w:r>
          </w:p>
        </w:tc>
      </w:tr>
      <w:tr w:rsidRPr="00DC1078" w:rsidR="00EE650C" w:rsidTr="003C4179" w14:paraId="098424D7" w14:textId="77777777">
        <w:tc>
          <w:tcPr>
            <w:tcW w:w="4788" w:type="dxa"/>
            <w:vAlign w:val="center"/>
          </w:tcPr>
          <w:p w:rsidRPr="00304796" w:rsidR="00EE650C" w:rsidP="00F42B1D" w:rsidRDefault="00EE650C" w14:paraId="2E66C2FC" w14:textId="704D0D1E">
            <w:pPr>
              <w:jc w:val="center"/>
              <w:rPr>
                <w:rFonts w:ascii="Arial" w:hAnsi="Arial" w:cs="Arial"/>
                <w:b/>
                <w:sz w:val="20"/>
                <w:szCs w:val="20"/>
                <w:lang w:val="es-ES"/>
              </w:rPr>
            </w:pPr>
            <w:r w:rsidRPr="00304796">
              <w:rPr>
                <w:rFonts w:ascii="Arial" w:hAnsi="Arial" w:cs="Arial"/>
                <w:b/>
                <w:sz w:val="20"/>
                <w:szCs w:val="20"/>
                <w:lang w:val="es-ES"/>
              </w:rPr>
              <w:t xml:space="preserve">Acceso a Empleo </w:t>
            </w:r>
          </w:p>
        </w:tc>
        <w:tc>
          <w:tcPr>
            <w:tcW w:w="4788" w:type="dxa"/>
          </w:tcPr>
          <w:p w:rsidRPr="00304796" w:rsidR="00622307" w:rsidP="00EE650C" w:rsidRDefault="00EE650C" w14:paraId="5BE3B848" w14:textId="77777777">
            <w:pPr>
              <w:spacing w:before="360"/>
              <w:rPr>
                <w:rFonts w:ascii="Arial" w:hAnsi="Arial" w:cs="Arial"/>
                <w:sz w:val="20"/>
                <w:szCs w:val="20"/>
                <w:lang w:val="es-ES_tradnl"/>
              </w:rPr>
            </w:pPr>
            <w:r w:rsidRPr="00304796">
              <w:rPr>
                <w:rFonts w:ascii="Arial" w:hAnsi="Arial" w:cs="Arial"/>
                <w:sz w:val="20"/>
                <w:szCs w:val="20"/>
                <w:lang w:val="es-ES_tradnl"/>
              </w:rPr>
              <w:t>Beneficio</w:t>
            </w:r>
            <w:r w:rsidRPr="00304796" w:rsidR="00622307">
              <w:rPr>
                <w:rFonts w:ascii="Arial" w:hAnsi="Arial" w:cs="Arial"/>
                <w:sz w:val="20"/>
                <w:szCs w:val="20"/>
                <w:lang w:val="es-ES_tradnl"/>
              </w:rPr>
              <w:t xml:space="preserve"> anual</w:t>
            </w:r>
            <w:r w:rsidRPr="00304796">
              <w:rPr>
                <w:rFonts w:ascii="Arial" w:hAnsi="Arial" w:cs="Arial"/>
                <w:sz w:val="20"/>
                <w:szCs w:val="20"/>
                <w:lang w:val="es-ES_tradnl"/>
              </w:rPr>
              <w:t xml:space="preserve">: </w:t>
            </w:r>
          </w:p>
          <w:p w:rsidRPr="00304796" w:rsidR="00EE650C" w:rsidP="00EE650C" w:rsidRDefault="000512D3" w14:paraId="0A95CC39" w14:textId="232CAB10">
            <w:pPr>
              <w:spacing w:before="360"/>
              <w:rPr>
                <w:rFonts w:ascii="Arial" w:hAnsi="Arial" w:cs="Arial"/>
                <w:color w:val="000000"/>
                <w:sz w:val="20"/>
                <w:szCs w:val="20"/>
                <w:lang w:val="es-ES_tradnl"/>
              </w:rPr>
            </w:pPr>
            <m:oMathPara>
              <m:oMath>
                <m:sSub>
                  <m:sSubPr>
                    <m:ctrlPr>
                      <w:rPr>
                        <w:rFonts w:ascii="Cambria Math" w:hAnsi="Cambria Math" w:cs="Arial"/>
                        <w:i/>
                        <w:color w:val="000000"/>
                        <w:sz w:val="20"/>
                        <w:szCs w:val="20"/>
                        <w:lang w:val="es-ES_tradnl"/>
                      </w:rPr>
                    </m:ctrlPr>
                  </m:sSubPr>
                  <m:e>
                    <m:r>
                      <w:rPr>
                        <w:rFonts w:ascii="Cambria Math" w:hAnsi="Cambria Math" w:cs="Arial"/>
                        <w:color w:val="000000"/>
                        <w:sz w:val="20"/>
                        <w:szCs w:val="20"/>
                        <w:lang w:val="es-ES_tradnl"/>
                      </w:rPr>
                      <m:t>π</m:t>
                    </m:r>
                  </m:e>
                  <m:sub>
                    <m:r>
                      <w:rPr>
                        <w:rFonts w:ascii="Cambria Math" w:hAnsi="Cambria Math" w:cs="Arial"/>
                        <w:color w:val="000000"/>
                        <w:sz w:val="20"/>
                        <w:szCs w:val="20"/>
                        <w:lang w:val="es-ES_tradnl"/>
                      </w:rPr>
                      <m:t>i</m:t>
                    </m:r>
                  </m:sub>
                </m:sSub>
                <m:r>
                  <w:rPr>
                    <w:rFonts w:ascii="Cambria Math" w:hAnsi="Cambria Math" w:cs="Arial"/>
                    <w:color w:val="000000"/>
                    <w:sz w:val="20"/>
                    <w:szCs w:val="20"/>
                    <w:lang w:val="es-ES_tradnl"/>
                  </w:rPr>
                  <m:t>=</m:t>
                </m:r>
                <m:sSub>
                  <m:sSubPr>
                    <m:ctrlPr>
                      <w:rPr>
                        <w:rFonts w:ascii="Cambria Math" w:hAnsi="Cambria Math" w:cs="Arial"/>
                        <w:i/>
                        <w:color w:val="000000"/>
                        <w:sz w:val="20"/>
                        <w:szCs w:val="20"/>
                        <w:lang w:val="es-ES_tradnl"/>
                      </w:rPr>
                    </m:ctrlPr>
                  </m:sSubPr>
                  <m:e>
                    <m:r>
                      <w:rPr>
                        <w:rFonts w:ascii="Cambria Math" w:hAnsi="Cambria Math" w:cs="Arial"/>
                        <w:color w:val="000000"/>
                        <w:sz w:val="20"/>
                        <w:szCs w:val="20"/>
                        <w:lang w:val="es-ES_tradnl"/>
                      </w:rPr>
                      <m:t>N</m:t>
                    </m:r>
                  </m:e>
                  <m:sub>
                    <m:r>
                      <w:rPr>
                        <w:rFonts w:ascii="Cambria Math" w:hAnsi="Cambria Math" w:cs="Arial"/>
                        <w:color w:val="000000"/>
                        <w:sz w:val="20"/>
                        <w:szCs w:val="20"/>
                        <w:lang w:val="es-ES_tradnl"/>
                      </w:rPr>
                      <m:t>i</m:t>
                    </m:r>
                  </m:sub>
                </m:sSub>
                <m:r>
                  <w:rPr>
                    <w:rFonts w:ascii="Cambria Math" w:hAnsi="Cambria Math" w:cs="Arial"/>
                    <w:color w:val="000000"/>
                    <w:sz w:val="20"/>
                    <w:szCs w:val="20"/>
                    <w:lang w:val="es-ES_tradnl"/>
                  </w:rPr>
                  <m:t xml:space="preserve"> * </m:t>
                </m:r>
                <m:sSub>
                  <m:sSubPr>
                    <m:ctrlPr>
                      <w:rPr>
                        <w:rFonts w:ascii="Cambria Math" w:hAnsi="Cambria Math" w:cs="Arial"/>
                        <w:i/>
                        <w:color w:val="000000"/>
                        <w:sz w:val="20"/>
                        <w:szCs w:val="20"/>
                        <w:lang w:val="es-ES_tradnl"/>
                      </w:rPr>
                    </m:ctrlPr>
                  </m:sSubPr>
                  <m:e>
                    <m:r>
                      <w:rPr>
                        <w:rFonts w:ascii="Cambria Math" w:hAnsi="Cambria Math" w:cs="Arial"/>
                        <w:color w:val="000000"/>
                        <w:sz w:val="20"/>
                        <w:szCs w:val="20"/>
                        <w:lang w:val="es-ES_tradnl"/>
                      </w:rPr>
                      <m:t>e</m:t>
                    </m:r>
                  </m:e>
                  <m:sub>
                    <m:r>
                      <w:rPr>
                        <w:rFonts w:ascii="Cambria Math" w:hAnsi="Cambria Math" w:cs="Arial"/>
                        <w:color w:val="000000"/>
                        <w:sz w:val="20"/>
                        <w:szCs w:val="20"/>
                        <w:lang w:val="es-ES_tradnl"/>
                      </w:rPr>
                      <m:t>i</m:t>
                    </m:r>
                  </m:sub>
                </m:sSub>
                <m:r>
                  <w:rPr>
                    <w:rFonts w:ascii="Cambria Math" w:hAnsi="Cambria Math" w:cs="Arial"/>
                    <w:color w:val="000000"/>
                    <w:sz w:val="20"/>
                    <w:szCs w:val="20"/>
                    <w:lang w:val="es-ES_tradnl"/>
                  </w:rPr>
                  <m:t>*12*</m:t>
                </m:r>
                <m:sSub>
                  <m:sSubPr>
                    <m:ctrlPr>
                      <w:rPr>
                        <w:rFonts w:ascii="Cambria Math" w:hAnsi="Cambria Math" w:cs="Arial"/>
                        <w:i/>
                        <w:color w:val="000000"/>
                        <w:sz w:val="20"/>
                        <w:szCs w:val="20"/>
                        <w:lang w:val="es-ES_tradnl"/>
                      </w:rPr>
                    </m:ctrlPr>
                  </m:sSubPr>
                  <m:e>
                    <m:r>
                      <w:rPr>
                        <w:rFonts w:ascii="Cambria Math" w:hAnsi="Cambria Math" w:cs="Arial"/>
                        <w:color w:val="000000"/>
                        <w:sz w:val="20"/>
                        <w:szCs w:val="20"/>
                        <w:lang w:val="es-ES_tradnl"/>
                      </w:rPr>
                      <m:t>y</m:t>
                    </m:r>
                  </m:e>
                  <m:sub>
                    <m:r>
                      <w:rPr>
                        <w:rFonts w:ascii="Cambria Math" w:hAnsi="Cambria Math" w:cs="Arial"/>
                        <w:color w:val="000000"/>
                        <w:sz w:val="20"/>
                        <w:szCs w:val="20"/>
                        <w:lang w:val="es-ES_tradnl"/>
                      </w:rPr>
                      <m:t>mensual base</m:t>
                    </m:r>
                  </m:sub>
                </m:sSub>
              </m:oMath>
            </m:oMathPara>
          </w:p>
          <w:p w:rsidRPr="00304796" w:rsidR="00622307" w:rsidP="00EE650C" w:rsidRDefault="00622307" w14:paraId="03AB55E4" w14:textId="57148C7F">
            <w:pPr>
              <w:spacing w:before="360"/>
              <w:rPr>
                <w:rFonts w:ascii="Arial" w:hAnsi="Arial" w:cs="Arial"/>
                <w:sz w:val="20"/>
                <w:szCs w:val="20"/>
                <w:lang w:val="es-ES_tradnl"/>
              </w:rPr>
            </w:pPr>
            <w:r w:rsidRPr="00304796">
              <w:rPr>
                <w:rFonts w:ascii="Arial" w:hAnsi="Arial" w:cs="Arial"/>
                <w:sz w:val="20"/>
                <w:szCs w:val="20"/>
                <w:lang w:val="es-ES_tradnl"/>
              </w:rPr>
              <w:t xml:space="preserve">Donde: </w:t>
            </w:r>
          </w:p>
          <w:p w:rsidRPr="00304796" w:rsidR="00622307" w:rsidP="003C4179" w:rsidRDefault="00622307" w14:paraId="4A5ED487" w14:textId="0C408036">
            <w:pPr>
              <w:pStyle w:val="ListParagraph"/>
              <w:numPr>
                <w:ilvl w:val="0"/>
                <w:numId w:val="20"/>
              </w:numPr>
              <w:spacing w:before="360"/>
              <w:rPr>
                <w:rFonts w:ascii="Arial" w:hAnsi="Arial" w:cs="Arial"/>
                <w:sz w:val="20"/>
                <w:szCs w:val="20"/>
                <w:lang w:val="es-ES_tradnl"/>
              </w:rPr>
            </w:pPr>
            <w:r w:rsidRPr="00304796">
              <w:rPr>
                <w:rFonts w:ascii="Arial" w:hAnsi="Arial" w:cs="Arial"/>
                <w:sz w:val="20"/>
                <w:szCs w:val="20"/>
                <w:lang w:val="es-ES_tradnl"/>
              </w:rPr>
              <w:t>N</w:t>
            </w:r>
            <w:r w:rsidRPr="00304796">
              <w:rPr>
                <w:rFonts w:ascii="Arial" w:hAnsi="Arial" w:cs="Arial"/>
                <w:sz w:val="20"/>
                <w:szCs w:val="20"/>
                <w:vertAlign w:val="subscript"/>
                <w:lang w:val="es-ES_tradnl"/>
              </w:rPr>
              <w:t>i</w:t>
            </w:r>
            <w:r w:rsidRPr="00304796" w:rsidR="003C4179">
              <w:rPr>
                <w:rFonts w:ascii="Arial" w:hAnsi="Arial" w:cs="Arial"/>
                <w:sz w:val="20"/>
                <w:szCs w:val="20"/>
                <w:lang w:val="es-ES_tradnl"/>
              </w:rPr>
              <w:t xml:space="preserve"> es el número de beneficiarios atendidos en el programa, según la matriz de resultados.</w:t>
            </w:r>
          </w:p>
          <w:p w:rsidRPr="00304796" w:rsidR="003C4179" w:rsidP="003C4179" w:rsidRDefault="003C4179" w14:paraId="11B73777" w14:textId="0C7637DA">
            <w:pPr>
              <w:pStyle w:val="ListParagraph"/>
              <w:numPr>
                <w:ilvl w:val="0"/>
                <w:numId w:val="20"/>
              </w:numPr>
              <w:spacing w:before="360"/>
              <w:rPr>
                <w:rFonts w:ascii="Arial" w:hAnsi="Arial" w:cs="Arial"/>
                <w:sz w:val="20"/>
                <w:szCs w:val="20"/>
                <w:lang w:val="es-ES_tradnl"/>
              </w:rPr>
            </w:pPr>
            <w:r w:rsidRPr="00304796">
              <w:rPr>
                <w:rFonts w:ascii="Arial" w:hAnsi="Arial" w:cs="Arial"/>
                <w:sz w:val="20"/>
                <w:szCs w:val="20"/>
                <w:lang w:val="es-ES_tradnl"/>
              </w:rPr>
              <w:t>e</w:t>
            </w:r>
            <w:r w:rsidRPr="00304796">
              <w:rPr>
                <w:rFonts w:ascii="Arial" w:hAnsi="Arial" w:cs="Arial"/>
                <w:sz w:val="20"/>
                <w:szCs w:val="20"/>
                <w:vertAlign w:val="subscript"/>
                <w:lang w:val="es-ES_tradnl"/>
              </w:rPr>
              <w:t>i</w:t>
            </w:r>
            <w:r w:rsidRPr="00304796">
              <w:rPr>
                <w:rFonts w:ascii="Arial" w:hAnsi="Arial" w:cs="Arial"/>
                <w:sz w:val="20"/>
                <w:szCs w:val="20"/>
                <w:lang w:val="es-ES_tradnl"/>
              </w:rPr>
              <w:t xml:space="preserve"> es el impacto estimado según la evaluación de impacto. Para los efectos del presenta análisis se considera un impacto de 8,28 pp. </w:t>
            </w:r>
          </w:p>
          <w:p w:rsidRPr="00304796" w:rsidR="003C4179" w:rsidP="003C4179" w:rsidRDefault="003C4179" w14:paraId="2E496908" w14:textId="6CC6F1AE">
            <w:pPr>
              <w:pStyle w:val="ListParagraph"/>
              <w:numPr>
                <w:ilvl w:val="0"/>
                <w:numId w:val="20"/>
              </w:numPr>
              <w:spacing w:before="360"/>
              <w:rPr>
                <w:rFonts w:ascii="Arial" w:hAnsi="Arial" w:cs="Arial"/>
                <w:sz w:val="20"/>
                <w:szCs w:val="20"/>
                <w:lang w:val="es-ES_tradnl"/>
              </w:rPr>
            </w:pPr>
            <w:r w:rsidRPr="00304796">
              <w:rPr>
                <w:rFonts w:ascii="Arial" w:hAnsi="Arial" w:cs="Arial"/>
                <w:sz w:val="20"/>
                <w:szCs w:val="20"/>
                <w:lang w:val="es-ES_tradnl"/>
              </w:rPr>
              <w:t xml:space="preserve">y </w:t>
            </w:r>
            <w:r w:rsidRPr="00304796">
              <w:rPr>
                <w:rFonts w:ascii="Arial" w:hAnsi="Arial" w:cs="Arial"/>
                <w:sz w:val="20"/>
                <w:szCs w:val="20"/>
                <w:vertAlign w:val="subscript"/>
                <w:lang w:val="es-ES_tradnl"/>
              </w:rPr>
              <w:t xml:space="preserve">mensual base </w:t>
            </w:r>
            <w:r w:rsidRPr="00304796">
              <w:rPr>
                <w:rFonts w:ascii="Arial" w:hAnsi="Arial" w:cs="Arial"/>
                <w:sz w:val="20"/>
                <w:szCs w:val="20"/>
                <w:lang w:val="es-ES_tradnl"/>
              </w:rPr>
              <w:t>es el ingreso base calculado de la evaluación de impacto.</w:t>
            </w:r>
          </w:p>
          <w:p w:rsidRPr="00304796" w:rsidR="00EE650C" w:rsidP="00F42B1D" w:rsidRDefault="00EE650C" w14:paraId="3753161D" w14:textId="6DDBD945">
            <w:pPr>
              <w:jc w:val="center"/>
              <w:rPr>
                <w:rFonts w:ascii="Arial" w:hAnsi="Arial" w:cs="Arial"/>
                <w:sz w:val="20"/>
                <w:szCs w:val="20"/>
                <w:lang w:val="es-ES_tradnl"/>
              </w:rPr>
            </w:pPr>
          </w:p>
        </w:tc>
      </w:tr>
      <w:tr w:rsidRPr="00DC1078" w:rsidR="00EE650C" w:rsidTr="00932A3B" w14:paraId="2EC4EE40" w14:textId="77777777">
        <w:tc>
          <w:tcPr>
            <w:tcW w:w="4788" w:type="dxa"/>
            <w:vAlign w:val="center"/>
          </w:tcPr>
          <w:p w:rsidRPr="00304796" w:rsidR="00EE650C" w:rsidP="00EE650C" w:rsidRDefault="00EE650C" w14:paraId="2D85F877" w14:textId="31BB2315">
            <w:pPr>
              <w:jc w:val="center"/>
              <w:rPr>
                <w:rFonts w:ascii="Arial" w:hAnsi="Arial" w:cs="Arial"/>
                <w:b/>
                <w:sz w:val="20"/>
                <w:szCs w:val="20"/>
                <w:lang w:val="es-ES"/>
              </w:rPr>
            </w:pPr>
            <w:r w:rsidRPr="00304796">
              <w:rPr>
                <w:rFonts w:ascii="Arial" w:hAnsi="Arial" w:cs="Arial"/>
                <w:b/>
                <w:sz w:val="20"/>
                <w:szCs w:val="20"/>
                <w:lang w:val="es-ES"/>
              </w:rPr>
              <w:t>Ingreso Laboral</w:t>
            </w:r>
          </w:p>
        </w:tc>
        <w:tc>
          <w:tcPr>
            <w:tcW w:w="4788" w:type="dxa"/>
          </w:tcPr>
          <w:p w:rsidRPr="00304796" w:rsidR="003C4179" w:rsidP="003C4179" w:rsidRDefault="003C4179" w14:paraId="622987EE" w14:textId="77777777">
            <w:pPr>
              <w:spacing w:before="360"/>
              <w:rPr>
                <w:rFonts w:ascii="Arial" w:hAnsi="Arial" w:cs="Arial"/>
                <w:sz w:val="20"/>
                <w:szCs w:val="20"/>
                <w:lang w:val="es-ES_tradnl"/>
              </w:rPr>
            </w:pPr>
            <w:r w:rsidRPr="00304796">
              <w:rPr>
                <w:rFonts w:ascii="Arial" w:hAnsi="Arial" w:cs="Arial"/>
                <w:sz w:val="20"/>
                <w:szCs w:val="20"/>
                <w:lang w:val="es-ES_tradnl"/>
              </w:rPr>
              <w:t xml:space="preserve">Beneficio anual: </w:t>
            </w:r>
          </w:p>
          <w:p w:rsidRPr="00304796" w:rsidR="003C4179" w:rsidP="003C4179" w:rsidRDefault="000512D3" w14:paraId="6E50AD7E" w14:textId="6E47816F">
            <w:pPr>
              <w:spacing w:before="360"/>
              <w:rPr>
                <w:rFonts w:ascii="Arial" w:hAnsi="Arial" w:cs="Arial"/>
                <w:color w:val="000000"/>
                <w:sz w:val="20"/>
                <w:szCs w:val="20"/>
                <w:lang w:val="es-ES_tradnl"/>
              </w:rPr>
            </w:pPr>
            <m:oMathPara>
              <m:oMath>
                <m:sSub>
                  <m:sSubPr>
                    <m:ctrlPr>
                      <w:rPr>
                        <w:rFonts w:ascii="Cambria Math" w:hAnsi="Cambria Math" w:cs="Arial"/>
                        <w:i/>
                        <w:color w:val="000000"/>
                        <w:sz w:val="20"/>
                        <w:szCs w:val="20"/>
                        <w:lang w:val="es-ES_tradnl"/>
                      </w:rPr>
                    </m:ctrlPr>
                  </m:sSubPr>
                  <m:e>
                    <m:r>
                      <w:rPr>
                        <w:rFonts w:ascii="Cambria Math" w:hAnsi="Cambria Math" w:cs="Arial"/>
                        <w:color w:val="000000"/>
                        <w:sz w:val="20"/>
                        <w:szCs w:val="20"/>
                        <w:lang w:val="es-ES_tradnl"/>
                      </w:rPr>
                      <m:t>π</m:t>
                    </m:r>
                  </m:e>
                  <m:sub>
                    <m:r>
                      <w:rPr>
                        <w:rFonts w:ascii="Cambria Math" w:hAnsi="Cambria Math" w:cs="Arial"/>
                        <w:color w:val="000000"/>
                        <w:sz w:val="20"/>
                        <w:szCs w:val="20"/>
                        <w:lang w:val="es-ES_tradnl"/>
                      </w:rPr>
                      <m:t>i</m:t>
                    </m:r>
                  </m:sub>
                </m:sSub>
                <m:r>
                  <w:rPr>
                    <w:rFonts w:ascii="Cambria Math" w:hAnsi="Cambria Math" w:cs="Arial"/>
                    <w:color w:val="000000"/>
                    <w:sz w:val="20"/>
                    <w:szCs w:val="20"/>
                    <w:lang w:val="es-ES_tradnl"/>
                  </w:rPr>
                  <m:t>=</m:t>
                </m:r>
                <m:sSub>
                  <m:sSubPr>
                    <m:ctrlPr>
                      <w:rPr>
                        <w:rFonts w:ascii="Cambria Math" w:hAnsi="Cambria Math" w:cs="Arial"/>
                        <w:i/>
                        <w:color w:val="000000"/>
                        <w:sz w:val="20"/>
                        <w:szCs w:val="20"/>
                        <w:lang w:val="es-ES_tradnl"/>
                      </w:rPr>
                    </m:ctrlPr>
                  </m:sSubPr>
                  <m:e>
                    <m:r>
                      <w:rPr>
                        <w:rFonts w:ascii="Cambria Math" w:hAnsi="Cambria Math" w:cs="Arial"/>
                        <w:color w:val="000000"/>
                        <w:sz w:val="20"/>
                        <w:szCs w:val="20"/>
                        <w:lang w:val="es-ES_tradnl"/>
                      </w:rPr>
                      <m:t>N</m:t>
                    </m:r>
                  </m:e>
                  <m:sub>
                    <m:r>
                      <w:rPr>
                        <w:rFonts w:ascii="Cambria Math" w:hAnsi="Cambria Math" w:cs="Arial"/>
                        <w:color w:val="000000"/>
                        <w:sz w:val="20"/>
                        <w:szCs w:val="20"/>
                        <w:lang w:val="es-ES_tradnl"/>
                      </w:rPr>
                      <m:t>i</m:t>
                    </m:r>
                  </m:sub>
                </m:sSub>
                <m:r>
                  <w:rPr>
                    <w:rFonts w:ascii="Cambria Math" w:hAnsi="Cambria Math" w:cs="Arial"/>
                    <w:color w:val="000000"/>
                    <w:sz w:val="20"/>
                    <w:szCs w:val="20"/>
                    <w:lang w:val="es-ES_tradnl"/>
                  </w:rPr>
                  <m:t>*</m:t>
                </m:r>
                <m:sSub>
                  <m:sSubPr>
                    <m:ctrlPr>
                      <w:rPr>
                        <w:rFonts w:ascii="Cambria Math" w:hAnsi="Cambria Math" w:cs="Arial"/>
                        <w:i/>
                        <w:color w:val="000000"/>
                        <w:sz w:val="20"/>
                        <w:szCs w:val="20"/>
                        <w:lang w:val="es-ES_tradnl"/>
                      </w:rPr>
                    </m:ctrlPr>
                  </m:sSubPr>
                  <m:e>
                    <m:r>
                      <w:rPr>
                        <w:rFonts w:ascii="Cambria Math" w:hAnsi="Cambria Math" w:cs="Arial"/>
                        <w:color w:val="000000"/>
                        <w:sz w:val="20"/>
                        <w:szCs w:val="20"/>
                        <w:lang w:val="es-ES_tradnl"/>
                      </w:rPr>
                      <m:t>θ</m:t>
                    </m:r>
                  </m:e>
                  <m:sub>
                    <m:r>
                      <w:rPr>
                        <w:rFonts w:ascii="Cambria Math" w:hAnsi="Cambria Math" w:cs="Arial"/>
                        <w:color w:val="000000"/>
                        <w:sz w:val="20"/>
                        <w:szCs w:val="20"/>
                        <w:lang w:val="es-ES_tradnl"/>
                      </w:rPr>
                      <m:t>i</m:t>
                    </m:r>
                  </m:sub>
                </m:sSub>
                <m:r>
                  <w:rPr>
                    <w:rFonts w:ascii="Cambria Math" w:hAnsi="Cambria Math" w:cs="Arial"/>
                    <w:color w:val="000000"/>
                    <w:sz w:val="20"/>
                    <w:szCs w:val="20"/>
                    <w:lang w:val="es-ES_tradnl"/>
                  </w:rPr>
                  <m:t xml:space="preserve"> * </m:t>
                </m:r>
                <m:sSub>
                  <m:sSubPr>
                    <m:ctrlPr>
                      <w:rPr>
                        <w:rFonts w:ascii="Cambria Math" w:hAnsi="Cambria Math" w:cs="Arial"/>
                        <w:i/>
                        <w:color w:val="000000"/>
                        <w:sz w:val="20"/>
                        <w:szCs w:val="20"/>
                        <w:lang w:val="es-ES_tradnl"/>
                      </w:rPr>
                    </m:ctrlPr>
                  </m:sSubPr>
                  <m:e>
                    <m:r>
                      <w:rPr>
                        <w:rFonts w:ascii="Cambria Math" w:hAnsi="Cambria Math" w:cs="Arial"/>
                        <w:color w:val="000000"/>
                        <w:sz w:val="20"/>
                        <w:szCs w:val="20"/>
                        <w:lang w:val="es-ES_tradnl"/>
                      </w:rPr>
                      <m:t>β</m:t>
                    </m:r>
                  </m:e>
                  <m:sub>
                    <m:r>
                      <w:rPr>
                        <w:rFonts w:ascii="Cambria Math" w:hAnsi="Cambria Math" w:cs="Arial"/>
                        <w:color w:val="000000"/>
                        <w:sz w:val="20"/>
                        <w:szCs w:val="20"/>
                        <w:lang w:val="es-ES_tradnl"/>
                      </w:rPr>
                      <m:t>i</m:t>
                    </m:r>
                  </m:sub>
                </m:sSub>
                <m:r>
                  <w:rPr>
                    <w:rFonts w:ascii="Cambria Math" w:hAnsi="Cambria Math" w:cs="Arial"/>
                    <w:color w:val="000000"/>
                    <w:sz w:val="20"/>
                    <w:szCs w:val="20"/>
                    <w:lang w:val="es-ES_tradnl"/>
                  </w:rPr>
                  <m:t>*12*</m:t>
                </m:r>
                <m:sSub>
                  <m:sSubPr>
                    <m:ctrlPr>
                      <w:rPr>
                        <w:rFonts w:ascii="Cambria Math" w:hAnsi="Cambria Math" w:cs="Arial"/>
                        <w:i/>
                        <w:color w:val="000000"/>
                        <w:sz w:val="20"/>
                        <w:szCs w:val="20"/>
                        <w:lang w:val="es-ES_tradnl"/>
                      </w:rPr>
                    </m:ctrlPr>
                  </m:sSubPr>
                  <m:e>
                    <m:r>
                      <w:rPr>
                        <w:rFonts w:ascii="Cambria Math" w:hAnsi="Cambria Math" w:cs="Arial"/>
                        <w:color w:val="000000"/>
                        <w:sz w:val="20"/>
                        <w:szCs w:val="20"/>
                        <w:lang w:val="es-ES_tradnl"/>
                      </w:rPr>
                      <m:t>y</m:t>
                    </m:r>
                  </m:e>
                  <m:sub>
                    <m:r>
                      <w:rPr>
                        <w:rFonts w:ascii="Cambria Math" w:hAnsi="Cambria Math" w:cs="Arial"/>
                        <w:color w:val="000000"/>
                        <w:sz w:val="20"/>
                        <w:szCs w:val="20"/>
                        <w:lang w:val="es-ES_tradnl"/>
                      </w:rPr>
                      <m:t>mensual base</m:t>
                    </m:r>
                  </m:sub>
                </m:sSub>
              </m:oMath>
            </m:oMathPara>
          </w:p>
          <w:p w:rsidRPr="00304796" w:rsidR="003C4179" w:rsidP="003C4179" w:rsidRDefault="003C4179" w14:paraId="281CBA87" w14:textId="77777777">
            <w:pPr>
              <w:spacing w:before="360"/>
              <w:rPr>
                <w:rFonts w:ascii="Arial" w:hAnsi="Arial" w:cs="Arial"/>
                <w:sz w:val="20"/>
                <w:szCs w:val="20"/>
                <w:lang w:val="es-ES_tradnl"/>
              </w:rPr>
            </w:pPr>
            <w:r w:rsidRPr="00304796">
              <w:rPr>
                <w:rFonts w:ascii="Arial" w:hAnsi="Arial" w:cs="Arial"/>
                <w:sz w:val="20"/>
                <w:szCs w:val="20"/>
                <w:lang w:val="es-ES_tradnl"/>
              </w:rPr>
              <w:t xml:space="preserve">Donde: </w:t>
            </w:r>
          </w:p>
          <w:p w:rsidRPr="00304796" w:rsidR="003C4179" w:rsidP="003C4179" w:rsidRDefault="003C4179" w14:paraId="712C9B57" w14:textId="77777777">
            <w:pPr>
              <w:pStyle w:val="ListParagraph"/>
              <w:numPr>
                <w:ilvl w:val="0"/>
                <w:numId w:val="20"/>
              </w:numPr>
              <w:spacing w:before="360"/>
              <w:rPr>
                <w:rFonts w:ascii="Arial" w:hAnsi="Arial" w:cs="Arial"/>
                <w:sz w:val="20"/>
                <w:szCs w:val="20"/>
                <w:lang w:val="es-ES_tradnl"/>
              </w:rPr>
            </w:pPr>
            <w:r w:rsidRPr="00304796">
              <w:rPr>
                <w:rFonts w:ascii="Arial" w:hAnsi="Arial" w:cs="Arial"/>
                <w:sz w:val="20"/>
                <w:szCs w:val="20"/>
                <w:lang w:val="es-ES_tradnl"/>
              </w:rPr>
              <w:t>N</w:t>
            </w:r>
            <w:r w:rsidRPr="00304796">
              <w:rPr>
                <w:rFonts w:ascii="Arial" w:hAnsi="Arial" w:cs="Arial"/>
                <w:sz w:val="20"/>
                <w:szCs w:val="20"/>
                <w:vertAlign w:val="subscript"/>
                <w:lang w:val="es-ES_tradnl"/>
              </w:rPr>
              <w:t>i</w:t>
            </w:r>
            <w:r w:rsidRPr="00304796">
              <w:rPr>
                <w:rFonts w:ascii="Arial" w:hAnsi="Arial" w:cs="Arial"/>
                <w:sz w:val="20"/>
                <w:szCs w:val="20"/>
                <w:lang w:val="es-ES_tradnl"/>
              </w:rPr>
              <w:t xml:space="preserve"> es el número de beneficiarios atendidos en el programa, según la matriz de resultados.</w:t>
            </w:r>
          </w:p>
          <w:p w:rsidRPr="00304796" w:rsidR="003C4179" w:rsidP="003C4179" w:rsidRDefault="003C4179" w14:paraId="575051B0" w14:textId="760434F0">
            <w:pPr>
              <w:pStyle w:val="ListParagraph"/>
              <w:numPr>
                <w:ilvl w:val="0"/>
                <w:numId w:val="20"/>
              </w:numPr>
              <w:spacing w:before="360"/>
              <w:rPr>
                <w:rFonts w:ascii="Arial" w:hAnsi="Arial" w:cs="Arial"/>
                <w:sz w:val="20"/>
                <w:szCs w:val="20"/>
                <w:lang w:val="es-ES_tradnl"/>
              </w:rPr>
            </w:pPr>
            <w:r w:rsidRPr="00304796">
              <w:rPr>
                <w:rFonts w:ascii="Arial" w:hAnsi="Arial" w:cs="Arial"/>
                <w:sz w:val="20"/>
                <w:szCs w:val="20"/>
                <w:lang w:val="es-ES_tradnl"/>
              </w:rPr>
              <w:t>β</w:t>
            </w:r>
            <w:r w:rsidRPr="00304796">
              <w:rPr>
                <w:rFonts w:ascii="Arial" w:hAnsi="Arial" w:cs="Arial"/>
                <w:sz w:val="20"/>
                <w:szCs w:val="20"/>
                <w:vertAlign w:val="subscript"/>
                <w:lang w:val="es-ES_tradnl"/>
              </w:rPr>
              <w:t>i</w:t>
            </w:r>
            <w:r w:rsidRPr="00304796">
              <w:rPr>
                <w:rFonts w:ascii="Arial" w:hAnsi="Arial" w:cs="Arial"/>
                <w:sz w:val="20"/>
                <w:szCs w:val="20"/>
                <w:lang w:val="es-ES_tradnl"/>
              </w:rPr>
              <w:t xml:space="preserve"> es el impacto estimado sobre el ingreso laboral según la evaluación de impacto. Para los efectos del presenta análisis se considera un impacto de 8,70%. </w:t>
            </w:r>
          </w:p>
          <w:p w:rsidRPr="00304796" w:rsidR="003C4179" w:rsidP="003C4179" w:rsidRDefault="003C4179" w14:paraId="3F5ABB28" w14:textId="1A6FCA02">
            <w:pPr>
              <w:pStyle w:val="ListParagraph"/>
              <w:numPr>
                <w:ilvl w:val="0"/>
                <w:numId w:val="20"/>
              </w:numPr>
              <w:spacing w:before="360"/>
              <w:rPr>
                <w:rFonts w:ascii="Arial" w:hAnsi="Arial" w:cs="Arial"/>
                <w:sz w:val="20"/>
                <w:szCs w:val="20"/>
                <w:lang w:val="es-ES_tradnl"/>
              </w:rPr>
            </w:pPr>
            <w:r w:rsidRPr="00304796">
              <w:rPr>
                <w:rFonts w:ascii="Arial" w:hAnsi="Arial" w:cs="Arial"/>
                <w:sz w:val="20"/>
                <w:szCs w:val="20"/>
                <w:lang w:val="es-ES_tradnl"/>
              </w:rPr>
              <w:t xml:space="preserve">y </w:t>
            </w:r>
            <w:r w:rsidRPr="00304796">
              <w:rPr>
                <w:rFonts w:ascii="Arial" w:hAnsi="Arial" w:cs="Arial"/>
                <w:sz w:val="20"/>
                <w:szCs w:val="20"/>
                <w:vertAlign w:val="subscript"/>
                <w:lang w:val="es-ES_tradnl"/>
              </w:rPr>
              <w:t xml:space="preserve">mensual base </w:t>
            </w:r>
            <w:r w:rsidRPr="00304796">
              <w:rPr>
                <w:rFonts w:ascii="Arial" w:hAnsi="Arial" w:cs="Arial"/>
                <w:sz w:val="20"/>
                <w:szCs w:val="20"/>
                <w:lang w:val="es-ES_tradnl"/>
              </w:rPr>
              <w:t>es el ingreso base calculado de la evaluación de impacto.</w:t>
            </w:r>
          </w:p>
          <w:p w:rsidRPr="00304796" w:rsidR="003C4179" w:rsidP="003C4179" w:rsidRDefault="003C4179" w14:paraId="4DA57B14" w14:textId="7B70634C">
            <w:pPr>
              <w:pStyle w:val="ListParagraph"/>
              <w:numPr>
                <w:ilvl w:val="0"/>
                <w:numId w:val="20"/>
              </w:numPr>
              <w:spacing w:before="360"/>
              <w:rPr>
                <w:rFonts w:ascii="Arial" w:hAnsi="Arial" w:cs="Arial"/>
                <w:sz w:val="20"/>
                <w:szCs w:val="20"/>
                <w:lang w:val="es-ES_tradnl"/>
              </w:rPr>
            </w:pPr>
            <w:r w:rsidRPr="00304796">
              <w:rPr>
                <w:rFonts w:ascii="Arial" w:hAnsi="Arial" w:cs="Arial"/>
                <w:sz w:val="20"/>
                <w:szCs w:val="20"/>
                <w:lang w:val="es-ES_tradnl"/>
              </w:rPr>
              <w:t xml:space="preserve">Θi es la proporción de beneficiarios que se encuentra trabajando en el seguimiento. </w:t>
            </w:r>
          </w:p>
          <w:p w:rsidRPr="00304796" w:rsidR="00EE650C" w:rsidP="00F42B1D" w:rsidRDefault="00EE650C" w14:paraId="0799B517" w14:textId="77777777">
            <w:pPr>
              <w:jc w:val="center"/>
              <w:rPr>
                <w:rFonts w:ascii="Arial" w:hAnsi="Arial" w:cs="Arial"/>
                <w:b/>
                <w:sz w:val="20"/>
                <w:szCs w:val="20"/>
                <w:lang w:val="es-ES_tradnl"/>
              </w:rPr>
            </w:pPr>
          </w:p>
        </w:tc>
      </w:tr>
    </w:tbl>
    <w:p w:rsidR="00EE650C" w:rsidP="00F42B1D" w:rsidRDefault="00EE650C" w14:paraId="236A3137" w14:textId="05A00C53">
      <w:pPr>
        <w:jc w:val="center"/>
        <w:rPr>
          <w:rFonts w:ascii="Arial" w:hAnsi="Arial" w:cs="Arial"/>
          <w:b/>
          <w:lang w:val="es-ES"/>
        </w:rPr>
      </w:pPr>
    </w:p>
    <w:p w:rsidRPr="00D854CA" w:rsidR="00D854CA" w:rsidP="00D854CA" w:rsidRDefault="00B24015" w14:paraId="355524E3" w14:textId="50ECBAAC">
      <w:pPr>
        <w:jc w:val="center"/>
        <w:rPr>
          <w:rFonts w:ascii="Arial" w:hAnsi="Arial" w:cs="Arial"/>
          <w:b/>
          <w:lang w:val="es-ES_tradnl"/>
        </w:rPr>
      </w:pPr>
      <w:r>
        <w:rPr>
          <w:rFonts w:ascii="Arial" w:hAnsi="Arial" w:cs="Arial"/>
          <w:b/>
          <w:lang w:val="es-ES_tradnl"/>
        </w:rPr>
        <w:t>Tabla</w:t>
      </w:r>
      <w:r w:rsidRPr="00D854CA" w:rsidR="00D854CA">
        <w:rPr>
          <w:rFonts w:ascii="Arial" w:hAnsi="Arial" w:cs="Arial"/>
          <w:b/>
          <w:lang w:val="es-ES_tradnl"/>
        </w:rPr>
        <w:t> A</w:t>
      </w:r>
      <w:r w:rsidR="00D854CA">
        <w:rPr>
          <w:rFonts w:ascii="Arial" w:hAnsi="Arial" w:cs="Arial"/>
          <w:b/>
          <w:lang w:val="es-ES_tradnl"/>
        </w:rPr>
        <w:t>3</w:t>
      </w:r>
      <w:r w:rsidRPr="00D854CA" w:rsidR="00D854CA">
        <w:rPr>
          <w:rFonts w:ascii="Arial" w:hAnsi="Arial" w:cs="Arial"/>
          <w:b/>
          <w:lang w:val="es-ES_tradnl"/>
        </w:rPr>
        <w:t xml:space="preserve">: Flujo Anual de Beneficios y Costos en VPN </w:t>
      </w:r>
      <w:r w:rsidR="00932A3B">
        <w:rPr>
          <w:rFonts w:ascii="Arial" w:hAnsi="Arial" w:cs="Arial"/>
          <w:b/>
          <w:lang w:val="es-ES_tradnl"/>
        </w:rPr>
        <w:t>del Componente 2 “Programa de Apoyo al Empleo de Adultos”</w:t>
      </w:r>
    </w:p>
    <w:tbl>
      <w:tblPr>
        <w:tblW w:w="9765" w:type="dxa"/>
        <w:jc w:val="center"/>
        <w:tblCellMar>
          <w:left w:w="115" w:type="dxa"/>
          <w:right w:w="115" w:type="dxa"/>
        </w:tblCellMar>
        <w:tblLook w:val="04A0" w:firstRow="1" w:lastRow="0" w:firstColumn="1" w:lastColumn="0" w:noHBand="0" w:noVBand="1"/>
      </w:tblPr>
      <w:tblGrid>
        <w:gridCol w:w="2963"/>
        <w:gridCol w:w="720"/>
        <w:gridCol w:w="720"/>
        <w:gridCol w:w="810"/>
        <w:gridCol w:w="810"/>
        <w:gridCol w:w="720"/>
        <w:gridCol w:w="720"/>
        <w:gridCol w:w="772"/>
        <w:gridCol w:w="720"/>
        <w:gridCol w:w="810"/>
      </w:tblGrid>
      <w:tr w:rsidRPr="00DC1078" w:rsidR="00562EA4" w:rsidTr="00304796" w14:paraId="7D7F9A30" w14:textId="77777777">
        <w:trPr>
          <w:trHeight w:val="612"/>
          <w:jc w:val="center"/>
        </w:trPr>
        <w:tc>
          <w:tcPr>
            <w:tcW w:w="9765" w:type="dxa"/>
            <w:gridSpan w:val="10"/>
            <w:tcBorders>
              <w:top w:val="nil"/>
              <w:left w:val="nil"/>
              <w:bottom w:val="nil"/>
              <w:right w:val="nil"/>
            </w:tcBorders>
            <w:shd w:val="clear" w:color="auto" w:fill="4F81BD" w:themeFill="accent1"/>
            <w:vAlign w:val="center"/>
            <w:hideMark/>
          </w:tcPr>
          <w:p w:rsidRPr="00304796" w:rsidR="00562EA4" w:rsidP="00562EA4" w:rsidRDefault="00562EA4" w14:paraId="4411E4B4" w14:textId="77777777">
            <w:pPr>
              <w:spacing w:after="0" w:line="240" w:lineRule="auto"/>
              <w:jc w:val="center"/>
              <w:rPr>
                <w:rFonts w:ascii="Arial" w:hAnsi="Arial" w:eastAsia="Times New Roman" w:cs="Arial"/>
                <w:b/>
                <w:bCs/>
                <w:color w:val="FFFFFF"/>
                <w:sz w:val="18"/>
                <w:szCs w:val="18"/>
                <w:lang w:val="es-ES_tradnl"/>
              </w:rPr>
            </w:pPr>
            <w:r w:rsidRPr="00304796">
              <w:rPr>
                <w:rFonts w:ascii="Arial" w:hAnsi="Arial" w:eastAsia="Times New Roman" w:cs="Arial"/>
                <w:b/>
                <w:bCs/>
                <w:color w:val="FFFFFF"/>
                <w:sz w:val="18"/>
                <w:szCs w:val="18"/>
                <w:lang w:val="es-ES_tradnl"/>
              </w:rPr>
              <w:t>Capacitación Laboral in Situ</w:t>
            </w:r>
            <w:r w:rsidRPr="00304796">
              <w:rPr>
                <w:rFonts w:ascii="Arial" w:hAnsi="Arial" w:eastAsia="Times New Roman" w:cs="Arial"/>
                <w:b/>
                <w:bCs/>
                <w:color w:val="FFFFFF"/>
                <w:sz w:val="18"/>
                <w:szCs w:val="18"/>
                <w:lang w:val="es-ES_tradnl"/>
              </w:rPr>
              <w:br/>
            </w:r>
            <w:r w:rsidRPr="00304796">
              <w:rPr>
                <w:rFonts w:ascii="Arial" w:hAnsi="Arial" w:eastAsia="Times New Roman" w:cs="Arial"/>
                <w:b/>
                <w:bCs/>
                <w:color w:val="FFFFFF"/>
                <w:sz w:val="18"/>
                <w:szCs w:val="18"/>
                <w:lang w:val="es-ES_tradnl"/>
              </w:rPr>
              <w:t>Componente 2 (Programa de Apoyo al Empleo de Adultos)</w:t>
            </w:r>
            <w:r w:rsidRPr="00304796">
              <w:rPr>
                <w:rFonts w:ascii="Arial" w:hAnsi="Arial" w:eastAsia="Times New Roman" w:cs="Arial"/>
                <w:b/>
                <w:bCs/>
                <w:color w:val="FFFFFF"/>
                <w:sz w:val="18"/>
                <w:szCs w:val="18"/>
                <w:lang w:val="es-ES_tradnl"/>
              </w:rPr>
              <w:br/>
            </w:r>
            <w:r w:rsidRPr="00304796">
              <w:rPr>
                <w:rFonts w:ascii="Arial" w:hAnsi="Arial" w:eastAsia="Times New Roman" w:cs="Arial"/>
                <w:b/>
                <w:bCs/>
                <w:color w:val="FFFFFF"/>
                <w:sz w:val="18"/>
                <w:szCs w:val="18"/>
                <w:lang w:val="es-ES_tradnl"/>
              </w:rPr>
              <w:t>Millones de dólares</w:t>
            </w:r>
          </w:p>
        </w:tc>
      </w:tr>
      <w:tr w:rsidRPr="00562EA4" w:rsidR="00562EA4" w:rsidTr="00304796" w14:paraId="4C50EAAC" w14:textId="77777777">
        <w:trPr>
          <w:trHeight w:val="288"/>
          <w:jc w:val="center"/>
        </w:trPr>
        <w:tc>
          <w:tcPr>
            <w:tcW w:w="2963" w:type="dxa"/>
            <w:tcBorders>
              <w:top w:val="single" w:color="auto" w:sz="4" w:space="0"/>
              <w:left w:val="nil"/>
              <w:bottom w:val="single" w:color="auto" w:sz="4" w:space="0"/>
              <w:right w:val="nil"/>
            </w:tcBorders>
            <w:shd w:val="clear" w:color="auto" w:fill="4F81BD" w:themeFill="accent1"/>
            <w:noWrap/>
            <w:vAlign w:val="bottom"/>
            <w:hideMark/>
          </w:tcPr>
          <w:p w:rsidRPr="00304796" w:rsidR="00562EA4" w:rsidP="00562EA4" w:rsidRDefault="00562EA4" w14:paraId="234B2A9C" w14:textId="77777777">
            <w:pPr>
              <w:spacing w:after="0" w:line="240" w:lineRule="auto"/>
              <w:rPr>
                <w:rFonts w:ascii="Arial" w:hAnsi="Arial" w:eastAsia="Times New Roman" w:cs="Arial"/>
                <w:b/>
                <w:bCs/>
                <w:color w:val="FFFFFF"/>
                <w:sz w:val="18"/>
                <w:szCs w:val="18"/>
                <w:lang w:val="es-ES_tradnl"/>
              </w:rPr>
            </w:pPr>
            <w:r w:rsidRPr="00304796">
              <w:rPr>
                <w:rFonts w:ascii="Arial" w:hAnsi="Arial" w:eastAsia="Times New Roman" w:cs="Arial"/>
                <w:b/>
                <w:bCs/>
                <w:color w:val="FFFFFF"/>
                <w:sz w:val="18"/>
                <w:szCs w:val="18"/>
                <w:lang w:val="es-ES_tradnl"/>
              </w:rPr>
              <w:t> </w:t>
            </w:r>
          </w:p>
        </w:tc>
        <w:tc>
          <w:tcPr>
            <w:tcW w:w="720" w:type="dxa"/>
            <w:tcBorders>
              <w:top w:val="single" w:color="auto" w:sz="4" w:space="0"/>
              <w:left w:val="nil"/>
              <w:bottom w:val="single" w:color="auto" w:sz="4" w:space="0"/>
              <w:right w:val="nil"/>
            </w:tcBorders>
            <w:shd w:val="clear" w:color="auto" w:fill="4F81BD" w:themeFill="accent1"/>
            <w:noWrap/>
            <w:vAlign w:val="bottom"/>
            <w:hideMark/>
          </w:tcPr>
          <w:p w:rsidRPr="00304796" w:rsidR="00562EA4" w:rsidP="00562EA4" w:rsidRDefault="00562EA4" w14:paraId="15AE703A" w14:textId="77777777">
            <w:pPr>
              <w:spacing w:after="0" w:line="240" w:lineRule="auto"/>
              <w:rPr>
                <w:rFonts w:ascii="Arial" w:hAnsi="Arial" w:eastAsia="Times New Roman" w:cs="Arial"/>
                <w:b/>
                <w:bCs/>
                <w:color w:val="FFFFFF"/>
                <w:sz w:val="16"/>
                <w:szCs w:val="16"/>
              </w:rPr>
            </w:pPr>
            <w:r w:rsidRPr="00304796">
              <w:rPr>
                <w:rFonts w:ascii="Arial" w:hAnsi="Arial" w:eastAsia="Times New Roman" w:cs="Arial"/>
                <w:b/>
                <w:bCs/>
                <w:color w:val="FFFFFF"/>
                <w:sz w:val="16"/>
                <w:szCs w:val="16"/>
              </w:rPr>
              <w:t>Año 1</w:t>
            </w:r>
          </w:p>
        </w:tc>
        <w:tc>
          <w:tcPr>
            <w:tcW w:w="720" w:type="dxa"/>
            <w:tcBorders>
              <w:top w:val="single" w:color="auto" w:sz="4" w:space="0"/>
              <w:left w:val="nil"/>
              <w:bottom w:val="single" w:color="auto" w:sz="4" w:space="0"/>
              <w:right w:val="nil"/>
            </w:tcBorders>
            <w:shd w:val="clear" w:color="auto" w:fill="4F81BD" w:themeFill="accent1"/>
            <w:noWrap/>
            <w:vAlign w:val="bottom"/>
            <w:hideMark/>
          </w:tcPr>
          <w:p w:rsidRPr="00304796" w:rsidR="00562EA4" w:rsidP="00562EA4" w:rsidRDefault="00562EA4" w14:paraId="60141478" w14:textId="77777777">
            <w:pPr>
              <w:spacing w:after="0" w:line="240" w:lineRule="auto"/>
              <w:rPr>
                <w:rFonts w:ascii="Arial" w:hAnsi="Arial" w:eastAsia="Times New Roman" w:cs="Arial"/>
                <w:b/>
                <w:bCs/>
                <w:color w:val="FFFFFF"/>
                <w:sz w:val="16"/>
                <w:szCs w:val="16"/>
              </w:rPr>
            </w:pPr>
            <w:r w:rsidRPr="00304796">
              <w:rPr>
                <w:rFonts w:ascii="Arial" w:hAnsi="Arial" w:eastAsia="Times New Roman" w:cs="Arial"/>
                <w:b/>
                <w:bCs/>
                <w:color w:val="FFFFFF"/>
                <w:sz w:val="16"/>
                <w:szCs w:val="16"/>
              </w:rPr>
              <w:t>Año 2</w:t>
            </w:r>
          </w:p>
        </w:tc>
        <w:tc>
          <w:tcPr>
            <w:tcW w:w="810" w:type="dxa"/>
            <w:tcBorders>
              <w:top w:val="single" w:color="auto" w:sz="4" w:space="0"/>
              <w:left w:val="nil"/>
              <w:bottom w:val="single" w:color="auto" w:sz="4" w:space="0"/>
              <w:right w:val="nil"/>
            </w:tcBorders>
            <w:shd w:val="clear" w:color="auto" w:fill="4F81BD" w:themeFill="accent1"/>
            <w:noWrap/>
            <w:vAlign w:val="bottom"/>
            <w:hideMark/>
          </w:tcPr>
          <w:p w:rsidRPr="00304796" w:rsidR="00562EA4" w:rsidP="00562EA4" w:rsidRDefault="00562EA4" w14:paraId="7D6230A8" w14:textId="77777777">
            <w:pPr>
              <w:spacing w:after="0" w:line="240" w:lineRule="auto"/>
              <w:rPr>
                <w:rFonts w:ascii="Arial" w:hAnsi="Arial" w:eastAsia="Times New Roman" w:cs="Arial"/>
                <w:b/>
                <w:bCs/>
                <w:color w:val="FFFFFF"/>
                <w:sz w:val="16"/>
                <w:szCs w:val="16"/>
              </w:rPr>
            </w:pPr>
            <w:r w:rsidRPr="00304796">
              <w:rPr>
                <w:rFonts w:ascii="Arial" w:hAnsi="Arial" w:eastAsia="Times New Roman" w:cs="Arial"/>
                <w:b/>
                <w:bCs/>
                <w:color w:val="FFFFFF"/>
                <w:sz w:val="16"/>
                <w:szCs w:val="16"/>
              </w:rPr>
              <w:t>Año 3</w:t>
            </w:r>
          </w:p>
        </w:tc>
        <w:tc>
          <w:tcPr>
            <w:tcW w:w="810" w:type="dxa"/>
            <w:tcBorders>
              <w:top w:val="single" w:color="auto" w:sz="4" w:space="0"/>
              <w:left w:val="nil"/>
              <w:bottom w:val="single" w:color="auto" w:sz="4" w:space="0"/>
              <w:right w:val="nil"/>
            </w:tcBorders>
            <w:shd w:val="clear" w:color="auto" w:fill="4F81BD" w:themeFill="accent1"/>
            <w:noWrap/>
            <w:vAlign w:val="bottom"/>
            <w:hideMark/>
          </w:tcPr>
          <w:p w:rsidRPr="00304796" w:rsidR="00562EA4" w:rsidP="00562EA4" w:rsidRDefault="00562EA4" w14:paraId="3AF1A0E8" w14:textId="77777777">
            <w:pPr>
              <w:spacing w:after="0" w:line="240" w:lineRule="auto"/>
              <w:rPr>
                <w:rFonts w:ascii="Arial" w:hAnsi="Arial" w:eastAsia="Times New Roman" w:cs="Arial"/>
                <w:b/>
                <w:bCs/>
                <w:color w:val="FFFFFF"/>
                <w:sz w:val="16"/>
                <w:szCs w:val="16"/>
              </w:rPr>
            </w:pPr>
            <w:r w:rsidRPr="00304796">
              <w:rPr>
                <w:rFonts w:ascii="Arial" w:hAnsi="Arial" w:eastAsia="Times New Roman" w:cs="Arial"/>
                <w:b/>
                <w:bCs/>
                <w:color w:val="FFFFFF"/>
                <w:sz w:val="16"/>
                <w:szCs w:val="16"/>
              </w:rPr>
              <w:t>Año 4</w:t>
            </w:r>
          </w:p>
        </w:tc>
        <w:tc>
          <w:tcPr>
            <w:tcW w:w="720" w:type="dxa"/>
            <w:tcBorders>
              <w:top w:val="single" w:color="auto" w:sz="4" w:space="0"/>
              <w:left w:val="nil"/>
              <w:bottom w:val="single" w:color="auto" w:sz="4" w:space="0"/>
              <w:right w:val="nil"/>
            </w:tcBorders>
            <w:shd w:val="clear" w:color="auto" w:fill="4F81BD" w:themeFill="accent1"/>
            <w:noWrap/>
            <w:vAlign w:val="bottom"/>
            <w:hideMark/>
          </w:tcPr>
          <w:p w:rsidRPr="00304796" w:rsidR="00562EA4" w:rsidP="00562EA4" w:rsidRDefault="00562EA4" w14:paraId="62B6B221" w14:textId="77777777">
            <w:pPr>
              <w:spacing w:after="0" w:line="240" w:lineRule="auto"/>
              <w:rPr>
                <w:rFonts w:ascii="Arial" w:hAnsi="Arial" w:eastAsia="Times New Roman" w:cs="Arial"/>
                <w:b/>
                <w:bCs/>
                <w:color w:val="FFFFFF"/>
                <w:sz w:val="16"/>
                <w:szCs w:val="16"/>
              </w:rPr>
            </w:pPr>
            <w:r w:rsidRPr="00304796">
              <w:rPr>
                <w:rFonts w:ascii="Arial" w:hAnsi="Arial" w:eastAsia="Times New Roman" w:cs="Arial"/>
                <w:b/>
                <w:bCs/>
                <w:color w:val="FFFFFF"/>
                <w:sz w:val="16"/>
                <w:szCs w:val="16"/>
              </w:rPr>
              <w:t>Año 5</w:t>
            </w:r>
          </w:p>
        </w:tc>
        <w:tc>
          <w:tcPr>
            <w:tcW w:w="720" w:type="dxa"/>
            <w:tcBorders>
              <w:top w:val="single" w:color="auto" w:sz="4" w:space="0"/>
              <w:left w:val="nil"/>
              <w:bottom w:val="single" w:color="auto" w:sz="4" w:space="0"/>
              <w:right w:val="nil"/>
            </w:tcBorders>
            <w:shd w:val="clear" w:color="auto" w:fill="4F81BD" w:themeFill="accent1"/>
            <w:noWrap/>
            <w:vAlign w:val="bottom"/>
            <w:hideMark/>
          </w:tcPr>
          <w:p w:rsidRPr="00304796" w:rsidR="00562EA4" w:rsidP="00562EA4" w:rsidRDefault="00562EA4" w14:paraId="15DC91A1" w14:textId="77777777">
            <w:pPr>
              <w:spacing w:after="0" w:line="240" w:lineRule="auto"/>
              <w:rPr>
                <w:rFonts w:ascii="Arial" w:hAnsi="Arial" w:eastAsia="Times New Roman" w:cs="Arial"/>
                <w:b/>
                <w:bCs/>
                <w:color w:val="FFFFFF"/>
                <w:sz w:val="16"/>
                <w:szCs w:val="16"/>
              </w:rPr>
            </w:pPr>
            <w:r w:rsidRPr="00304796">
              <w:rPr>
                <w:rFonts w:ascii="Arial" w:hAnsi="Arial" w:eastAsia="Times New Roman" w:cs="Arial"/>
                <w:b/>
                <w:bCs/>
                <w:color w:val="FFFFFF"/>
                <w:sz w:val="16"/>
                <w:szCs w:val="16"/>
              </w:rPr>
              <w:t>Año 6</w:t>
            </w:r>
          </w:p>
        </w:tc>
        <w:tc>
          <w:tcPr>
            <w:tcW w:w="772" w:type="dxa"/>
            <w:tcBorders>
              <w:top w:val="single" w:color="auto" w:sz="4" w:space="0"/>
              <w:left w:val="nil"/>
              <w:bottom w:val="single" w:color="auto" w:sz="4" w:space="0"/>
              <w:right w:val="nil"/>
            </w:tcBorders>
            <w:shd w:val="clear" w:color="auto" w:fill="4F81BD" w:themeFill="accent1"/>
            <w:noWrap/>
            <w:vAlign w:val="bottom"/>
            <w:hideMark/>
          </w:tcPr>
          <w:p w:rsidRPr="00304796" w:rsidR="00562EA4" w:rsidP="00562EA4" w:rsidRDefault="00562EA4" w14:paraId="49CB87B5" w14:textId="77777777">
            <w:pPr>
              <w:spacing w:after="0" w:line="240" w:lineRule="auto"/>
              <w:rPr>
                <w:rFonts w:ascii="Arial" w:hAnsi="Arial" w:eastAsia="Times New Roman" w:cs="Arial"/>
                <w:b/>
                <w:bCs/>
                <w:color w:val="FFFFFF"/>
                <w:sz w:val="16"/>
                <w:szCs w:val="16"/>
              </w:rPr>
            </w:pPr>
            <w:r w:rsidRPr="00304796">
              <w:rPr>
                <w:rFonts w:ascii="Arial" w:hAnsi="Arial" w:eastAsia="Times New Roman" w:cs="Arial"/>
                <w:b/>
                <w:bCs/>
                <w:color w:val="FFFFFF"/>
                <w:sz w:val="16"/>
                <w:szCs w:val="16"/>
              </w:rPr>
              <w:t>Año 7</w:t>
            </w:r>
          </w:p>
        </w:tc>
        <w:tc>
          <w:tcPr>
            <w:tcW w:w="720" w:type="dxa"/>
            <w:tcBorders>
              <w:top w:val="single" w:color="auto" w:sz="4" w:space="0"/>
              <w:left w:val="nil"/>
              <w:bottom w:val="single" w:color="auto" w:sz="4" w:space="0"/>
              <w:right w:val="nil"/>
            </w:tcBorders>
            <w:shd w:val="clear" w:color="auto" w:fill="4F81BD" w:themeFill="accent1"/>
            <w:noWrap/>
            <w:vAlign w:val="bottom"/>
            <w:hideMark/>
          </w:tcPr>
          <w:p w:rsidRPr="00304796" w:rsidR="00562EA4" w:rsidP="00562EA4" w:rsidRDefault="00562EA4" w14:paraId="202209C4" w14:textId="77777777">
            <w:pPr>
              <w:spacing w:after="0" w:line="240" w:lineRule="auto"/>
              <w:rPr>
                <w:rFonts w:ascii="Arial" w:hAnsi="Arial" w:eastAsia="Times New Roman" w:cs="Arial"/>
                <w:b/>
                <w:bCs/>
                <w:color w:val="FFFFFF"/>
                <w:sz w:val="16"/>
                <w:szCs w:val="16"/>
              </w:rPr>
            </w:pPr>
            <w:r w:rsidRPr="00304796">
              <w:rPr>
                <w:rFonts w:ascii="Arial" w:hAnsi="Arial" w:eastAsia="Times New Roman" w:cs="Arial"/>
                <w:b/>
                <w:bCs/>
                <w:color w:val="FFFFFF"/>
                <w:sz w:val="16"/>
                <w:szCs w:val="16"/>
              </w:rPr>
              <w:t>Año 8</w:t>
            </w:r>
          </w:p>
        </w:tc>
        <w:tc>
          <w:tcPr>
            <w:tcW w:w="810" w:type="dxa"/>
            <w:tcBorders>
              <w:top w:val="single" w:color="auto" w:sz="4" w:space="0"/>
              <w:left w:val="nil"/>
              <w:bottom w:val="single" w:color="auto" w:sz="4" w:space="0"/>
              <w:right w:val="nil"/>
            </w:tcBorders>
            <w:shd w:val="clear" w:color="auto" w:fill="4F81BD" w:themeFill="accent1"/>
            <w:noWrap/>
            <w:vAlign w:val="bottom"/>
            <w:hideMark/>
          </w:tcPr>
          <w:p w:rsidRPr="00304796" w:rsidR="00562EA4" w:rsidP="00562EA4" w:rsidRDefault="00562EA4" w14:paraId="54DD63F7" w14:textId="77777777">
            <w:pPr>
              <w:spacing w:after="0" w:line="240" w:lineRule="auto"/>
              <w:rPr>
                <w:rFonts w:ascii="Arial" w:hAnsi="Arial" w:eastAsia="Times New Roman" w:cs="Arial"/>
                <w:b/>
                <w:bCs/>
                <w:color w:val="FFFFFF"/>
                <w:sz w:val="16"/>
                <w:szCs w:val="16"/>
              </w:rPr>
            </w:pPr>
            <w:r w:rsidRPr="00304796">
              <w:rPr>
                <w:rFonts w:ascii="Arial" w:hAnsi="Arial" w:eastAsia="Times New Roman" w:cs="Arial"/>
                <w:b/>
                <w:bCs/>
                <w:color w:val="FFFFFF"/>
                <w:sz w:val="16"/>
                <w:szCs w:val="16"/>
              </w:rPr>
              <w:t>Total</w:t>
            </w:r>
          </w:p>
        </w:tc>
      </w:tr>
      <w:tr w:rsidRPr="00562EA4" w:rsidR="006B50EB" w:rsidTr="00304796" w14:paraId="418D63F8" w14:textId="77777777">
        <w:trPr>
          <w:trHeight w:val="288"/>
          <w:jc w:val="center"/>
        </w:trPr>
        <w:tc>
          <w:tcPr>
            <w:tcW w:w="2963" w:type="dxa"/>
            <w:tcBorders>
              <w:top w:val="nil"/>
              <w:left w:val="nil"/>
              <w:bottom w:val="nil"/>
              <w:right w:val="nil"/>
            </w:tcBorders>
            <w:shd w:val="clear" w:color="auto" w:fill="auto"/>
            <w:noWrap/>
            <w:vAlign w:val="bottom"/>
            <w:hideMark/>
          </w:tcPr>
          <w:p w:rsidRPr="00304796" w:rsidR="006B50EB" w:rsidP="006B50EB" w:rsidRDefault="006B50EB" w14:paraId="5747B08F" w14:textId="2EC6501F">
            <w:pPr>
              <w:spacing w:after="0" w:line="240" w:lineRule="auto"/>
              <w:rPr>
                <w:rFonts w:ascii="Arial" w:hAnsi="Arial" w:eastAsia="Times New Roman" w:cs="Arial"/>
                <w:color w:val="000000"/>
                <w:sz w:val="18"/>
                <w:szCs w:val="18"/>
                <w:lang w:val="es-ES_tradnl"/>
              </w:rPr>
            </w:pPr>
            <w:r w:rsidRPr="00304796">
              <w:rPr>
                <w:rFonts w:ascii="Arial" w:hAnsi="Arial" w:eastAsia="Times New Roman" w:cs="Arial"/>
                <w:color w:val="000000"/>
                <w:sz w:val="18"/>
                <w:szCs w:val="18"/>
                <w:lang w:val="es-ES_tradnl"/>
              </w:rPr>
              <w:t>Beneficios Económicos por mayor acceso a empleo</w:t>
            </w:r>
          </w:p>
        </w:tc>
        <w:tc>
          <w:tcPr>
            <w:tcW w:w="720" w:type="dxa"/>
            <w:tcBorders>
              <w:top w:val="nil"/>
              <w:left w:val="nil"/>
              <w:bottom w:val="nil"/>
              <w:right w:val="nil"/>
            </w:tcBorders>
            <w:shd w:val="clear" w:color="auto" w:fill="auto"/>
            <w:noWrap/>
            <w:vAlign w:val="center"/>
            <w:hideMark/>
          </w:tcPr>
          <w:p w:rsidRPr="00304796" w:rsidR="006B50EB" w:rsidP="006B50EB" w:rsidRDefault="006B50EB" w14:paraId="744D4340" w14:textId="323C0B8F">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0</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07</w:t>
            </w:r>
          </w:p>
        </w:tc>
        <w:tc>
          <w:tcPr>
            <w:tcW w:w="720" w:type="dxa"/>
            <w:tcBorders>
              <w:top w:val="nil"/>
              <w:left w:val="nil"/>
              <w:bottom w:val="nil"/>
              <w:right w:val="nil"/>
            </w:tcBorders>
            <w:shd w:val="clear" w:color="auto" w:fill="auto"/>
            <w:noWrap/>
            <w:vAlign w:val="center"/>
            <w:hideMark/>
          </w:tcPr>
          <w:p w:rsidRPr="00304796" w:rsidR="006B50EB" w:rsidP="006B50EB" w:rsidRDefault="006B50EB" w14:paraId="5319DE44" w14:textId="0638F2E5">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1</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18</w:t>
            </w:r>
          </w:p>
        </w:tc>
        <w:tc>
          <w:tcPr>
            <w:tcW w:w="810" w:type="dxa"/>
            <w:tcBorders>
              <w:top w:val="nil"/>
              <w:left w:val="nil"/>
              <w:bottom w:val="nil"/>
              <w:right w:val="nil"/>
            </w:tcBorders>
            <w:shd w:val="clear" w:color="auto" w:fill="auto"/>
            <w:noWrap/>
            <w:vAlign w:val="center"/>
            <w:hideMark/>
          </w:tcPr>
          <w:p w:rsidRPr="00304796" w:rsidR="006B50EB" w:rsidP="006B50EB" w:rsidRDefault="006B50EB" w14:paraId="2270C5D3" w14:textId="73F8E7D9">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2</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13</w:t>
            </w:r>
          </w:p>
        </w:tc>
        <w:tc>
          <w:tcPr>
            <w:tcW w:w="810" w:type="dxa"/>
            <w:tcBorders>
              <w:top w:val="nil"/>
              <w:left w:val="nil"/>
              <w:bottom w:val="nil"/>
              <w:right w:val="nil"/>
            </w:tcBorders>
            <w:shd w:val="clear" w:color="auto" w:fill="auto"/>
            <w:noWrap/>
            <w:vAlign w:val="center"/>
            <w:hideMark/>
          </w:tcPr>
          <w:p w:rsidRPr="00304796" w:rsidR="006B50EB" w:rsidP="006B50EB" w:rsidRDefault="006B50EB" w14:paraId="5B61F170" w14:textId="632BDF05">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2</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88</w:t>
            </w:r>
          </w:p>
        </w:tc>
        <w:tc>
          <w:tcPr>
            <w:tcW w:w="720" w:type="dxa"/>
            <w:tcBorders>
              <w:top w:val="nil"/>
              <w:left w:val="nil"/>
              <w:bottom w:val="nil"/>
              <w:right w:val="nil"/>
            </w:tcBorders>
            <w:shd w:val="clear" w:color="auto" w:fill="auto"/>
            <w:noWrap/>
            <w:vAlign w:val="center"/>
            <w:hideMark/>
          </w:tcPr>
          <w:p w:rsidRPr="00304796" w:rsidR="006B50EB" w:rsidP="006B50EB" w:rsidRDefault="006B50EB" w14:paraId="577841F5" w14:textId="1B650B35">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2</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91</w:t>
            </w:r>
          </w:p>
        </w:tc>
        <w:tc>
          <w:tcPr>
            <w:tcW w:w="720" w:type="dxa"/>
            <w:tcBorders>
              <w:top w:val="nil"/>
              <w:left w:val="nil"/>
              <w:bottom w:val="nil"/>
              <w:right w:val="nil"/>
            </w:tcBorders>
            <w:shd w:val="clear" w:color="auto" w:fill="auto"/>
            <w:noWrap/>
            <w:vAlign w:val="center"/>
            <w:hideMark/>
          </w:tcPr>
          <w:p w:rsidRPr="00304796" w:rsidR="006B50EB" w:rsidP="006B50EB" w:rsidRDefault="006B50EB" w14:paraId="3B873FE7" w14:textId="53DC5E70">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1</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96</w:t>
            </w:r>
          </w:p>
        </w:tc>
        <w:tc>
          <w:tcPr>
            <w:tcW w:w="772" w:type="dxa"/>
            <w:tcBorders>
              <w:top w:val="nil"/>
              <w:left w:val="nil"/>
              <w:bottom w:val="nil"/>
              <w:right w:val="nil"/>
            </w:tcBorders>
            <w:shd w:val="clear" w:color="auto" w:fill="auto"/>
            <w:noWrap/>
            <w:vAlign w:val="center"/>
            <w:hideMark/>
          </w:tcPr>
          <w:p w:rsidRPr="00304796" w:rsidR="006B50EB" w:rsidP="006B50EB" w:rsidRDefault="006B50EB" w14:paraId="4EAB49F9" w14:textId="0995AF9A">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1</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02</w:t>
            </w:r>
          </w:p>
        </w:tc>
        <w:tc>
          <w:tcPr>
            <w:tcW w:w="720" w:type="dxa"/>
            <w:tcBorders>
              <w:top w:val="nil"/>
              <w:left w:val="nil"/>
              <w:bottom w:val="nil"/>
              <w:right w:val="nil"/>
            </w:tcBorders>
            <w:shd w:val="clear" w:color="auto" w:fill="auto"/>
            <w:noWrap/>
            <w:vAlign w:val="center"/>
            <w:hideMark/>
          </w:tcPr>
          <w:p w:rsidRPr="00304796" w:rsidR="006B50EB" w:rsidP="006B50EB" w:rsidRDefault="006B50EB" w14:paraId="1C41B31F" w14:textId="6148886E">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0</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10</w:t>
            </w:r>
          </w:p>
        </w:tc>
        <w:tc>
          <w:tcPr>
            <w:tcW w:w="810" w:type="dxa"/>
            <w:tcBorders>
              <w:top w:val="nil"/>
              <w:left w:val="nil"/>
              <w:bottom w:val="nil"/>
              <w:right w:val="nil"/>
            </w:tcBorders>
            <w:shd w:val="clear" w:color="auto" w:fill="auto"/>
            <w:noWrap/>
            <w:vAlign w:val="center"/>
            <w:hideMark/>
          </w:tcPr>
          <w:p w:rsidRPr="00304796" w:rsidR="006B50EB" w:rsidP="006B50EB" w:rsidRDefault="006B50EB" w14:paraId="1F8161B0" w14:textId="3772C022">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12</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25</w:t>
            </w:r>
          </w:p>
        </w:tc>
      </w:tr>
      <w:tr w:rsidRPr="00562EA4" w:rsidR="006B50EB" w:rsidTr="00304796" w14:paraId="3CD81B63" w14:textId="77777777">
        <w:trPr>
          <w:trHeight w:val="288"/>
          <w:jc w:val="center"/>
        </w:trPr>
        <w:tc>
          <w:tcPr>
            <w:tcW w:w="2963" w:type="dxa"/>
            <w:tcBorders>
              <w:top w:val="nil"/>
              <w:left w:val="nil"/>
              <w:bottom w:val="nil"/>
              <w:right w:val="nil"/>
            </w:tcBorders>
            <w:shd w:val="clear" w:color="auto" w:fill="auto"/>
            <w:noWrap/>
            <w:vAlign w:val="bottom"/>
            <w:hideMark/>
          </w:tcPr>
          <w:p w:rsidRPr="00304796" w:rsidR="006B50EB" w:rsidP="006B50EB" w:rsidRDefault="006B50EB" w14:paraId="6841026C" w14:textId="5BD40C93">
            <w:pPr>
              <w:spacing w:after="0" w:line="240" w:lineRule="auto"/>
              <w:rPr>
                <w:rFonts w:ascii="Arial" w:hAnsi="Arial" w:eastAsia="Times New Roman" w:cs="Arial"/>
                <w:color w:val="000000"/>
                <w:sz w:val="18"/>
                <w:szCs w:val="18"/>
                <w:lang w:val="es-ES_tradnl"/>
              </w:rPr>
            </w:pPr>
            <w:r w:rsidRPr="00304796">
              <w:rPr>
                <w:rFonts w:ascii="Arial" w:hAnsi="Arial" w:eastAsia="Times New Roman" w:cs="Arial"/>
                <w:color w:val="000000"/>
                <w:sz w:val="18"/>
                <w:szCs w:val="18"/>
                <w:lang w:val="es-ES_tradnl"/>
              </w:rPr>
              <w:t>Beneficios Económicos por mayor acceso a mayores ingresos</w:t>
            </w:r>
          </w:p>
        </w:tc>
        <w:tc>
          <w:tcPr>
            <w:tcW w:w="720" w:type="dxa"/>
            <w:tcBorders>
              <w:top w:val="nil"/>
              <w:left w:val="nil"/>
              <w:bottom w:val="nil"/>
              <w:right w:val="nil"/>
            </w:tcBorders>
            <w:shd w:val="clear" w:color="auto" w:fill="auto"/>
            <w:noWrap/>
            <w:vAlign w:val="center"/>
            <w:hideMark/>
          </w:tcPr>
          <w:p w:rsidRPr="00304796" w:rsidR="006B50EB" w:rsidP="006B50EB" w:rsidRDefault="006B50EB" w14:paraId="2106E791" w14:textId="1C80266A">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0</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04</w:t>
            </w:r>
          </w:p>
        </w:tc>
        <w:tc>
          <w:tcPr>
            <w:tcW w:w="720" w:type="dxa"/>
            <w:tcBorders>
              <w:top w:val="nil"/>
              <w:left w:val="nil"/>
              <w:bottom w:val="nil"/>
              <w:right w:val="nil"/>
            </w:tcBorders>
            <w:shd w:val="clear" w:color="auto" w:fill="auto"/>
            <w:noWrap/>
            <w:vAlign w:val="center"/>
            <w:hideMark/>
          </w:tcPr>
          <w:p w:rsidRPr="00304796" w:rsidR="006B50EB" w:rsidP="006B50EB" w:rsidRDefault="006B50EB" w14:paraId="20EE6298" w14:textId="0A2AA30A">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0</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61</w:t>
            </w:r>
          </w:p>
        </w:tc>
        <w:tc>
          <w:tcPr>
            <w:tcW w:w="810" w:type="dxa"/>
            <w:tcBorders>
              <w:top w:val="nil"/>
              <w:left w:val="nil"/>
              <w:bottom w:val="nil"/>
              <w:right w:val="nil"/>
            </w:tcBorders>
            <w:shd w:val="clear" w:color="auto" w:fill="auto"/>
            <w:noWrap/>
            <w:vAlign w:val="center"/>
            <w:hideMark/>
          </w:tcPr>
          <w:p w:rsidRPr="00304796" w:rsidR="006B50EB" w:rsidP="006B50EB" w:rsidRDefault="006B50EB" w14:paraId="74492E8B" w14:textId="1FB32DCB">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1</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10</w:t>
            </w:r>
          </w:p>
        </w:tc>
        <w:tc>
          <w:tcPr>
            <w:tcW w:w="810" w:type="dxa"/>
            <w:tcBorders>
              <w:top w:val="nil"/>
              <w:left w:val="nil"/>
              <w:bottom w:val="nil"/>
              <w:right w:val="nil"/>
            </w:tcBorders>
            <w:shd w:val="clear" w:color="auto" w:fill="auto"/>
            <w:noWrap/>
            <w:vAlign w:val="center"/>
            <w:hideMark/>
          </w:tcPr>
          <w:p w:rsidRPr="00304796" w:rsidR="006B50EB" w:rsidP="006B50EB" w:rsidRDefault="006B50EB" w14:paraId="368B75B8" w14:textId="1F4C73DD">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1</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48</w:t>
            </w:r>
          </w:p>
        </w:tc>
        <w:tc>
          <w:tcPr>
            <w:tcW w:w="720" w:type="dxa"/>
            <w:tcBorders>
              <w:top w:val="nil"/>
              <w:left w:val="nil"/>
              <w:bottom w:val="nil"/>
              <w:right w:val="nil"/>
            </w:tcBorders>
            <w:shd w:val="clear" w:color="auto" w:fill="auto"/>
            <w:noWrap/>
            <w:vAlign w:val="center"/>
            <w:hideMark/>
          </w:tcPr>
          <w:p w:rsidRPr="00304796" w:rsidR="006B50EB" w:rsidP="006B50EB" w:rsidRDefault="006B50EB" w14:paraId="1F2FEAFD" w14:textId="1BF85D87">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1</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49</w:t>
            </w:r>
          </w:p>
        </w:tc>
        <w:tc>
          <w:tcPr>
            <w:tcW w:w="720" w:type="dxa"/>
            <w:tcBorders>
              <w:top w:val="nil"/>
              <w:left w:val="nil"/>
              <w:bottom w:val="nil"/>
              <w:right w:val="nil"/>
            </w:tcBorders>
            <w:shd w:val="clear" w:color="auto" w:fill="auto"/>
            <w:noWrap/>
            <w:vAlign w:val="center"/>
            <w:hideMark/>
          </w:tcPr>
          <w:p w:rsidRPr="00304796" w:rsidR="006B50EB" w:rsidP="006B50EB" w:rsidRDefault="006B50EB" w14:paraId="0C56A8E8" w14:textId="109C2967">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1</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01</w:t>
            </w:r>
          </w:p>
        </w:tc>
        <w:tc>
          <w:tcPr>
            <w:tcW w:w="772" w:type="dxa"/>
            <w:tcBorders>
              <w:top w:val="nil"/>
              <w:left w:val="nil"/>
              <w:bottom w:val="nil"/>
              <w:right w:val="nil"/>
            </w:tcBorders>
            <w:shd w:val="clear" w:color="auto" w:fill="auto"/>
            <w:noWrap/>
            <w:vAlign w:val="center"/>
            <w:hideMark/>
          </w:tcPr>
          <w:p w:rsidRPr="00304796" w:rsidR="006B50EB" w:rsidP="006B50EB" w:rsidRDefault="006B50EB" w14:paraId="739A7A36" w14:textId="0F8254C7">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0</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52</w:t>
            </w:r>
          </w:p>
        </w:tc>
        <w:tc>
          <w:tcPr>
            <w:tcW w:w="720" w:type="dxa"/>
            <w:tcBorders>
              <w:top w:val="nil"/>
              <w:left w:val="nil"/>
              <w:bottom w:val="nil"/>
              <w:right w:val="nil"/>
            </w:tcBorders>
            <w:shd w:val="clear" w:color="auto" w:fill="auto"/>
            <w:noWrap/>
            <w:vAlign w:val="center"/>
            <w:hideMark/>
          </w:tcPr>
          <w:p w:rsidRPr="00304796" w:rsidR="006B50EB" w:rsidP="006B50EB" w:rsidRDefault="006B50EB" w14:paraId="084F50B9" w14:textId="5B8D1268">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0</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05</w:t>
            </w:r>
          </w:p>
        </w:tc>
        <w:tc>
          <w:tcPr>
            <w:tcW w:w="810" w:type="dxa"/>
            <w:tcBorders>
              <w:top w:val="nil"/>
              <w:left w:val="nil"/>
              <w:bottom w:val="nil"/>
              <w:right w:val="nil"/>
            </w:tcBorders>
            <w:shd w:val="clear" w:color="auto" w:fill="auto"/>
            <w:noWrap/>
            <w:vAlign w:val="center"/>
            <w:hideMark/>
          </w:tcPr>
          <w:p w:rsidRPr="00304796" w:rsidR="006B50EB" w:rsidP="006B50EB" w:rsidRDefault="006B50EB" w14:paraId="65D87A48" w14:textId="27BD23DC">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6</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29</w:t>
            </w:r>
          </w:p>
        </w:tc>
      </w:tr>
      <w:tr w:rsidRPr="00562EA4" w:rsidR="006B50EB" w:rsidTr="00304796" w14:paraId="7F0FEFB9" w14:textId="77777777">
        <w:trPr>
          <w:trHeight w:val="288"/>
          <w:jc w:val="center"/>
        </w:trPr>
        <w:tc>
          <w:tcPr>
            <w:tcW w:w="2963" w:type="dxa"/>
            <w:tcBorders>
              <w:top w:val="nil"/>
              <w:left w:val="nil"/>
              <w:bottom w:val="single" w:color="auto" w:sz="4" w:space="0"/>
              <w:right w:val="nil"/>
            </w:tcBorders>
            <w:shd w:val="clear" w:color="auto" w:fill="auto"/>
            <w:noWrap/>
            <w:vAlign w:val="bottom"/>
            <w:hideMark/>
          </w:tcPr>
          <w:p w:rsidRPr="00304796" w:rsidR="006B50EB" w:rsidP="006B50EB" w:rsidRDefault="006B50EB" w14:paraId="499F68C6" w14:textId="77777777">
            <w:pPr>
              <w:spacing w:after="0" w:line="240" w:lineRule="auto"/>
              <w:rPr>
                <w:rFonts w:ascii="Arial" w:hAnsi="Arial" w:eastAsia="Times New Roman" w:cs="Arial"/>
                <w:color w:val="000000"/>
                <w:sz w:val="18"/>
                <w:szCs w:val="18"/>
                <w:lang w:val="es-ES_tradnl"/>
              </w:rPr>
            </w:pPr>
            <w:r w:rsidRPr="00304796">
              <w:rPr>
                <w:rFonts w:ascii="Arial" w:hAnsi="Arial" w:eastAsia="Times New Roman" w:cs="Arial"/>
                <w:color w:val="000000"/>
                <w:sz w:val="18"/>
                <w:szCs w:val="18"/>
                <w:lang w:val="es-ES_tradnl"/>
              </w:rPr>
              <w:t>Costos del Programa</w:t>
            </w:r>
          </w:p>
        </w:tc>
        <w:tc>
          <w:tcPr>
            <w:tcW w:w="720" w:type="dxa"/>
            <w:tcBorders>
              <w:top w:val="nil"/>
              <w:left w:val="nil"/>
              <w:bottom w:val="single" w:color="auto" w:sz="4" w:space="0"/>
              <w:right w:val="nil"/>
            </w:tcBorders>
            <w:shd w:val="clear" w:color="auto" w:fill="auto"/>
            <w:noWrap/>
            <w:vAlign w:val="center"/>
            <w:hideMark/>
          </w:tcPr>
          <w:p w:rsidRPr="00304796" w:rsidR="006B50EB" w:rsidP="006B50EB" w:rsidRDefault="006B50EB" w14:paraId="03835C89" w14:textId="39328946">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0</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23</w:t>
            </w:r>
          </w:p>
        </w:tc>
        <w:tc>
          <w:tcPr>
            <w:tcW w:w="720" w:type="dxa"/>
            <w:tcBorders>
              <w:top w:val="nil"/>
              <w:left w:val="nil"/>
              <w:bottom w:val="single" w:color="auto" w:sz="4" w:space="0"/>
              <w:right w:val="nil"/>
            </w:tcBorders>
            <w:shd w:val="clear" w:color="auto" w:fill="auto"/>
            <w:noWrap/>
            <w:vAlign w:val="center"/>
            <w:hideMark/>
          </w:tcPr>
          <w:p w:rsidRPr="00304796" w:rsidR="006B50EB" w:rsidP="006B50EB" w:rsidRDefault="006B50EB" w14:paraId="618196C2" w14:textId="57B31BB9">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3</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65</w:t>
            </w:r>
          </w:p>
        </w:tc>
        <w:tc>
          <w:tcPr>
            <w:tcW w:w="810" w:type="dxa"/>
            <w:tcBorders>
              <w:top w:val="nil"/>
              <w:left w:val="nil"/>
              <w:bottom w:val="single" w:color="auto" w:sz="4" w:space="0"/>
              <w:right w:val="nil"/>
            </w:tcBorders>
            <w:shd w:val="clear" w:color="auto" w:fill="auto"/>
            <w:noWrap/>
            <w:vAlign w:val="center"/>
            <w:hideMark/>
          </w:tcPr>
          <w:p w:rsidRPr="00304796" w:rsidR="006B50EB" w:rsidP="006B50EB" w:rsidRDefault="006B50EB" w14:paraId="43818A03" w14:textId="38F6C600">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3</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52</w:t>
            </w:r>
          </w:p>
        </w:tc>
        <w:tc>
          <w:tcPr>
            <w:tcW w:w="810" w:type="dxa"/>
            <w:tcBorders>
              <w:top w:val="nil"/>
              <w:left w:val="nil"/>
              <w:bottom w:val="single" w:color="auto" w:sz="4" w:space="0"/>
              <w:right w:val="nil"/>
            </w:tcBorders>
            <w:shd w:val="clear" w:color="auto" w:fill="auto"/>
            <w:noWrap/>
            <w:vAlign w:val="center"/>
            <w:hideMark/>
          </w:tcPr>
          <w:p w:rsidRPr="00304796" w:rsidR="006B50EB" w:rsidP="006B50EB" w:rsidRDefault="006B50EB" w14:paraId="5B986064" w14:textId="78A1AFEF">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3</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34</w:t>
            </w:r>
          </w:p>
        </w:tc>
        <w:tc>
          <w:tcPr>
            <w:tcW w:w="720" w:type="dxa"/>
            <w:tcBorders>
              <w:top w:val="nil"/>
              <w:left w:val="nil"/>
              <w:bottom w:val="single" w:color="auto" w:sz="4" w:space="0"/>
              <w:right w:val="nil"/>
            </w:tcBorders>
            <w:shd w:val="clear" w:color="auto" w:fill="auto"/>
            <w:noWrap/>
            <w:vAlign w:val="center"/>
            <w:hideMark/>
          </w:tcPr>
          <w:p w:rsidRPr="00304796" w:rsidR="006B50EB" w:rsidP="006B50EB" w:rsidRDefault="006B50EB" w14:paraId="7FB6CB38" w14:textId="5E5A504B">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3</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71</w:t>
            </w:r>
          </w:p>
        </w:tc>
        <w:tc>
          <w:tcPr>
            <w:tcW w:w="720" w:type="dxa"/>
            <w:tcBorders>
              <w:top w:val="nil"/>
              <w:left w:val="nil"/>
              <w:bottom w:val="single" w:color="auto" w:sz="4" w:space="0"/>
              <w:right w:val="nil"/>
            </w:tcBorders>
            <w:shd w:val="clear" w:color="auto" w:fill="auto"/>
            <w:noWrap/>
            <w:vAlign w:val="center"/>
            <w:hideMark/>
          </w:tcPr>
          <w:p w:rsidRPr="00304796" w:rsidR="006B50EB" w:rsidP="006B50EB" w:rsidRDefault="006B50EB" w14:paraId="229F1CF4" w14:textId="78BD4274">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0</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42</w:t>
            </w:r>
          </w:p>
        </w:tc>
        <w:tc>
          <w:tcPr>
            <w:tcW w:w="772" w:type="dxa"/>
            <w:tcBorders>
              <w:top w:val="nil"/>
              <w:left w:val="nil"/>
              <w:bottom w:val="single" w:color="auto" w:sz="4" w:space="0"/>
              <w:right w:val="nil"/>
            </w:tcBorders>
            <w:shd w:val="clear" w:color="auto" w:fill="auto"/>
            <w:noWrap/>
            <w:vAlign w:val="center"/>
            <w:hideMark/>
          </w:tcPr>
          <w:p w:rsidRPr="00304796" w:rsidR="006B50EB" w:rsidP="006B50EB" w:rsidRDefault="006B50EB" w14:paraId="4D268EFD" w14:textId="5AF21AB2">
            <w:pPr>
              <w:spacing w:after="0" w:line="240" w:lineRule="auto"/>
              <w:jc w:val="center"/>
              <w:rPr>
                <w:rFonts w:ascii="Arial" w:hAnsi="Arial" w:eastAsia="Times New Roman" w:cs="Arial"/>
                <w:color w:val="000000"/>
                <w:sz w:val="16"/>
                <w:szCs w:val="16"/>
                <w:lang w:val="es-ES_tradnl"/>
              </w:rPr>
            </w:pPr>
          </w:p>
        </w:tc>
        <w:tc>
          <w:tcPr>
            <w:tcW w:w="720" w:type="dxa"/>
            <w:tcBorders>
              <w:top w:val="nil"/>
              <w:left w:val="nil"/>
              <w:bottom w:val="single" w:color="auto" w:sz="4" w:space="0"/>
              <w:right w:val="nil"/>
            </w:tcBorders>
            <w:shd w:val="clear" w:color="auto" w:fill="auto"/>
            <w:noWrap/>
            <w:vAlign w:val="center"/>
            <w:hideMark/>
          </w:tcPr>
          <w:p w:rsidRPr="00304796" w:rsidR="006B50EB" w:rsidP="006B50EB" w:rsidRDefault="006B50EB" w14:paraId="5B484B49" w14:textId="14F70C70">
            <w:pPr>
              <w:spacing w:after="0" w:line="240" w:lineRule="auto"/>
              <w:jc w:val="center"/>
              <w:rPr>
                <w:rFonts w:ascii="Arial" w:hAnsi="Arial" w:eastAsia="Times New Roman" w:cs="Arial"/>
                <w:color w:val="000000"/>
                <w:sz w:val="16"/>
                <w:szCs w:val="16"/>
                <w:lang w:val="es-ES_tradnl"/>
              </w:rPr>
            </w:pPr>
          </w:p>
        </w:tc>
        <w:tc>
          <w:tcPr>
            <w:tcW w:w="810" w:type="dxa"/>
            <w:tcBorders>
              <w:top w:val="nil"/>
              <w:left w:val="nil"/>
              <w:bottom w:val="single" w:color="auto" w:sz="4" w:space="0"/>
              <w:right w:val="nil"/>
            </w:tcBorders>
            <w:shd w:val="clear" w:color="auto" w:fill="auto"/>
            <w:noWrap/>
            <w:vAlign w:val="center"/>
            <w:hideMark/>
          </w:tcPr>
          <w:p w:rsidRPr="00304796" w:rsidR="006B50EB" w:rsidP="006B50EB" w:rsidRDefault="006B50EB" w14:paraId="7F7D2561" w14:textId="3B0B38D7">
            <w:pPr>
              <w:spacing w:after="0" w:line="240" w:lineRule="auto"/>
              <w:jc w:val="center"/>
              <w:rPr>
                <w:rFonts w:ascii="Arial" w:hAnsi="Arial" w:eastAsia="Times New Roman" w:cs="Arial"/>
                <w:color w:val="000000"/>
                <w:sz w:val="16"/>
                <w:szCs w:val="16"/>
                <w:lang w:val="es-ES_tradnl"/>
              </w:rPr>
            </w:pPr>
            <w:r w:rsidRPr="00304796">
              <w:rPr>
                <w:rFonts w:ascii="Arial" w:hAnsi="Arial" w:eastAsia="Times New Roman" w:cs="Arial"/>
                <w:color w:val="000000"/>
                <w:sz w:val="16"/>
                <w:szCs w:val="16"/>
                <w:lang w:val="es-ES_tradnl"/>
              </w:rPr>
              <w:t>14</w:t>
            </w:r>
            <w:r w:rsidR="00304796">
              <w:rPr>
                <w:rFonts w:ascii="Arial" w:hAnsi="Arial" w:eastAsia="Times New Roman" w:cs="Arial"/>
                <w:color w:val="000000"/>
                <w:sz w:val="16"/>
                <w:szCs w:val="16"/>
                <w:lang w:val="es-ES_tradnl"/>
              </w:rPr>
              <w:t>,</w:t>
            </w:r>
            <w:r w:rsidRPr="00304796">
              <w:rPr>
                <w:rFonts w:ascii="Arial" w:hAnsi="Arial" w:eastAsia="Times New Roman" w:cs="Arial"/>
                <w:color w:val="000000"/>
                <w:sz w:val="16"/>
                <w:szCs w:val="16"/>
                <w:lang w:val="es-ES_tradnl"/>
              </w:rPr>
              <w:t>87</w:t>
            </w:r>
          </w:p>
        </w:tc>
      </w:tr>
      <w:tr w:rsidRPr="00562EA4" w:rsidR="006B50EB" w:rsidTr="00304796" w14:paraId="000158F1" w14:textId="77777777">
        <w:trPr>
          <w:trHeight w:val="288"/>
          <w:jc w:val="center"/>
        </w:trPr>
        <w:tc>
          <w:tcPr>
            <w:tcW w:w="2963" w:type="dxa"/>
            <w:tcBorders>
              <w:top w:val="nil"/>
              <w:left w:val="nil"/>
              <w:bottom w:val="single" w:color="auto" w:sz="4" w:space="0"/>
              <w:right w:val="nil"/>
            </w:tcBorders>
            <w:shd w:val="clear" w:color="auto" w:fill="auto"/>
            <w:noWrap/>
            <w:vAlign w:val="bottom"/>
            <w:hideMark/>
          </w:tcPr>
          <w:p w:rsidRPr="00304796" w:rsidR="006B50EB" w:rsidP="006B50EB" w:rsidRDefault="006B50EB" w14:paraId="216C8538" w14:textId="77777777">
            <w:pPr>
              <w:spacing w:after="0" w:line="240" w:lineRule="auto"/>
              <w:rPr>
                <w:rFonts w:ascii="Arial" w:hAnsi="Arial" w:eastAsia="Times New Roman" w:cs="Arial"/>
                <w:b/>
                <w:bCs/>
                <w:color w:val="000000"/>
                <w:sz w:val="18"/>
                <w:szCs w:val="18"/>
                <w:lang w:val="es-ES_tradnl"/>
              </w:rPr>
            </w:pPr>
            <w:r w:rsidRPr="00304796">
              <w:rPr>
                <w:rFonts w:ascii="Arial" w:hAnsi="Arial" w:eastAsia="Times New Roman" w:cs="Arial"/>
                <w:b/>
                <w:bCs/>
                <w:color w:val="000000"/>
                <w:sz w:val="18"/>
                <w:szCs w:val="18"/>
                <w:lang w:val="es-ES_tradnl"/>
              </w:rPr>
              <w:t>Beneficios Netos en VPN</w:t>
            </w:r>
          </w:p>
        </w:tc>
        <w:tc>
          <w:tcPr>
            <w:tcW w:w="720" w:type="dxa"/>
            <w:tcBorders>
              <w:top w:val="nil"/>
              <w:left w:val="nil"/>
              <w:bottom w:val="single" w:color="auto" w:sz="4" w:space="0"/>
              <w:right w:val="nil"/>
            </w:tcBorders>
            <w:shd w:val="clear" w:color="auto" w:fill="auto"/>
            <w:noWrap/>
            <w:vAlign w:val="center"/>
            <w:hideMark/>
          </w:tcPr>
          <w:p w:rsidRPr="00304796" w:rsidR="006B50EB" w:rsidP="006B50EB" w:rsidRDefault="006B50EB" w14:paraId="5B3F764E" w14:textId="13D641C6">
            <w:pPr>
              <w:spacing w:after="0" w:line="240" w:lineRule="auto"/>
              <w:jc w:val="center"/>
              <w:rPr>
                <w:rFonts w:ascii="Arial" w:hAnsi="Arial" w:eastAsia="Times New Roman" w:cs="Arial"/>
                <w:b/>
                <w:color w:val="000000"/>
                <w:sz w:val="16"/>
                <w:szCs w:val="16"/>
                <w:lang w:val="es-ES_tradnl"/>
              </w:rPr>
            </w:pPr>
            <w:r w:rsidRPr="00304796">
              <w:rPr>
                <w:rFonts w:ascii="Arial" w:hAnsi="Arial" w:eastAsia="Times New Roman" w:cs="Arial"/>
                <w:b/>
                <w:color w:val="000000"/>
                <w:sz w:val="16"/>
                <w:szCs w:val="16"/>
                <w:lang w:val="es-ES_tradnl"/>
              </w:rPr>
              <w:t>-0</w:t>
            </w:r>
            <w:r w:rsidR="00304796">
              <w:rPr>
                <w:rFonts w:ascii="Arial" w:hAnsi="Arial" w:eastAsia="Times New Roman" w:cs="Arial"/>
                <w:b/>
                <w:color w:val="000000"/>
                <w:sz w:val="16"/>
                <w:szCs w:val="16"/>
                <w:lang w:val="es-ES_tradnl"/>
              </w:rPr>
              <w:t>,</w:t>
            </w:r>
            <w:r w:rsidRPr="00304796">
              <w:rPr>
                <w:rFonts w:ascii="Arial" w:hAnsi="Arial" w:eastAsia="Times New Roman" w:cs="Arial"/>
                <w:b/>
                <w:color w:val="000000"/>
                <w:sz w:val="16"/>
                <w:szCs w:val="16"/>
                <w:lang w:val="es-ES_tradnl"/>
              </w:rPr>
              <w:t>12</w:t>
            </w:r>
          </w:p>
        </w:tc>
        <w:tc>
          <w:tcPr>
            <w:tcW w:w="720" w:type="dxa"/>
            <w:tcBorders>
              <w:top w:val="nil"/>
              <w:left w:val="nil"/>
              <w:bottom w:val="single" w:color="auto" w:sz="4" w:space="0"/>
              <w:right w:val="nil"/>
            </w:tcBorders>
            <w:shd w:val="clear" w:color="auto" w:fill="auto"/>
            <w:noWrap/>
            <w:vAlign w:val="center"/>
            <w:hideMark/>
          </w:tcPr>
          <w:p w:rsidRPr="00304796" w:rsidR="006B50EB" w:rsidP="006B50EB" w:rsidRDefault="006B50EB" w14:paraId="2CAA7AAF" w14:textId="06E76FE4">
            <w:pPr>
              <w:spacing w:after="0" w:line="240" w:lineRule="auto"/>
              <w:jc w:val="center"/>
              <w:rPr>
                <w:rFonts w:ascii="Arial" w:hAnsi="Arial" w:eastAsia="Times New Roman" w:cs="Arial"/>
                <w:b/>
                <w:color w:val="000000"/>
                <w:sz w:val="16"/>
                <w:szCs w:val="16"/>
                <w:lang w:val="es-ES_tradnl"/>
              </w:rPr>
            </w:pPr>
            <w:r w:rsidRPr="00304796">
              <w:rPr>
                <w:rFonts w:ascii="Arial" w:hAnsi="Arial" w:eastAsia="Times New Roman" w:cs="Arial"/>
                <w:b/>
                <w:color w:val="000000"/>
                <w:sz w:val="16"/>
                <w:szCs w:val="16"/>
                <w:lang w:val="es-ES_tradnl"/>
              </w:rPr>
              <w:t>-1</w:t>
            </w:r>
            <w:r w:rsidR="00304796">
              <w:rPr>
                <w:rFonts w:ascii="Arial" w:hAnsi="Arial" w:eastAsia="Times New Roman" w:cs="Arial"/>
                <w:b/>
                <w:color w:val="000000"/>
                <w:sz w:val="16"/>
                <w:szCs w:val="16"/>
                <w:lang w:val="es-ES_tradnl"/>
              </w:rPr>
              <w:t>,</w:t>
            </w:r>
            <w:r w:rsidRPr="00304796">
              <w:rPr>
                <w:rFonts w:ascii="Arial" w:hAnsi="Arial" w:eastAsia="Times New Roman" w:cs="Arial"/>
                <w:b/>
                <w:color w:val="000000"/>
                <w:sz w:val="16"/>
                <w:szCs w:val="16"/>
                <w:lang w:val="es-ES_tradnl"/>
              </w:rPr>
              <w:t>86</w:t>
            </w:r>
          </w:p>
        </w:tc>
        <w:tc>
          <w:tcPr>
            <w:tcW w:w="810" w:type="dxa"/>
            <w:tcBorders>
              <w:top w:val="nil"/>
              <w:left w:val="nil"/>
              <w:bottom w:val="single" w:color="auto" w:sz="4" w:space="0"/>
              <w:right w:val="nil"/>
            </w:tcBorders>
            <w:shd w:val="clear" w:color="auto" w:fill="auto"/>
            <w:noWrap/>
            <w:vAlign w:val="center"/>
            <w:hideMark/>
          </w:tcPr>
          <w:p w:rsidRPr="00304796" w:rsidR="006B50EB" w:rsidP="006B50EB" w:rsidRDefault="006B50EB" w14:paraId="23315814" w14:textId="0C4E9165">
            <w:pPr>
              <w:spacing w:after="0" w:line="240" w:lineRule="auto"/>
              <w:jc w:val="center"/>
              <w:rPr>
                <w:rFonts w:ascii="Arial" w:hAnsi="Arial" w:eastAsia="Times New Roman" w:cs="Arial"/>
                <w:b/>
                <w:color w:val="000000"/>
                <w:sz w:val="16"/>
                <w:szCs w:val="16"/>
                <w:lang w:val="es-ES_tradnl"/>
              </w:rPr>
            </w:pPr>
            <w:r w:rsidRPr="00304796">
              <w:rPr>
                <w:rFonts w:ascii="Arial" w:hAnsi="Arial" w:eastAsia="Times New Roman" w:cs="Arial"/>
                <w:b/>
                <w:color w:val="000000"/>
                <w:sz w:val="16"/>
                <w:szCs w:val="16"/>
                <w:lang w:val="es-ES_tradnl"/>
              </w:rPr>
              <w:t>-0</w:t>
            </w:r>
            <w:r w:rsidR="00304796">
              <w:rPr>
                <w:rFonts w:ascii="Arial" w:hAnsi="Arial" w:eastAsia="Times New Roman" w:cs="Arial"/>
                <w:b/>
                <w:color w:val="000000"/>
                <w:sz w:val="16"/>
                <w:szCs w:val="16"/>
                <w:lang w:val="es-ES_tradnl"/>
              </w:rPr>
              <w:t>,</w:t>
            </w:r>
            <w:r w:rsidRPr="00304796">
              <w:rPr>
                <w:rFonts w:ascii="Arial" w:hAnsi="Arial" w:eastAsia="Times New Roman" w:cs="Arial"/>
                <w:b/>
                <w:color w:val="000000"/>
                <w:sz w:val="16"/>
                <w:szCs w:val="16"/>
                <w:lang w:val="es-ES_tradnl"/>
              </w:rPr>
              <w:t>29</w:t>
            </w:r>
          </w:p>
        </w:tc>
        <w:tc>
          <w:tcPr>
            <w:tcW w:w="810" w:type="dxa"/>
            <w:tcBorders>
              <w:top w:val="nil"/>
              <w:left w:val="nil"/>
              <w:bottom w:val="single" w:color="auto" w:sz="4" w:space="0"/>
              <w:right w:val="nil"/>
            </w:tcBorders>
            <w:shd w:val="clear" w:color="auto" w:fill="auto"/>
            <w:noWrap/>
            <w:vAlign w:val="center"/>
            <w:hideMark/>
          </w:tcPr>
          <w:p w:rsidRPr="00304796" w:rsidR="006B50EB" w:rsidP="006B50EB" w:rsidRDefault="006B50EB" w14:paraId="370CBC33" w14:textId="71EFC06D">
            <w:pPr>
              <w:spacing w:after="0" w:line="240" w:lineRule="auto"/>
              <w:jc w:val="center"/>
              <w:rPr>
                <w:rFonts w:ascii="Arial" w:hAnsi="Arial" w:eastAsia="Times New Roman" w:cs="Arial"/>
                <w:b/>
                <w:color w:val="000000"/>
                <w:sz w:val="16"/>
                <w:szCs w:val="16"/>
                <w:lang w:val="es-ES_tradnl"/>
              </w:rPr>
            </w:pPr>
            <w:r w:rsidRPr="00304796">
              <w:rPr>
                <w:rFonts w:ascii="Arial" w:hAnsi="Arial" w:eastAsia="Times New Roman" w:cs="Arial"/>
                <w:b/>
                <w:color w:val="000000"/>
                <w:sz w:val="16"/>
                <w:szCs w:val="16"/>
                <w:lang w:val="es-ES_tradnl"/>
              </w:rPr>
              <w:t>1</w:t>
            </w:r>
            <w:r w:rsidR="00304796">
              <w:rPr>
                <w:rFonts w:ascii="Arial" w:hAnsi="Arial" w:eastAsia="Times New Roman" w:cs="Arial"/>
                <w:b/>
                <w:color w:val="000000"/>
                <w:sz w:val="16"/>
                <w:szCs w:val="16"/>
                <w:lang w:val="es-ES_tradnl"/>
              </w:rPr>
              <w:t>,</w:t>
            </w:r>
            <w:r w:rsidRPr="00304796">
              <w:rPr>
                <w:rFonts w:ascii="Arial" w:hAnsi="Arial" w:eastAsia="Times New Roman" w:cs="Arial"/>
                <w:b/>
                <w:color w:val="000000"/>
                <w:sz w:val="16"/>
                <w:szCs w:val="16"/>
                <w:lang w:val="es-ES_tradnl"/>
              </w:rPr>
              <w:t>01</w:t>
            </w:r>
          </w:p>
        </w:tc>
        <w:tc>
          <w:tcPr>
            <w:tcW w:w="720" w:type="dxa"/>
            <w:tcBorders>
              <w:top w:val="nil"/>
              <w:left w:val="nil"/>
              <w:bottom w:val="single" w:color="auto" w:sz="4" w:space="0"/>
              <w:right w:val="nil"/>
            </w:tcBorders>
            <w:shd w:val="clear" w:color="auto" w:fill="auto"/>
            <w:noWrap/>
            <w:vAlign w:val="center"/>
            <w:hideMark/>
          </w:tcPr>
          <w:p w:rsidRPr="00304796" w:rsidR="006B50EB" w:rsidP="006B50EB" w:rsidRDefault="006B50EB" w14:paraId="7E9CCE8F" w14:textId="02950C13">
            <w:pPr>
              <w:spacing w:after="0" w:line="240" w:lineRule="auto"/>
              <w:jc w:val="center"/>
              <w:rPr>
                <w:rFonts w:ascii="Arial" w:hAnsi="Arial" w:eastAsia="Times New Roman" w:cs="Arial"/>
                <w:b/>
                <w:color w:val="000000"/>
                <w:sz w:val="16"/>
                <w:szCs w:val="16"/>
                <w:lang w:val="es-ES_tradnl"/>
              </w:rPr>
            </w:pPr>
            <w:r w:rsidRPr="00304796">
              <w:rPr>
                <w:rFonts w:ascii="Arial" w:hAnsi="Arial" w:eastAsia="Times New Roman" w:cs="Arial"/>
                <w:b/>
                <w:color w:val="000000"/>
                <w:sz w:val="16"/>
                <w:szCs w:val="16"/>
                <w:lang w:val="es-ES_tradnl"/>
              </w:rPr>
              <w:t>0</w:t>
            </w:r>
            <w:r w:rsidR="00304796">
              <w:rPr>
                <w:rFonts w:ascii="Arial" w:hAnsi="Arial" w:eastAsia="Times New Roman" w:cs="Arial"/>
                <w:b/>
                <w:color w:val="000000"/>
                <w:sz w:val="16"/>
                <w:szCs w:val="16"/>
                <w:lang w:val="es-ES_tradnl"/>
              </w:rPr>
              <w:t>,</w:t>
            </w:r>
            <w:r w:rsidRPr="00304796">
              <w:rPr>
                <w:rFonts w:ascii="Arial" w:hAnsi="Arial" w:eastAsia="Times New Roman" w:cs="Arial"/>
                <w:b/>
                <w:color w:val="000000"/>
                <w:sz w:val="16"/>
                <w:szCs w:val="16"/>
                <w:lang w:val="es-ES_tradnl"/>
              </w:rPr>
              <w:t>69</w:t>
            </w:r>
          </w:p>
        </w:tc>
        <w:tc>
          <w:tcPr>
            <w:tcW w:w="720" w:type="dxa"/>
            <w:tcBorders>
              <w:top w:val="nil"/>
              <w:left w:val="nil"/>
              <w:bottom w:val="single" w:color="auto" w:sz="4" w:space="0"/>
              <w:right w:val="nil"/>
            </w:tcBorders>
            <w:shd w:val="clear" w:color="auto" w:fill="auto"/>
            <w:noWrap/>
            <w:vAlign w:val="center"/>
            <w:hideMark/>
          </w:tcPr>
          <w:p w:rsidRPr="00304796" w:rsidR="006B50EB" w:rsidP="006B50EB" w:rsidRDefault="006B50EB" w14:paraId="60AD4294" w14:textId="4049A6FF">
            <w:pPr>
              <w:spacing w:after="0" w:line="240" w:lineRule="auto"/>
              <w:jc w:val="center"/>
              <w:rPr>
                <w:rFonts w:ascii="Arial" w:hAnsi="Arial" w:eastAsia="Times New Roman" w:cs="Arial"/>
                <w:b/>
                <w:color w:val="000000"/>
                <w:sz w:val="16"/>
                <w:szCs w:val="16"/>
                <w:lang w:val="es-ES_tradnl"/>
              </w:rPr>
            </w:pPr>
            <w:r w:rsidRPr="00304796">
              <w:rPr>
                <w:rFonts w:ascii="Arial" w:hAnsi="Arial" w:eastAsia="Times New Roman" w:cs="Arial"/>
                <w:b/>
                <w:color w:val="000000"/>
                <w:sz w:val="16"/>
                <w:szCs w:val="16"/>
                <w:lang w:val="es-ES_tradnl"/>
              </w:rPr>
              <w:t>2</w:t>
            </w:r>
            <w:r w:rsidR="00304796">
              <w:rPr>
                <w:rFonts w:ascii="Arial" w:hAnsi="Arial" w:eastAsia="Times New Roman" w:cs="Arial"/>
                <w:b/>
                <w:color w:val="000000"/>
                <w:sz w:val="16"/>
                <w:szCs w:val="16"/>
                <w:lang w:val="es-ES_tradnl"/>
              </w:rPr>
              <w:t>,</w:t>
            </w:r>
            <w:r w:rsidRPr="00304796">
              <w:rPr>
                <w:rFonts w:ascii="Arial" w:hAnsi="Arial" w:eastAsia="Times New Roman" w:cs="Arial"/>
                <w:b/>
                <w:color w:val="000000"/>
                <w:sz w:val="16"/>
                <w:szCs w:val="16"/>
                <w:lang w:val="es-ES_tradnl"/>
              </w:rPr>
              <w:t>55</w:t>
            </w:r>
          </w:p>
        </w:tc>
        <w:tc>
          <w:tcPr>
            <w:tcW w:w="772" w:type="dxa"/>
            <w:tcBorders>
              <w:top w:val="nil"/>
              <w:left w:val="nil"/>
              <w:bottom w:val="single" w:color="auto" w:sz="4" w:space="0"/>
              <w:right w:val="nil"/>
            </w:tcBorders>
            <w:shd w:val="clear" w:color="auto" w:fill="auto"/>
            <w:noWrap/>
            <w:vAlign w:val="center"/>
            <w:hideMark/>
          </w:tcPr>
          <w:p w:rsidRPr="00304796" w:rsidR="006B50EB" w:rsidP="006B50EB" w:rsidRDefault="006B50EB" w14:paraId="71E000B4" w14:textId="41E39D38">
            <w:pPr>
              <w:spacing w:after="0" w:line="240" w:lineRule="auto"/>
              <w:jc w:val="center"/>
              <w:rPr>
                <w:rFonts w:ascii="Arial" w:hAnsi="Arial" w:eastAsia="Times New Roman" w:cs="Arial"/>
                <w:b/>
                <w:color w:val="000000"/>
                <w:sz w:val="16"/>
                <w:szCs w:val="16"/>
                <w:lang w:val="es-ES_tradnl"/>
              </w:rPr>
            </w:pPr>
            <w:r w:rsidRPr="00304796">
              <w:rPr>
                <w:rFonts w:ascii="Arial" w:hAnsi="Arial" w:eastAsia="Times New Roman" w:cs="Arial"/>
                <w:b/>
                <w:color w:val="000000"/>
                <w:sz w:val="16"/>
                <w:szCs w:val="16"/>
                <w:lang w:val="es-ES_tradnl"/>
              </w:rPr>
              <w:t>1</w:t>
            </w:r>
            <w:r w:rsidR="00304796">
              <w:rPr>
                <w:rFonts w:ascii="Arial" w:hAnsi="Arial" w:eastAsia="Times New Roman" w:cs="Arial"/>
                <w:b/>
                <w:color w:val="000000"/>
                <w:sz w:val="16"/>
                <w:szCs w:val="16"/>
                <w:lang w:val="es-ES_tradnl"/>
              </w:rPr>
              <w:t>,</w:t>
            </w:r>
            <w:r w:rsidRPr="00304796">
              <w:rPr>
                <w:rFonts w:ascii="Arial" w:hAnsi="Arial" w:eastAsia="Times New Roman" w:cs="Arial"/>
                <w:b/>
                <w:color w:val="000000"/>
                <w:sz w:val="16"/>
                <w:szCs w:val="16"/>
                <w:lang w:val="es-ES_tradnl"/>
              </w:rPr>
              <w:t>54</w:t>
            </w:r>
          </w:p>
        </w:tc>
        <w:tc>
          <w:tcPr>
            <w:tcW w:w="720" w:type="dxa"/>
            <w:tcBorders>
              <w:top w:val="nil"/>
              <w:left w:val="nil"/>
              <w:bottom w:val="single" w:color="auto" w:sz="4" w:space="0"/>
              <w:right w:val="nil"/>
            </w:tcBorders>
            <w:shd w:val="clear" w:color="auto" w:fill="auto"/>
            <w:noWrap/>
            <w:vAlign w:val="center"/>
            <w:hideMark/>
          </w:tcPr>
          <w:p w:rsidRPr="00304796" w:rsidR="006B50EB" w:rsidP="006B50EB" w:rsidRDefault="006B50EB" w14:paraId="3987EA88" w14:textId="04259629">
            <w:pPr>
              <w:spacing w:after="0" w:line="240" w:lineRule="auto"/>
              <w:jc w:val="center"/>
              <w:rPr>
                <w:rFonts w:ascii="Arial" w:hAnsi="Arial" w:eastAsia="Times New Roman" w:cs="Arial"/>
                <w:b/>
                <w:color w:val="000000"/>
                <w:sz w:val="16"/>
                <w:szCs w:val="16"/>
                <w:lang w:val="es-ES_tradnl"/>
              </w:rPr>
            </w:pPr>
            <w:r w:rsidRPr="00304796">
              <w:rPr>
                <w:rFonts w:ascii="Arial" w:hAnsi="Arial" w:eastAsia="Times New Roman" w:cs="Arial"/>
                <w:b/>
                <w:color w:val="000000"/>
                <w:sz w:val="16"/>
                <w:szCs w:val="16"/>
                <w:lang w:val="es-ES_tradnl"/>
              </w:rPr>
              <w:t>0</w:t>
            </w:r>
            <w:r w:rsidR="00304796">
              <w:rPr>
                <w:rFonts w:ascii="Arial" w:hAnsi="Arial" w:eastAsia="Times New Roman" w:cs="Arial"/>
                <w:b/>
                <w:color w:val="000000"/>
                <w:sz w:val="16"/>
                <w:szCs w:val="16"/>
                <w:lang w:val="es-ES_tradnl"/>
              </w:rPr>
              <w:t>,</w:t>
            </w:r>
            <w:r w:rsidRPr="00304796">
              <w:rPr>
                <w:rFonts w:ascii="Arial" w:hAnsi="Arial" w:eastAsia="Times New Roman" w:cs="Arial"/>
                <w:b/>
                <w:color w:val="000000"/>
                <w:sz w:val="16"/>
                <w:szCs w:val="16"/>
                <w:lang w:val="es-ES_tradnl"/>
              </w:rPr>
              <w:t>15</w:t>
            </w:r>
          </w:p>
        </w:tc>
        <w:tc>
          <w:tcPr>
            <w:tcW w:w="810" w:type="dxa"/>
            <w:tcBorders>
              <w:top w:val="nil"/>
              <w:left w:val="nil"/>
              <w:bottom w:val="single" w:color="auto" w:sz="4" w:space="0"/>
              <w:right w:val="nil"/>
            </w:tcBorders>
            <w:shd w:val="clear" w:color="auto" w:fill="auto"/>
            <w:noWrap/>
            <w:vAlign w:val="center"/>
            <w:hideMark/>
          </w:tcPr>
          <w:p w:rsidRPr="00304796" w:rsidR="006B50EB" w:rsidP="006B50EB" w:rsidRDefault="006B50EB" w14:paraId="2E3D4809" w14:textId="2A71F319">
            <w:pPr>
              <w:spacing w:after="0" w:line="240" w:lineRule="auto"/>
              <w:jc w:val="center"/>
              <w:rPr>
                <w:rFonts w:ascii="Arial" w:hAnsi="Arial" w:eastAsia="Times New Roman" w:cs="Arial"/>
                <w:b/>
                <w:color w:val="000000"/>
                <w:sz w:val="16"/>
                <w:szCs w:val="16"/>
                <w:lang w:val="es-ES_tradnl"/>
              </w:rPr>
            </w:pPr>
            <w:r w:rsidRPr="00304796">
              <w:rPr>
                <w:rFonts w:ascii="Arial" w:hAnsi="Arial" w:eastAsia="Times New Roman" w:cs="Arial"/>
                <w:b/>
                <w:color w:val="000000"/>
                <w:sz w:val="16"/>
                <w:szCs w:val="16"/>
                <w:lang w:val="es-ES_tradnl"/>
              </w:rPr>
              <w:t>3</w:t>
            </w:r>
            <w:r w:rsidR="00304796">
              <w:rPr>
                <w:rFonts w:ascii="Arial" w:hAnsi="Arial" w:eastAsia="Times New Roman" w:cs="Arial"/>
                <w:b/>
                <w:color w:val="000000"/>
                <w:sz w:val="16"/>
                <w:szCs w:val="16"/>
                <w:lang w:val="es-ES_tradnl"/>
              </w:rPr>
              <w:t>,</w:t>
            </w:r>
            <w:r w:rsidRPr="00304796">
              <w:rPr>
                <w:rFonts w:ascii="Arial" w:hAnsi="Arial" w:eastAsia="Times New Roman" w:cs="Arial"/>
                <w:b/>
                <w:color w:val="000000"/>
                <w:sz w:val="16"/>
                <w:szCs w:val="16"/>
                <w:lang w:val="es-ES_tradnl"/>
              </w:rPr>
              <w:t>68</w:t>
            </w:r>
          </w:p>
        </w:tc>
      </w:tr>
    </w:tbl>
    <w:p w:rsidR="00562EA4" w:rsidP="00F42B1D" w:rsidRDefault="00562EA4" w14:paraId="4044C35D" w14:textId="24C2303A">
      <w:pPr>
        <w:jc w:val="center"/>
        <w:rPr>
          <w:rFonts w:ascii="Arial" w:hAnsi="Arial" w:cs="Arial"/>
          <w:b/>
          <w:lang w:val="es-ES"/>
        </w:rPr>
      </w:pPr>
    </w:p>
    <w:p w:rsidRPr="00D854CA" w:rsidR="00B24015" w:rsidP="00B24015" w:rsidRDefault="00B24015" w14:paraId="64CC46C6" w14:textId="1839AE53">
      <w:pPr>
        <w:jc w:val="center"/>
        <w:rPr>
          <w:rFonts w:ascii="Arial" w:hAnsi="Arial" w:cs="Arial"/>
          <w:b/>
          <w:lang w:val="es-ES_tradnl"/>
        </w:rPr>
      </w:pPr>
      <w:r>
        <w:rPr>
          <w:rFonts w:ascii="Arial" w:hAnsi="Arial" w:cs="Arial"/>
          <w:b/>
          <w:lang w:val="es-ES_tradnl"/>
        </w:rPr>
        <w:t>Tabla</w:t>
      </w:r>
      <w:r w:rsidRPr="00D854CA">
        <w:rPr>
          <w:rFonts w:ascii="Arial" w:hAnsi="Arial" w:cs="Arial"/>
          <w:b/>
          <w:lang w:val="es-ES_tradnl"/>
        </w:rPr>
        <w:t> A</w:t>
      </w:r>
      <w:r w:rsidR="00C117D1">
        <w:rPr>
          <w:rFonts w:ascii="Arial" w:hAnsi="Arial" w:cs="Arial"/>
          <w:b/>
          <w:lang w:val="es-ES_tradnl"/>
        </w:rPr>
        <w:t>4</w:t>
      </w:r>
      <w:r w:rsidRPr="00D854CA">
        <w:rPr>
          <w:rFonts w:ascii="Arial" w:hAnsi="Arial" w:cs="Arial"/>
          <w:b/>
          <w:lang w:val="es-ES_tradnl"/>
        </w:rPr>
        <w:t xml:space="preserve">: </w:t>
      </w:r>
      <w:r w:rsidR="00C117D1">
        <w:rPr>
          <w:rFonts w:ascii="Arial" w:hAnsi="Arial" w:cs="Arial"/>
          <w:b/>
          <w:lang w:val="es-ES_tradnl"/>
        </w:rPr>
        <w:t>Beneficios u</w:t>
      </w:r>
      <w:r w:rsidRPr="00C117D1" w:rsidR="00C117D1">
        <w:rPr>
          <w:rFonts w:ascii="Arial" w:hAnsi="Arial" w:cs="Arial"/>
          <w:b/>
          <w:lang w:val="es-ES_tradnl"/>
        </w:rPr>
        <w:t>tilizados para el cálculo del análisis económico</w:t>
      </w:r>
      <w:r w:rsidR="00C117D1">
        <w:rPr>
          <w:rFonts w:ascii="Arial" w:hAnsi="Arial" w:cs="Arial"/>
          <w:b/>
          <w:lang w:val="es-ES_tradnl"/>
        </w:rPr>
        <w:t>. Resultados de la Evaluación del PAE en Bolivia y programas similares y emblemáticos en la región</w:t>
      </w:r>
    </w:p>
    <w:tbl>
      <w:tblPr>
        <w:tblW w:w="8678" w:type="dxa"/>
        <w:jc w:val="center"/>
        <w:tblLook w:val="04A0" w:firstRow="1" w:lastRow="0" w:firstColumn="1" w:lastColumn="0" w:noHBand="0" w:noVBand="1"/>
      </w:tblPr>
      <w:tblGrid>
        <w:gridCol w:w="4818"/>
        <w:gridCol w:w="1863"/>
        <w:gridCol w:w="1997"/>
      </w:tblGrid>
      <w:tr w:rsidRPr="00B24015" w:rsidR="00B24015" w:rsidTr="00304796" w14:paraId="2E4ADB7C" w14:textId="77777777">
        <w:trPr>
          <w:trHeight w:val="288"/>
          <w:jc w:val="center"/>
        </w:trPr>
        <w:tc>
          <w:tcPr>
            <w:tcW w:w="4818" w:type="dxa"/>
            <w:tcBorders>
              <w:top w:val="single" w:color="auto" w:sz="4" w:space="0"/>
              <w:left w:val="single" w:color="auto" w:sz="4" w:space="0"/>
              <w:bottom w:val="single" w:color="auto" w:sz="4" w:space="0"/>
              <w:right w:val="single" w:color="auto" w:sz="4" w:space="0"/>
            </w:tcBorders>
            <w:shd w:val="clear" w:color="auto" w:fill="4F81BD" w:themeFill="accent1"/>
            <w:noWrap/>
            <w:vAlign w:val="center"/>
            <w:hideMark/>
          </w:tcPr>
          <w:p w:rsidRPr="00304796" w:rsidR="00B24015" w:rsidP="00B24015" w:rsidRDefault="00B24015" w14:paraId="4F2D6CF8" w14:textId="77777777">
            <w:pPr>
              <w:spacing w:after="0" w:line="240" w:lineRule="auto"/>
              <w:rPr>
                <w:rFonts w:ascii="Calibri" w:hAnsi="Calibri" w:eastAsia="Times New Roman" w:cs="Calibri"/>
                <w:color w:val="FFFFFF" w:themeColor="background1"/>
                <w:sz w:val="20"/>
                <w:szCs w:val="20"/>
                <w:lang w:val="es-ES_tradnl"/>
              </w:rPr>
            </w:pPr>
            <w:r w:rsidRPr="00304796">
              <w:rPr>
                <w:rFonts w:ascii="Calibri" w:hAnsi="Calibri" w:eastAsia="Times New Roman" w:cs="Calibri"/>
                <w:color w:val="FFFFFF" w:themeColor="background1"/>
                <w:sz w:val="20"/>
                <w:szCs w:val="20"/>
                <w:lang w:val="es-ES_tradnl"/>
              </w:rPr>
              <w:t> </w:t>
            </w:r>
          </w:p>
        </w:tc>
        <w:tc>
          <w:tcPr>
            <w:tcW w:w="3860" w:type="dxa"/>
            <w:gridSpan w:val="2"/>
            <w:tcBorders>
              <w:top w:val="single" w:color="auto" w:sz="4" w:space="0"/>
              <w:left w:val="nil"/>
              <w:bottom w:val="single" w:color="auto" w:sz="4" w:space="0"/>
              <w:right w:val="single" w:color="auto" w:sz="4" w:space="0"/>
            </w:tcBorders>
            <w:shd w:val="clear" w:color="auto" w:fill="4F81BD" w:themeFill="accent1"/>
            <w:noWrap/>
            <w:vAlign w:val="center"/>
            <w:hideMark/>
          </w:tcPr>
          <w:p w:rsidRPr="00304796" w:rsidR="00B24015" w:rsidP="00B24015" w:rsidRDefault="00B24015" w14:paraId="1CBA3333" w14:textId="77777777">
            <w:pPr>
              <w:spacing w:after="0" w:line="240" w:lineRule="auto"/>
              <w:jc w:val="center"/>
              <w:rPr>
                <w:rFonts w:ascii="Calibri" w:hAnsi="Calibri" w:eastAsia="Times New Roman" w:cs="Calibri"/>
                <w:b/>
                <w:bCs/>
                <w:color w:val="FFFFFF" w:themeColor="background1"/>
                <w:sz w:val="20"/>
                <w:szCs w:val="20"/>
                <w:lang w:val="es-ES_tradnl"/>
              </w:rPr>
            </w:pPr>
            <w:r w:rsidRPr="00304796">
              <w:rPr>
                <w:rFonts w:ascii="Calibri" w:hAnsi="Calibri" w:eastAsia="Times New Roman" w:cs="Calibri"/>
                <w:b/>
                <w:bCs/>
                <w:color w:val="FFFFFF" w:themeColor="background1"/>
                <w:sz w:val="20"/>
                <w:szCs w:val="20"/>
                <w:lang w:val="es-ES_tradnl"/>
              </w:rPr>
              <w:t>Beneficios del programa</w:t>
            </w:r>
          </w:p>
        </w:tc>
      </w:tr>
      <w:tr w:rsidRPr="00B24015" w:rsidR="00B24015" w:rsidTr="00304796" w14:paraId="4C463B2C" w14:textId="77777777">
        <w:trPr>
          <w:trHeight w:val="288"/>
          <w:jc w:val="center"/>
        </w:trPr>
        <w:tc>
          <w:tcPr>
            <w:tcW w:w="4818" w:type="dxa"/>
            <w:tcBorders>
              <w:top w:val="nil"/>
              <w:left w:val="single" w:color="auto" w:sz="4" w:space="0"/>
              <w:bottom w:val="single" w:color="auto" w:sz="4" w:space="0"/>
              <w:right w:val="single" w:color="auto" w:sz="4" w:space="0"/>
            </w:tcBorders>
            <w:shd w:val="clear" w:color="auto" w:fill="4F81BD" w:themeFill="accent1"/>
            <w:noWrap/>
            <w:vAlign w:val="center"/>
            <w:hideMark/>
          </w:tcPr>
          <w:p w:rsidRPr="00304796" w:rsidR="00B24015" w:rsidP="00B24015" w:rsidRDefault="00B24015" w14:paraId="08D2E11E" w14:textId="77777777">
            <w:pPr>
              <w:spacing w:after="0" w:line="240" w:lineRule="auto"/>
              <w:rPr>
                <w:rFonts w:ascii="Calibri" w:hAnsi="Calibri" w:eastAsia="Times New Roman" w:cs="Calibri"/>
                <w:color w:val="FFFFFF" w:themeColor="background1"/>
                <w:sz w:val="20"/>
                <w:szCs w:val="20"/>
                <w:lang w:val="es-ES_tradnl"/>
              </w:rPr>
            </w:pPr>
            <w:r w:rsidRPr="00304796">
              <w:rPr>
                <w:rFonts w:ascii="Calibri" w:hAnsi="Calibri" w:eastAsia="Times New Roman" w:cs="Calibri"/>
                <w:color w:val="FFFFFF" w:themeColor="background1"/>
                <w:sz w:val="20"/>
                <w:szCs w:val="20"/>
                <w:lang w:val="es-ES_tradnl"/>
              </w:rPr>
              <w:t> </w:t>
            </w:r>
          </w:p>
        </w:tc>
        <w:tc>
          <w:tcPr>
            <w:tcW w:w="1863" w:type="dxa"/>
            <w:tcBorders>
              <w:top w:val="nil"/>
              <w:left w:val="nil"/>
              <w:bottom w:val="single" w:color="auto" w:sz="4" w:space="0"/>
              <w:right w:val="single" w:color="auto" w:sz="4" w:space="0"/>
            </w:tcBorders>
            <w:shd w:val="clear" w:color="auto" w:fill="4F81BD" w:themeFill="accent1"/>
            <w:noWrap/>
            <w:vAlign w:val="center"/>
            <w:hideMark/>
          </w:tcPr>
          <w:p w:rsidRPr="00304796" w:rsidR="00B24015" w:rsidP="00B24015" w:rsidRDefault="00B24015" w14:paraId="1D12F0CD" w14:textId="77777777">
            <w:pPr>
              <w:spacing w:after="0" w:line="240" w:lineRule="auto"/>
              <w:jc w:val="center"/>
              <w:rPr>
                <w:rFonts w:ascii="Calibri" w:hAnsi="Calibri" w:eastAsia="Times New Roman" w:cs="Calibri"/>
                <w:b/>
                <w:color w:val="FFFFFF" w:themeColor="background1"/>
                <w:sz w:val="20"/>
                <w:szCs w:val="20"/>
                <w:lang w:val="es-ES_tradnl"/>
              </w:rPr>
            </w:pPr>
            <w:r w:rsidRPr="00304796">
              <w:rPr>
                <w:rFonts w:ascii="Calibri" w:hAnsi="Calibri" w:eastAsia="Times New Roman" w:cs="Calibri"/>
                <w:b/>
                <w:color w:val="FFFFFF" w:themeColor="background1"/>
                <w:sz w:val="20"/>
                <w:szCs w:val="20"/>
                <w:lang w:val="es-ES_tradnl"/>
              </w:rPr>
              <w:t>Acceso a Empleo</w:t>
            </w:r>
          </w:p>
        </w:tc>
        <w:tc>
          <w:tcPr>
            <w:tcW w:w="1997" w:type="dxa"/>
            <w:tcBorders>
              <w:top w:val="single" w:color="auto" w:sz="4" w:space="0"/>
              <w:left w:val="nil"/>
              <w:bottom w:val="single" w:color="auto" w:sz="4" w:space="0"/>
              <w:right w:val="single" w:color="auto" w:sz="4" w:space="0"/>
            </w:tcBorders>
            <w:shd w:val="clear" w:color="auto" w:fill="4F81BD" w:themeFill="accent1"/>
            <w:noWrap/>
            <w:vAlign w:val="center"/>
            <w:hideMark/>
          </w:tcPr>
          <w:p w:rsidRPr="00304796" w:rsidR="00B24015" w:rsidP="00B24015" w:rsidRDefault="00B24015" w14:paraId="7AACA516" w14:textId="77777777">
            <w:pPr>
              <w:spacing w:after="0" w:line="240" w:lineRule="auto"/>
              <w:jc w:val="center"/>
              <w:rPr>
                <w:rFonts w:ascii="Calibri" w:hAnsi="Calibri" w:eastAsia="Times New Roman" w:cs="Calibri"/>
                <w:b/>
                <w:color w:val="FFFFFF" w:themeColor="background1"/>
                <w:sz w:val="20"/>
                <w:szCs w:val="20"/>
                <w:lang w:val="es-ES_tradnl"/>
              </w:rPr>
            </w:pPr>
            <w:r w:rsidRPr="00304796">
              <w:rPr>
                <w:rFonts w:ascii="Calibri" w:hAnsi="Calibri" w:eastAsia="Times New Roman" w:cs="Calibri"/>
                <w:b/>
                <w:color w:val="FFFFFF" w:themeColor="background1"/>
                <w:sz w:val="20"/>
                <w:szCs w:val="20"/>
                <w:lang w:val="es-ES_tradnl"/>
              </w:rPr>
              <w:t>Ingresos laborales</w:t>
            </w:r>
          </w:p>
        </w:tc>
      </w:tr>
      <w:tr w:rsidRPr="00B24015" w:rsidR="00B24015" w:rsidTr="00304796" w14:paraId="6494AB8E" w14:textId="77777777">
        <w:trPr>
          <w:trHeight w:val="288"/>
          <w:jc w:val="center"/>
        </w:trPr>
        <w:tc>
          <w:tcPr>
            <w:tcW w:w="4818" w:type="dxa"/>
            <w:tcBorders>
              <w:top w:val="nil"/>
              <w:left w:val="single" w:color="auto" w:sz="4" w:space="0"/>
              <w:bottom w:val="single" w:color="auto" w:sz="4" w:space="0"/>
              <w:right w:val="single" w:color="auto" w:sz="4" w:space="0"/>
            </w:tcBorders>
            <w:shd w:val="clear" w:color="auto" w:fill="auto"/>
            <w:noWrap/>
            <w:vAlign w:val="center"/>
            <w:hideMark/>
          </w:tcPr>
          <w:p w:rsidRPr="00304796" w:rsidR="00B24015" w:rsidP="00B24015" w:rsidRDefault="00B24015" w14:paraId="3D58DC54" w14:textId="0FBBA65B">
            <w:pPr>
              <w:spacing w:after="0" w:line="240" w:lineRule="auto"/>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 xml:space="preserve">Evaluación de impacto del PAE </w:t>
            </w:r>
            <w:r w:rsidR="00304796">
              <w:rPr>
                <w:rFonts w:ascii="Arial" w:hAnsi="Arial" w:eastAsia="Times New Roman" w:cs="Arial"/>
                <w:color w:val="000000" w:themeColor="text1"/>
                <w:sz w:val="20"/>
                <w:szCs w:val="20"/>
                <w:lang w:val="es-ES_tradnl"/>
              </w:rPr>
              <w:t>- Bolivia</w:t>
            </w:r>
          </w:p>
        </w:tc>
        <w:tc>
          <w:tcPr>
            <w:tcW w:w="1863" w:type="dxa"/>
            <w:tcBorders>
              <w:top w:val="nil"/>
              <w:left w:val="nil"/>
              <w:bottom w:val="single" w:color="auto" w:sz="4" w:space="0"/>
              <w:right w:val="single" w:color="auto" w:sz="4" w:space="0"/>
            </w:tcBorders>
            <w:shd w:val="clear" w:color="auto" w:fill="auto"/>
            <w:noWrap/>
            <w:vAlign w:val="bottom"/>
            <w:hideMark/>
          </w:tcPr>
          <w:p w:rsidRPr="00304796" w:rsidR="00B24015" w:rsidP="00B24015" w:rsidRDefault="00B24015" w14:paraId="15095816" w14:textId="35058652">
            <w:pPr>
              <w:spacing w:after="0" w:line="240" w:lineRule="auto"/>
              <w:jc w:val="center"/>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8,4</w:t>
            </w:r>
          </w:p>
        </w:tc>
        <w:tc>
          <w:tcPr>
            <w:tcW w:w="1997" w:type="dxa"/>
            <w:tcBorders>
              <w:top w:val="nil"/>
              <w:left w:val="nil"/>
              <w:bottom w:val="single" w:color="auto" w:sz="4" w:space="0"/>
              <w:right w:val="single" w:color="auto" w:sz="4" w:space="0"/>
            </w:tcBorders>
            <w:shd w:val="clear" w:color="auto" w:fill="auto"/>
            <w:noWrap/>
            <w:vAlign w:val="bottom"/>
            <w:hideMark/>
          </w:tcPr>
          <w:p w:rsidRPr="00304796" w:rsidR="00B24015" w:rsidP="00B24015" w:rsidRDefault="00B24015" w14:paraId="2285081B" w14:textId="5BBA564F">
            <w:pPr>
              <w:spacing w:after="0" w:line="240" w:lineRule="auto"/>
              <w:jc w:val="center"/>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8,8%</w:t>
            </w:r>
          </w:p>
        </w:tc>
      </w:tr>
      <w:tr w:rsidRPr="00B24015" w:rsidR="00B24015" w:rsidTr="00304796" w14:paraId="6C6F3453" w14:textId="77777777">
        <w:trPr>
          <w:trHeight w:val="288"/>
          <w:jc w:val="center"/>
        </w:trPr>
        <w:tc>
          <w:tcPr>
            <w:tcW w:w="4818" w:type="dxa"/>
            <w:tcBorders>
              <w:top w:val="nil"/>
              <w:left w:val="single" w:color="auto" w:sz="4" w:space="0"/>
              <w:bottom w:val="single" w:color="auto" w:sz="4" w:space="0"/>
              <w:right w:val="single" w:color="auto" w:sz="4" w:space="0"/>
            </w:tcBorders>
            <w:shd w:val="clear" w:color="auto" w:fill="auto"/>
            <w:noWrap/>
            <w:vAlign w:val="center"/>
            <w:hideMark/>
          </w:tcPr>
          <w:p w:rsidRPr="00304796" w:rsidR="00B24015" w:rsidP="00B24015" w:rsidRDefault="00B24015" w14:paraId="368645D2" w14:textId="471A5246">
            <w:pPr>
              <w:spacing w:after="0" w:line="240" w:lineRule="auto"/>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 xml:space="preserve">Programa Primer Paso - Córdoba, </w:t>
            </w:r>
            <w:r w:rsidRPr="00304796" w:rsidR="00C117D1">
              <w:rPr>
                <w:rFonts w:ascii="Arial" w:hAnsi="Arial" w:eastAsia="Times New Roman" w:cs="Arial"/>
                <w:color w:val="000000" w:themeColor="text1"/>
                <w:sz w:val="20"/>
                <w:szCs w:val="20"/>
                <w:lang w:val="es-ES_tradnl"/>
              </w:rPr>
              <w:t>Argenti</w:t>
            </w:r>
            <w:r w:rsidR="00304796">
              <w:rPr>
                <w:rFonts w:ascii="Arial" w:hAnsi="Arial" w:eastAsia="Times New Roman" w:cs="Arial"/>
                <w:color w:val="000000" w:themeColor="text1"/>
                <w:sz w:val="20"/>
                <w:szCs w:val="20"/>
                <w:lang w:val="es-ES_tradnl"/>
              </w:rPr>
              <w:t>n</w:t>
            </w:r>
            <w:r w:rsidRPr="00304796" w:rsidR="00C117D1">
              <w:rPr>
                <w:rFonts w:ascii="Arial" w:hAnsi="Arial" w:eastAsia="Times New Roman" w:cs="Arial"/>
                <w:color w:val="000000" w:themeColor="text1"/>
                <w:sz w:val="20"/>
                <w:szCs w:val="20"/>
                <w:lang w:val="es-ES_tradnl"/>
              </w:rPr>
              <w:t>a</w:t>
            </w:r>
          </w:p>
        </w:tc>
        <w:tc>
          <w:tcPr>
            <w:tcW w:w="1863" w:type="dxa"/>
            <w:tcBorders>
              <w:top w:val="nil"/>
              <w:left w:val="nil"/>
              <w:bottom w:val="single" w:color="auto" w:sz="4" w:space="0"/>
              <w:right w:val="single" w:color="auto" w:sz="4" w:space="0"/>
            </w:tcBorders>
            <w:shd w:val="clear" w:color="auto" w:fill="auto"/>
            <w:noWrap/>
            <w:vAlign w:val="bottom"/>
            <w:hideMark/>
          </w:tcPr>
          <w:p w:rsidRPr="00304796" w:rsidR="00B24015" w:rsidP="00B24015" w:rsidRDefault="00B24015" w14:paraId="58315DF5" w14:textId="63865F5E">
            <w:pPr>
              <w:spacing w:after="0" w:line="240" w:lineRule="auto"/>
              <w:jc w:val="center"/>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8,0</w:t>
            </w:r>
          </w:p>
        </w:tc>
        <w:tc>
          <w:tcPr>
            <w:tcW w:w="1997" w:type="dxa"/>
            <w:tcBorders>
              <w:top w:val="nil"/>
              <w:left w:val="nil"/>
              <w:bottom w:val="single" w:color="auto" w:sz="4" w:space="0"/>
              <w:right w:val="single" w:color="auto" w:sz="4" w:space="0"/>
            </w:tcBorders>
            <w:shd w:val="clear" w:color="auto" w:fill="auto"/>
            <w:noWrap/>
            <w:vAlign w:val="bottom"/>
            <w:hideMark/>
          </w:tcPr>
          <w:p w:rsidRPr="00304796" w:rsidR="00B24015" w:rsidP="00B24015" w:rsidRDefault="00B24015" w14:paraId="78EE6395" w14:textId="5F440773">
            <w:pPr>
              <w:spacing w:after="0" w:line="240" w:lineRule="auto"/>
              <w:jc w:val="center"/>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5,0%</w:t>
            </w:r>
          </w:p>
        </w:tc>
      </w:tr>
      <w:tr w:rsidRPr="00B24015" w:rsidR="00B24015" w:rsidTr="00304796" w14:paraId="7704312A" w14:textId="77777777">
        <w:trPr>
          <w:trHeight w:val="288"/>
          <w:jc w:val="center"/>
        </w:trPr>
        <w:tc>
          <w:tcPr>
            <w:tcW w:w="4818" w:type="dxa"/>
            <w:tcBorders>
              <w:top w:val="nil"/>
              <w:left w:val="single" w:color="auto" w:sz="4" w:space="0"/>
              <w:bottom w:val="single" w:color="auto" w:sz="4" w:space="0"/>
              <w:right w:val="single" w:color="auto" w:sz="4" w:space="0"/>
            </w:tcBorders>
            <w:shd w:val="clear" w:color="auto" w:fill="auto"/>
            <w:noWrap/>
            <w:vAlign w:val="center"/>
            <w:hideMark/>
          </w:tcPr>
          <w:p w:rsidRPr="00304796" w:rsidR="00B24015" w:rsidP="00B24015" w:rsidRDefault="00B24015" w14:paraId="01375542" w14:textId="77777777">
            <w:pPr>
              <w:spacing w:after="0" w:line="240" w:lineRule="auto"/>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Programa de Apoyo al Empleo - México</w:t>
            </w:r>
          </w:p>
        </w:tc>
        <w:tc>
          <w:tcPr>
            <w:tcW w:w="1863" w:type="dxa"/>
            <w:tcBorders>
              <w:top w:val="nil"/>
              <w:left w:val="nil"/>
              <w:bottom w:val="single" w:color="auto" w:sz="4" w:space="0"/>
              <w:right w:val="single" w:color="auto" w:sz="4" w:space="0"/>
            </w:tcBorders>
            <w:shd w:val="clear" w:color="auto" w:fill="auto"/>
            <w:noWrap/>
            <w:vAlign w:val="bottom"/>
            <w:hideMark/>
          </w:tcPr>
          <w:p w:rsidRPr="00304796" w:rsidR="00B24015" w:rsidP="00B24015" w:rsidRDefault="00B24015" w14:paraId="42CE7741" w14:textId="4E59BBCC">
            <w:pPr>
              <w:spacing w:after="0" w:line="240" w:lineRule="auto"/>
              <w:jc w:val="center"/>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4,0</w:t>
            </w:r>
          </w:p>
        </w:tc>
        <w:tc>
          <w:tcPr>
            <w:tcW w:w="1997" w:type="dxa"/>
            <w:tcBorders>
              <w:top w:val="nil"/>
              <w:left w:val="nil"/>
              <w:bottom w:val="single" w:color="auto" w:sz="4" w:space="0"/>
              <w:right w:val="single" w:color="auto" w:sz="4" w:space="0"/>
            </w:tcBorders>
            <w:shd w:val="clear" w:color="auto" w:fill="auto"/>
            <w:noWrap/>
            <w:vAlign w:val="bottom"/>
            <w:hideMark/>
          </w:tcPr>
          <w:p w:rsidRPr="00304796" w:rsidR="00B24015" w:rsidP="00B24015" w:rsidRDefault="00B24015" w14:paraId="05C1CDE3" w14:textId="2B237ACE">
            <w:pPr>
              <w:spacing w:after="0" w:line="240" w:lineRule="auto"/>
              <w:jc w:val="center"/>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6,0%</w:t>
            </w:r>
          </w:p>
        </w:tc>
      </w:tr>
      <w:tr w:rsidRPr="00B24015" w:rsidR="00B24015" w:rsidTr="00304796" w14:paraId="2B3D0A52" w14:textId="77777777">
        <w:trPr>
          <w:trHeight w:val="288"/>
          <w:jc w:val="center"/>
        </w:trPr>
        <w:tc>
          <w:tcPr>
            <w:tcW w:w="4818" w:type="dxa"/>
            <w:tcBorders>
              <w:top w:val="nil"/>
              <w:left w:val="single" w:color="auto" w:sz="4" w:space="0"/>
              <w:bottom w:val="single" w:color="auto" w:sz="4" w:space="0"/>
              <w:right w:val="single" w:color="auto" w:sz="4" w:space="0"/>
            </w:tcBorders>
            <w:shd w:val="clear" w:color="auto" w:fill="auto"/>
            <w:noWrap/>
            <w:vAlign w:val="center"/>
            <w:hideMark/>
          </w:tcPr>
          <w:p w:rsidRPr="00304796" w:rsidR="00B24015" w:rsidP="00B24015" w:rsidRDefault="00B24015" w14:paraId="76DEFED5" w14:textId="77777777">
            <w:pPr>
              <w:spacing w:after="0" w:line="240" w:lineRule="auto"/>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Jóvenes en Acción - Colombia</w:t>
            </w:r>
          </w:p>
        </w:tc>
        <w:tc>
          <w:tcPr>
            <w:tcW w:w="1863" w:type="dxa"/>
            <w:tcBorders>
              <w:top w:val="nil"/>
              <w:left w:val="nil"/>
              <w:bottom w:val="single" w:color="auto" w:sz="4" w:space="0"/>
              <w:right w:val="single" w:color="auto" w:sz="4" w:space="0"/>
            </w:tcBorders>
            <w:shd w:val="clear" w:color="auto" w:fill="auto"/>
            <w:noWrap/>
            <w:vAlign w:val="bottom"/>
            <w:hideMark/>
          </w:tcPr>
          <w:p w:rsidRPr="00304796" w:rsidR="00B24015" w:rsidP="00B24015" w:rsidRDefault="00B24015" w14:paraId="63E324D7" w14:textId="127FDD4E">
            <w:pPr>
              <w:spacing w:after="0" w:line="240" w:lineRule="auto"/>
              <w:jc w:val="center"/>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4,5</w:t>
            </w:r>
          </w:p>
        </w:tc>
        <w:tc>
          <w:tcPr>
            <w:tcW w:w="1997" w:type="dxa"/>
            <w:tcBorders>
              <w:top w:val="nil"/>
              <w:left w:val="nil"/>
              <w:bottom w:val="single" w:color="auto" w:sz="4" w:space="0"/>
              <w:right w:val="single" w:color="auto" w:sz="4" w:space="0"/>
            </w:tcBorders>
            <w:shd w:val="clear" w:color="auto" w:fill="auto"/>
            <w:noWrap/>
            <w:vAlign w:val="bottom"/>
            <w:hideMark/>
          </w:tcPr>
          <w:p w:rsidRPr="00304796" w:rsidR="00B24015" w:rsidP="00B24015" w:rsidRDefault="00B24015" w14:paraId="1C0948DD" w14:textId="0A122562">
            <w:pPr>
              <w:spacing w:after="0" w:line="240" w:lineRule="auto"/>
              <w:jc w:val="center"/>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12,0%</w:t>
            </w:r>
          </w:p>
        </w:tc>
      </w:tr>
      <w:tr w:rsidRPr="00B24015" w:rsidR="00B24015" w:rsidTr="00304796" w14:paraId="10539873" w14:textId="77777777">
        <w:trPr>
          <w:trHeight w:val="288"/>
          <w:jc w:val="center"/>
        </w:trPr>
        <w:tc>
          <w:tcPr>
            <w:tcW w:w="4818" w:type="dxa"/>
            <w:tcBorders>
              <w:top w:val="nil"/>
              <w:left w:val="single" w:color="auto" w:sz="4" w:space="0"/>
              <w:bottom w:val="single" w:color="auto" w:sz="4" w:space="0"/>
              <w:right w:val="single" w:color="auto" w:sz="4" w:space="0"/>
            </w:tcBorders>
            <w:shd w:val="clear" w:color="auto" w:fill="auto"/>
            <w:noWrap/>
            <w:vAlign w:val="center"/>
            <w:hideMark/>
          </w:tcPr>
          <w:p w:rsidRPr="00304796" w:rsidR="00B24015" w:rsidP="00B24015" w:rsidRDefault="00B24015" w14:paraId="5FC1C2EE" w14:textId="77777777">
            <w:pPr>
              <w:spacing w:after="0" w:line="240" w:lineRule="auto"/>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Juventud y Empleo - Republica Dominicana</w:t>
            </w:r>
          </w:p>
        </w:tc>
        <w:tc>
          <w:tcPr>
            <w:tcW w:w="1863" w:type="dxa"/>
            <w:tcBorders>
              <w:top w:val="nil"/>
              <w:left w:val="nil"/>
              <w:bottom w:val="single" w:color="auto" w:sz="4" w:space="0"/>
              <w:right w:val="single" w:color="auto" w:sz="4" w:space="0"/>
            </w:tcBorders>
            <w:shd w:val="clear" w:color="auto" w:fill="auto"/>
            <w:noWrap/>
            <w:vAlign w:val="bottom"/>
            <w:hideMark/>
          </w:tcPr>
          <w:p w:rsidRPr="00304796" w:rsidR="00B24015" w:rsidP="00B24015" w:rsidRDefault="00B24015" w14:paraId="276007D1" w14:textId="5964FE62">
            <w:pPr>
              <w:spacing w:after="0" w:line="240" w:lineRule="auto"/>
              <w:jc w:val="center"/>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0,7</w:t>
            </w:r>
          </w:p>
        </w:tc>
        <w:tc>
          <w:tcPr>
            <w:tcW w:w="1997" w:type="dxa"/>
            <w:tcBorders>
              <w:top w:val="nil"/>
              <w:left w:val="nil"/>
              <w:bottom w:val="single" w:color="auto" w:sz="4" w:space="0"/>
              <w:right w:val="single" w:color="auto" w:sz="4" w:space="0"/>
            </w:tcBorders>
            <w:shd w:val="clear" w:color="auto" w:fill="auto"/>
            <w:noWrap/>
            <w:vAlign w:val="bottom"/>
            <w:hideMark/>
          </w:tcPr>
          <w:p w:rsidRPr="00304796" w:rsidR="00B24015" w:rsidP="00B24015" w:rsidRDefault="00B24015" w14:paraId="2A18B139" w14:textId="6AFD4F30">
            <w:pPr>
              <w:spacing w:after="0" w:line="240" w:lineRule="auto"/>
              <w:jc w:val="center"/>
              <w:rPr>
                <w:rFonts w:ascii="Arial" w:hAnsi="Arial" w:eastAsia="Times New Roman" w:cs="Arial"/>
                <w:color w:val="000000" w:themeColor="text1"/>
                <w:sz w:val="20"/>
                <w:szCs w:val="20"/>
                <w:lang w:val="es-ES_tradnl"/>
              </w:rPr>
            </w:pPr>
            <w:r w:rsidRPr="00304796">
              <w:rPr>
                <w:rFonts w:ascii="Arial" w:hAnsi="Arial" w:eastAsia="Times New Roman" w:cs="Arial"/>
                <w:color w:val="000000" w:themeColor="text1"/>
                <w:sz w:val="20"/>
                <w:szCs w:val="20"/>
                <w:lang w:val="es-ES_tradnl"/>
              </w:rPr>
              <w:t>11,0%</w:t>
            </w:r>
          </w:p>
        </w:tc>
      </w:tr>
    </w:tbl>
    <w:p w:rsidR="00B24015" w:rsidP="00F42B1D" w:rsidRDefault="00B24015" w14:paraId="4759498B" w14:textId="77777777">
      <w:pPr>
        <w:jc w:val="center"/>
        <w:rPr>
          <w:rFonts w:ascii="Arial" w:hAnsi="Arial" w:cs="Arial"/>
          <w:b/>
          <w:lang w:val="es-ES"/>
        </w:rPr>
      </w:pPr>
    </w:p>
    <w:sectPr w:rsidR="00B24015">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12D3" w:rsidP="00400FF0" w:rsidRDefault="000512D3" w14:paraId="5D44D99A" w14:textId="77777777">
      <w:pPr>
        <w:spacing w:after="0" w:line="240" w:lineRule="auto"/>
      </w:pPr>
      <w:r>
        <w:separator/>
      </w:r>
    </w:p>
  </w:endnote>
  <w:endnote w:type="continuationSeparator" w:id="0">
    <w:p w:rsidR="000512D3" w:rsidP="00400FF0" w:rsidRDefault="000512D3" w14:paraId="455E2B86" w14:textId="77777777">
      <w:pPr>
        <w:spacing w:after="0" w:line="240" w:lineRule="auto"/>
      </w:pPr>
      <w:r>
        <w:continuationSeparator/>
      </w:r>
    </w:p>
  </w:endnote>
  <w:endnote w:type="continuationNotice" w:id="1">
    <w:p w:rsidR="000512D3" w:rsidRDefault="000512D3" w14:paraId="6BAC926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2108858"/>
      <w:docPartObj>
        <w:docPartGallery w:val="Page Numbers (Bottom of Page)"/>
        <w:docPartUnique/>
      </w:docPartObj>
    </w:sdtPr>
    <w:sdtEndPr>
      <w:rPr>
        <w:rFonts w:ascii="Times New Roman" w:hAnsi="Times New Roman" w:cs="Times New Roman"/>
        <w:noProof/>
      </w:rPr>
    </w:sdtEndPr>
    <w:sdtContent>
      <w:p w:rsidRPr="00011D76" w:rsidR="00562EA4" w:rsidRDefault="00562EA4" w14:paraId="633FB03D" w14:textId="77777777">
        <w:pPr>
          <w:pStyle w:val="Footer"/>
          <w:jc w:val="right"/>
          <w:rPr>
            <w:rFonts w:ascii="Times New Roman" w:hAnsi="Times New Roman" w:cs="Times New Roman"/>
          </w:rPr>
        </w:pPr>
        <w:r w:rsidRPr="00011D76">
          <w:rPr>
            <w:rFonts w:ascii="Times New Roman" w:hAnsi="Times New Roman" w:cs="Times New Roman"/>
          </w:rPr>
          <w:fldChar w:fldCharType="begin"/>
        </w:r>
        <w:r w:rsidRPr="00011D76">
          <w:rPr>
            <w:rFonts w:ascii="Times New Roman" w:hAnsi="Times New Roman" w:cs="Times New Roman"/>
          </w:rPr>
          <w:instrText xml:space="preserve"> PAGE   \* MERGEFORMAT </w:instrText>
        </w:r>
        <w:r w:rsidRPr="00011D76">
          <w:rPr>
            <w:rFonts w:ascii="Times New Roman" w:hAnsi="Times New Roman" w:cs="Times New Roman"/>
          </w:rPr>
          <w:fldChar w:fldCharType="separate"/>
        </w:r>
        <w:r>
          <w:rPr>
            <w:rFonts w:ascii="Times New Roman" w:hAnsi="Times New Roman" w:cs="Times New Roman"/>
            <w:noProof/>
          </w:rPr>
          <w:t>23</w:t>
        </w:r>
        <w:r w:rsidRPr="00011D76">
          <w:rPr>
            <w:rFonts w:ascii="Times New Roman" w:hAnsi="Times New Roman" w:cs="Times New Roman"/>
            <w:noProof/>
          </w:rPr>
          <w:fldChar w:fldCharType="end"/>
        </w:r>
      </w:p>
    </w:sdtContent>
  </w:sdt>
  <w:p w:rsidR="00562EA4" w:rsidRDefault="00562EA4" w14:paraId="1D58FC0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12D3" w:rsidP="00400FF0" w:rsidRDefault="000512D3" w14:paraId="6F3BA00C" w14:textId="77777777">
      <w:pPr>
        <w:spacing w:after="0" w:line="240" w:lineRule="auto"/>
      </w:pPr>
      <w:r>
        <w:separator/>
      </w:r>
    </w:p>
  </w:footnote>
  <w:footnote w:type="continuationSeparator" w:id="0">
    <w:p w:rsidR="000512D3" w:rsidP="00400FF0" w:rsidRDefault="000512D3" w14:paraId="5B8A6FC4" w14:textId="77777777">
      <w:pPr>
        <w:spacing w:after="0" w:line="240" w:lineRule="auto"/>
      </w:pPr>
      <w:r>
        <w:continuationSeparator/>
      </w:r>
    </w:p>
  </w:footnote>
  <w:footnote w:type="continuationNotice" w:id="1">
    <w:p w:rsidR="000512D3" w:rsidRDefault="000512D3" w14:paraId="25B28ED0" w14:textId="77777777">
      <w:pPr>
        <w:spacing w:after="0" w:line="240" w:lineRule="auto"/>
      </w:pPr>
    </w:p>
  </w:footnote>
  <w:footnote w:id="2">
    <w:p w:rsidRPr="00C117D1" w:rsidR="00562EA4" w:rsidP="00C117D1" w:rsidRDefault="00562EA4" w14:paraId="0BF039DF" w14:textId="1F0D1E9E">
      <w:pPr>
        <w:pStyle w:val="FootnoteText"/>
        <w:jc w:val="both"/>
        <w:rPr>
          <w:rFonts w:ascii="Arial" w:hAnsi="Arial" w:cs="Arial"/>
          <w:sz w:val="18"/>
          <w:szCs w:val="18"/>
          <w:lang w:val="es-ES_tradnl"/>
        </w:rPr>
      </w:pPr>
      <w:r w:rsidRPr="00C117D1">
        <w:rPr>
          <w:rStyle w:val="FootnoteReference"/>
          <w:rFonts w:ascii="Arial" w:hAnsi="Arial" w:cs="Arial"/>
          <w:sz w:val="18"/>
          <w:szCs w:val="18"/>
        </w:rPr>
        <w:footnoteRef/>
      </w:r>
      <w:r w:rsidRPr="00C117D1">
        <w:rPr>
          <w:rFonts w:ascii="Arial" w:hAnsi="Arial" w:cs="Arial"/>
          <w:sz w:val="18"/>
          <w:szCs w:val="18"/>
          <w:lang w:val="es-ES_tradnl"/>
        </w:rPr>
        <w:t xml:space="preserve"> Se define informalidad como la falta de acceso a seguridad social de largo plazo.</w:t>
      </w:r>
    </w:p>
  </w:footnote>
  <w:footnote w:id="3">
    <w:p w:rsidRPr="00C117D1" w:rsidR="00562EA4" w:rsidP="00C117D1" w:rsidRDefault="00562EA4" w14:paraId="6A7C5C99" w14:textId="16756A21">
      <w:pPr>
        <w:pStyle w:val="FootnoteText"/>
        <w:jc w:val="both"/>
        <w:rPr>
          <w:rFonts w:ascii="Arial" w:hAnsi="Arial" w:cs="Arial"/>
          <w:sz w:val="18"/>
          <w:szCs w:val="18"/>
          <w:lang w:val="es-ES_tradnl"/>
        </w:rPr>
      </w:pPr>
      <w:r w:rsidRPr="00C117D1">
        <w:rPr>
          <w:rStyle w:val="FootnoteReference"/>
          <w:rFonts w:ascii="Arial" w:hAnsi="Arial" w:cs="Arial"/>
          <w:sz w:val="18"/>
          <w:szCs w:val="18"/>
        </w:rPr>
        <w:footnoteRef/>
      </w:r>
      <w:r w:rsidRPr="00C117D1">
        <w:rPr>
          <w:rFonts w:ascii="Arial" w:hAnsi="Arial" w:cs="Arial"/>
          <w:sz w:val="18"/>
          <w:szCs w:val="18"/>
          <w:lang w:val="es-ES_tradnl"/>
        </w:rPr>
        <w:t xml:space="preserve"> Se entiende subempleo “visible” como  </w:t>
      </w:r>
    </w:p>
  </w:footnote>
  <w:footnote w:id="4">
    <w:p w:rsidRPr="00C117D1" w:rsidR="00562EA4" w:rsidP="00C117D1" w:rsidRDefault="00562EA4" w14:paraId="7008FCB8" w14:textId="5A8BD25C">
      <w:pPr>
        <w:pStyle w:val="FootnoteText"/>
        <w:jc w:val="both"/>
        <w:rPr>
          <w:rFonts w:ascii="Arial" w:hAnsi="Arial" w:cs="Arial"/>
          <w:sz w:val="18"/>
          <w:szCs w:val="18"/>
          <w:lang w:val="es-ES"/>
        </w:rPr>
      </w:pPr>
      <w:r w:rsidRPr="00C117D1">
        <w:rPr>
          <w:rStyle w:val="FootnoteReference"/>
          <w:rFonts w:ascii="Arial" w:hAnsi="Arial" w:cs="Arial"/>
          <w:sz w:val="18"/>
          <w:szCs w:val="18"/>
        </w:rPr>
        <w:footnoteRef/>
      </w:r>
      <w:r w:rsidRPr="00C117D1">
        <w:rPr>
          <w:rFonts w:ascii="Arial" w:hAnsi="Arial" w:cs="Arial"/>
          <w:sz w:val="18"/>
          <w:szCs w:val="18"/>
          <w:lang w:val="es-ES"/>
        </w:rPr>
        <w:t xml:space="preserve"> La literatura ha documentado impactos de PAML sobre la reducción en la probabilidad de embarazo no deseados como se documenta en República Dominicana (Ibarrarán et al., 2015) y en la reducción de la probabilidad de ser encarcelado y la probabilidad de morir por parte de los beneficiarios en el caso de un programa para jóvenes en Nueva York (Gelber et al., 2015). </w:t>
      </w:r>
    </w:p>
  </w:footnote>
  <w:footnote w:id="5">
    <w:p w:rsidRPr="00C117D1" w:rsidR="00562EA4" w:rsidP="00C117D1" w:rsidRDefault="00562EA4" w14:paraId="0BC596EE" w14:textId="77777777">
      <w:pPr>
        <w:pStyle w:val="FootnoteText"/>
        <w:jc w:val="both"/>
        <w:rPr>
          <w:rFonts w:ascii="Arial" w:hAnsi="Arial" w:cs="Arial"/>
          <w:sz w:val="18"/>
          <w:szCs w:val="18"/>
        </w:rPr>
      </w:pPr>
      <w:r w:rsidRPr="00C117D1">
        <w:rPr>
          <w:rStyle w:val="FootnoteReference"/>
          <w:rFonts w:ascii="Arial" w:hAnsi="Arial" w:cs="Arial"/>
          <w:sz w:val="18"/>
          <w:szCs w:val="18"/>
        </w:rPr>
        <w:footnoteRef/>
      </w:r>
      <w:r w:rsidRPr="00C117D1">
        <w:rPr>
          <w:rFonts w:ascii="Arial" w:hAnsi="Arial" w:cs="Arial"/>
          <w:sz w:val="18"/>
          <w:szCs w:val="18"/>
        </w:rPr>
        <w:t xml:space="preserve"> Dhaliwal et al. (2012). Comparative Cost-Effectiveness Analysis to Inform Policy in Developing Countries: A General Framework with Applications for Education.</w:t>
      </w:r>
    </w:p>
  </w:footnote>
  <w:footnote w:id="6">
    <w:p w:rsidRPr="00C117D1" w:rsidR="00562EA4" w:rsidP="00C117D1" w:rsidRDefault="00562EA4" w14:paraId="363BD259" w14:textId="77777777">
      <w:pPr>
        <w:pStyle w:val="FootnoteText"/>
        <w:jc w:val="both"/>
        <w:rPr>
          <w:rFonts w:ascii="Arial" w:hAnsi="Arial" w:cs="Arial"/>
          <w:sz w:val="18"/>
          <w:szCs w:val="18"/>
          <w:lang w:val="es-ES"/>
        </w:rPr>
      </w:pPr>
      <w:r w:rsidRPr="00C117D1">
        <w:rPr>
          <w:rStyle w:val="FootnoteReference"/>
          <w:rFonts w:ascii="Arial" w:hAnsi="Arial" w:cs="Arial"/>
          <w:sz w:val="18"/>
          <w:szCs w:val="18"/>
        </w:rPr>
        <w:footnoteRef/>
      </w:r>
      <w:r w:rsidRPr="00C117D1">
        <w:rPr>
          <w:rFonts w:ascii="Arial" w:hAnsi="Arial" w:cs="Arial"/>
          <w:sz w:val="18"/>
          <w:szCs w:val="18"/>
          <w:lang w:val="es-ES"/>
        </w:rPr>
        <w:t xml:space="preserve"> La evidencia internacional, demuestra que los SPE ha tenido impactos positivos en el empleo y en los ingresos de los participantes (Betcherman, 2004).</w:t>
      </w:r>
    </w:p>
  </w:footnote>
  <w:footnote w:id="7">
    <w:p w:rsidRPr="00C117D1" w:rsidR="00562EA4" w:rsidP="00C117D1" w:rsidRDefault="00562EA4" w14:paraId="7E75813C" w14:textId="77777777">
      <w:pPr>
        <w:pStyle w:val="FootnoteText"/>
        <w:jc w:val="both"/>
        <w:rPr>
          <w:rFonts w:ascii="Arial" w:hAnsi="Arial" w:cs="Arial"/>
          <w:sz w:val="18"/>
          <w:szCs w:val="18"/>
          <w:lang w:val="es-ES"/>
        </w:rPr>
      </w:pPr>
      <w:r w:rsidRPr="00C117D1">
        <w:rPr>
          <w:rStyle w:val="FootnoteReference"/>
          <w:rFonts w:ascii="Arial" w:hAnsi="Arial" w:cs="Arial"/>
          <w:sz w:val="18"/>
          <w:szCs w:val="18"/>
        </w:rPr>
        <w:footnoteRef/>
      </w:r>
      <w:r w:rsidRPr="00C117D1">
        <w:rPr>
          <w:rFonts w:ascii="Arial" w:hAnsi="Arial" w:cs="Arial"/>
          <w:sz w:val="18"/>
          <w:szCs w:val="18"/>
          <w:lang w:val="es-ES"/>
        </w:rPr>
        <w:t xml:space="preserve"> Se enfatiza en los resultados de ese componente del programa, considerando su similitud con el funcionamiento del PAE.</w:t>
      </w:r>
    </w:p>
  </w:footnote>
  <w:footnote w:id="8">
    <w:p w:rsidRPr="00C117D1" w:rsidR="00562EA4" w:rsidP="00C117D1" w:rsidRDefault="00562EA4" w14:paraId="7CEBE63C" w14:textId="155FB3AE">
      <w:pPr>
        <w:pStyle w:val="FootnoteText"/>
        <w:jc w:val="both"/>
        <w:rPr>
          <w:rFonts w:ascii="Arial" w:hAnsi="Arial" w:cs="Arial"/>
          <w:sz w:val="18"/>
          <w:szCs w:val="18"/>
          <w:lang w:val="es-ES"/>
        </w:rPr>
      </w:pPr>
      <w:r w:rsidRPr="00C117D1">
        <w:rPr>
          <w:rFonts w:ascii="Arial" w:hAnsi="Arial" w:cs="Arial"/>
          <w:sz w:val="18"/>
          <w:szCs w:val="18"/>
          <w:vertAlign w:val="superscript"/>
          <w:lang w:val="es-ES"/>
        </w:rPr>
        <w:footnoteRef/>
      </w:r>
      <w:r w:rsidRPr="00C117D1">
        <w:rPr>
          <w:rFonts w:ascii="Arial" w:hAnsi="Arial" w:cs="Arial"/>
          <w:sz w:val="18"/>
          <w:szCs w:val="18"/>
          <w:lang w:val="es-ES"/>
        </w:rPr>
        <w:t xml:space="preserve"> Usando datos del promedio de ingreso de los buscadores de empleo que conformaron el grupo de control a 26 semanas (3.908 pesos mexicanos), se puede inferir que el impacto del subprograma asciende a casi 25</w:t>
      </w:r>
      <w:r w:rsidR="00CC3C2E">
        <w:rPr>
          <w:rFonts w:ascii="Arial" w:hAnsi="Arial" w:cs="Arial"/>
          <w:sz w:val="18"/>
          <w:szCs w:val="18"/>
          <w:lang w:val="es-ES"/>
        </w:rPr>
        <w:t xml:space="preserve"> </w:t>
      </w:r>
      <w:r w:rsidRPr="00C117D1">
        <w:rPr>
          <w:rFonts w:ascii="Arial" w:hAnsi="Arial" w:cs="Arial"/>
          <w:sz w:val="18"/>
          <w:szCs w:val="18"/>
          <w:lang w:val="es-ES"/>
        </w:rPr>
        <w:t xml:space="preserve">pp. del ingreso. </w:t>
      </w:r>
    </w:p>
  </w:footnote>
  <w:footnote w:id="9">
    <w:p w:rsidRPr="00C117D1" w:rsidR="00562EA4" w:rsidP="00C117D1" w:rsidRDefault="00562EA4" w14:paraId="00EC8D5A" w14:textId="77777777">
      <w:pPr>
        <w:pStyle w:val="FootnoteText"/>
        <w:jc w:val="both"/>
        <w:rPr>
          <w:rFonts w:ascii="Arial" w:hAnsi="Arial" w:cs="Arial"/>
          <w:sz w:val="18"/>
          <w:szCs w:val="18"/>
          <w:lang w:val="es-ES"/>
        </w:rPr>
      </w:pPr>
      <w:r w:rsidRPr="00C117D1">
        <w:rPr>
          <w:rFonts w:ascii="Arial" w:hAnsi="Arial" w:cs="Arial"/>
          <w:sz w:val="18"/>
          <w:szCs w:val="18"/>
          <w:vertAlign w:val="superscript"/>
          <w:lang w:val="es-ES"/>
        </w:rPr>
        <w:footnoteRef/>
      </w:r>
      <w:r w:rsidRPr="00C117D1">
        <w:rPr>
          <w:rFonts w:ascii="Arial" w:hAnsi="Arial" w:cs="Arial"/>
          <w:sz w:val="18"/>
          <w:szCs w:val="18"/>
          <w:lang w:val="es-ES"/>
        </w:rPr>
        <w:t xml:space="preserve"> Datos estimados del ingreso laboral urbano usando la Encuesta de Hogares 2011, señalan un ingreso promedio de Bs2.115, lo que representaría un impacto promedio de 24%.</w:t>
      </w:r>
    </w:p>
  </w:footnote>
  <w:footnote w:id="10">
    <w:p w:rsidRPr="00C117D1" w:rsidR="00562EA4" w:rsidP="00C117D1" w:rsidRDefault="00562EA4" w14:paraId="474FCB3C" w14:textId="67AD1D46">
      <w:pPr>
        <w:pStyle w:val="FootnoteText"/>
        <w:jc w:val="both"/>
        <w:rPr>
          <w:rFonts w:ascii="Arial" w:hAnsi="Arial" w:cs="Arial"/>
          <w:sz w:val="18"/>
          <w:szCs w:val="18"/>
          <w:lang w:val="es-ES_tradnl"/>
        </w:rPr>
      </w:pPr>
      <w:r w:rsidRPr="00C117D1">
        <w:rPr>
          <w:rStyle w:val="FootnoteReference"/>
          <w:rFonts w:ascii="Arial" w:hAnsi="Arial" w:cs="Arial"/>
          <w:sz w:val="18"/>
          <w:szCs w:val="18"/>
        </w:rPr>
        <w:footnoteRef/>
      </w:r>
      <w:r w:rsidRPr="00C117D1">
        <w:rPr>
          <w:rFonts w:ascii="Arial" w:hAnsi="Arial" w:cs="Arial"/>
          <w:sz w:val="18"/>
          <w:szCs w:val="18"/>
          <w:lang w:val="es-ES_tradnl"/>
        </w:rPr>
        <w:t xml:space="preserve"> El presente análisis omite intencionalmente los beneficios del programa sobre otras variables fuera del ámbito laboral, siendo que la literatura ha documentado una serie de impactos relacionados con la reducción de comportamientos riesgosos.</w:t>
      </w:r>
    </w:p>
  </w:footnote>
  <w:footnote w:id="11">
    <w:p w:rsidRPr="00C117D1" w:rsidR="00C117D1" w:rsidP="00C117D1" w:rsidRDefault="00C117D1" w14:paraId="165C77EA" w14:textId="5F1A5F15">
      <w:pPr>
        <w:pStyle w:val="FootnoteText"/>
        <w:jc w:val="both"/>
        <w:rPr>
          <w:rFonts w:ascii="Arial" w:hAnsi="Arial" w:cs="Arial"/>
          <w:sz w:val="18"/>
          <w:szCs w:val="18"/>
          <w:lang w:val="es-ES_tradnl"/>
        </w:rPr>
      </w:pPr>
      <w:r w:rsidRPr="00C117D1">
        <w:rPr>
          <w:rStyle w:val="FootnoteReference"/>
          <w:rFonts w:ascii="Arial" w:hAnsi="Arial" w:cs="Arial"/>
          <w:sz w:val="18"/>
          <w:szCs w:val="18"/>
        </w:rPr>
        <w:footnoteRef/>
      </w:r>
      <w:r w:rsidRPr="00C117D1">
        <w:rPr>
          <w:rFonts w:ascii="Arial" w:hAnsi="Arial" w:cs="Arial"/>
          <w:sz w:val="18"/>
          <w:szCs w:val="18"/>
          <w:lang w:val="es-ES_tradnl"/>
        </w:rPr>
        <w:t xml:space="preserve"> En la Tabla A4 en Anexos, se presenta los beneficios estimados según la evaluación de impacto del PAE y resultados en las variables de interés de programas similares (Argentina y México) y programas emblemáticos en PAML (República Dominicana y Colombia).</w:t>
      </w:r>
    </w:p>
  </w:footnote>
  <w:footnote w:id="12">
    <w:p w:rsidRPr="00C117D1" w:rsidR="00562EA4" w:rsidP="00C117D1" w:rsidRDefault="00562EA4" w14:paraId="13AE6EEA" w14:textId="77777777">
      <w:pPr>
        <w:pStyle w:val="FootnoteText"/>
        <w:jc w:val="both"/>
        <w:rPr>
          <w:rFonts w:ascii="Arial" w:hAnsi="Arial" w:cs="Arial"/>
          <w:sz w:val="18"/>
          <w:szCs w:val="18"/>
          <w:lang w:val="es-ES"/>
        </w:rPr>
      </w:pPr>
      <w:r w:rsidRPr="00C117D1">
        <w:rPr>
          <w:rStyle w:val="FootnoteReference"/>
          <w:rFonts w:ascii="Arial" w:hAnsi="Arial" w:cs="Arial"/>
          <w:sz w:val="18"/>
          <w:szCs w:val="18"/>
        </w:rPr>
        <w:footnoteRef/>
      </w:r>
      <w:r w:rsidRPr="00C117D1">
        <w:rPr>
          <w:rFonts w:ascii="Arial" w:hAnsi="Arial" w:cs="Arial"/>
          <w:sz w:val="18"/>
          <w:szCs w:val="18"/>
          <w:lang w:val="es-ES"/>
        </w:rPr>
        <w:t xml:space="preserve"> Datos calculados a partir de la Encuesta de Hogares 2014.</w:t>
      </w:r>
    </w:p>
  </w:footnote>
  <w:footnote w:id="13">
    <w:p w:rsidRPr="00C117D1" w:rsidR="00562EA4" w:rsidP="00C117D1" w:rsidRDefault="00562EA4" w14:paraId="25E1D1F0" w14:textId="3846BC37">
      <w:pPr>
        <w:pStyle w:val="FootnoteText"/>
        <w:jc w:val="both"/>
        <w:rPr>
          <w:rFonts w:ascii="Arial" w:hAnsi="Arial" w:cs="Arial"/>
          <w:sz w:val="18"/>
          <w:szCs w:val="18"/>
          <w:lang w:val="es-ES"/>
        </w:rPr>
      </w:pPr>
      <w:r w:rsidRPr="00C117D1">
        <w:rPr>
          <w:rStyle w:val="FootnoteReference"/>
          <w:rFonts w:ascii="Arial" w:hAnsi="Arial" w:cs="Arial"/>
          <w:sz w:val="18"/>
          <w:szCs w:val="18"/>
        </w:rPr>
        <w:footnoteRef/>
      </w:r>
      <w:r w:rsidRPr="00C117D1">
        <w:rPr>
          <w:rFonts w:ascii="Arial" w:hAnsi="Arial" w:cs="Arial"/>
          <w:sz w:val="18"/>
          <w:szCs w:val="18"/>
          <w:lang w:val="es-ES"/>
        </w:rPr>
        <w:t>En presencia de efecto desplazamiento, el impacto del programa sería simplemente un efecto sobre la redistribución del empleo en el cual al mismo tiempo que los beneficiarios del PAE son insertados en puestos laborales, los no beneficiarios pasan a una situación de desempleo o empleo precario o informal.</w:t>
      </w:r>
    </w:p>
  </w:footnote>
  <w:footnote w:id="14">
    <w:p w:rsidRPr="00C117D1" w:rsidR="00562EA4" w:rsidP="00C117D1" w:rsidRDefault="00562EA4" w14:paraId="3A42F339" w14:textId="77777777">
      <w:pPr>
        <w:pStyle w:val="FootnoteText"/>
        <w:jc w:val="both"/>
        <w:rPr>
          <w:rFonts w:ascii="Arial" w:hAnsi="Arial" w:cs="Arial"/>
          <w:sz w:val="18"/>
          <w:szCs w:val="18"/>
          <w:lang w:val="es-ES_tradnl"/>
        </w:rPr>
      </w:pPr>
      <w:r w:rsidRPr="00C117D1">
        <w:rPr>
          <w:rStyle w:val="FootnoteReference"/>
          <w:rFonts w:ascii="Arial" w:hAnsi="Arial" w:cs="Arial"/>
          <w:sz w:val="18"/>
          <w:szCs w:val="18"/>
        </w:rPr>
        <w:footnoteRef/>
      </w:r>
      <w:r w:rsidRPr="00C117D1">
        <w:rPr>
          <w:rFonts w:ascii="Arial" w:hAnsi="Arial" w:cs="Arial"/>
          <w:sz w:val="18"/>
          <w:szCs w:val="18"/>
          <w:lang w:val="es-ES_tradnl"/>
        </w:rPr>
        <w:t xml:space="preserve"> Un costo económico identificado con relación a los PAML se explica por la presencia de un efecto desplazamiento de beneficiarios del programa hacia no beneficiarios en el mercado laboral. La literatura económica estima los efectos desplazamiento de este tipo de políticas es escasa y presenta resultados heterogéneos. Para el caso de Francia, Crépon et al. (2013) encuentran que los efectos positivos de la inserción laboral de los beneficiarios se obtienen a expensas de una disminución en las tasas de inserción de los no beneficiarios, teniendo en agregado un efecto neto nulo. En contraste, Berniell &amp; de la Mata (2017) aprovechando la asignación aleatoria de un programa en Argentina no encuentran evidencia de efecto desplazamiento.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E1578"/>
    <w:multiLevelType w:val="hybridMultilevel"/>
    <w:tmpl w:val="9EB61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46AC1"/>
    <w:multiLevelType w:val="hybridMultilevel"/>
    <w:tmpl w:val="8CCE2728"/>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0E26801"/>
    <w:multiLevelType w:val="hybridMultilevel"/>
    <w:tmpl w:val="74E619D8"/>
    <w:lvl w:ilvl="0" w:tplc="F3689174">
      <w:start w:val="1"/>
      <w:numFmt w:val="decimal"/>
      <w:lvlText w:val="%1."/>
      <w:lvlJc w:val="left"/>
      <w:pPr>
        <w:ind w:left="720" w:hanging="360"/>
      </w:pPr>
      <w:rPr>
        <w:rFonts w:hint="default"/>
        <w:b w:val="0"/>
        <w:color w:val="auto"/>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hint="default" w:ascii="Symbol" w:hAnsi="Symbo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66254"/>
    <w:multiLevelType w:val="hybridMultilevel"/>
    <w:tmpl w:val="2388A0D2"/>
    <w:lvl w:ilvl="0" w:tplc="2488F48C">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9B2C14"/>
    <w:multiLevelType w:val="hybridMultilevel"/>
    <w:tmpl w:val="8F9A6F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59B4991"/>
    <w:multiLevelType w:val="multilevel"/>
    <w:tmpl w:val="BC5EEE86"/>
    <w:lvl w:ilvl="0">
      <w:start w:val="1"/>
      <w:numFmt w:val="upperRoman"/>
      <w:lvlRestart w:val="0"/>
      <w:pStyle w:val="Chapter"/>
      <w:lvlText w:val="%1."/>
      <w:lvlJc w:val="center"/>
      <w:pPr>
        <w:tabs>
          <w:tab w:val="num" w:pos="990"/>
        </w:tabs>
        <w:ind w:left="342" w:firstLine="288"/>
      </w:pPr>
      <w:rPr>
        <w:b/>
        <w:i w:val="0"/>
      </w:rPr>
    </w:lvl>
    <w:lvl w:ilvl="1">
      <w:start w:val="1"/>
      <w:numFmt w:val="decimal"/>
      <w:pStyle w:val="Paragraph"/>
      <w:lvlText w:val="%1.%2"/>
      <w:lvlJc w:val="left"/>
      <w:pPr>
        <w:tabs>
          <w:tab w:val="num" w:pos="1566"/>
        </w:tabs>
        <w:ind w:left="1566" w:hanging="1296"/>
      </w:pPr>
      <w:rPr>
        <w:b/>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39B04435"/>
    <w:multiLevelType w:val="hybridMultilevel"/>
    <w:tmpl w:val="1346B828"/>
    <w:lvl w:ilvl="0" w:tplc="0C0A000F">
      <w:start w:val="1"/>
      <w:numFmt w:val="decimal"/>
      <w:lvlText w:val="%1."/>
      <w:lvlJc w:val="lef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hint="default" w:ascii="Symbol" w:hAnsi="Symbo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742154"/>
    <w:multiLevelType w:val="hybridMultilevel"/>
    <w:tmpl w:val="1346B828"/>
    <w:lvl w:ilvl="0" w:tplc="0C0A000F">
      <w:start w:val="1"/>
      <w:numFmt w:val="decimal"/>
      <w:lvlText w:val="%1."/>
      <w:lvlJc w:val="lef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hint="default" w:ascii="Symbol" w:hAnsi="Symbo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C80F00"/>
    <w:multiLevelType w:val="hybridMultilevel"/>
    <w:tmpl w:val="49AA64A6"/>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3223234"/>
    <w:multiLevelType w:val="hybridMultilevel"/>
    <w:tmpl w:val="E988B16A"/>
    <w:lvl w:ilvl="0" w:tplc="04090001">
      <w:start w:val="1"/>
      <w:numFmt w:val="bullet"/>
      <w:lvlText w:val=""/>
      <w:lvlJc w:val="left"/>
      <w:pPr>
        <w:ind w:left="720" w:hanging="360"/>
      </w:pPr>
      <w:rPr>
        <w:rFonts w:hint="default" w:ascii="Symbol" w:hAnsi="Symbol"/>
      </w:rPr>
    </w:lvl>
    <w:lvl w:ilvl="1" w:tplc="000B0409">
      <w:start w:val="1"/>
      <w:numFmt w:val="bullet"/>
      <w:lvlText w:val=""/>
      <w:lvlJc w:val="left"/>
      <w:pPr>
        <w:tabs>
          <w:tab w:val="num" w:pos="1440"/>
        </w:tabs>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524E375E"/>
    <w:multiLevelType w:val="hybridMultilevel"/>
    <w:tmpl w:val="4A52BF40"/>
    <w:lvl w:ilvl="0" w:tplc="0C0A000F">
      <w:start w:val="1"/>
      <w:numFmt w:val="decimal"/>
      <w:lvlText w:val="%1."/>
      <w:lvlJc w:val="lef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hint="default" w:ascii="Symbol" w:hAnsi="Symbo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735CCE"/>
    <w:multiLevelType w:val="hybridMultilevel"/>
    <w:tmpl w:val="B2281B02"/>
    <w:lvl w:ilvl="0" w:tplc="0C0A000F">
      <w:start w:val="1"/>
      <w:numFmt w:val="decimal"/>
      <w:lvlText w:val="%1."/>
      <w:lvlJc w:val="lef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hint="default" w:ascii="Symbol" w:hAnsi="Symbo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F26023A"/>
    <w:multiLevelType w:val="hybridMultilevel"/>
    <w:tmpl w:val="4A8AE32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15:restartNumberingAfterBreak="0">
    <w:nsid w:val="6DDB48C0"/>
    <w:multiLevelType w:val="hybridMultilevel"/>
    <w:tmpl w:val="538698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725C764F"/>
    <w:multiLevelType w:val="hybridMultilevel"/>
    <w:tmpl w:val="539277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5CE2DA3"/>
    <w:multiLevelType w:val="hybridMultilevel"/>
    <w:tmpl w:val="00C62B6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BE303E1"/>
    <w:multiLevelType w:val="hybridMultilevel"/>
    <w:tmpl w:val="76A893B0"/>
    <w:lvl w:ilvl="0" w:tplc="0C0A0013">
      <w:start w:val="1"/>
      <w:numFmt w:val="upperRoman"/>
      <w:lvlText w:val="%1."/>
      <w:lvlJc w:val="right"/>
      <w:pPr>
        <w:ind w:left="720" w:hanging="360"/>
      </w:pPr>
      <w:rPr>
        <w:rFonts w:hint="default"/>
      </w:rPr>
    </w:lvl>
    <w:lvl w:ilvl="1" w:tplc="0C0A001B">
      <w:start w:val="1"/>
      <w:numFmt w:val="lowerRoman"/>
      <w:lvlText w:val="%2."/>
      <w:lvlJc w:val="right"/>
      <w:pPr>
        <w:ind w:left="1350" w:hanging="360"/>
      </w:pPr>
    </w:lvl>
    <w:lvl w:ilvl="2" w:tplc="00010409">
      <w:start w:val="1"/>
      <w:numFmt w:val="bullet"/>
      <w:lvlText w:val=""/>
      <w:lvlJc w:val="left"/>
      <w:pPr>
        <w:tabs>
          <w:tab w:val="num" w:pos="80"/>
        </w:tabs>
        <w:ind w:left="80" w:hanging="360"/>
      </w:pPr>
      <w:rPr>
        <w:rFonts w:hint="default" w:ascii="Symbol" w:hAnsi="Symbo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6"/>
  </w:num>
  <w:num w:numId="4">
    <w:abstractNumId w:val="18"/>
  </w:num>
  <w:num w:numId="5">
    <w:abstractNumId w:val="15"/>
  </w:num>
  <w:num w:numId="6">
    <w:abstractNumId w:val="13"/>
  </w:num>
  <w:num w:numId="7">
    <w:abstractNumId w:val="19"/>
  </w:num>
  <w:num w:numId="8">
    <w:abstractNumId w:val="2"/>
  </w:num>
  <w:num w:numId="9">
    <w:abstractNumId w:val="11"/>
  </w:num>
  <w:num w:numId="10">
    <w:abstractNumId w:val="17"/>
  </w:num>
  <w:num w:numId="11">
    <w:abstractNumId w:val="3"/>
  </w:num>
  <w:num w:numId="12">
    <w:abstractNumId w:val="8"/>
  </w:num>
  <w:num w:numId="13">
    <w:abstractNumId w:val="1"/>
  </w:num>
  <w:num w:numId="14">
    <w:abstractNumId w:val="12"/>
  </w:num>
  <w:num w:numId="15">
    <w:abstractNumId w:val="6"/>
  </w:num>
  <w:num w:numId="16">
    <w:abstractNumId w:val="7"/>
  </w:num>
  <w:num w:numId="17">
    <w:abstractNumId w:val="14"/>
  </w:num>
  <w:num w:numId="18">
    <w:abstractNumId w:val="5"/>
  </w:num>
  <w:num w:numId="19">
    <w:abstractNumId w:val="0"/>
  </w:num>
  <w:num w:numId="20">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20"/>
  <w:proofState w:spelling="clean" w:grammar="dirty"/>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1F61"/>
    <w:rsid w:val="00011D76"/>
    <w:rsid w:val="0002042F"/>
    <w:rsid w:val="00024323"/>
    <w:rsid w:val="0003327B"/>
    <w:rsid w:val="00033409"/>
    <w:rsid w:val="00035D06"/>
    <w:rsid w:val="000369EB"/>
    <w:rsid w:val="000512D3"/>
    <w:rsid w:val="000527AB"/>
    <w:rsid w:val="00055F1B"/>
    <w:rsid w:val="0006277F"/>
    <w:rsid w:val="00076048"/>
    <w:rsid w:val="000777D8"/>
    <w:rsid w:val="00090823"/>
    <w:rsid w:val="0009284B"/>
    <w:rsid w:val="000A33F4"/>
    <w:rsid w:val="000A4AD4"/>
    <w:rsid w:val="000B2B19"/>
    <w:rsid w:val="000B5330"/>
    <w:rsid w:val="000B6CBD"/>
    <w:rsid w:val="000B7E16"/>
    <w:rsid w:val="000C47E6"/>
    <w:rsid w:val="000C74EF"/>
    <w:rsid w:val="000D02E2"/>
    <w:rsid w:val="000D3840"/>
    <w:rsid w:val="000E62B2"/>
    <w:rsid w:val="000F2096"/>
    <w:rsid w:val="000F21A6"/>
    <w:rsid w:val="000F43FC"/>
    <w:rsid w:val="00107388"/>
    <w:rsid w:val="00110D68"/>
    <w:rsid w:val="001110B5"/>
    <w:rsid w:val="001216AF"/>
    <w:rsid w:val="00130DC3"/>
    <w:rsid w:val="00133043"/>
    <w:rsid w:val="001335F5"/>
    <w:rsid w:val="00135390"/>
    <w:rsid w:val="001526B2"/>
    <w:rsid w:val="00153C9F"/>
    <w:rsid w:val="00163274"/>
    <w:rsid w:val="00165C18"/>
    <w:rsid w:val="001752F1"/>
    <w:rsid w:val="00181401"/>
    <w:rsid w:val="00181F6F"/>
    <w:rsid w:val="001822A8"/>
    <w:rsid w:val="00183BF6"/>
    <w:rsid w:val="00184002"/>
    <w:rsid w:val="00187814"/>
    <w:rsid w:val="0019399B"/>
    <w:rsid w:val="001A5BAD"/>
    <w:rsid w:val="001B1CF8"/>
    <w:rsid w:val="001B2F3C"/>
    <w:rsid w:val="001C37FF"/>
    <w:rsid w:val="001D1908"/>
    <w:rsid w:val="001D2029"/>
    <w:rsid w:val="001F0F05"/>
    <w:rsid w:val="001F3CEE"/>
    <w:rsid w:val="001F4B99"/>
    <w:rsid w:val="002060F3"/>
    <w:rsid w:val="00215EE5"/>
    <w:rsid w:val="0021634A"/>
    <w:rsid w:val="00216CC7"/>
    <w:rsid w:val="00220F81"/>
    <w:rsid w:val="00235A8E"/>
    <w:rsid w:val="00241CDF"/>
    <w:rsid w:val="00246F0D"/>
    <w:rsid w:val="0025321A"/>
    <w:rsid w:val="00255D77"/>
    <w:rsid w:val="002602F8"/>
    <w:rsid w:val="002647AD"/>
    <w:rsid w:val="002661C0"/>
    <w:rsid w:val="00266786"/>
    <w:rsid w:val="00270D5A"/>
    <w:rsid w:val="00280BAB"/>
    <w:rsid w:val="00281014"/>
    <w:rsid w:val="00282625"/>
    <w:rsid w:val="00286029"/>
    <w:rsid w:val="00286B65"/>
    <w:rsid w:val="002902F8"/>
    <w:rsid w:val="00290F00"/>
    <w:rsid w:val="00292542"/>
    <w:rsid w:val="002A45F0"/>
    <w:rsid w:val="002A4F8E"/>
    <w:rsid w:val="002B30FE"/>
    <w:rsid w:val="002D039C"/>
    <w:rsid w:val="002D063D"/>
    <w:rsid w:val="002D5DB3"/>
    <w:rsid w:val="002D7856"/>
    <w:rsid w:val="002E22AB"/>
    <w:rsid w:val="002F00E2"/>
    <w:rsid w:val="002F143D"/>
    <w:rsid w:val="002F18BF"/>
    <w:rsid w:val="002F3AB6"/>
    <w:rsid w:val="002F4BA2"/>
    <w:rsid w:val="002F56E2"/>
    <w:rsid w:val="002F6E8A"/>
    <w:rsid w:val="00304036"/>
    <w:rsid w:val="00304796"/>
    <w:rsid w:val="003070C1"/>
    <w:rsid w:val="0030728D"/>
    <w:rsid w:val="00314033"/>
    <w:rsid w:val="003142A5"/>
    <w:rsid w:val="00317265"/>
    <w:rsid w:val="00320BBC"/>
    <w:rsid w:val="00322830"/>
    <w:rsid w:val="00322D43"/>
    <w:rsid w:val="00332F75"/>
    <w:rsid w:val="00333452"/>
    <w:rsid w:val="003406CF"/>
    <w:rsid w:val="00345445"/>
    <w:rsid w:val="00346586"/>
    <w:rsid w:val="00347084"/>
    <w:rsid w:val="00351DF0"/>
    <w:rsid w:val="00352A26"/>
    <w:rsid w:val="003637CB"/>
    <w:rsid w:val="0037557B"/>
    <w:rsid w:val="00377E2A"/>
    <w:rsid w:val="00387B79"/>
    <w:rsid w:val="00392FDB"/>
    <w:rsid w:val="003A2635"/>
    <w:rsid w:val="003B3F0A"/>
    <w:rsid w:val="003B44D9"/>
    <w:rsid w:val="003C3829"/>
    <w:rsid w:val="003C4179"/>
    <w:rsid w:val="003C613F"/>
    <w:rsid w:val="003F30B7"/>
    <w:rsid w:val="00400FF0"/>
    <w:rsid w:val="00417C18"/>
    <w:rsid w:val="004219D4"/>
    <w:rsid w:val="00422F91"/>
    <w:rsid w:val="00425D26"/>
    <w:rsid w:val="0042678F"/>
    <w:rsid w:val="00446DB8"/>
    <w:rsid w:val="00465780"/>
    <w:rsid w:val="00465A93"/>
    <w:rsid w:val="0047496F"/>
    <w:rsid w:val="00474CDF"/>
    <w:rsid w:val="0047510C"/>
    <w:rsid w:val="004763D1"/>
    <w:rsid w:val="004769AE"/>
    <w:rsid w:val="00487610"/>
    <w:rsid w:val="004902C4"/>
    <w:rsid w:val="0049418A"/>
    <w:rsid w:val="00496FA2"/>
    <w:rsid w:val="004A2076"/>
    <w:rsid w:val="004A2237"/>
    <w:rsid w:val="004A4992"/>
    <w:rsid w:val="004C1C82"/>
    <w:rsid w:val="004C2B2F"/>
    <w:rsid w:val="004C3097"/>
    <w:rsid w:val="004C5E0A"/>
    <w:rsid w:val="004E610F"/>
    <w:rsid w:val="004F03B8"/>
    <w:rsid w:val="004F1E82"/>
    <w:rsid w:val="004F5855"/>
    <w:rsid w:val="004F77F4"/>
    <w:rsid w:val="0050035A"/>
    <w:rsid w:val="005036C9"/>
    <w:rsid w:val="00505A4B"/>
    <w:rsid w:val="00507205"/>
    <w:rsid w:val="00513FDC"/>
    <w:rsid w:val="00514377"/>
    <w:rsid w:val="00520718"/>
    <w:rsid w:val="00524CF8"/>
    <w:rsid w:val="005275E7"/>
    <w:rsid w:val="00531007"/>
    <w:rsid w:val="00541D07"/>
    <w:rsid w:val="00545287"/>
    <w:rsid w:val="0056052A"/>
    <w:rsid w:val="00562EA4"/>
    <w:rsid w:val="00563C3D"/>
    <w:rsid w:val="0056524B"/>
    <w:rsid w:val="00567323"/>
    <w:rsid w:val="00570E65"/>
    <w:rsid w:val="00582F4D"/>
    <w:rsid w:val="00583845"/>
    <w:rsid w:val="005839D3"/>
    <w:rsid w:val="00583D52"/>
    <w:rsid w:val="00586F3A"/>
    <w:rsid w:val="00593E90"/>
    <w:rsid w:val="00594CFE"/>
    <w:rsid w:val="005B0724"/>
    <w:rsid w:val="005B2956"/>
    <w:rsid w:val="005B6FFC"/>
    <w:rsid w:val="005B759B"/>
    <w:rsid w:val="005B79D6"/>
    <w:rsid w:val="005C1A62"/>
    <w:rsid w:val="005C3255"/>
    <w:rsid w:val="005C721B"/>
    <w:rsid w:val="005D3096"/>
    <w:rsid w:val="005D4ADE"/>
    <w:rsid w:val="005D6C74"/>
    <w:rsid w:val="005E5D04"/>
    <w:rsid w:val="005E6B10"/>
    <w:rsid w:val="005F10A7"/>
    <w:rsid w:val="005F760D"/>
    <w:rsid w:val="006031FB"/>
    <w:rsid w:val="0060491B"/>
    <w:rsid w:val="00606D34"/>
    <w:rsid w:val="006126D9"/>
    <w:rsid w:val="00620E66"/>
    <w:rsid w:val="00622307"/>
    <w:rsid w:val="00622BC1"/>
    <w:rsid w:val="006244FE"/>
    <w:rsid w:val="00633C1F"/>
    <w:rsid w:val="00635A94"/>
    <w:rsid w:val="00644428"/>
    <w:rsid w:val="00645962"/>
    <w:rsid w:val="00646AD4"/>
    <w:rsid w:val="00655634"/>
    <w:rsid w:val="00660E75"/>
    <w:rsid w:val="00667044"/>
    <w:rsid w:val="006671FD"/>
    <w:rsid w:val="006709E3"/>
    <w:rsid w:val="00671F48"/>
    <w:rsid w:val="00673134"/>
    <w:rsid w:val="006826D7"/>
    <w:rsid w:val="006831F1"/>
    <w:rsid w:val="00691DDB"/>
    <w:rsid w:val="00693EC5"/>
    <w:rsid w:val="00694EEB"/>
    <w:rsid w:val="006A65E7"/>
    <w:rsid w:val="006B0FCD"/>
    <w:rsid w:val="006B299F"/>
    <w:rsid w:val="006B50EB"/>
    <w:rsid w:val="006B6206"/>
    <w:rsid w:val="006C2F71"/>
    <w:rsid w:val="006C3959"/>
    <w:rsid w:val="006C614B"/>
    <w:rsid w:val="006C76B4"/>
    <w:rsid w:val="006D18EC"/>
    <w:rsid w:val="006E2BDB"/>
    <w:rsid w:val="006E3370"/>
    <w:rsid w:val="006F092A"/>
    <w:rsid w:val="006F0F0C"/>
    <w:rsid w:val="00703769"/>
    <w:rsid w:val="00715CAD"/>
    <w:rsid w:val="00726090"/>
    <w:rsid w:val="00731265"/>
    <w:rsid w:val="00732624"/>
    <w:rsid w:val="00732D44"/>
    <w:rsid w:val="00742944"/>
    <w:rsid w:val="00745B03"/>
    <w:rsid w:val="00750C6F"/>
    <w:rsid w:val="00753EBC"/>
    <w:rsid w:val="007613E1"/>
    <w:rsid w:val="00761405"/>
    <w:rsid w:val="00762690"/>
    <w:rsid w:val="00765248"/>
    <w:rsid w:val="00766A7D"/>
    <w:rsid w:val="00776D09"/>
    <w:rsid w:val="00781C87"/>
    <w:rsid w:val="0078661C"/>
    <w:rsid w:val="007A39E2"/>
    <w:rsid w:val="007B3C65"/>
    <w:rsid w:val="007D035A"/>
    <w:rsid w:val="007D4CC4"/>
    <w:rsid w:val="007E69DF"/>
    <w:rsid w:val="007E7897"/>
    <w:rsid w:val="007F1D51"/>
    <w:rsid w:val="007F2385"/>
    <w:rsid w:val="007F6529"/>
    <w:rsid w:val="008000BF"/>
    <w:rsid w:val="00800853"/>
    <w:rsid w:val="008116A8"/>
    <w:rsid w:val="00815DA0"/>
    <w:rsid w:val="00826DE6"/>
    <w:rsid w:val="008303CC"/>
    <w:rsid w:val="00830A10"/>
    <w:rsid w:val="00831A6B"/>
    <w:rsid w:val="00833799"/>
    <w:rsid w:val="008457CF"/>
    <w:rsid w:val="00851BD8"/>
    <w:rsid w:val="0085637E"/>
    <w:rsid w:val="008708A8"/>
    <w:rsid w:val="008721FC"/>
    <w:rsid w:val="00891EA2"/>
    <w:rsid w:val="00893A9E"/>
    <w:rsid w:val="00893FF0"/>
    <w:rsid w:val="008A1459"/>
    <w:rsid w:val="008B209C"/>
    <w:rsid w:val="008B2805"/>
    <w:rsid w:val="008B370D"/>
    <w:rsid w:val="008B59D2"/>
    <w:rsid w:val="008B6C3D"/>
    <w:rsid w:val="008B700A"/>
    <w:rsid w:val="008D68DD"/>
    <w:rsid w:val="008D76D4"/>
    <w:rsid w:val="008E2E6E"/>
    <w:rsid w:val="008E353E"/>
    <w:rsid w:val="008F080E"/>
    <w:rsid w:val="008F1025"/>
    <w:rsid w:val="00913275"/>
    <w:rsid w:val="009161C3"/>
    <w:rsid w:val="00932A3B"/>
    <w:rsid w:val="00932D6D"/>
    <w:rsid w:val="00937C72"/>
    <w:rsid w:val="00941F61"/>
    <w:rsid w:val="00960FF6"/>
    <w:rsid w:val="009627BC"/>
    <w:rsid w:val="009763FC"/>
    <w:rsid w:val="009822C6"/>
    <w:rsid w:val="00993D7E"/>
    <w:rsid w:val="00996CED"/>
    <w:rsid w:val="009A59BD"/>
    <w:rsid w:val="009B7408"/>
    <w:rsid w:val="009C339A"/>
    <w:rsid w:val="009D6068"/>
    <w:rsid w:val="009D7137"/>
    <w:rsid w:val="009F374A"/>
    <w:rsid w:val="009F4A21"/>
    <w:rsid w:val="00A01D5B"/>
    <w:rsid w:val="00A0399C"/>
    <w:rsid w:val="00A044FB"/>
    <w:rsid w:val="00A141C7"/>
    <w:rsid w:val="00A17651"/>
    <w:rsid w:val="00A33697"/>
    <w:rsid w:val="00A34E4A"/>
    <w:rsid w:val="00A37A2C"/>
    <w:rsid w:val="00A446EE"/>
    <w:rsid w:val="00A52977"/>
    <w:rsid w:val="00A52A40"/>
    <w:rsid w:val="00A634D8"/>
    <w:rsid w:val="00A665C2"/>
    <w:rsid w:val="00A777F0"/>
    <w:rsid w:val="00A847C1"/>
    <w:rsid w:val="00A867AD"/>
    <w:rsid w:val="00A918C4"/>
    <w:rsid w:val="00A91F02"/>
    <w:rsid w:val="00A970EE"/>
    <w:rsid w:val="00AC22FD"/>
    <w:rsid w:val="00AC59A6"/>
    <w:rsid w:val="00AC7347"/>
    <w:rsid w:val="00AD7910"/>
    <w:rsid w:val="00AE43CF"/>
    <w:rsid w:val="00AF18FD"/>
    <w:rsid w:val="00AF2983"/>
    <w:rsid w:val="00AF2CBA"/>
    <w:rsid w:val="00AF5196"/>
    <w:rsid w:val="00AF633A"/>
    <w:rsid w:val="00B002CE"/>
    <w:rsid w:val="00B07FEF"/>
    <w:rsid w:val="00B13A75"/>
    <w:rsid w:val="00B21AFF"/>
    <w:rsid w:val="00B22A91"/>
    <w:rsid w:val="00B24015"/>
    <w:rsid w:val="00B44C58"/>
    <w:rsid w:val="00B551E2"/>
    <w:rsid w:val="00B65E9B"/>
    <w:rsid w:val="00B83AEB"/>
    <w:rsid w:val="00B902C8"/>
    <w:rsid w:val="00B926CA"/>
    <w:rsid w:val="00B94A8C"/>
    <w:rsid w:val="00BA327B"/>
    <w:rsid w:val="00BA6EBC"/>
    <w:rsid w:val="00BB636E"/>
    <w:rsid w:val="00BC34F9"/>
    <w:rsid w:val="00BD0746"/>
    <w:rsid w:val="00BD1530"/>
    <w:rsid w:val="00BD25AD"/>
    <w:rsid w:val="00BF3AE7"/>
    <w:rsid w:val="00C029AA"/>
    <w:rsid w:val="00C03A3A"/>
    <w:rsid w:val="00C0470F"/>
    <w:rsid w:val="00C059FB"/>
    <w:rsid w:val="00C074B4"/>
    <w:rsid w:val="00C117D1"/>
    <w:rsid w:val="00C11D48"/>
    <w:rsid w:val="00C12117"/>
    <w:rsid w:val="00C148F8"/>
    <w:rsid w:val="00C15A5C"/>
    <w:rsid w:val="00C2589B"/>
    <w:rsid w:val="00C261F0"/>
    <w:rsid w:val="00C271CE"/>
    <w:rsid w:val="00C306A4"/>
    <w:rsid w:val="00C3202C"/>
    <w:rsid w:val="00C338F2"/>
    <w:rsid w:val="00C361D1"/>
    <w:rsid w:val="00C44A42"/>
    <w:rsid w:val="00C46D0E"/>
    <w:rsid w:val="00C46DF9"/>
    <w:rsid w:val="00C60151"/>
    <w:rsid w:val="00C604AB"/>
    <w:rsid w:val="00C610B6"/>
    <w:rsid w:val="00C61D33"/>
    <w:rsid w:val="00C709EE"/>
    <w:rsid w:val="00C72951"/>
    <w:rsid w:val="00C72FE7"/>
    <w:rsid w:val="00C75E88"/>
    <w:rsid w:val="00C77040"/>
    <w:rsid w:val="00C835F5"/>
    <w:rsid w:val="00C93D35"/>
    <w:rsid w:val="00C94874"/>
    <w:rsid w:val="00C954BD"/>
    <w:rsid w:val="00C95BCD"/>
    <w:rsid w:val="00C96F56"/>
    <w:rsid w:val="00C97C5B"/>
    <w:rsid w:val="00CA4C09"/>
    <w:rsid w:val="00CA6AC3"/>
    <w:rsid w:val="00CB1F0C"/>
    <w:rsid w:val="00CC1718"/>
    <w:rsid w:val="00CC3C2E"/>
    <w:rsid w:val="00CD5367"/>
    <w:rsid w:val="00CE6E7A"/>
    <w:rsid w:val="00CF658C"/>
    <w:rsid w:val="00D04C32"/>
    <w:rsid w:val="00D10BCC"/>
    <w:rsid w:val="00D12261"/>
    <w:rsid w:val="00D201CD"/>
    <w:rsid w:val="00D207F1"/>
    <w:rsid w:val="00D23ED9"/>
    <w:rsid w:val="00D262CC"/>
    <w:rsid w:val="00D365E0"/>
    <w:rsid w:val="00D424DB"/>
    <w:rsid w:val="00D434BB"/>
    <w:rsid w:val="00D45D2D"/>
    <w:rsid w:val="00D4784A"/>
    <w:rsid w:val="00D56A15"/>
    <w:rsid w:val="00D60BA4"/>
    <w:rsid w:val="00D63E20"/>
    <w:rsid w:val="00D70D5B"/>
    <w:rsid w:val="00D826C6"/>
    <w:rsid w:val="00D8500E"/>
    <w:rsid w:val="00D8521B"/>
    <w:rsid w:val="00D854CA"/>
    <w:rsid w:val="00D95BCD"/>
    <w:rsid w:val="00DA0032"/>
    <w:rsid w:val="00DA26B3"/>
    <w:rsid w:val="00DB1805"/>
    <w:rsid w:val="00DB1C71"/>
    <w:rsid w:val="00DC1078"/>
    <w:rsid w:val="00DD06FF"/>
    <w:rsid w:val="00DD5F9F"/>
    <w:rsid w:val="00DD6B48"/>
    <w:rsid w:val="00DD6BD0"/>
    <w:rsid w:val="00DE2791"/>
    <w:rsid w:val="00DF355E"/>
    <w:rsid w:val="00DF644A"/>
    <w:rsid w:val="00DF6B6E"/>
    <w:rsid w:val="00E0077E"/>
    <w:rsid w:val="00E0381D"/>
    <w:rsid w:val="00E053DD"/>
    <w:rsid w:val="00E0720B"/>
    <w:rsid w:val="00E2527C"/>
    <w:rsid w:val="00E4461A"/>
    <w:rsid w:val="00E45D36"/>
    <w:rsid w:val="00E46E6F"/>
    <w:rsid w:val="00E50982"/>
    <w:rsid w:val="00E509CA"/>
    <w:rsid w:val="00E546C9"/>
    <w:rsid w:val="00E56425"/>
    <w:rsid w:val="00E5726A"/>
    <w:rsid w:val="00E60D75"/>
    <w:rsid w:val="00E6234F"/>
    <w:rsid w:val="00E67C41"/>
    <w:rsid w:val="00E717C1"/>
    <w:rsid w:val="00E81952"/>
    <w:rsid w:val="00E95BB2"/>
    <w:rsid w:val="00E96A59"/>
    <w:rsid w:val="00E96F8C"/>
    <w:rsid w:val="00EA2820"/>
    <w:rsid w:val="00EA4595"/>
    <w:rsid w:val="00EB5FB1"/>
    <w:rsid w:val="00EC0296"/>
    <w:rsid w:val="00EC3C29"/>
    <w:rsid w:val="00EC61CB"/>
    <w:rsid w:val="00ED1E24"/>
    <w:rsid w:val="00ED2CE7"/>
    <w:rsid w:val="00EE1DA4"/>
    <w:rsid w:val="00EE53DA"/>
    <w:rsid w:val="00EE650C"/>
    <w:rsid w:val="00EE7387"/>
    <w:rsid w:val="00EE7EEB"/>
    <w:rsid w:val="00EF6942"/>
    <w:rsid w:val="00EF760D"/>
    <w:rsid w:val="00F1289C"/>
    <w:rsid w:val="00F17065"/>
    <w:rsid w:val="00F26616"/>
    <w:rsid w:val="00F35374"/>
    <w:rsid w:val="00F37743"/>
    <w:rsid w:val="00F37AE4"/>
    <w:rsid w:val="00F41510"/>
    <w:rsid w:val="00F42B1D"/>
    <w:rsid w:val="00F4445D"/>
    <w:rsid w:val="00F47E4B"/>
    <w:rsid w:val="00F54C58"/>
    <w:rsid w:val="00F6049B"/>
    <w:rsid w:val="00F65A8C"/>
    <w:rsid w:val="00F664E6"/>
    <w:rsid w:val="00F6713A"/>
    <w:rsid w:val="00F77CF7"/>
    <w:rsid w:val="00F83CBE"/>
    <w:rsid w:val="00F84237"/>
    <w:rsid w:val="00F85C20"/>
    <w:rsid w:val="00F869EB"/>
    <w:rsid w:val="00F958BA"/>
    <w:rsid w:val="00FA1788"/>
    <w:rsid w:val="00FA7607"/>
    <w:rsid w:val="00FB5B07"/>
    <w:rsid w:val="00FB7D39"/>
    <w:rsid w:val="00FC62C5"/>
    <w:rsid w:val="00FD3F7D"/>
    <w:rsid w:val="00FD3FD5"/>
    <w:rsid w:val="00FE2E6B"/>
    <w:rsid w:val="00FF5495"/>
    <w:rsid w:val="3B63D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AE678"/>
  <w15:docId w15:val="{17203DAF-8099-4D2E-88E6-3445AA50E4D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eastAsia="Batang" w:ascii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41F61"/>
  </w:style>
  <w:style w:type="paragraph" w:styleId="Heading2">
    <w:name w:val="heading 2"/>
    <w:basedOn w:val="Normal"/>
    <w:next w:val="Normal"/>
    <w:link w:val="Heading2Char"/>
    <w:uiPriority w:val="9"/>
    <w:unhideWhenUsed/>
    <w:qFormat/>
    <w:rsid w:val="0002042F"/>
    <w:pPr>
      <w:keepNext/>
      <w:keepLines/>
      <w:spacing w:before="40" w:after="0"/>
      <w:outlineLvl w:val="1"/>
    </w:pPr>
    <w:rPr>
      <w:rFonts w:asciiTheme="majorHAnsi" w:hAnsiTheme="majorHAnsi" w:eastAsiaTheme="majorEastAsia" w:cstheme="majorBidi"/>
      <w:color w:val="365F91"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41F61"/>
    <w:pPr>
      <w:ind w:left="720"/>
      <w:contextualSpacing/>
    </w:pPr>
  </w:style>
  <w:style w:type="paragraph" w:styleId="BodyText">
    <w:name w:val="Body Text"/>
    <w:basedOn w:val="Normal"/>
    <w:link w:val="BodyTextChar"/>
    <w:uiPriority w:val="99"/>
    <w:semiHidden/>
    <w:unhideWhenUsed/>
    <w:rsid w:val="00941F61"/>
    <w:pPr>
      <w:spacing w:after="120" w:line="240" w:lineRule="auto"/>
    </w:pPr>
    <w:rPr>
      <w:rFonts w:ascii="Cambria" w:hAnsi="Cambria" w:eastAsia="MS Mincho" w:cs="Times New Roman"/>
      <w:sz w:val="24"/>
      <w:szCs w:val="24"/>
      <w:lang w:eastAsia="ja-JP"/>
    </w:rPr>
  </w:style>
  <w:style w:type="character" w:styleId="BodyTextChar" w:customStyle="1">
    <w:name w:val="Body Text Char"/>
    <w:basedOn w:val="DefaultParagraphFont"/>
    <w:link w:val="BodyText"/>
    <w:uiPriority w:val="99"/>
    <w:semiHidden/>
    <w:rsid w:val="00941F61"/>
    <w:rPr>
      <w:rFonts w:ascii="Cambria" w:hAnsi="Cambria" w:eastAsia="MS Mincho" w:cs="Times New Roman"/>
      <w:sz w:val="24"/>
      <w:szCs w:val="24"/>
      <w:lang w:eastAsia="ja-JP"/>
    </w:rPr>
  </w:style>
  <w:style w:type="paragraph" w:styleId="Title">
    <w:name w:val="Title"/>
    <w:basedOn w:val="Normal"/>
    <w:link w:val="TitleChar"/>
    <w:qFormat/>
    <w:rsid w:val="00941F61"/>
    <w:pPr>
      <w:tabs>
        <w:tab w:val="left" w:pos="1440"/>
        <w:tab w:val="left" w:pos="3060"/>
      </w:tabs>
      <w:spacing w:after="0" w:line="240" w:lineRule="auto"/>
      <w:jc w:val="center"/>
      <w:outlineLvl w:val="0"/>
    </w:pPr>
    <w:rPr>
      <w:rFonts w:ascii="Times New Roman" w:hAnsi="Times New Roman" w:eastAsia="Times New Roman" w:cs="Times New Roman"/>
      <w:sz w:val="24"/>
      <w:szCs w:val="20"/>
    </w:rPr>
  </w:style>
  <w:style w:type="character" w:styleId="TitleChar" w:customStyle="1">
    <w:name w:val="Title Char"/>
    <w:basedOn w:val="DefaultParagraphFont"/>
    <w:link w:val="Title"/>
    <w:rsid w:val="00941F61"/>
    <w:rPr>
      <w:rFonts w:ascii="Times New Roman" w:hAnsi="Times New Roman" w:eastAsia="Times New Roman" w:cs="Times New Roman"/>
      <w:sz w:val="24"/>
      <w:szCs w:val="20"/>
    </w:rPr>
  </w:style>
  <w:style w:type="paragraph" w:styleId="Newpage" w:customStyle="1">
    <w:name w:val="Newpage"/>
    <w:basedOn w:val="Normal"/>
    <w:rsid w:val="00941F61"/>
    <w:pPr>
      <w:tabs>
        <w:tab w:val="left" w:pos="1440"/>
        <w:tab w:val="left" w:pos="3060"/>
      </w:tabs>
      <w:spacing w:after="0" w:line="240" w:lineRule="auto"/>
      <w:jc w:val="center"/>
    </w:pPr>
    <w:rPr>
      <w:rFonts w:ascii="Times New Roman" w:hAnsi="Times New Roman" w:eastAsia="Times New Roman" w:cs="Arial"/>
      <w:b/>
      <w:smallCaps/>
      <w:sz w:val="24"/>
      <w:szCs w:val="20"/>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unhideWhenUsed/>
    <w:qFormat/>
    <w:rsid w:val="00400FF0"/>
    <w:pPr>
      <w:spacing w:after="0" w:line="240" w:lineRule="auto"/>
    </w:pPr>
    <w:rPr>
      <w:sz w:val="20"/>
      <w:szCs w:val="20"/>
    </w:rPr>
  </w:style>
  <w:style w:type="character" w:styleId="FootnoteTextChar" w:customStyle="1">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400FF0"/>
    <w:rPr>
      <w:sz w:val="20"/>
      <w:szCs w:val="20"/>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400FF0"/>
    <w:rPr>
      <w:vertAlign w:val="superscript"/>
    </w:rPr>
  </w:style>
  <w:style w:type="paragraph" w:styleId="Header">
    <w:name w:val="header"/>
    <w:basedOn w:val="Normal"/>
    <w:link w:val="HeaderChar"/>
    <w:uiPriority w:val="99"/>
    <w:unhideWhenUsed/>
    <w:rsid w:val="00541D07"/>
    <w:pPr>
      <w:tabs>
        <w:tab w:val="center" w:pos="4513"/>
        <w:tab w:val="right" w:pos="9026"/>
      </w:tabs>
      <w:spacing w:after="0" w:line="240" w:lineRule="auto"/>
    </w:pPr>
  </w:style>
  <w:style w:type="character" w:styleId="HeaderChar" w:customStyle="1">
    <w:name w:val="Header Char"/>
    <w:basedOn w:val="DefaultParagraphFont"/>
    <w:link w:val="Header"/>
    <w:uiPriority w:val="99"/>
    <w:rsid w:val="00541D07"/>
  </w:style>
  <w:style w:type="paragraph" w:styleId="Footer">
    <w:name w:val="footer"/>
    <w:basedOn w:val="Normal"/>
    <w:link w:val="FooterChar"/>
    <w:uiPriority w:val="99"/>
    <w:unhideWhenUsed/>
    <w:rsid w:val="00541D07"/>
    <w:pPr>
      <w:tabs>
        <w:tab w:val="center" w:pos="4513"/>
        <w:tab w:val="right" w:pos="9026"/>
      </w:tabs>
      <w:spacing w:after="0" w:line="240" w:lineRule="auto"/>
    </w:pPr>
  </w:style>
  <w:style w:type="character" w:styleId="FooterChar" w:customStyle="1">
    <w:name w:val="Footer Char"/>
    <w:basedOn w:val="DefaultParagraphFont"/>
    <w:link w:val="Footer"/>
    <w:uiPriority w:val="99"/>
    <w:rsid w:val="00541D07"/>
  </w:style>
  <w:style w:type="paragraph" w:styleId="BalloonText">
    <w:name w:val="Balloon Text"/>
    <w:basedOn w:val="Normal"/>
    <w:link w:val="BalloonTextChar"/>
    <w:uiPriority w:val="99"/>
    <w:semiHidden/>
    <w:unhideWhenUsed/>
    <w:rsid w:val="004769AE"/>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4769AE"/>
    <w:rPr>
      <w:rFonts w:ascii="Tahoma" w:hAnsi="Tahoma" w:cs="Tahoma"/>
      <w:sz w:val="16"/>
      <w:szCs w:val="16"/>
    </w:rPr>
  </w:style>
  <w:style w:type="character" w:styleId="CommentReference">
    <w:name w:val="annotation reference"/>
    <w:basedOn w:val="DefaultParagraphFont"/>
    <w:uiPriority w:val="99"/>
    <w:semiHidden/>
    <w:unhideWhenUsed/>
    <w:rsid w:val="001B1CF8"/>
    <w:rPr>
      <w:sz w:val="16"/>
      <w:szCs w:val="16"/>
    </w:rPr>
  </w:style>
  <w:style w:type="paragraph" w:styleId="CommentText">
    <w:name w:val="annotation text"/>
    <w:basedOn w:val="Normal"/>
    <w:link w:val="CommentTextChar"/>
    <w:uiPriority w:val="99"/>
    <w:semiHidden/>
    <w:unhideWhenUsed/>
    <w:rsid w:val="001B1CF8"/>
    <w:pPr>
      <w:spacing w:line="240" w:lineRule="auto"/>
    </w:pPr>
    <w:rPr>
      <w:sz w:val="20"/>
      <w:szCs w:val="20"/>
    </w:rPr>
  </w:style>
  <w:style w:type="character" w:styleId="CommentTextChar" w:customStyle="1">
    <w:name w:val="Comment Text Char"/>
    <w:basedOn w:val="DefaultParagraphFont"/>
    <w:link w:val="CommentText"/>
    <w:uiPriority w:val="99"/>
    <w:semiHidden/>
    <w:rsid w:val="001B1CF8"/>
    <w:rPr>
      <w:sz w:val="20"/>
      <w:szCs w:val="20"/>
    </w:rPr>
  </w:style>
  <w:style w:type="paragraph" w:styleId="CommentSubject">
    <w:name w:val="annotation subject"/>
    <w:basedOn w:val="CommentText"/>
    <w:next w:val="CommentText"/>
    <w:link w:val="CommentSubjectChar"/>
    <w:uiPriority w:val="99"/>
    <w:semiHidden/>
    <w:unhideWhenUsed/>
    <w:rsid w:val="001B1CF8"/>
    <w:rPr>
      <w:b/>
      <w:bCs/>
    </w:rPr>
  </w:style>
  <w:style w:type="character" w:styleId="CommentSubjectChar" w:customStyle="1">
    <w:name w:val="Comment Subject Char"/>
    <w:basedOn w:val="CommentTextChar"/>
    <w:link w:val="CommentSubject"/>
    <w:uiPriority w:val="99"/>
    <w:semiHidden/>
    <w:rsid w:val="001B1CF8"/>
    <w:rPr>
      <w:b/>
      <w:bCs/>
      <w:sz w:val="20"/>
      <w:szCs w:val="20"/>
    </w:rPr>
  </w:style>
  <w:style w:type="paragraph" w:styleId="Default" w:customStyle="1">
    <w:name w:val="Default"/>
    <w:rsid w:val="00C610B6"/>
    <w:pPr>
      <w:autoSpaceDE w:val="0"/>
      <w:autoSpaceDN w:val="0"/>
      <w:adjustRightInd w:val="0"/>
      <w:spacing w:after="0" w:line="240" w:lineRule="auto"/>
    </w:pPr>
    <w:rPr>
      <w:rFonts w:ascii="Times New Roman" w:hAnsi="Times New Roman" w:cs="Times New Roman"/>
      <w:color w:val="000000"/>
      <w:sz w:val="24"/>
      <w:szCs w:val="24"/>
      <w:lang w:val="es-ES"/>
    </w:rPr>
  </w:style>
  <w:style w:type="character" w:styleId="Heading2Char" w:customStyle="1">
    <w:name w:val="Heading 2 Char"/>
    <w:basedOn w:val="DefaultParagraphFont"/>
    <w:link w:val="Heading2"/>
    <w:uiPriority w:val="9"/>
    <w:rsid w:val="0002042F"/>
    <w:rPr>
      <w:rFonts w:asciiTheme="majorHAnsi" w:hAnsiTheme="majorHAnsi" w:eastAsiaTheme="majorEastAsia" w:cstheme="majorBidi"/>
      <w:color w:val="365F91" w:themeColor="accent1" w:themeShade="BF"/>
      <w:sz w:val="26"/>
      <w:szCs w:val="26"/>
    </w:rPr>
  </w:style>
  <w:style w:type="character" w:styleId="PlaceholderText">
    <w:name w:val="Placeholder Text"/>
    <w:basedOn w:val="DefaultParagraphFont"/>
    <w:uiPriority w:val="99"/>
    <w:semiHidden/>
    <w:rsid w:val="00D04C32"/>
    <w:rPr>
      <w:color w:val="808080"/>
    </w:rPr>
  </w:style>
  <w:style w:type="paragraph" w:styleId="Chapter" w:customStyle="1">
    <w:name w:val="Chapter"/>
    <w:basedOn w:val="Normal"/>
    <w:next w:val="Normal"/>
    <w:rsid w:val="00EE1DA4"/>
    <w:pPr>
      <w:keepNext/>
      <w:numPr>
        <w:numId w:val="18"/>
      </w:numPr>
      <w:tabs>
        <w:tab w:val="num" w:pos="648"/>
        <w:tab w:val="left" w:pos="1440"/>
      </w:tabs>
      <w:spacing w:before="240" w:after="240" w:line="240" w:lineRule="auto"/>
      <w:ind w:left="0"/>
      <w:jc w:val="center"/>
    </w:pPr>
    <w:rPr>
      <w:rFonts w:ascii="Times New Roman" w:hAnsi="Times New Roman" w:eastAsia="Times New Roman" w:cs="Times New Roman"/>
      <w:b/>
      <w:smallCaps/>
      <w:sz w:val="24"/>
      <w:szCs w:val="20"/>
      <w:lang w:val="es-ES"/>
    </w:rPr>
  </w:style>
  <w:style w:type="paragraph" w:styleId="Paragraph" w:customStyle="1">
    <w:name w:val="Paragraph"/>
    <w:aliases w:val="p,PARAGRAPH,PG,pa,at,paragraph+1,paragraph"/>
    <w:basedOn w:val="BodyTextIndent"/>
    <w:link w:val="ParagraphChar"/>
    <w:qFormat/>
    <w:rsid w:val="00EE1DA4"/>
    <w:pPr>
      <w:numPr>
        <w:ilvl w:val="1"/>
        <w:numId w:val="18"/>
      </w:numPr>
      <w:spacing w:before="120" w:line="240" w:lineRule="auto"/>
      <w:jc w:val="both"/>
      <w:outlineLvl w:val="1"/>
    </w:pPr>
    <w:rPr>
      <w:rFonts w:ascii="Times New Roman" w:hAnsi="Times New Roman" w:eastAsia="Times New Roman" w:cs="Times New Roman"/>
      <w:sz w:val="24"/>
      <w:szCs w:val="20"/>
      <w:lang w:val="es-ES"/>
    </w:rPr>
  </w:style>
  <w:style w:type="paragraph" w:styleId="subpar" w:customStyle="1">
    <w:name w:val="subpar"/>
    <w:basedOn w:val="BodyTextIndent3"/>
    <w:rsid w:val="00EE1DA4"/>
    <w:pPr>
      <w:numPr>
        <w:ilvl w:val="2"/>
        <w:numId w:val="18"/>
      </w:numPr>
      <w:tabs>
        <w:tab w:val="clear" w:pos="2304"/>
        <w:tab w:val="num" w:pos="1152"/>
      </w:tabs>
      <w:spacing w:before="120" w:line="240" w:lineRule="auto"/>
      <w:ind w:left="1152" w:hanging="720"/>
      <w:jc w:val="both"/>
      <w:outlineLvl w:val="2"/>
    </w:pPr>
    <w:rPr>
      <w:rFonts w:ascii="Times New Roman" w:hAnsi="Times New Roman" w:eastAsia="Times New Roman" w:cs="Times New Roman"/>
      <w:sz w:val="24"/>
      <w:szCs w:val="20"/>
      <w:lang w:val="es-ES_tradnl"/>
    </w:rPr>
  </w:style>
  <w:style w:type="paragraph" w:styleId="SubSubPar" w:customStyle="1">
    <w:name w:val="SubSubPar"/>
    <w:basedOn w:val="subpar"/>
    <w:rsid w:val="00EE1DA4"/>
    <w:pPr>
      <w:numPr>
        <w:ilvl w:val="3"/>
      </w:numPr>
      <w:tabs>
        <w:tab w:val="clear" w:pos="2736"/>
        <w:tab w:val="left" w:pos="0"/>
        <w:tab w:val="num" w:pos="1296"/>
      </w:tabs>
      <w:ind w:left="1296" w:hanging="720"/>
    </w:pPr>
  </w:style>
  <w:style w:type="character" w:styleId="ParagraphChar" w:customStyle="1">
    <w:name w:val="Paragraph Char"/>
    <w:basedOn w:val="DefaultParagraphFont"/>
    <w:link w:val="Paragraph"/>
    <w:rsid w:val="00EE1DA4"/>
    <w:rPr>
      <w:rFonts w:ascii="Times New Roman" w:hAnsi="Times New Roman" w:eastAsia="Times New Roman" w:cs="Times New Roman"/>
      <w:sz w:val="24"/>
      <w:szCs w:val="20"/>
      <w:lang w:val="es-ES"/>
    </w:rPr>
  </w:style>
  <w:style w:type="paragraph" w:styleId="BodyTextIndent">
    <w:name w:val="Body Text Indent"/>
    <w:basedOn w:val="Normal"/>
    <w:link w:val="BodyTextIndentChar"/>
    <w:uiPriority w:val="99"/>
    <w:semiHidden/>
    <w:unhideWhenUsed/>
    <w:rsid w:val="00EE1DA4"/>
    <w:pPr>
      <w:spacing w:after="120"/>
      <w:ind w:left="360"/>
    </w:pPr>
  </w:style>
  <w:style w:type="character" w:styleId="BodyTextIndentChar" w:customStyle="1">
    <w:name w:val="Body Text Indent Char"/>
    <w:basedOn w:val="DefaultParagraphFont"/>
    <w:link w:val="BodyTextIndent"/>
    <w:uiPriority w:val="99"/>
    <w:semiHidden/>
    <w:rsid w:val="00EE1DA4"/>
  </w:style>
  <w:style w:type="paragraph" w:styleId="BodyTextIndent3">
    <w:name w:val="Body Text Indent 3"/>
    <w:basedOn w:val="Normal"/>
    <w:link w:val="BodyTextIndent3Char"/>
    <w:uiPriority w:val="99"/>
    <w:semiHidden/>
    <w:unhideWhenUsed/>
    <w:rsid w:val="00EE1DA4"/>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EE1DA4"/>
    <w:rPr>
      <w:sz w:val="16"/>
      <w:szCs w:val="16"/>
    </w:rPr>
  </w:style>
  <w:style w:type="paragraph" w:styleId="EndnoteText">
    <w:name w:val="endnote text"/>
    <w:basedOn w:val="Normal"/>
    <w:link w:val="EndnoteTextChar"/>
    <w:uiPriority w:val="99"/>
    <w:semiHidden/>
    <w:unhideWhenUsed/>
    <w:rsid w:val="000A4AD4"/>
    <w:pPr>
      <w:spacing w:after="0" w:line="240" w:lineRule="auto"/>
    </w:pPr>
    <w:rPr>
      <w:sz w:val="20"/>
      <w:szCs w:val="20"/>
    </w:rPr>
  </w:style>
  <w:style w:type="character" w:styleId="EndnoteTextChar" w:customStyle="1">
    <w:name w:val="Endnote Text Char"/>
    <w:basedOn w:val="DefaultParagraphFont"/>
    <w:link w:val="EndnoteText"/>
    <w:uiPriority w:val="99"/>
    <w:semiHidden/>
    <w:rsid w:val="000A4AD4"/>
    <w:rPr>
      <w:sz w:val="20"/>
      <w:szCs w:val="20"/>
    </w:rPr>
  </w:style>
  <w:style w:type="character" w:styleId="EndnoteReference">
    <w:name w:val="endnote reference"/>
    <w:basedOn w:val="DefaultParagraphFont"/>
    <w:uiPriority w:val="99"/>
    <w:semiHidden/>
    <w:unhideWhenUsed/>
    <w:rsid w:val="000A4AD4"/>
    <w:rPr>
      <w:vertAlign w:val="superscript"/>
    </w:rPr>
  </w:style>
  <w:style w:type="paragraph" w:styleId="Revision">
    <w:name w:val="Revision"/>
    <w:hidden/>
    <w:uiPriority w:val="99"/>
    <w:semiHidden/>
    <w:rsid w:val="00F869EB"/>
    <w:pPr>
      <w:spacing w:after="0" w:line="240" w:lineRule="auto"/>
    </w:pPr>
  </w:style>
  <w:style w:type="table" w:styleId="TableGrid">
    <w:name w:val="Table Grid"/>
    <w:basedOn w:val="TableNormal"/>
    <w:uiPriority w:val="59"/>
    <w:rsid w:val="00EE650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37027">
      <w:bodyDiv w:val="1"/>
      <w:marLeft w:val="0"/>
      <w:marRight w:val="0"/>
      <w:marTop w:val="0"/>
      <w:marBottom w:val="0"/>
      <w:divBdr>
        <w:top w:val="none" w:sz="0" w:space="0" w:color="auto"/>
        <w:left w:val="none" w:sz="0" w:space="0" w:color="auto"/>
        <w:bottom w:val="none" w:sz="0" w:space="0" w:color="auto"/>
        <w:right w:val="none" w:sz="0" w:space="0" w:color="auto"/>
      </w:divBdr>
    </w:div>
    <w:div w:id="70975824">
      <w:bodyDiv w:val="1"/>
      <w:marLeft w:val="0"/>
      <w:marRight w:val="0"/>
      <w:marTop w:val="0"/>
      <w:marBottom w:val="0"/>
      <w:divBdr>
        <w:top w:val="none" w:sz="0" w:space="0" w:color="auto"/>
        <w:left w:val="none" w:sz="0" w:space="0" w:color="auto"/>
        <w:bottom w:val="none" w:sz="0" w:space="0" w:color="auto"/>
        <w:right w:val="none" w:sz="0" w:space="0" w:color="auto"/>
      </w:divBdr>
    </w:div>
    <w:div w:id="71510440">
      <w:bodyDiv w:val="1"/>
      <w:marLeft w:val="0"/>
      <w:marRight w:val="0"/>
      <w:marTop w:val="0"/>
      <w:marBottom w:val="0"/>
      <w:divBdr>
        <w:top w:val="none" w:sz="0" w:space="0" w:color="auto"/>
        <w:left w:val="none" w:sz="0" w:space="0" w:color="auto"/>
        <w:bottom w:val="none" w:sz="0" w:space="0" w:color="auto"/>
        <w:right w:val="none" w:sz="0" w:space="0" w:color="auto"/>
      </w:divBdr>
    </w:div>
    <w:div w:id="75710478">
      <w:bodyDiv w:val="1"/>
      <w:marLeft w:val="0"/>
      <w:marRight w:val="0"/>
      <w:marTop w:val="0"/>
      <w:marBottom w:val="0"/>
      <w:divBdr>
        <w:top w:val="none" w:sz="0" w:space="0" w:color="auto"/>
        <w:left w:val="none" w:sz="0" w:space="0" w:color="auto"/>
        <w:bottom w:val="none" w:sz="0" w:space="0" w:color="auto"/>
        <w:right w:val="none" w:sz="0" w:space="0" w:color="auto"/>
      </w:divBdr>
    </w:div>
    <w:div w:id="106627758">
      <w:bodyDiv w:val="1"/>
      <w:marLeft w:val="0"/>
      <w:marRight w:val="0"/>
      <w:marTop w:val="0"/>
      <w:marBottom w:val="0"/>
      <w:divBdr>
        <w:top w:val="none" w:sz="0" w:space="0" w:color="auto"/>
        <w:left w:val="none" w:sz="0" w:space="0" w:color="auto"/>
        <w:bottom w:val="none" w:sz="0" w:space="0" w:color="auto"/>
        <w:right w:val="none" w:sz="0" w:space="0" w:color="auto"/>
      </w:divBdr>
    </w:div>
    <w:div w:id="127820679">
      <w:bodyDiv w:val="1"/>
      <w:marLeft w:val="0"/>
      <w:marRight w:val="0"/>
      <w:marTop w:val="0"/>
      <w:marBottom w:val="0"/>
      <w:divBdr>
        <w:top w:val="none" w:sz="0" w:space="0" w:color="auto"/>
        <w:left w:val="none" w:sz="0" w:space="0" w:color="auto"/>
        <w:bottom w:val="none" w:sz="0" w:space="0" w:color="auto"/>
        <w:right w:val="none" w:sz="0" w:space="0" w:color="auto"/>
      </w:divBdr>
    </w:div>
    <w:div w:id="146479621">
      <w:bodyDiv w:val="1"/>
      <w:marLeft w:val="0"/>
      <w:marRight w:val="0"/>
      <w:marTop w:val="0"/>
      <w:marBottom w:val="0"/>
      <w:divBdr>
        <w:top w:val="none" w:sz="0" w:space="0" w:color="auto"/>
        <w:left w:val="none" w:sz="0" w:space="0" w:color="auto"/>
        <w:bottom w:val="none" w:sz="0" w:space="0" w:color="auto"/>
        <w:right w:val="none" w:sz="0" w:space="0" w:color="auto"/>
      </w:divBdr>
    </w:div>
    <w:div w:id="163251438">
      <w:bodyDiv w:val="1"/>
      <w:marLeft w:val="0"/>
      <w:marRight w:val="0"/>
      <w:marTop w:val="0"/>
      <w:marBottom w:val="0"/>
      <w:divBdr>
        <w:top w:val="none" w:sz="0" w:space="0" w:color="auto"/>
        <w:left w:val="none" w:sz="0" w:space="0" w:color="auto"/>
        <w:bottom w:val="none" w:sz="0" w:space="0" w:color="auto"/>
        <w:right w:val="none" w:sz="0" w:space="0" w:color="auto"/>
      </w:divBdr>
    </w:div>
    <w:div w:id="181937265">
      <w:bodyDiv w:val="1"/>
      <w:marLeft w:val="0"/>
      <w:marRight w:val="0"/>
      <w:marTop w:val="0"/>
      <w:marBottom w:val="0"/>
      <w:divBdr>
        <w:top w:val="none" w:sz="0" w:space="0" w:color="auto"/>
        <w:left w:val="none" w:sz="0" w:space="0" w:color="auto"/>
        <w:bottom w:val="none" w:sz="0" w:space="0" w:color="auto"/>
        <w:right w:val="none" w:sz="0" w:space="0" w:color="auto"/>
      </w:divBdr>
    </w:div>
    <w:div w:id="185217663">
      <w:bodyDiv w:val="1"/>
      <w:marLeft w:val="0"/>
      <w:marRight w:val="0"/>
      <w:marTop w:val="0"/>
      <w:marBottom w:val="0"/>
      <w:divBdr>
        <w:top w:val="none" w:sz="0" w:space="0" w:color="auto"/>
        <w:left w:val="none" w:sz="0" w:space="0" w:color="auto"/>
        <w:bottom w:val="none" w:sz="0" w:space="0" w:color="auto"/>
        <w:right w:val="none" w:sz="0" w:space="0" w:color="auto"/>
      </w:divBdr>
    </w:div>
    <w:div w:id="206836302">
      <w:bodyDiv w:val="1"/>
      <w:marLeft w:val="0"/>
      <w:marRight w:val="0"/>
      <w:marTop w:val="0"/>
      <w:marBottom w:val="0"/>
      <w:divBdr>
        <w:top w:val="none" w:sz="0" w:space="0" w:color="auto"/>
        <w:left w:val="none" w:sz="0" w:space="0" w:color="auto"/>
        <w:bottom w:val="none" w:sz="0" w:space="0" w:color="auto"/>
        <w:right w:val="none" w:sz="0" w:space="0" w:color="auto"/>
      </w:divBdr>
    </w:div>
    <w:div w:id="219023106">
      <w:bodyDiv w:val="1"/>
      <w:marLeft w:val="0"/>
      <w:marRight w:val="0"/>
      <w:marTop w:val="0"/>
      <w:marBottom w:val="0"/>
      <w:divBdr>
        <w:top w:val="none" w:sz="0" w:space="0" w:color="auto"/>
        <w:left w:val="none" w:sz="0" w:space="0" w:color="auto"/>
        <w:bottom w:val="none" w:sz="0" w:space="0" w:color="auto"/>
        <w:right w:val="none" w:sz="0" w:space="0" w:color="auto"/>
      </w:divBdr>
    </w:div>
    <w:div w:id="277640130">
      <w:bodyDiv w:val="1"/>
      <w:marLeft w:val="0"/>
      <w:marRight w:val="0"/>
      <w:marTop w:val="0"/>
      <w:marBottom w:val="0"/>
      <w:divBdr>
        <w:top w:val="none" w:sz="0" w:space="0" w:color="auto"/>
        <w:left w:val="none" w:sz="0" w:space="0" w:color="auto"/>
        <w:bottom w:val="none" w:sz="0" w:space="0" w:color="auto"/>
        <w:right w:val="none" w:sz="0" w:space="0" w:color="auto"/>
      </w:divBdr>
    </w:div>
    <w:div w:id="302320028">
      <w:bodyDiv w:val="1"/>
      <w:marLeft w:val="0"/>
      <w:marRight w:val="0"/>
      <w:marTop w:val="0"/>
      <w:marBottom w:val="0"/>
      <w:divBdr>
        <w:top w:val="none" w:sz="0" w:space="0" w:color="auto"/>
        <w:left w:val="none" w:sz="0" w:space="0" w:color="auto"/>
        <w:bottom w:val="none" w:sz="0" w:space="0" w:color="auto"/>
        <w:right w:val="none" w:sz="0" w:space="0" w:color="auto"/>
      </w:divBdr>
    </w:div>
    <w:div w:id="306708695">
      <w:bodyDiv w:val="1"/>
      <w:marLeft w:val="0"/>
      <w:marRight w:val="0"/>
      <w:marTop w:val="0"/>
      <w:marBottom w:val="0"/>
      <w:divBdr>
        <w:top w:val="none" w:sz="0" w:space="0" w:color="auto"/>
        <w:left w:val="none" w:sz="0" w:space="0" w:color="auto"/>
        <w:bottom w:val="none" w:sz="0" w:space="0" w:color="auto"/>
        <w:right w:val="none" w:sz="0" w:space="0" w:color="auto"/>
      </w:divBdr>
    </w:div>
    <w:div w:id="337583428">
      <w:bodyDiv w:val="1"/>
      <w:marLeft w:val="0"/>
      <w:marRight w:val="0"/>
      <w:marTop w:val="0"/>
      <w:marBottom w:val="0"/>
      <w:divBdr>
        <w:top w:val="none" w:sz="0" w:space="0" w:color="auto"/>
        <w:left w:val="none" w:sz="0" w:space="0" w:color="auto"/>
        <w:bottom w:val="none" w:sz="0" w:space="0" w:color="auto"/>
        <w:right w:val="none" w:sz="0" w:space="0" w:color="auto"/>
      </w:divBdr>
    </w:div>
    <w:div w:id="337734247">
      <w:bodyDiv w:val="1"/>
      <w:marLeft w:val="0"/>
      <w:marRight w:val="0"/>
      <w:marTop w:val="0"/>
      <w:marBottom w:val="0"/>
      <w:divBdr>
        <w:top w:val="none" w:sz="0" w:space="0" w:color="auto"/>
        <w:left w:val="none" w:sz="0" w:space="0" w:color="auto"/>
        <w:bottom w:val="none" w:sz="0" w:space="0" w:color="auto"/>
        <w:right w:val="none" w:sz="0" w:space="0" w:color="auto"/>
      </w:divBdr>
    </w:div>
    <w:div w:id="357701806">
      <w:bodyDiv w:val="1"/>
      <w:marLeft w:val="0"/>
      <w:marRight w:val="0"/>
      <w:marTop w:val="0"/>
      <w:marBottom w:val="0"/>
      <w:divBdr>
        <w:top w:val="none" w:sz="0" w:space="0" w:color="auto"/>
        <w:left w:val="none" w:sz="0" w:space="0" w:color="auto"/>
        <w:bottom w:val="none" w:sz="0" w:space="0" w:color="auto"/>
        <w:right w:val="none" w:sz="0" w:space="0" w:color="auto"/>
      </w:divBdr>
    </w:div>
    <w:div w:id="361630547">
      <w:bodyDiv w:val="1"/>
      <w:marLeft w:val="0"/>
      <w:marRight w:val="0"/>
      <w:marTop w:val="0"/>
      <w:marBottom w:val="0"/>
      <w:divBdr>
        <w:top w:val="none" w:sz="0" w:space="0" w:color="auto"/>
        <w:left w:val="none" w:sz="0" w:space="0" w:color="auto"/>
        <w:bottom w:val="none" w:sz="0" w:space="0" w:color="auto"/>
        <w:right w:val="none" w:sz="0" w:space="0" w:color="auto"/>
      </w:divBdr>
    </w:div>
    <w:div w:id="393241633">
      <w:bodyDiv w:val="1"/>
      <w:marLeft w:val="0"/>
      <w:marRight w:val="0"/>
      <w:marTop w:val="0"/>
      <w:marBottom w:val="0"/>
      <w:divBdr>
        <w:top w:val="none" w:sz="0" w:space="0" w:color="auto"/>
        <w:left w:val="none" w:sz="0" w:space="0" w:color="auto"/>
        <w:bottom w:val="none" w:sz="0" w:space="0" w:color="auto"/>
        <w:right w:val="none" w:sz="0" w:space="0" w:color="auto"/>
      </w:divBdr>
    </w:div>
    <w:div w:id="393819636">
      <w:bodyDiv w:val="1"/>
      <w:marLeft w:val="0"/>
      <w:marRight w:val="0"/>
      <w:marTop w:val="0"/>
      <w:marBottom w:val="0"/>
      <w:divBdr>
        <w:top w:val="none" w:sz="0" w:space="0" w:color="auto"/>
        <w:left w:val="none" w:sz="0" w:space="0" w:color="auto"/>
        <w:bottom w:val="none" w:sz="0" w:space="0" w:color="auto"/>
        <w:right w:val="none" w:sz="0" w:space="0" w:color="auto"/>
      </w:divBdr>
    </w:div>
    <w:div w:id="570190293">
      <w:bodyDiv w:val="1"/>
      <w:marLeft w:val="0"/>
      <w:marRight w:val="0"/>
      <w:marTop w:val="0"/>
      <w:marBottom w:val="0"/>
      <w:divBdr>
        <w:top w:val="none" w:sz="0" w:space="0" w:color="auto"/>
        <w:left w:val="none" w:sz="0" w:space="0" w:color="auto"/>
        <w:bottom w:val="none" w:sz="0" w:space="0" w:color="auto"/>
        <w:right w:val="none" w:sz="0" w:space="0" w:color="auto"/>
      </w:divBdr>
    </w:div>
    <w:div w:id="600451098">
      <w:bodyDiv w:val="1"/>
      <w:marLeft w:val="0"/>
      <w:marRight w:val="0"/>
      <w:marTop w:val="0"/>
      <w:marBottom w:val="0"/>
      <w:divBdr>
        <w:top w:val="none" w:sz="0" w:space="0" w:color="auto"/>
        <w:left w:val="none" w:sz="0" w:space="0" w:color="auto"/>
        <w:bottom w:val="none" w:sz="0" w:space="0" w:color="auto"/>
        <w:right w:val="none" w:sz="0" w:space="0" w:color="auto"/>
      </w:divBdr>
    </w:div>
    <w:div w:id="655301856">
      <w:bodyDiv w:val="1"/>
      <w:marLeft w:val="0"/>
      <w:marRight w:val="0"/>
      <w:marTop w:val="0"/>
      <w:marBottom w:val="0"/>
      <w:divBdr>
        <w:top w:val="none" w:sz="0" w:space="0" w:color="auto"/>
        <w:left w:val="none" w:sz="0" w:space="0" w:color="auto"/>
        <w:bottom w:val="none" w:sz="0" w:space="0" w:color="auto"/>
        <w:right w:val="none" w:sz="0" w:space="0" w:color="auto"/>
      </w:divBdr>
    </w:div>
    <w:div w:id="666522316">
      <w:bodyDiv w:val="1"/>
      <w:marLeft w:val="0"/>
      <w:marRight w:val="0"/>
      <w:marTop w:val="0"/>
      <w:marBottom w:val="0"/>
      <w:divBdr>
        <w:top w:val="none" w:sz="0" w:space="0" w:color="auto"/>
        <w:left w:val="none" w:sz="0" w:space="0" w:color="auto"/>
        <w:bottom w:val="none" w:sz="0" w:space="0" w:color="auto"/>
        <w:right w:val="none" w:sz="0" w:space="0" w:color="auto"/>
      </w:divBdr>
    </w:div>
    <w:div w:id="693382423">
      <w:bodyDiv w:val="1"/>
      <w:marLeft w:val="0"/>
      <w:marRight w:val="0"/>
      <w:marTop w:val="0"/>
      <w:marBottom w:val="0"/>
      <w:divBdr>
        <w:top w:val="none" w:sz="0" w:space="0" w:color="auto"/>
        <w:left w:val="none" w:sz="0" w:space="0" w:color="auto"/>
        <w:bottom w:val="none" w:sz="0" w:space="0" w:color="auto"/>
        <w:right w:val="none" w:sz="0" w:space="0" w:color="auto"/>
      </w:divBdr>
    </w:div>
    <w:div w:id="733284799">
      <w:bodyDiv w:val="1"/>
      <w:marLeft w:val="0"/>
      <w:marRight w:val="0"/>
      <w:marTop w:val="0"/>
      <w:marBottom w:val="0"/>
      <w:divBdr>
        <w:top w:val="none" w:sz="0" w:space="0" w:color="auto"/>
        <w:left w:val="none" w:sz="0" w:space="0" w:color="auto"/>
        <w:bottom w:val="none" w:sz="0" w:space="0" w:color="auto"/>
        <w:right w:val="none" w:sz="0" w:space="0" w:color="auto"/>
      </w:divBdr>
    </w:div>
    <w:div w:id="765229933">
      <w:bodyDiv w:val="1"/>
      <w:marLeft w:val="0"/>
      <w:marRight w:val="0"/>
      <w:marTop w:val="0"/>
      <w:marBottom w:val="0"/>
      <w:divBdr>
        <w:top w:val="none" w:sz="0" w:space="0" w:color="auto"/>
        <w:left w:val="none" w:sz="0" w:space="0" w:color="auto"/>
        <w:bottom w:val="none" w:sz="0" w:space="0" w:color="auto"/>
        <w:right w:val="none" w:sz="0" w:space="0" w:color="auto"/>
      </w:divBdr>
    </w:div>
    <w:div w:id="803276497">
      <w:bodyDiv w:val="1"/>
      <w:marLeft w:val="0"/>
      <w:marRight w:val="0"/>
      <w:marTop w:val="0"/>
      <w:marBottom w:val="0"/>
      <w:divBdr>
        <w:top w:val="none" w:sz="0" w:space="0" w:color="auto"/>
        <w:left w:val="none" w:sz="0" w:space="0" w:color="auto"/>
        <w:bottom w:val="none" w:sz="0" w:space="0" w:color="auto"/>
        <w:right w:val="none" w:sz="0" w:space="0" w:color="auto"/>
      </w:divBdr>
    </w:div>
    <w:div w:id="813721544">
      <w:bodyDiv w:val="1"/>
      <w:marLeft w:val="0"/>
      <w:marRight w:val="0"/>
      <w:marTop w:val="0"/>
      <w:marBottom w:val="0"/>
      <w:divBdr>
        <w:top w:val="none" w:sz="0" w:space="0" w:color="auto"/>
        <w:left w:val="none" w:sz="0" w:space="0" w:color="auto"/>
        <w:bottom w:val="none" w:sz="0" w:space="0" w:color="auto"/>
        <w:right w:val="none" w:sz="0" w:space="0" w:color="auto"/>
      </w:divBdr>
    </w:div>
    <w:div w:id="832571606">
      <w:bodyDiv w:val="1"/>
      <w:marLeft w:val="0"/>
      <w:marRight w:val="0"/>
      <w:marTop w:val="0"/>
      <w:marBottom w:val="0"/>
      <w:divBdr>
        <w:top w:val="none" w:sz="0" w:space="0" w:color="auto"/>
        <w:left w:val="none" w:sz="0" w:space="0" w:color="auto"/>
        <w:bottom w:val="none" w:sz="0" w:space="0" w:color="auto"/>
        <w:right w:val="none" w:sz="0" w:space="0" w:color="auto"/>
      </w:divBdr>
    </w:div>
    <w:div w:id="854880445">
      <w:bodyDiv w:val="1"/>
      <w:marLeft w:val="0"/>
      <w:marRight w:val="0"/>
      <w:marTop w:val="0"/>
      <w:marBottom w:val="0"/>
      <w:divBdr>
        <w:top w:val="none" w:sz="0" w:space="0" w:color="auto"/>
        <w:left w:val="none" w:sz="0" w:space="0" w:color="auto"/>
        <w:bottom w:val="none" w:sz="0" w:space="0" w:color="auto"/>
        <w:right w:val="none" w:sz="0" w:space="0" w:color="auto"/>
      </w:divBdr>
    </w:div>
    <w:div w:id="883951414">
      <w:bodyDiv w:val="1"/>
      <w:marLeft w:val="0"/>
      <w:marRight w:val="0"/>
      <w:marTop w:val="0"/>
      <w:marBottom w:val="0"/>
      <w:divBdr>
        <w:top w:val="none" w:sz="0" w:space="0" w:color="auto"/>
        <w:left w:val="none" w:sz="0" w:space="0" w:color="auto"/>
        <w:bottom w:val="none" w:sz="0" w:space="0" w:color="auto"/>
        <w:right w:val="none" w:sz="0" w:space="0" w:color="auto"/>
      </w:divBdr>
    </w:div>
    <w:div w:id="894196928">
      <w:bodyDiv w:val="1"/>
      <w:marLeft w:val="0"/>
      <w:marRight w:val="0"/>
      <w:marTop w:val="0"/>
      <w:marBottom w:val="0"/>
      <w:divBdr>
        <w:top w:val="none" w:sz="0" w:space="0" w:color="auto"/>
        <w:left w:val="none" w:sz="0" w:space="0" w:color="auto"/>
        <w:bottom w:val="none" w:sz="0" w:space="0" w:color="auto"/>
        <w:right w:val="none" w:sz="0" w:space="0" w:color="auto"/>
      </w:divBdr>
    </w:div>
    <w:div w:id="914364986">
      <w:bodyDiv w:val="1"/>
      <w:marLeft w:val="0"/>
      <w:marRight w:val="0"/>
      <w:marTop w:val="0"/>
      <w:marBottom w:val="0"/>
      <w:divBdr>
        <w:top w:val="none" w:sz="0" w:space="0" w:color="auto"/>
        <w:left w:val="none" w:sz="0" w:space="0" w:color="auto"/>
        <w:bottom w:val="none" w:sz="0" w:space="0" w:color="auto"/>
        <w:right w:val="none" w:sz="0" w:space="0" w:color="auto"/>
      </w:divBdr>
    </w:div>
    <w:div w:id="919170679">
      <w:bodyDiv w:val="1"/>
      <w:marLeft w:val="0"/>
      <w:marRight w:val="0"/>
      <w:marTop w:val="0"/>
      <w:marBottom w:val="0"/>
      <w:divBdr>
        <w:top w:val="none" w:sz="0" w:space="0" w:color="auto"/>
        <w:left w:val="none" w:sz="0" w:space="0" w:color="auto"/>
        <w:bottom w:val="none" w:sz="0" w:space="0" w:color="auto"/>
        <w:right w:val="none" w:sz="0" w:space="0" w:color="auto"/>
      </w:divBdr>
    </w:div>
    <w:div w:id="930510212">
      <w:bodyDiv w:val="1"/>
      <w:marLeft w:val="0"/>
      <w:marRight w:val="0"/>
      <w:marTop w:val="0"/>
      <w:marBottom w:val="0"/>
      <w:divBdr>
        <w:top w:val="none" w:sz="0" w:space="0" w:color="auto"/>
        <w:left w:val="none" w:sz="0" w:space="0" w:color="auto"/>
        <w:bottom w:val="none" w:sz="0" w:space="0" w:color="auto"/>
        <w:right w:val="none" w:sz="0" w:space="0" w:color="auto"/>
      </w:divBdr>
    </w:div>
    <w:div w:id="944191586">
      <w:bodyDiv w:val="1"/>
      <w:marLeft w:val="0"/>
      <w:marRight w:val="0"/>
      <w:marTop w:val="0"/>
      <w:marBottom w:val="0"/>
      <w:divBdr>
        <w:top w:val="none" w:sz="0" w:space="0" w:color="auto"/>
        <w:left w:val="none" w:sz="0" w:space="0" w:color="auto"/>
        <w:bottom w:val="none" w:sz="0" w:space="0" w:color="auto"/>
        <w:right w:val="none" w:sz="0" w:space="0" w:color="auto"/>
      </w:divBdr>
    </w:div>
    <w:div w:id="1002195068">
      <w:bodyDiv w:val="1"/>
      <w:marLeft w:val="0"/>
      <w:marRight w:val="0"/>
      <w:marTop w:val="0"/>
      <w:marBottom w:val="0"/>
      <w:divBdr>
        <w:top w:val="none" w:sz="0" w:space="0" w:color="auto"/>
        <w:left w:val="none" w:sz="0" w:space="0" w:color="auto"/>
        <w:bottom w:val="none" w:sz="0" w:space="0" w:color="auto"/>
        <w:right w:val="none" w:sz="0" w:space="0" w:color="auto"/>
      </w:divBdr>
    </w:div>
    <w:div w:id="1002974885">
      <w:bodyDiv w:val="1"/>
      <w:marLeft w:val="0"/>
      <w:marRight w:val="0"/>
      <w:marTop w:val="0"/>
      <w:marBottom w:val="0"/>
      <w:divBdr>
        <w:top w:val="none" w:sz="0" w:space="0" w:color="auto"/>
        <w:left w:val="none" w:sz="0" w:space="0" w:color="auto"/>
        <w:bottom w:val="none" w:sz="0" w:space="0" w:color="auto"/>
        <w:right w:val="none" w:sz="0" w:space="0" w:color="auto"/>
      </w:divBdr>
    </w:div>
    <w:div w:id="1028528973">
      <w:bodyDiv w:val="1"/>
      <w:marLeft w:val="0"/>
      <w:marRight w:val="0"/>
      <w:marTop w:val="0"/>
      <w:marBottom w:val="0"/>
      <w:divBdr>
        <w:top w:val="none" w:sz="0" w:space="0" w:color="auto"/>
        <w:left w:val="none" w:sz="0" w:space="0" w:color="auto"/>
        <w:bottom w:val="none" w:sz="0" w:space="0" w:color="auto"/>
        <w:right w:val="none" w:sz="0" w:space="0" w:color="auto"/>
      </w:divBdr>
    </w:div>
    <w:div w:id="1046951656">
      <w:bodyDiv w:val="1"/>
      <w:marLeft w:val="0"/>
      <w:marRight w:val="0"/>
      <w:marTop w:val="0"/>
      <w:marBottom w:val="0"/>
      <w:divBdr>
        <w:top w:val="none" w:sz="0" w:space="0" w:color="auto"/>
        <w:left w:val="none" w:sz="0" w:space="0" w:color="auto"/>
        <w:bottom w:val="none" w:sz="0" w:space="0" w:color="auto"/>
        <w:right w:val="none" w:sz="0" w:space="0" w:color="auto"/>
      </w:divBdr>
    </w:div>
    <w:div w:id="1094935049">
      <w:bodyDiv w:val="1"/>
      <w:marLeft w:val="0"/>
      <w:marRight w:val="0"/>
      <w:marTop w:val="0"/>
      <w:marBottom w:val="0"/>
      <w:divBdr>
        <w:top w:val="none" w:sz="0" w:space="0" w:color="auto"/>
        <w:left w:val="none" w:sz="0" w:space="0" w:color="auto"/>
        <w:bottom w:val="none" w:sz="0" w:space="0" w:color="auto"/>
        <w:right w:val="none" w:sz="0" w:space="0" w:color="auto"/>
      </w:divBdr>
    </w:div>
    <w:div w:id="1118379324">
      <w:bodyDiv w:val="1"/>
      <w:marLeft w:val="0"/>
      <w:marRight w:val="0"/>
      <w:marTop w:val="0"/>
      <w:marBottom w:val="0"/>
      <w:divBdr>
        <w:top w:val="none" w:sz="0" w:space="0" w:color="auto"/>
        <w:left w:val="none" w:sz="0" w:space="0" w:color="auto"/>
        <w:bottom w:val="none" w:sz="0" w:space="0" w:color="auto"/>
        <w:right w:val="none" w:sz="0" w:space="0" w:color="auto"/>
      </w:divBdr>
    </w:div>
    <w:div w:id="1120413800">
      <w:bodyDiv w:val="1"/>
      <w:marLeft w:val="0"/>
      <w:marRight w:val="0"/>
      <w:marTop w:val="0"/>
      <w:marBottom w:val="0"/>
      <w:divBdr>
        <w:top w:val="none" w:sz="0" w:space="0" w:color="auto"/>
        <w:left w:val="none" w:sz="0" w:space="0" w:color="auto"/>
        <w:bottom w:val="none" w:sz="0" w:space="0" w:color="auto"/>
        <w:right w:val="none" w:sz="0" w:space="0" w:color="auto"/>
      </w:divBdr>
    </w:div>
    <w:div w:id="1133601056">
      <w:bodyDiv w:val="1"/>
      <w:marLeft w:val="0"/>
      <w:marRight w:val="0"/>
      <w:marTop w:val="0"/>
      <w:marBottom w:val="0"/>
      <w:divBdr>
        <w:top w:val="none" w:sz="0" w:space="0" w:color="auto"/>
        <w:left w:val="none" w:sz="0" w:space="0" w:color="auto"/>
        <w:bottom w:val="none" w:sz="0" w:space="0" w:color="auto"/>
        <w:right w:val="none" w:sz="0" w:space="0" w:color="auto"/>
      </w:divBdr>
    </w:div>
    <w:div w:id="1155029432">
      <w:bodyDiv w:val="1"/>
      <w:marLeft w:val="0"/>
      <w:marRight w:val="0"/>
      <w:marTop w:val="0"/>
      <w:marBottom w:val="0"/>
      <w:divBdr>
        <w:top w:val="none" w:sz="0" w:space="0" w:color="auto"/>
        <w:left w:val="none" w:sz="0" w:space="0" w:color="auto"/>
        <w:bottom w:val="none" w:sz="0" w:space="0" w:color="auto"/>
        <w:right w:val="none" w:sz="0" w:space="0" w:color="auto"/>
      </w:divBdr>
    </w:div>
    <w:div w:id="1155728002">
      <w:bodyDiv w:val="1"/>
      <w:marLeft w:val="0"/>
      <w:marRight w:val="0"/>
      <w:marTop w:val="0"/>
      <w:marBottom w:val="0"/>
      <w:divBdr>
        <w:top w:val="none" w:sz="0" w:space="0" w:color="auto"/>
        <w:left w:val="none" w:sz="0" w:space="0" w:color="auto"/>
        <w:bottom w:val="none" w:sz="0" w:space="0" w:color="auto"/>
        <w:right w:val="none" w:sz="0" w:space="0" w:color="auto"/>
      </w:divBdr>
    </w:div>
    <w:div w:id="1174490989">
      <w:bodyDiv w:val="1"/>
      <w:marLeft w:val="0"/>
      <w:marRight w:val="0"/>
      <w:marTop w:val="0"/>
      <w:marBottom w:val="0"/>
      <w:divBdr>
        <w:top w:val="none" w:sz="0" w:space="0" w:color="auto"/>
        <w:left w:val="none" w:sz="0" w:space="0" w:color="auto"/>
        <w:bottom w:val="none" w:sz="0" w:space="0" w:color="auto"/>
        <w:right w:val="none" w:sz="0" w:space="0" w:color="auto"/>
      </w:divBdr>
    </w:div>
    <w:div w:id="1182472738">
      <w:bodyDiv w:val="1"/>
      <w:marLeft w:val="0"/>
      <w:marRight w:val="0"/>
      <w:marTop w:val="0"/>
      <w:marBottom w:val="0"/>
      <w:divBdr>
        <w:top w:val="none" w:sz="0" w:space="0" w:color="auto"/>
        <w:left w:val="none" w:sz="0" w:space="0" w:color="auto"/>
        <w:bottom w:val="none" w:sz="0" w:space="0" w:color="auto"/>
        <w:right w:val="none" w:sz="0" w:space="0" w:color="auto"/>
      </w:divBdr>
    </w:div>
    <w:div w:id="1218661855">
      <w:bodyDiv w:val="1"/>
      <w:marLeft w:val="0"/>
      <w:marRight w:val="0"/>
      <w:marTop w:val="0"/>
      <w:marBottom w:val="0"/>
      <w:divBdr>
        <w:top w:val="none" w:sz="0" w:space="0" w:color="auto"/>
        <w:left w:val="none" w:sz="0" w:space="0" w:color="auto"/>
        <w:bottom w:val="none" w:sz="0" w:space="0" w:color="auto"/>
        <w:right w:val="none" w:sz="0" w:space="0" w:color="auto"/>
      </w:divBdr>
    </w:div>
    <w:div w:id="1228757824">
      <w:bodyDiv w:val="1"/>
      <w:marLeft w:val="0"/>
      <w:marRight w:val="0"/>
      <w:marTop w:val="0"/>
      <w:marBottom w:val="0"/>
      <w:divBdr>
        <w:top w:val="none" w:sz="0" w:space="0" w:color="auto"/>
        <w:left w:val="none" w:sz="0" w:space="0" w:color="auto"/>
        <w:bottom w:val="none" w:sz="0" w:space="0" w:color="auto"/>
        <w:right w:val="none" w:sz="0" w:space="0" w:color="auto"/>
      </w:divBdr>
    </w:div>
    <w:div w:id="1246648401">
      <w:bodyDiv w:val="1"/>
      <w:marLeft w:val="0"/>
      <w:marRight w:val="0"/>
      <w:marTop w:val="0"/>
      <w:marBottom w:val="0"/>
      <w:divBdr>
        <w:top w:val="none" w:sz="0" w:space="0" w:color="auto"/>
        <w:left w:val="none" w:sz="0" w:space="0" w:color="auto"/>
        <w:bottom w:val="none" w:sz="0" w:space="0" w:color="auto"/>
        <w:right w:val="none" w:sz="0" w:space="0" w:color="auto"/>
      </w:divBdr>
    </w:div>
    <w:div w:id="1262488184">
      <w:bodyDiv w:val="1"/>
      <w:marLeft w:val="0"/>
      <w:marRight w:val="0"/>
      <w:marTop w:val="0"/>
      <w:marBottom w:val="0"/>
      <w:divBdr>
        <w:top w:val="none" w:sz="0" w:space="0" w:color="auto"/>
        <w:left w:val="none" w:sz="0" w:space="0" w:color="auto"/>
        <w:bottom w:val="none" w:sz="0" w:space="0" w:color="auto"/>
        <w:right w:val="none" w:sz="0" w:space="0" w:color="auto"/>
      </w:divBdr>
    </w:div>
    <w:div w:id="1271937416">
      <w:bodyDiv w:val="1"/>
      <w:marLeft w:val="0"/>
      <w:marRight w:val="0"/>
      <w:marTop w:val="0"/>
      <w:marBottom w:val="0"/>
      <w:divBdr>
        <w:top w:val="none" w:sz="0" w:space="0" w:color="auto"/>
        <w:left w:val="none" w:sz="0" w:space="0" w:color="auto"/>
        <w:bottom w:val="none" w:sz="0" w:space="0" w:color="auto"/>
        <w:right w:val="none" w:sz="0" w:space="0" w:color="auto"/>
      </w:divBdr>
    </w:div>
    <w:div w:id="1310670707">
      <w:bodyDiv w:val="1"/>
      <w:marLeft w:val="0"/>
      <w:marRight w:val="0"/>
      <w:marTop w:val="0"/>
      <w:marBottom w:val="0"/>
      <w:divBdr>
        <w:top w:val="none" w:sz="0" w:space="0" w:color="auto"/>
        <w:left w:val="none" w:sz="0" w:space="0" w:color="auto"/>
        <w:bottom w:val="none" w:sz="0" w:space="0" w:color="auto"/>
        <w:right w:val="none" w:sz="0" w:space="0" w:color="auto"/>
      </w:divBdr>
    </w:div>
    <w:div w:id="1351176929">
      <w:bodyDiv w:val="1"/>
      <w:marLeft w:val="0"/>
      <w:marRight w:val="0"/>
      <w:marTop w:val="0"/>
      <w:marBottom w:val="0"/>
      <w:divBdr>
        <w:top w:val="none" w:sz="0" w:space="0" w:color="auto"/>
        <w:left w:val="none" w:sz="0" w:space="0" w:color="auto"/>
        <w:bottom w:val="none" w:sz="0" w:space="0" w:color="auto"/>
        <w:right w:val="none" w:sz="0" w:space="0" w:color="auto"/>
      </w:divBdr>
    </w:div>
    <w:div w:id="1432628510">
      <w:bodyDiv w:val="1"/>
      <w:marLeft w:val="0"/>
      <w:marRight w:val="0"/>
      <w:marTop w:val="0"/>
      <w:marBottom w:val="0"/>
      <w:divBdr>
        <w:top w:val="none" w:sz="0" w:space="0" w:color="auto"/>
        <w:left w:val="none" w:sz="0" w:space="0" w:color="auto"/>
        <w:bottom w:val="none" w:sz="0" w:space="0" w:color="auto"/>
        <w:right w:val="none" w:sz="0" w:space="0" w:color="auto"/>
      </w:divBdr>
    </w:div>
    <w:div w:id="1444690073">
      <w:bodyDiv w:val="1"/>
      <w:marLeft w:val="0"/>
      <w:marRight w:val="0"/>
      <w:marTop w:val="0"/>
      <w:marBottom w:val="0"/>
      <w:divBdr>
        <w:top w:val="none" w:sz="0" w:space="0" w:color="auto"/>
        <w:left w:val="none" w:sz="0" w:space="0" w:color="auto"/>
        <w:bottom w:val="none" w:sz="0" w:space="0" w:color="auto"/>
        <w:right w:val="none" w:sz="0" w:space="0" w:color="auto"/>
      </w:divBdr>
    </w:div>
    <w:div w:id="1463619287">
      <w:bodyDiv w:val="1"/>
      <w:marLeft w:val="0"/>
      <w:marRight w:val="0"/>
      <w:marTop w:val="0"/>
      <w:marBottom w:val="0"/>
      <w:divBdr>
        <w:top w:val="none" w:sz="0" w:space="0" w:color="auto"/>
        <w:left w:val="none" w:sz="0" w:space="0" w:color="auto"/>
        <w:bottom w:val="none" w:sz="0" w:space="0" w:color="auto"/>
        <w:right w:val="none" w:sz="0" w:space="0" w:color="auto"/>
      </w:divBdr>
    </w:div>
    <w:div w:id="1466699226">
      <w:bodyDiv w:val="1"/>
      <w:marLeft w:val="0"/>
      <w:marRight w:val="0"/>
      <w:marTop w:val="0"/>
      <w:marBottom w:val="0"/>
      <w:divBdr>
        <w:top w:val="none" w:sz="0" w:space="0" w:color="auto"/>
        <w:left w:val="none" w:sz="0" w:space="0" w:color="auto"/>
        <w:bottom w:val="none" w:sz="0" w:space="0" w:color="auto"/>
        <w:right w:val="none" w:sz="0" w:space="0" w:color="auto"/>
      </w:divBdr>
    </w:div>
    <w:div w:id="1472671360">
      <w:bodyDiv w:val="1"/>
      <w:marLeft w:val="0"/>
      <w:marRight w:val="0"/>
      <w:marTop w:val="0"/>
      <w:marBottom w:val="0"/>
      <w:divBdr>
        <w:top w:val="none" w:sz="0" w:space="0" w:color="auto"/>
        <w:left w:val="none" w:sz="0" w:space="0" w:color="auto"/>
        <w:bottom w:val="none" w:sz="0" w:space="0" w:color="auto"/>
        <w:right w:val="none" w:sz="0" w:space="0" w:color="auto"/>
      </w:divBdr>
    </w:div>
    <w:div w:id="1522401967">
      <w:bodyDiv w:val="1"/>
      <w:marLeft w:val="0"/>
      <w:marRight w:val="0"/>
      <w:marTop w:val="0"/>
      <w:marBottom w:val="0"/>
      <w:divBdr>
        <w:top w:val="none" w:sz="0" w:space="0" w:color="auto"/>
        <w:left w:val="none" w:sz="0" w:space="0" w:color="auto"/>
        <w:bottom w:val="none" w:sz="0" w:space="0" w:color="auto"/>
        <w:right w:val="none" w:sz="0" w:space="0" w:color="auto"/>
      </w:divBdr>
    </w:div>
    <w:div w:id="1558858094">
      <w:bodyDiv w:val="1"/>
      <w:marLeft w:val="0"/>
      <w:marRight w:val="0"/>
      <w:marTop w:val="0"/>
      <w:marBottom w:val="0"/>
      <w:divBdr>
        <w:top w:val="none" w:sz="0" w:space="0" w:color="auto"/>
        <w:left w:val="none" w:sz="0" w:space="0" w:color="auto"/>
        <w:bottom w:val="none" w:sz="0" w:space="0" w:color="auto"/>
        <w:right w:val="none" w:sz="0" w:space="0" w:color="auto"/>
      </w:divBdr>
    </w:div>
    <w:div w:id="1608539583">
      <w:bodyDiv w:val="1"/>
      <w:marLeft w:val="0"/>
      <w:marRight w:val="0"/>
      <w:marTop w:val="0"/>
      <w:marBottom w:val="0"/>
      <w:divBdr>
        <w:top w:val="none" w:sz="0" w:space="0" w:color="auto"/>
        <w:left w:val="none" w:sz="0" w:space="0" w:color="auto"/>
        <w:bottom w:val="none" w:sz="0" w:space="0" w:color="auto"/>
        <w:right w:val="none" w:sz="0" w:space="0" w:color="auto"/>
      </w:divBdr>
    </w:div>
    <w:div w:id="1612972109">
      <w:bodyDiv w:val="1"/>
      <w:marLeft w:val="0"/>
      <w:marRight w:val="0"/>
      <w:marTop w:val="0"/>
      <w:marBottom w:val="0"/>
      <w:divBdr>
        <w:top w:val="none" w:sz="0" w:space="0" w:color="auto"/>
        <w:left w:val="none" w:sz="0" w:space="0" w:color="auto"/>
        <w:bottom w:val="none" w:sz="0" w:space="0" w:color="auto"/>
        <w:right w:val="none" w:sz="0" w:space="0" w:color="auto"/>
      </w:divBdr>
    </w:div>
    <w:div w:id="1635721156">
      <w:bodyDiv w:val="1"/>
      <w:marLeft w:val="0"/>
      <w:marRight w:val="0"/>
      <w:marTop w:val="0"/>
      <w:marBottom w:val="0"/>
      <w:divBdr>
        <w:top w:val="none" w:sz="0" w:space="0" w:color="auto"/>
        <w:left w:val="none" w:sz="0" w:space="0" w:color="auto"/>
        <w:bottom w:val="none" w:sz="0" w:space="0" w:color="auto"/>
        <w:right w:val="none" w:sz="0" w:space="0" w:color="auto"/>
      </w:divBdr>
    </w:div>
    <w:div w:id="1641619270">
      <w:bodyDiv w:val="1"/>
      <w:marLeft w:val="0"/>
      <w:marRight w:val="0"/>
      <w:marTop w:val="0"/>
      <w:marBottom w:val="0"/>
      <w:divBdr>
        <w:top w:val="none" w:sz="0" w:space="0" w:color="auto"/>
        <w:left w:val="none" w:sz="0" w:space="0" w:color="auto"/>
        <w:bottom w:val="none" w:sz="0" w:space="0" w:color="auto"/>
        <w:right w:val="none" w:sz="0" w:space="0" w:color="auto"/>
      </w:divBdr>
    </w:div>
    <w:div w:id="1644115432">
      <w:bodyDiv w:val="1"/>
      <w:marLeft w:val="0"/>
      <w:marRight w:val="0"/>
      <w:marTop w:val="0"/>
      <w:marBottom w:val="0"/>
      <w:divBdr>
        <w:top w:val="none" w:sz="0" w:space="0" w:color="auto"/>
        <w:left w:val="none" w:sz="0" w:space="0" w:color="auto"/>
        <w:bottom w:val="none" w:sz="0" w:space="0" w:color="auto"/>
        <w:right w:val="none" w:sz="0" w:space="0" w:color="auto"/>
      </w:divBdr>
    </w:div>
    <w:div w:id="1653633204">
      <w:bodyDiv w:val="1"/>
      <w:marLeft w:val="0"/>
      <w:marRight w:val="0"/>
      <w:marTop w:val="0"/>
      <w:marBottom w:val="0"/>
      <w:divBdr>
        <w:top w:val="none" w:sz="0" w:space="0" w:color="auto"/>
        <w:left w:val="none" w:sz="0" w:space="0" w:color="auto"/>
        <w:bottom w:val="none" w:sz="0" w:space="0" w:color="auto"/>
        <w:right w:val="none" w:sz="0" w:space="0" w:color="auto"/>
      </w:divBdr>
    </w:div>
    <w:div w:id="1688603892">
      <w:bodyDiv w:val="1"/>
      <w:marLeft w:val="0"/>
      <w:marRight w:val="0"/>
      <w:marTop w:val="0"/>
      <w:marBottom w:val="0"/>
      <w:divBdr>
        <w:top w:val="none" w:sz="0" w:space="0" w:color="auto"/>
        <w:left w:val="none" w:sz="0" w:space="0" w:color="auto"/>
        <w:bottom w:val="none" w:sz="0" w:space="0" w:color="auto"/>
        <w:right w:val="none" w:sz="0" w:space="0" w:color="auto"/>
      </w:divBdr>
    </w:div>
    <w:div w:id="1747678456">
      <w:bodyDiv w:val="1"/>
      <w:marLeft w:val="0"/>
      <w:marRight w:val="0"/>
      <w:marTop w:val="0"/>
      <w:marBottom w:val="0"/>
      <w:divBdr>
        <w:top w:val="none" w:sz="0" w:space="0" w:color="auto"/>
        <w:left w:val="none" w:sz="0" w:space="0" w:color="auto"/>
        <w:bottom w:val="none" w:sz="0" w:space="0" w:color="auto"/>
        <w:right w:val="none" w:sz="0" w:space="0" w:color="auto"/>
      </w:divBdr>
    </w:div>
    <w:div w:id="1768236366">
      <w:bodyDiv w:val="1"/>
      <w:marLeft w:val="0"/>
      <w:marRight w:val="0"/>
      <w:marTop w:val="0"/>
      <w:marBottom w:val="0"/>
      <w:divBdr>
        <w:top w:val="none" w:sz="0" w:space="0" w:color="auto"/>
        <w:left w:val="none" w:sz="0" w:space="0" w:color="auto"/>
        <w:bottom w:val="none" w:sz="0" w:space="0" w:color="auto"/>
        <w:right w:val="none" w:sz="0" w:space="0" w:color="auto"/>
      </w:divBdr>
    </w:div>
    <w:div w:id="1771971789">
      <w:bodyDiv w:val="1"/>
      <w:marLeft w:val="0"/>
      <w:marRight w:val="0"/>
      <w:marTop w:val="0"/>
      <w:marBottom w:val="0"/>
      <w:divBdr>
        <w:top w:val="none" w:sz="0" w:space="0" w:color="auto"/>
        <w:left w:val="none" w:sz="0" w:space="0" w:color="auto"/>
        <w:bottom w:val="none" w:sz="0" w:space="0" w:color="auto"/>
        <w:right w:val="none" w:sz="0" w:space="0" w:color="auto"/>
      </w:divBdr>
    </w:div>
    <w:div w:id="1809935318">
      <w:bodyDiv w:val="1"/>
      <w:marLeft w:val="0"/>
      <w:marRight w:val="0"/>
      <w:marTop w:val="0"/>
      <w:marBottom w:val="0"/>
      <w:divBdr>
        <w:top w:val="none" w:sz="0" w:space="0" w:color="auto"/>
        <w:left w:val="none" w:sz="0" w:space="0" w:color="auto"/>
        <w:bottom w:val="none" w:sz="0" w:space="0" w:color="auto"/>
        <w:right w:val="none" w:sz="0" w:space="0" w:color="auto"/>
      </w:divBdr>
    </w:div>
    <w:div w:id="1829906704">
      <w:bodyDiv w:val="1"/>
      <w:marLeft w:val="0"/>
      <w:marRight w:val="0"/>
      <w:marTop w:val="0"/>
      <w:marBottom w:val="0"/>
      <w:divBdr>
        <w:top w:val="none" w:sz="0" w:space="0" w:color="auto"/>
        <w:left w:val="none" w:sz="0" w:space="0" w:color="auto"/>
        <w:bottom w:val="none" w:sz="0" w:space="0" w:color="auto"/>
        <w:right w:val="none" w:sz="0" w:space="0" w:color="auto"/>
      </w:divBdr>
    </w:div>
    <w:div w:id="1853837401">
      <w:bodyDiv w:val="1"/>
      <w:marLeft w:val="0"/>
      <w:marRight w:val="0"/>
      <w:marTop w:val="0"/>
      <w:marBottom w:val="0"/>
      <w:divBdr>
        <w:top w:val="none" w:sz="0" w:space="0" w:color="auto"/>
        <w:left w:val="none" w:sz="0" w:space="0" w:color="auto"/>
        <w:bottom w:val="none" w:sz="0" w:space="0" w:color="auto"/>
        <w:right w:val="none" w:sz="0" w:space="0" w:color="auto"/>
      </w:divBdr>
    </w:div>
    <w:div w:id="1879200067">
      <w:bodyDiv w:val="1"/>
      <w:marLeft w:val="0"/>
      <w:marRight w:val="0"/>
      <w:marTop w:val="0"/>
      <w:marBottom w:val="0"/>
      <w:divBdr>
        <w:top w:val="none" w:sz="0" w:space="0" w:color="auto"/>
        <w:left w:val="none" w:sz="0" w:space="0" w:color="auto"/>
        <w:bottom w:val="none" w:sz="0" w:space="0" w:color="auto"/>
        <w:right w:val="none" w:sz="0" w:space="0" w:color="auto"/>
      </w:divBdr>
    </w:div>
    <w:div w:id="1942369907">
      <w:bodyDiv w:val="1"/>
      <w:marLeft w:val="0"/>
      <w:marRight w:val="0"/>
      <w:marTop w:val="0"/>
      <w:marBottom w:val="0"/>
      <w:divBdr>
        <w:top w:val="none" w:sz="0" w:space="0" w:color="auto"/>
        <w:left w:val="none" w:sz="0" w:space="0" w:color="auto"/>
        <w:bottom w:val="none" w:sz="0" w:space="0" w:color="auto"/>
        <w:right w:val="none" w:sz="0" w:space="0" w:color="auto"/>
      </w:divBdr>
    </w:div>
    <w:div w:id="1954749940">
      <w:bodyDiv w:val="1"/>
      <w:marLeft w:val="0"/>
      <w:marRight w:val="0"/>
      <w:marTop w:val="0"/>
      <w:marBottom w:val="0"/>
      <w:divBdr>
        <w:top w:val="none" w:sz="0" w:space="0" w:color="auto"/>
        <w:left w:val="none" w:sz="0" w:space="0" w:color="auto"/>
        <w:bottom w:val="none" w:sz="0" w:space="0" w:color="auto"/>
        <w:right w:val="none" w:sz="0" w:space="0" w:color="auto"/>
      </w:divBdr>
    </w:div>
    <w:div w:id="1967157239">
      <w:bodyDiv w:val="1"/>
      <w:marLeft w:val="0"/>
      <w:marRight w:val="0"/>
      <w:marTop w:val="0"/>
      <w:marBottom w:val="0"/>
      <w:divBdr>
        <w:top w:val="none" w:sz="0" w:space="0" w:color="auto"/>
        <w:left w:val="none" w:sz="0" w:space="0" w:color="auto"/>
        <w:bottom w:val="none" w:sz="0" w:space="0" w:color="auto"/>
        <w:right w:val="none" w:sz="0" w:space="0" w:color="auto"/>
      </w:divBdr>
    </w:div>
    <w:div w:id="1979409630">
      <w:bodyDiv w:val="1"/>
      <w:marLeft w:val="0"/>
      <w:marRight w:val="0"/>
      <w:marTop w:val="0"/>
      <w:marBottom w:val="0"/>
      <w:divBdr>
        <w:top w:val="none" w:sz="0" w:space="0" w:color="auto"/>
        <w:left w:val="none" w:sz="0" w:space="0" w:color="auto"/>
        <w:bottom w:val="none" w:sz="0" w:space="0" w:color="auto"/>
        <w:right w:val="none" w:sz="0" w:space="0" w:color="auto"/>
      </w:divBdr>
    </w:div>
    <w:div w:id="2015064248">
      <w:bodyDiv w:val="1"/>
      <w:marLeft w:val="0"/>
      <w:marRight w:val="0"/>
      <w:marTop w:val="0"/>
      <w:marBottom w:val="0"/>
      <w:divBdr>
        <w:top w:val="none" w:sz="0" w:space="0" w:color="auto"/>
        <w:left w:val="none" w:sz="0" w:space="0" w:color="auto"/>
        <w:bottom w:val="none" w:sz="0" w:space="0" w:color="auto"/>
        <w:right w:val="none" w:sz="0" w:space="0" w:color="auto"/>
      </w:divBdr>
    </w:div>
    <w:div w:id="2026907765">
      <w:bodyDiv w:val="1"/>
      <w:marLeft w:val="0"/>
      <w:marRight w:val="0"/>
      <w:marTop w:val="0"/>
      <w:marBottom w:val="0"/>
      <w:divBdr>
        <w:top w:val="none" w:sz="0" w:space="0" w:color="auto"/>
        <w:left w:val="none" w:sz="0" w:space="0" w:color="auto"/>
        <w:bottom w:val="none" w:sz="0" w:space="0" w:color="auto"/>
        <w:right w:val="none" w:sz="0" w:space="0" w:color="auto"/>
      </w:divBdr>
    </w:div>
    <w:div w:id="2027629085">
      <w:bodyDiv w:val="1"/>
      <w:marLeft w:val="0"/>
      <w:marRight w:val="0"/>
      <w:marTop w:val="0"/>
      <w:marBottom w:val="0"/>
      <w:divBdr>
        <w:top w:val="none" w:sz="0" w:space="0" w:color="auto"/>
        <w:left w:val="none" w:sz="0" w:space="0" w:color="auto"/>
        <w:bottom w:val="none" w:sz="0" w:space="0" w:color="auto"/>
        <w:right w:val="none" w:sz="0" w:space="0" w:color="auto"/>
      </w:divBdr>
    </w:div>
    <w:div w:id="2031488892">
      <w:bodyDiv w:val="1"/>
      <w:marLeft w:val="0"/>
      <w:marRight w:val="0"/>
      <w:marTop w:val="0"/>
      <w:marBottom w:val="0"/>
      <w:divBdr>
        <w:top w:val="none" w:sz="0" w:space="0" w:color="auto"/>
        <w:left w:val="none" w:sz="0" w:space="0" w:color="auto"/>
        <w:bottom w:val="none" w:sz="0" w:space="0" w:color="auto"/>
        <w:right w:val="none" w:sz="0" w:space="0" w:color="auto"/>
      </w:divBdr>
    </w:div>
    <w:div w:id="2034308701">
      <w:bodyDiv w:val="1"/>
      <w:marLeft w:val="0"/>
      <w:marRight w:val="0"/>
      <w:marTop w:val="0"/>
      <w:marBottom w:val="0"/>
      <w:divBdr>
        <w:top w:val="none" w:sz="0" w:space="0" w:color="auto"/>
        <w:left w:val="none" w:sz="0" w:space="0" w:color="auto"/>
        <w:bottom w:val="none" w:sz="0" w:space="0" w:color="auto"/>
        <w:right w:val="none" w:sz="0" w:space="0" w:color="auto"/>
      </w:divBdr>
    </w:div>
    <w:div w:id="2078627492">
      <w:bodyDiv w:val="1"/>
      <w:marLeft w:val="0"/>
      <w:marRight w:val="0"/>
      <w:marTop w:val="0"/>
      <w:marBottom w:val="0"/>
      <w:divBdr>
        <w:top w:val="none" w:sz="0" w:space="0" w:color="auto"/>
        <w:left w:val="none" w:sz="0" w:space="0" w:color="auto"/>
        <w:bottom w:val="none" w:sz="0" w:space="0" w:color="auto"/>
        <w:right w:val="none" w:sz="0" w:space="0" w:color="auto"/>
      </w:divBdr>
    </w:div>
    <w:div w:id="2107068628">
      <w:bodyDiv w:val="1"/>
      <w:marLeft w:val="0"/>
      <w:marRight w:val="0"/>
      <w:marTop w:val="0"/>
      <w:marBottom w:val="0"/>
      <w:divBdr>
        <w:top w:val="none" w:sz="0" w:space="0" w:color="auto"/>
        <w:left w:val="none" w:sz="0" w:space="0" w:color="auto"/>
        <w:bottom w:val="none" w:sz="0" w:space="0" w:color="auto"/>
        <w:right w:val="none" w:sz="0" w:space="0" w:color="auto"/>
      </w:divBdr>
    </w:div>
    <w:div w:id="2107647253">
      <w:bodyDiv w:val="1"/>
      <w:marLeft w:val="0"/>
      <w:marRight w:val="0"/>
      <w:marTop w:val="0"/>
      <w:marBottom w:val="0"/>
      <w:divBdr>
        <w:top w:val="none" w:sz="0" w:space="0" w:color="auto"/>
        <w:left w:val="none" w:sz="0" w:space="0" w:color="auto"/>
        <w:bottom w:val="none" w:sz="0" w:space="0" w:color="auto"/>
        <w:right w:val="none" w:sz="0" w:space="0" w:color="auto"/>
      </w:divBdr>
    </w:div>
    <w:div w:id="212842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9141f25f53a44d35" Type="http://schemas.openxmlformats.org/officeDocument/2006/relationships/glossaryDocument" Target="/word/glossary/document.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openxmlformats.org/officeDocument/2006/relationships/customXml" Target="../customXml/item10.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8ebeef5-0865-4f0b-bff9-8ac8fcab3955}"/>
      </w:docPartPr>
      <w:docPartBody>
        <w:p w14:paraId="45D2A17A">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A6F160917708D44DAA59ECF9170FCC04" ma:contentTypeVersion="1493" ma:contentTypeDescription="The base project type from which other project content types inherit their information." ma:contentTypeScope="" ma:versionID="a6f83a98d7d3c8c4de021b99f8ac9551">
  <xsd:schema xmlns:xsd="http://www.w3.org/2001/XMLSchema" xmlns:xs="http://www.w3.org/2001/XMLSchema" xmlns:p="http://schemas.microsoft.com/office/2006/metadata/properties" xmlns:ns2="cdc7663a-08f0-4737-9e8c-148ce897a09c" targetNamespace="http://schemas.microsoft.com/office/2006/metadata/properties" ma:root="true" ma:fieldsID="f200b5e3be9412699667798dbc5acb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0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2365/BL-BO;</Approval_x0020_Number>
    <Phase xmlns="cdc7663a-08f0-4737-9e8c-148ce897a09c" xsi:nil="true"/>
    <Document_x0020_Author xmlns="cdc7663a-08f0-4737-9e8c-148ce897a09c">Urquidi Zijderveld, Manuel Enrique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HUMAN RESOURCES ＆ WORKFORCE DEVELOPMENT</TermName>
          <TermId xmlns="http://schemas.microsoft.com/office/infopath/2007/PartnerControls">3a930519-b636-4ec6-984c-84525e0cf029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55</Value>
      <Value>26</Value>
      <Value>65</Value>
      <Value>2</Value>
      <Value>29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BO-L1051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EZSHARE-2014126337-17</_dlc_DocId>
    <_dlc_DocIdUrl xmlns="cdc7663a-08f0-4737-9e8c-148ce897a09c">
      <Url>https://idbg.sharepoint.com/teams/EZ-BO-LON/BO-L1051/_layouts/15/DocIdRedir.aspx?ID=EZSHARE-2014126337-17</Url>
      <Description>EZSHARE-2014126337-17</Description>
    </_dlc_DocIdUrl>
    <Disclosure_x0020_Activity xmlns="cdc7663a-08f0-4737-9e8c-148ce897a09c">Project Completion Report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9A3D1C919678174BA6189F565DCE7789" ma:contentTypeVersion="2010" ma:contentTypeDescription="The base project type from which other project content types inherit their information." ma:contentTypeScope="" ma:versionID="6b81d5734f33acc55b330df2371c9742">
  <xsd:schema xmlns:xsd="http://www.w3.org/2001/XMLSchema" xmlns:xs="http://www.w3.org/2001/XMLSchema" xmlns:p="http://schemas.microsoft.com/office/2006/metadata/properties" xmlns:ns2="cdc7663a-08f0-4737-9e8c-148ce897a09c" targetNamespace="http://schemas.microsoft.com/office/2006/metadata/properties" ma:root="true" ma:fieldsID="7c9db3aa4790576f504f878cc6f35d7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0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D6069750473494A891D80276CA78AAA" ma:contentTypeVersion="2018" ma:contentTypeDescription="A content type to manage public (operations) IDB documents" ma:contentTypeScope="" ma:versionID="3b7e76fafa3d5c636ff35be72e549457">
  <xsd:schema xmlns:xsd="http://www.w3.org/2001/XMLSchema" xmlns:xs="http://www.w3.org/2001/XMLSchema" xmlns:p="http://schemas.microsoft.com/office/2006/metadata/properties" xmlns:ns2="cdc7663a-08f0-4737-9e8c-148ce897a09c" targetNamespace="http://schemas.microsoft.com/office/2006/metadata/properties" ma:root="true" ma:fieldsID="6a1753055e6810b5bdb5e10643c2940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0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15DF29-4E1C-4634-89E4-70A24BB09079}">
  <ds:schemaRefs>
    <ds:schemaRef ds:uri="http://schemas.openxmlformats.org/officeDocument/2006/bibliography"/>
  </ds:schemaRefs>
</ds:datastoreItem>
</file>

<file path=customXml/itemProps10.xml><?xml version="1.0" encoding="utf-8"?>
<ds:datastoreItem xmlns:ds="http://schemas.openxmlformats.org/officeDocument/2006/customXml" ds:itemID="{24DB540C-EB85-49E9-B7CA-9D815FB6491C}"/>
</file>

<file path=customXml/itemProps2.xml><?xml version="1.0" encoding="utf-8"?>
<ds:datastoreItem xmlns:ds="http://schemas.openxmlformats.org/officeDocument/2006/customXml" ds:itemID="{024A04BC-0D99-45A6-8E0D-0CAF49165E8C}"/>
</file>

<file path=customXml/itemProps3.xml><?xml version="1.0" encoding="utf-8"?>
<ds:datastoreItem xmlns:ds="http://schemas.openxmlformats.org/officeDocument/2006/customXml" ds:itemID="{38B6C70D-10D2-4B95-A0CE-E50B2619AF26}"/>
</file>

<file path=customXml/itemProps4.xml><?xml version="1.0" encoding="utf-8"?>
<ds:datastoreItem xmlns:ds="http://schemas.openxmlformats.org/officeDocument/2006/customXml" ds:itemID="{55E0C5F9-C89E-476F-B98E-C6DF89D7BD62}"/>
</file>

<file path=customXml/itemProps5.xml><?xml version="1.0" encoding="utf-8"?>
<ds:datastoreItem xmlns:ds="http://schemas.openxmlformats.org/officeDocument/2006/customXml" ds:itemID="{F520C84E-6258-4390-B82A-34EBD3A0B585}"/>
</file>

<file path=customXml/itemProps6.xml><?xml version="1.0" encoding="utf-8"?>
<ds:datastoreItem xmlns:ds="http://schemas.openxmlformats.org/officeDocument/2006/customXml" ds:itemID="{C2C98FEF-6502-4A12-947F-6517DF3AA06F}"/>
</file>

<file path=customXml/itemProps7.xml><?xml version="1.0" encoding="utf-8"?>
<ds:datastoreItem xmlns:ds="http://schemas.openxmlformats.org/officeDocument/2006/customXml" ds:itemID="{B8320887-49C2-447A-AD75-8BF80FCDF201}"/>
</file>

<file path=customXml/itemProps8.xml><?xml version="1.0" encoding="utf-8"?>
<ds:datastoreItem xmlns:ds="http://schemas.openxmlformats.org/officeDocument/2006/customXml" ds:itemID="{9ADB4AF8-7F04-42EB-87EC-A1578F3AE485}"/>
</file>

<file path=customXml/itemProps9.xml><?xml version="1.0" encoding="utf-8"?>
<ds:datastoreItem xmlns:ds="http://schemas.openxmlformats.org/officeDocument/2006/customXml" ds:itemID="{3D332B5B-9707-48C3-87D0-FBB88C5B468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Gaona, Tania Lucia</cp:lastModifiedBy>
  <cp:revision>4</cp:revision>
  <cp:lastPrinted>2016-10-26T14:23:00Z</cp:lastPrinted>
  <dcterms:created xsi:type="dcterms:W3CDTF">2019-01-22T22:12:00Z</dcterms:created>
  <dcterms:modified xsi:type="dcterms:W3CDTF">2019-01-24T22:54:38Z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65;#HUMAN RESOURCES ＆ WORKFORCE DEVELOPMENT|3a930519-b636-4ec6-984c-84525e0cf029</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55;#SOCIAL INVESTMENT|3f908695-d5b5-49f6-941f-76876b39564f</vt:lpwstr>
  </property>
  <property fmtid="{D5CDD505-2E9C-101B-9397-08002B2CF9AE}" pid="10" name="Function Operations IDB">
    <vt:lpwstr>2;#Monitoring and Reporting|df3c2aa1-d63e-41aa-b1f5-bb15dee691ca</vt:lpwstr>
  </property>
  <property fmtid="{D5CDD505-2E9C-101B-9397-08002B2CF9AE}" pid="11" name="_dlc_DocIdItemGuid">
    <vt:lpwstr>2d73f816-72f3-4c96-8c32-b2b6396e5ae1</vt:lpwstr>
  </property>
  <property fmtid="{D5CDD505-2E9C-101B-9397-08002B2CF9AE}" pid="12" name="AuthorIds_UIVersion_2">
    <vt:lpwstr>225</vt:lpwstr>
  </property>
  <property fmtid="{D5CDD505-2E9C-101B-9397-08002B2CF9AE}" pid="13" name="ContentTypeId">
    <vt:lpwstr>0x0101001A458A224826124E8B45B1D613300CFC004D6069750473494A891D80276CA78AAA</vt:lpwstr>
  </property>
</Properties>
</file>