
<file path=[Content_Types].xml><?xml version="1.0" encoding="utf-8"?>
<Types xmlns="http://schemas.openxmlformats.org/package/2006/content-types">
  <Default Extension="png" ContentType="image/png"/>
  <Default Extension="bmp" ContentType="image/bmp"/>
  <Default Extension="pdf" ContentType="application/pdf"/>
  <Default Extension="rels" ContentType="application/vnd.openxmlformats-package.relationships+xml"/>
  <Default Extension="jpeg" ContentType="image/jpg"/>
  <Default Extension="mov" ContentType="application/movie"/>
  <Default Extension="xml" ContentType="application/xml"/>
  <Default Extension="gif" ContentType="image/gif"/>
  <Default Extension="tif" ContentType="image/tif"/>
  <Default Extension="vml" ContentType="application/vnd.openxmlformats-officedocument.vmlDrawing"/>
  <Default Extension="xlsx" ContentType="application/vnd.openxmlformats-officedocument.spreadsheetml.sheet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 B A"/>
        <w:shd w:val="clear" w:color="auto" w:fill="ffffff"/>
        <w:jc w:val="center"/>
        <w:rPr>
          <w:rStyle w:val="Ninguno"/>
          <w:rFonts w:ascii="Arial" w:cs="Arial" w:hAnsi="Arial" w:eastAsia="Arial"/>
          <w:b w:val="1"/>
          <w:bCs w:val="1"/>
          <w:sz w:val="28"/>
          <w:szCs w:val="28"/>
        </w:rPr>
      </w:pPr>
      <w:r>
        <w:rPr>
          <w:rStyle w:val="Ninguno"/>
          <w:rFonts w:ascii="Arial" w:hAnsi="Arial"/>
          <w:b w:val="1"/>
          <w:bCs w:val="1"/>
          <w:sz w:val="28"/>
          <w:szCs w:val="28"/>
          <w:rtl w:val="0"/>
          <w:lang w:val="es-ES_tradnl"/>
        </w:rPr>
        <w:t>Plan de Adquisiciones</w:t>
      </w:r>
      <w:r>
        <w:rPr>
          <w:rStyle w:val="Ninguno"/>
          <w:rFonts w:ascii="Arial" w:cs="Arial" w:hAnsi="Arial" w:eastAsia="Arial"/>
          <w:b w:val="1"/>
          <w:bCs w:val="1"/>
          <w:sz w:val="28"/>
          <w:szCs w:val="28"/>
          <w:vertAlign w:val="superscript"/>
        </w:rPr>
        <w:footnoteReference w:id="1"/>
      </w:r>
    </w:p>
    <w:p>
      <w:pPr>
        <w:pStyle w:val="Cuerpo B A"/>
        <w:shd w:val="clear" w:color="auto" w:fill="ffffff"/>
        <w:rPr>
          <w:rFonts w:ascii="Arial" w:cs="Arial" w:hAnsi="Arial" w:eastAsia="Arial"/>
          <w:b w:val="1"/>
          <w:bCs w:val="1"/>
          <w:sz w:val="22"/>
          <w:szCs w:val="22"/>
        </w:rPr>
      </w:pPr>
    </w:p>
    <w:tbl>
      <w:tblPr>
        <w:tblW w:w="9360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508"/>
        <w:gridCol w:w="780"/>
        <w:gridCol w:w="780"/>
        <w:gridCol w:w="780"/>
        <w:gridCol w:w="782"/>
        <w:gridCol w:w="1040"/>
        <w:gridCol w:w="911"/>
        <w:gridCol w:w="779"/>
      </w:tblGrid>
      <w:tr>
        <w:tblPrEx>
          <w:shd w:val="clear" w:color="auto" w:fill="cdd4e9"/>
        </w:tblPrEx>
        <w:trPr>
          <w:trHeight w:val="106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COMPONENTE - PRODUCTOS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Costo Estimado USD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M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é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todo adquisici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ó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n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Revisi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ó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n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Fuente BID 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 xml:space="preserve"> Fuente Local 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Fecha estimada finalizaci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ó</w:t>
            </w: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n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Bienes o Servicios</w:t>
            </w:r>
          </w:p>
        </w:tc>
      </w:tr>
      <w:tr>
        <w:tblPrEx>
          <w:shd w:val="clear" w:color="auto" w:fill="cdd4e9"/>
        </w:tblPrEx>
        <w:trPr>
          <w:trHeight w:val="480" w:hRule="atLeast"/>
        </w:trPr>
        <w:tc>
          <w:tcPr>
            <w:tcW w:type="dxa" w:w="663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I-Consolidaci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de la Agencia de Inversiones y Comercio Exterior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8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1.1. Intercambio de experiencias - buenas pr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á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cticas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7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    4 Agencias de Promoci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Exitosas relevadas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3.300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N/C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Ex post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0%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100%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Marzo19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66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B"/>
            </w:pPr>
            <w:r>
              <w:rPr>
                <w:rStyle w:val="Ninguno"/>
                <w:rFonts w:ascii="Calibri" w:cs="Calibri" w:hAnsi="Calibri" w:eastAsia="Calibri"/>
                <w:sz w:val="18"/>
                <w:szCs w:val="18"/>
                <w:rtl w:val="0"/>
                <w:lang w:val="es-ES_tradnl"/>
              </w:rPr>
              <w:t xml:space="preserve">     2 Agencias de Promoci</w:t>
            </w:r>
            <w:r>
              <w:rPr>
                <w:rStyle w:val="Ninguno"/>
                <w:rFonts w:ascii="Calibri" w:cs="Calibri" w:hAnsi="Calibri" w:eastAsia="Calibri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rFonts w:ascii="Calibri" w:cs="Calibri" w:hAnsi="Calibri" w:eastAsia="Calibri"/>
                <w:sz w:val="18"/>
                <w:szCs w:val="18"/>
                <w:rtl w:val="0"/>
                <w:lang w:val="es-ES_tradnl"/>
              </w:rPr>
              <w:t>n visitadas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25.000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CD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Ex post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100%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B"/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  <w:rtl w:val="0"/>
                <w:lang w:val="es-ES_tradnl"/>
              </w:rPr>
              <w:t>0%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Agosto 19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47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B"/>
            </w:pPr>
            <w:r>
              <w:rPr>
                <w:rStyle w:val="Ninguno"/>
                <w:rFonts w:ascii="Calibri" w:cs="Calibri" w:hAnsi="Calibri" w:eastAsia="Calibri"/>
                <w:sz w:val="18"/>
                <w:szCs w:val="18"/>
                <w:rtl w:val="0"/>
                <w:lang w:val="es-ES_tradnl"/>
              </w:rPr>
              <w:t xml:space="preserve">     2 </w:t>
            </w:r>
            <w:r>
              <w:rPr>
                <w:rStyle w:val="Ninguno"/>
                <w:rFonts w:ascii="Calibri" w:cs="Calibri" w:hAnsi="Calibri" w:eastAsia="Calibri"/>
                <w:sz w:val="18"/>
                <w:szCs w:val="18"/>
                <w:shd w:val="clear" w:color="auto" w:fill="feffff"/>
                <w:rtl w:val="0"/>
                <w:lang w:val="es-ES_tradnl"/>
              </w:rPr>
              <w:t>Capacitaciones para PYMEs de PBA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12.000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CD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Ex post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100%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B"/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  <w:rtl w:val="0"/>
                <w:lang w:val="es-ES_tradnl"/>
              </w:rPr>
              <w:t>0%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Abril 19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48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II- Interacci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n en el 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á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mbito Internacional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8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B A"/>
            </w:pPr>
            <w:r>
              <w:rPr>
                <w:rStyle w:val="Ninguno"/>
                <w:rFonts w:ascii="Calibri" w:cs="Calibri" w:hAnsi="Calibri" w:eastAsia="Calibri"/>
                <w:sz w:val="18"/>
                <w:szCs w:val="18"/>
                <w:shd w:val="clear" w:color="auto" w:fill="feffff"/>
                <w:rtl w:val="0"/>
                <w:lang w:val="es-ES_tradnl"/>
              </w:rPr>
              <w:t xml:space="preserve">6 </w:t>
            </w:r>
            <w:r>
              <w:rPr>
                <w:rStyle w:val="Ninguno"/>
                <w:rFonts w:ascii="Calibri" w:cs="Calibri" w:hAnsi="Calibri" w:eastAsia="Calibri"/>
                <w:sz w:val="18"/>
                <w:szCs w:val="18"/>
                <w:shd w:val="clear" w:color="auto" w:fill="feffff"/>
                <w:rtl w:val="0"/>
                <w:lang w:val="es-ES_tradnl"/>
              </w:rPr>
              <w:t>F</w:t>
            </w:r>
            <w:r>
              <w:rPr>
                <w:rStyle w:val="Ninguno"/>
                <w:rFonts w:ascii="Arial" w:hAnsi="Arial"/>
                <w:sz w:val="18"/>
                <w:szCs w:val="18"/>
                <w:shd w:val="clear" w:color="auto" w:fill="feffff"/>
                <w:rtl w:val="0"/>
                <w:lang w:val="en-US"/>
              </w:rPr>
              <w:t>oros internacionales especializados</w:t>
            </w:r>
            <w:r>
              <w:rPr>
                <w:rStyle w:val="Ninguno"/>
                <w:rFonts w:ascii="Calibri" w:cs="Calibri" w:hAnsi="Calibri" w:eastAsia="Calibri"/>
                <w:sz w:val="18"/>
                <w:szCs w:val="18"/>
                <w:shd w:val="clear" w:color="auto" w:fill="feffff"/>
                <w:rtl w:val="0"/>
                <w:lang w:val="es-ES_tradnl"/>
              </w:rPr>
              <w:t xml:space="preserve"> 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240.000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PC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Ex post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79%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21%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Nov 2019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48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III- Posicionamiento Internacional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8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3.1. Firma Consultora Contratada- Agencia de comunicaci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USD     52.000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USD    10.000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USD    62.000              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7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16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  <w:ind w:left="336" w:hanging="336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      Estrategia y piezas de comunicaci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producidas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62.000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CQS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Ex post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84%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16%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Nov 19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47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3.2 Gu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 del Inversor desarrollada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15.000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CQNI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Ex post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66,6%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33,3%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Marzo 19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48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Administraci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y evaluaci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4c6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66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Administraci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y seguimiento de las actividades descriptas en los componentes I, II y II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6.000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u w:color="ff0000"/>
                <w:rtl w:val="0"/>
                <w:lang w:val="es-ES_tradnl"/>
              </w:rPr>
              <w:t>CQS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Ex Post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100%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B"/>
              <w:jc w:val="center"/>
            </w:pPr>
            <w:r>
              <w:rPr>
                <w:rStyle w:val="Ninguno"/>
                <w:rFonts w:ascii="Calibri" w:cs="Calibri" w:hAnsi="Calibri" w:eastAsia="Calibri"/>
                <w:sz w:val="18"/>
                <w:szCs w:val="18"/>
                <w:rtl w:val="0"/>
                <w:lang w:val="en-US"/>
              </w:rPr>
              <w:t>0%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470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Consultor para Evaluaci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del programa contratado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5.000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CQNI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100%</w:t>
            </w:r>
          </w:p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B"/>
              <w:jc w:val="center"/>
            </w:pPr>
            <w:r>
              <w:rPr>
                <w:rStyle w:val="Ninguno"/>
                <w:rFonts w:ascii="Calibri" w:cs="Calibri" w:hAnsi="Calibri" w:eastAsia="Calibri"/>
                <w:sz w:val="18"/>
                <w:szCs w:val="18"/>
                <w:rtl w:val="0"/>
                <w:lang w:val="en-US"/>
              </w:rPr>
              <w:t>0%</w:t>
            </w:r>
          </w:p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center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</w:t>
            </w:r>
          </w:p>
        </w:tc>
      </w:tr>
      <w:tr>
        <w:tblPrEx>
          <w:shd w:val="clear" w:color="auto" w:fill="cdd4e9"/>
        </w:tblPrEx>
        <w:trPr>
          <w:trHeight w:val="465" w:hRule="atLeast"/>
        </w:trPr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</w:pPr>
            <w:r>
              <w:rPr>
                <w:rStyle w:val="Ninguno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TOTAL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uerpo A"/>
              <w:spacing w:after="0" w:line="240" w:lineRule="auto"/>
              <w:jc w:val="right"/>
            </w:pPr>
            <w:r>
              <w:rPr>
                <w:rStyle w:val="Ninguno"/>
                <w:b w:val="1"/>
                <w:bCs w:val="1"/>
                <w:color w:val="ffffff"/>
                <w:sz w:val="18"/>
                <w:szCs w:val="18"/>
                <w:u w:color="ffffff"/>
                <w:rtl w:val="0"/>
                <w:lang w:val="es-ES_tradnl"/>
              </w:rPr>
              <w:t>368.000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70c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uerpo B A"/>
        <w:widowControl w:val="0"/>
        <w:shd w:val="clear" w:color="auto" w:fill="ffffff"/>
        <w:ind w:left="216" w:hanging="216"/>
        <w:jc w:val="center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Cuerpo B A"/>
        <w:widowControl w:val="0"/>
        <w:shd w:val="clear" w:color="auto" w:fill="ffffff"/>
        <w:ind w:left="108" w:hanging="108"/>
        <w:jc w:val="center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Cuerpo B A"/>
        <w:widowControl w:val="0"/>
        <w:shd w:val="clear" w:color="auto" w:fill="ffffff"/>
        <w:jc w:val="center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Cuerpo B A"/>
        <w:shd w:val="clear" w:color="auto" w:fill="ffffff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Cuerpo B A"/>
        <w:shd w:val="clear" w:color="auto" w:fill="ffffff"/>
      </w:pPr>
      <w:r>
        <w:rPr>
          <w:rStyle w:val="Ninguno"/>
          <w:rFonts w:ascii="Arial" w:hAnsi="Arial"/>
          <w:sz w:val="18"/>
          <w:szCs w:val="18"/>
          <w:rtl w:val="0"/>
          <w:lang w:val="en-US"/>
        </w:rPr>
        <w:t xml:space="preserve">Referencias: N/C no corresponde; DC direct contracting; PC price comparison; CQS selection based on the consultants qualifications; CQNI selection based on comparison of qualifications of national individual consutants. 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Style w:val="Ninguno"/>
          <w:rFonts w:ascii="Arial" w:cs="Arial" w:hAnsi="Arial" w:eastAsia="Arial"/>
          <w:b w:val="1"/>
          <w:bCs w:val="1"/>
          <w:sz w:val="28"/>
          <w:szCs w:val="28"/>
          <w:vertAlign w:val="superscript"/>
          <w:lang w:val="es-ES_tradnl"/>
        </w:rPr>
        <w:footnoteRef/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 xml:space="preserve"> Per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í</w:t>
      </w:r>
      <w:r>
        <w:rPr>
          <w:rStyle w:val="Ninguno"/>
          <w:rFonts w:ascii="Calibri" w:cs="Calibri" w:hAnsi="Calibri" w:eastAsia="Calibri"/>
          <w:sz w:val="18"/>
          <w:szCs w:val="18"/>
          <w:rtl w:val="0"/>
          <w:lang w:val="es-ES_tradnl"/>
        </w:rPr>
        <w:t>odo comprendido en el Plan de Adquisiciones: septiembre 2018- noviembre 2019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uerpo B A">
    <w:name w:val="Cuerpo B A"/>
    <w:next w:val="Cuerpo B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s-ES_tradnl"/>
    </w:rPr>
  </w:style>
  <w:style w:type="character" w:styleId="Ninguno">
    <w:name w:val="Ninguno"/>
    <w:rPr>
      <w:lang w:val="es-ES_tradnl"/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Cuerpo A">
    <w:name w:val="Cuerpo A"/>
    <w:next w:val="Cue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paragraph" w:styleId="Cuerpo B">
    <w:name w:val="Cuerpo B"/>
    <w:next w:val="Cuerpo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s-ES_tradn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footnotes" Target="footnotes.xml"/><Relationship Id="rId11" Type="http://schemas.openxmlformats.org/officeDocument/2006/relationships/customXml" Target="../customXml/item4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968302528E6BB45B88C6C411E78D6DE" ma:contentTypeVersion="434" ma:contentTypeDescription="A content type to manage public (operations) IDB documents" ma:contentTypeScope="" ma:versionID="b155fbbcfb83e0110b21814e39b84d4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de13b8a36efc4a5e9db1e46c3687c3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ATN/OC-17063-AR;</Approval_x0020_Number>
    <Phase xmlns="cdc7663a-08f0-4737-9e8c-148ce897a09c" xsi:nil="true"/>
    <Document_x0020_Author xmlns="cdc7663a-08f0-4737-9e8c-148ce897a09c">Gomez Gonzalez,Maria Margarita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 AND INVESTMENT AGREEMENTS AND REGULATIONS</TermName>
          <TermId xmlns="http://schemas.microsoft.com/office/infopath/2007/PartnerControls">b949d09a-dee4-4026-936a-2c03c8a85705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RIN</TermName>
          <TermId xmlns="http://schemas.microsoft.com/office/infopath/2007/PartnerControls">1f24c1c3-8b43-4567-b6c6-b7c857230d8b</TermId>
        </TermInfo>
      </Terms>
    </g511464f9e53401d84b16fa9b379a574>
    <Related_x0020_SisCor_x0020_Number xmlns="cdc7663a-08f0-4737-9e8c-148ce897a09c" xsi:nil="true"/>
    <TaxCatchAll xmlns="cdc7663a-08f0-4737-9e8c-148ce897a09c">
      <Value>272</Value>
      <Value>271</Value>
      <Value>2</Value>
      <Value>36</Value>
      <Value>28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AR-T1219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Record_x0020_Number xmlns="cdc7663a-08f0-4737-9e8c-148ce897a09c">R0002890210</Record_x0020_Number>
    <_dlc_DocId xmlns="cdc7663a-08f0-4737-9e8c-148ce897a09c">EZSHARE-2017222348-5</_dlc_DocId>
    <_dlc_DocIdUrl xmlns="cdc7663a-08f0-4737-9e8c-148ce897a09c">
      <Url>https://idbg.sharepoint.com/teams/EZ-AR-TCP/AR-T1219/_layouts/15/DocIdRedir.aspx?ID=EZSHARE-2017222348-5</Url>
      <Description>EZSHARE-2017222348-5</Description>
    </_dlc_DocIdUrl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EEA4C92-FCF4-46FF-997A-38A0571D87EB}"/>
</file>

<file path=customXml/itemProps2.xml><?xml version="1.0" encoding="utf-8"?>
<ds:datastoreItem xmlns:ds="http://schemas.openxmlformats.org/officeDocument/2006/customXml" ds:itemID="{6C501A00-CFAC-47B5-AD8A-E4998CC0FACE}"/>
</file>

<file path=customXml/itemProps3.xml><?xml version="1.0" encoding="utf-8"?>
<ds:datastoreItem xmlns:ds="http://schemas.openxmlformats.org/officeDocument/2006/customXml" ds:itemID="{7F198C9F-4A78-403D-A87F-8630F01F5ADB}"/>
</file>

<file path=customXml/itemProps4.xml><?xml version="1.0" encoding="utf-8"?>
<ds:datastoreItem xmlns:ds="http://schemas.openxmlformats.org/officeDocument/2006/customXml" ds:itemID="{809F27DB-89FF-493F-B743-31E06AD2A6C6}"/>
</file>

<file path=customXml/itemProps5.xml><?xml version="1.0" encoding="utf-8"?>
<ds:datastoreItem xmlns:ds="http://schemas.openxmlformats.org/officeDocument/2006/customXml" ds:itemID="{E4C75A5E-EA64-4D53-98DC-B5A16466A4A8}"/>
</file>

<file path=customXml/itemProps6.xml><?xml version="1.0" encoding="utf-8"?>
<ds:datastoreItem xmlns:ds="http://schemas.openxmlformats.org/officeDocument/2006/customXml" ds:itemID="{B7E726F9-2BED-40BA-ADD7-98F3FD574330}"/>
</file>

<file path=customXml/itemProps7.xml><?xml version="1.0" encoding="utf-8"?>
<ds:datastoreItem xmlns:ds="http://schemas.openxmlformats.org/officeDocument/2006/customXml" ds:itemID="{15C8FC98-E5E9-4E24-9455-FBEC4672150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272;#TRADE AND INVESTMENT AGREEMENTS AND REGULATIONS|b949d09a-dee4-4026-936a-2c03c8a85705</vt:lpwstr>
  </property>
  <property fmtid="{D5CDD505-2E9C-101B-9397-08002B2CF9AE}" pid="7" name="Fund IDB">
    <vt:lpwstr>271;#RIN|1f24c1c3-8b43-4567-b6c6-b7c857230d8b</vt:lpwstr>
  </property>
  <property fmtid="{D5CDD505-2E9C-101B-9397-08002B2CF9AE}" pid="8" name="Country">
    <vt:lpwstr>28;#Argentina|eb1b705c-195f-4c3b-9661-b201f2fee3c5</vt:lpwstr>
  </property>
  <property fmtid="{D5CDD505-2E9C-101B-9397-08002B2CF9AE}" pid="9" name="Sector IDB">
    <vt:lpwstr>36;#TRADE|4f84c989-30b4-4e40-b7c1-3021a996f7c5</vt:lpwstr>
  </property>
  <property fmtid="{D5CDD505-2E9C-101B-9397-08002B2CF9AE}" pid="10" name="Function Operations IDB">
    <vt:lpwstr>2;#Project Preparation, Planning and Design|29ca0c72-1fc4-435f-a09c-28585cb5eac9</vt:lpwstr>
  </property>
  <property fmtid="{D5CDD505-2E9C-101B-9397-08002B2CF9AE}" pid="11" name="_dlc_DocIdItemGuid">
    <vt:lpwstr>ec8a160b-a404-437b-82b7-d110afeb3cd2</vt:lpwstr>
  </property>
  <property fmtid="{D5CDD505-2E9C-101B-9397-08002B2CF9AE}" pid="12" name="ContentTypeId">
    <vt:lpwstr>0x0101001A458A224826124E8B45B1D613300CFC003968302528E6BB45B88C6C411E78D6DE</vt:lpwstr>
  </property>
</Properties>
</file>