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D32A4" w14:textId="62D2C6C1" w:rsidR="00603B21" w:rsidRPr="00603B21" w:rsidRDefault="00603B21" w:rsidP="00603B21">
      <w:pPr>
        <w:jc w:val="center"/>
        <w:rPr>
          <w:rFonts w:ascii="Arial" w:hAnsi="Arial" w:cs="Arial"/>
          <w:b/>
          <w:smallCaps/>
          <w:sz w:val="20"/>
          <w:szCs w:val="20"/>
        </w:rPr>
      </w:pPr>
      <w:proofErr w:type="spellStart"/>
      <w:r w:rsidRPr="00603B21">
        <w:rPr>
          <w:rFonts w:ascii="Arial" w:hAnsi="Arial" w:cs="Arial"/>
          <w:b/>
          <w:smallCaps/>
          <w:sz w:val="20"/>
          <w:szCs w:val="20"/>
        </w:rPr>
        <w:t>Problem</w:t>
      </w:r>
      <w:proofErr w:type="spellEnd"/>
      <w:r w:rsidRPr="00603B21">
        <w:rPr>
          <w:rFonts w:ascii="Arial" w:hAnsi="Arial" w:cs="Arial"/>
          <w:b/>
          <w:smallCaps/>
          <w:sz w:val="20"/>
          <w:szCs w:val="20"/>
        </w:rPr>
        <w:t xml:space="preserve"> Matrix</w:t>
      </w:r>
    </w:p>
    <w:tbl>
      <w:tblPr>
        <w:tblStyle w:val="TableGrid"/>
        <w:tblW w:w="14688" w:type="dxa"/>
        <w:tblLook w:val="04A0" w:firstRow="1" w:lastRow="0" w:firstColumn="1" w:lastColumn="0" w:noHBand="0" w:noVBand="1"/>
      </w:tblPr>
      <w:tblGrid>
        <w:gridCol w:w="4968"/>
        <w:gridCol w:w="3870"/>
        <w:gridCol w:w="5850"/>
      </w:tblGrid>
      <w:tr w:rsidR="00F578C2" w:rsidRPr="00603B21" w14:paraId="58BBAA30" w14:textId="77777777" w:rsidTr="00FC12D6">
        <w:trPr>
          <w:trHeight w:val="530"/>
        </w:trPr>
        <w:tc>
          <w:tcPr>
            <w:tcW w:w="14688" w:type="dxa"/>
            <w:gridSpan w:val="3"/>
            <w:shd w:val="clear" w:color="auto" w:fill="C6D9F1" w:themeFill="text2" w:themeFillTint="33"/>
            <w:vAlign w:val="center"/>
          </w:tcPr>
          <w:p w14:paraId="51FC57A8" w14:textId="2E624632" w:rsidR="00F578C2" w:rsidRPr="00603B21" w:rsidRDefault="00F578C2" w:rsidP="00603A6A">
            <w:pPr>
              <w:jc w:val="center"/>
              <w:rPr>
                <w:rFonts w:ascii="Arial" w:hAnsi="Arial" w:cs="Arial"/>
                <w:b/>
                <w:sz w:val="20"/>
                <w:szCs w:val="20"/>
                <w:lang w:val="en-US"/>
              </w:rPr>
            </w:pPr>
            <w:r w:rsidRPr="00603B21">
              <w:rPr>
                <w:rFonts w:ascii="Arial" w:hAnsi="Arial" w:cs="Arial"/>
                <w:b/>
                <w:sz w:val="20"/>
                <w:szCs w:val="20"/>
                <w:lang w:val="en-US"/>
              </w:rPr>
              <w:t>Belize Tax Administration Modernization</w:t>
            </w:r>
          </w:p>
        </w:tc>
      </w:tr>
      <w:tr w:rsidR="001512F0" w:rsidRPr="00603B21" w14:paraId="50535CDD" w14:textId="77777777" w:rsidTr="00B8204F">
        <w:tc>
          <w:tcPr>
            <w:tcW w:w="14688" w:type="dxa"/>
            <w:gridSpan w:val="3"/>
            <w:shd w:val="clear" w:color="auto" w:fill="auto"/>
          </w:tcPr>
          <w:p w14:paraId="52C031AC" w14:textId="77777777" w:rsidR="002A24E0" w:rsidRPr="00603B21" w:rsidRDefault="002A24E0" w:rsidP="002A24E0">
            <w:pPr>
              <w:pStyle w:val="Paragraph"/>
              <w:tabs>
                <w:tab w:val="clear" w:pos="6066"/>
                <w:tab w:val="num" w:pos="5400"/>
              </w:tabs>
              <w:ind w:left="720" w:hanging="666"/>
              <w:rPr>
                <w:rFonts w:ascii="Arial" w:hAnsi="Arial" w:cs="Arial"/>
                <w:sz w:val="20"/>
                <w:lang w:val="en-US"/>
              </w:rPr>
            </w:pPr>
            <w:r w:rsidRPr="00603B21">
              <w:rPr>
                <w:rFonts w:ascii="Arial" w:hAnsi="Arial" w:cs="Arial"/>
                <w:b/>
                <w:sz w:val="20"/>
                <w:lang w:val="en-US"/>
              </w:rPr>
              <w:t xml:space="preserve">The economy of Belize is challenged by low economic growth.  </w:t>
            </w:r>
            <w:r w:rsidRPr="00603B21">
              <w:rPr>
                <w:rFonts w:ascii="Arial" w:hAnsi="Arial" w:cs="Arial"/>
                <w:sz w:val="20"/>
                <w:lang w:val="en-US"/>
              </w:rPr>
              <w:t>During the period of 2008-2014, the average annual growth rate was 2.7%, while in 2015-2018 it decreased to 1.7%.</w:t>
            </w:r>
            <w:r w:rsidRPr="00603B21">
              <w:rPr>
                <w:rStyle w:val="FootnoteReference"/>
                <w:rFonts w:ascii="Arial" w:eastAsiaTheme="majorEastAsia" w:hAnsi="Arial" w:cs="Arial"/>
                <w:bCs/>
                <w:sz w:val="20"/>
                <w:lang w:val="en-US"/>
              </w:rPr>
              <w:footnoteReference w:id="1"/>
            </w:r>
            <w:r w:rsidRPr="00603B21">
              <w:rPr>
                <w:rFonts w:ascii="Arial" w:hAnsi="Arial" w:cs="Arial"/>
                <w:sz w:val="20"/>
                <w:lang w:val="en-US"/>
              </w:rPr>
              <w:t xml:space="preserve"> Although the recovery after the recession of 2016, growth expectations for the medium-term remain modest at 2%.</w:t>
            </w:r>
          </w:p>
          <w:p w14:paraId="323E8022" w14:textId="093DB065" w:rsidR="002A24E0" w:rsidRPr="00603B21" w:rsidRDefault="002A24E0" w:rsidP="002A24E0">
            <w:pPr>
              <w:pStyle w:val="Paragraph"/>
              <w:tabs>
                <w:tab w:val="clear" w:pos="6066"/>
                <w:tab w:val="num" w:pos="5400"/>
              </w:tabs>
              <w:ind w:left="720" w:hanging="666"/>
              <w:rPr>
                <w:rFonts w:ascii="Arial" w:hAnsi="Arial" w:cs="Arial"/>
                <w:sz w:val="20"/>
                <w:lang w:val="en-US"/>
              </w:rPr>
            </w:pPr>
            <w:r w:rsidRPr="00603B21">
              <w:rPr>
                <w:rFonts w:ascii="Arial" w:hAnsi="Arial" w:cs="Arial"/>
                <w:b/>
                <w:sz w:val="20"/>
                <w:shd w:val="clear" w:color="auto" w:fill="FFFFFF"/>
                <w:lang w:val="en-US"/>
              </w:rPr>
              <w:t>Low economic growth has been associated with fiscal imbalances and a persistent accumulation of </w:t>
            </w:r>
            <w:r w:rsidRPr="00603B21">
              <w:rPr>
                <w:rStyle w:val="Emphasis"/>
                <w:rFonts w:ascii="Arial" w:hAnsi="Arial" w:cs="Arial"/>
                <w:b/>
                <w:bCs/>
                <w:sz w:val="20"/>
                <w:shd w:val="clear" w:color="auto" w:fill="FFFFFF"/>
                <w:lang w:val="en-US"/>
              </w:rPr>
              <w:t>public debt.</w:t>
            </w:r>
            <w:r w:rsidRPr="00603B21">
              <w:rPr>
                <w:rFonts w:ascii="Arial" w:hAnsi="Arial" w:cs="Arial"/>
                <w:sz w:val="20"/>
                <w:lang w:val="en-US"/>
              </w:rPr>
              <w:t xml:space="preserve"> Between 2015-2018, total expenditures averaged </w:t>
            </w:r>
            <w:r w:rsidR="00FC5D96" w:rsidRPr="00603B21">
              <w:rPr>
                <w:rFonts w:ascii="Arial" w:hAnsi="Arial" w:cs="Arial"/>
                <w:sz w:val="20"/>
                <w:lang w:val="en-US"/>
              </w:rPr>
              <w:t>33.5%</w:t>
            </w:r>
            <w:r w:rsidRPr="00603B21">
              <w:rPr>
                <w:rFonts w:ascii="Arial" w:hAnsi="Arial" w:cs="Arial"/>
                <w:sz w:val="20"/>
                <w:lang w:val="en-US"/>
              </w:rPr>
              <w:t xml:space="preserve">% </w:t>
            </w:r>
            <w:r w:rsidRPr="00603B21">
              <w:rPr>
                <w:rFonts w:ascii="Arial" w:hAnsi="Arial" w:cs="Arial"/>
                <w:b/>
                <w:sz w:val="20"/>
                <w:lang w:val="en-US"/>
              </w:rPr>
              <w:t>while</w:t>
            </w:r>
            <w:r w:rsidRPr="00603B21">
              <w:rPr>
                <w:rFonts w:ascii="Arial" w:hAnsi="Arial" w:cs="Arial"/>
                <w:sz w:val="20"/>
                <w:lang w:val="en-US"/>
              </w:rPr>
              <w:t xml:space="preserve"> </w:t>
            </w:r>
            <w:r w:rsidRPr="00603B21">
              <w:rPr>
                <w:rFonts w:ascii="Arial" w:hAnsi="Arial" w:cs="Arial"/>
                <w:b/>
                <w:sz w:val="20"/>
                <w:lang w:val="en-US"/>
              </w:rPr>
              <w:t>revenue</w:t>
            </w:r>
            <w:r w:rsidRPr="00603B21">
              <w:rPr>
                <w:rFonts w:ascii="Arial" w:hAnsi="Arial" w:cs="Arial"/>
                <w:sz w:val="20"/>
                <w:lang w:val="en-US"/>
              </w:rPr>
              <w:t xml:space="preserve"> averaged </w:t>
            </w:r>
            <w:r w:rsidR="00FC5D96" w:rsidRPr="00603B21">
              <w:rPr>
                <w:rFonts w:ascii="Arial" w:hAnsi="Arial" w:cs="Arial"/>
                <w:sz w:val="20"/>
                <w:lang w:val="en-US"/>
              </w:rPr>
              <w:t xml:space="preserve">28.3% </w:t>
            </w:r>
            <w:r w:rsidRPr="00603B21">
              <w:rPr>
                <w:rFonts w:ascii="Arial" w:hAnsi="Arial" w:cs="Arial"/>
                <w:sz w:val="20"/>
                <w:lang w:val="en-US"/>
              </w:rPr>
              <w:t>% of GDP. This has contributed to recurrent fiscal deficits and increase debt financing. The debt-to GDP ratio increased from 79.3% in 2015 to 94.2% in 2018.</w:t>
            </w:r>
            <w:r w:rsidRPr="00603B21">
              <w:rPr>
                <w:rStyle w:val="FootnoteReference"/>
                <w:rFonts w:ascii="Arial" w:eastAsiaTheme="majorEastAsia" w:hAnsi="Arial" w:cs="Arial"/>
                <w:sz w:val="20"/>
                <w:lang w:val="en-US"/>
              </w:rPr>
              <w:footnoteReference w:id="2"/>
            </w:r>
            <w:r w:rsidRPr="00603B21">
              <w:rPr>
                <w:rFonts w:ascii="Arial" w:hAnsi="Arial" w:cs="Arial"/>
                <w:sz w:val="20"/>
                <w:lang w:val="en-US"/>
              </w:rPr>
              <w:t xml:space="preserve"> The lack of fiscal space has constrained the country to make priority investments to promote economic growth.</w:t>
            </w:r>
          </w:p>
          <w:p w14:paraId="22C65A5E" w14:textId="30172B08" w:rsidR="002A24E0" w:rsidRPr="00603B21" w:rsidRDefault="002A24E0" w:rsidP="002A24E0">
            <w:pPr>
              <w:pStyle w:val="Paragraph"/>
              <w:tabs>
                <w:tab w:val="clear" w:pos="6066"/>
                <w:tab w:val="num" w:pos="5400"/>
              </w:tabs>
              <w:ind w:left="720" w:hanging="666"/>
              <w:rPr>
                <w:rFonts w:ascii="Arial" w:hAnsi="Arial" w:cs="Arial"/>
                <w:sz w:val="20"/>
                <w:lang w:val="en-US"/>
              </w:rPr>
            </w:pPr>
            <w:r w:rsidRPr="00603B21">
              <w:rPr>
                <w:rFonts w:ascii="Arial" w:hAnsi="Arial" w:cs="Arial"/>
                <w:sz w:val="20"/>
                <w:lang w:val="en-US"/>
              </w:rPr>
              <w:t>In March 2017, the Government reached a restructuring agreement with private external bondholders on its US$526 million bond</w:t>
            </w:r>
            <w:r w:rsidRPr="00603B21">
              <w:rPr>
                <w:rStyle w:val="FootnoteReference"/>
                <w:rFonts w:ascii="Arial" w:eastAsiaTheme="majorEastAsia" w:hAnsi="Arial" w:cs="Arial"/>
                <w:bCs/>
                <w:sz w:val="20"/>
                <w:shd w:val="clear" w:color="auto" w:fill="FFFFFF"/>
                <w:lang w:val="en-US"/>
              </w:rPr>
              <w:footnoteReference w:id="3"/>
            </w:r>
            <w:r w:rsidRPr="00603B21">
              <w:rPr>
                <w:rFonts w:ascii="Arial" w:hAnsi="Arial" w:cs="Arial"/>
                <w:sz w:val="20"/>
                <w:lang w:val="en-US"/>
              </w:rPr>
              <w:t xml:space="preserve"> (about 30% of GDP) and initiated a fiscal consolidation program. As part of the agreement, the authorities committed to a fiscal consolidation program, geared towards the tightening of the fiscal stance by 3.0 percentage points in fiscal year (FY) 2017/2018 and to maintain a primary surplus of 2.0% of GDP for the subsequent three years. As a result of the measures, the primary fiscal balance in FY 2017/2018 increased to a surplus of 1.3% of GDP</w:t>
            </w:r>
            <w:r w:rsidRPr="00603B21">
              <w:rPr>
                <w:rStyle w:val="FootnoteReference"/>
                <w:rFonts w:ascii="Arial" w:eastAsiaTheme="majorEastAsia" w:hAnsi="Arial" w:cs="Arial"/>
                <w:sz w:val="20"/>
                <w:lang w:val="en-US"/>
              </w:rPr>
              <w:footnoteReference w:id="4"/>
            </w:r>
            <w:r w:rsidRPr="00603B21">
              <w:rPr>
                <w:rFonts w:ascii="Arial" w:hAnsi="Arial" w:cs="Arial"/>
                <w:sz w:val="20"/>
                <w:lang w:val="en-US"/>
              </w:rPr>
              <w:t xml:space="preserve"> The bulk of the fiscal adjustment has been through reduced government investment, </w:t>
            </w:r>
            <w:r w:rsidRPr="00603B21">
              <w:rPr>
                <w:rFonts w:ascii="Arial" w:eastAsia="Arial" w:hAnsi="Arial" w:cs="Arial"/>
                <w:sz w:val="20"/>
                <w:lang w:val="en-US"/>
              </w:rPr>
              <w:t>mainly the wage bill and capital spending</w:t>
            </w:r>
            <w:r w:rsidRPr="00603B21">
              <w:rPr>
                <w:rFonts w:ascii="Arial" w:hAnsi="Arial" w:cs="Arial"/>
                <w:sz w:val="20"/>
                <w:lang w:val="en-US"/>
              </w:rPr>
              <w:t>, which probably affected growth.</w:t>
            </w:r>
            <w:r w:rsidRPr="00603B21">
              <w:rPr>
                <w:rStyle w:val="FootnoteReference"/>
                <w:rFonts w:ascii="Arial" w:eastAsiaTheme="majorEastAsia" w:hAnsi="Arial" w:cs="Arial"/>
                <w:sz w:val="20"/>
                <w:lang w:val="en-US"/>
              </w:rPr>
              <w:footnoteReference w:id="5"/>
            </w:r>
          </w:p>
          <w:p w14:paraId="31F96D46" w14:textId="77777777" w:rsidR="002A24E0" w:rsidRPr="00603B21" w:rsidRDefault="002A24E0" w:rsidP="002A24E0">
            <w:pPr>
              <w:pStyle w:val="Paragraph"/>
              <w:tabs>
                <w:tab w:val="clear" w:pos="6066"/>
                <w:tab w:val="num" w:pos="5400"/>
              </w:tabs>
              <w:ind w:left="720" w:hanging="666"/>
              <w:rPr>
                <w:rFonts w:ascii="Arial" w:eastAsia="Arial" w:hAnsi="Arial" w:cs="Arial"/>
                <w:sz w:val="20"/>
                <w:lang w:val="en-US"/>
              </w:rPr>
            </w:pPr>
            <w:r w:rsidRPr="00603B21">
              <w:rPr>
                <w:rFonts w:ascii="Arial" w:hAnsi="Arial" w:cs="Arial"/>
                <w:sz w:val="20"/>
                <w:lang w:val="en-US"/>
              </w:rPr>
              <w:t>In the FY 2018/2019, the Government continues the fiscal consolidation program</w:t>
            </w:r>
            <w:r w:rsidRPr="00603B21">
              <w:rPr>
                <w:rFonts w:ascii="Arial" w:eastAsia="Arial" w:hAnsi="Arial" w:cs="Arial"/>
                <w:sz w:val="20"/>
                <w:lang w:val="en-US"/>
              </w:rPr>
              <w:t>.</w:t>
            </w:r>
            <w:r w:rsidRPr="00603B21">
              <w:rPr>
                <w:rFonts w:ascii="Arial" w:eastAsia="Arial" w:hAnsi="Arial" w:cs="Arial"/>
                <w:sz w:val="20"/>
                <w:vertAlign w:val="superscript"/>
                <w:lang w:val="en-US"/>
              </w:rPr>
              <w:footnoteReference w:id="6"/>
            </w:r>
            <w:r w:rsidRPr="00603B21">
              <w:rPr>
                <w:rFonts w:ascii="Arial" w:eastAsia="Arial" w:hAnsi="Arial" w:cs="Arial"/>
                <w:sz w:val="20"/>
                <w:vertAlign w:val="superscript"/>
                <w:lang w:val="en-US"/>
              </w:rPr>
              <w:t>,</w:t>
            </w:r>
            <w:r w:rsidRPr="00603B21">
              <w:rPr>
                <w:rFonts w:ascii="Arial" w:eastAsia="Arial" w:hAnsi="Arial" w:cs="Arial"/>
                <w:sz w:val="20"/>
                <w:vertAlign w:val="superscript"/>
                <w:lang w:val="en-US"/>
              </w:rPr>
              <w:footnoteReference w:id="7"/>
            </w:r>
            <w:r w:rsidRPr="00603B21">
              <w:rPr>
                <w:rFonts w:ascii="Arial" w:eastAsia="Arial" w:hAnsi="Arial" w:cs="Arial"/>
                <w:sz w:val="20"/>
                <w:lang w:val="en-US"/>
              </w:rPr>
              <w:t xml:space="preserve"> The parliament approved revenue-enhancing measures to increase revenues by 0.5% mainly </w:t>
            </w:r>
            <w:r w:rsidRPr="00603B21">
              <w:rPr>
                <w:rFonts w:ascii="Arial" w:hAnsi="Arial" w:cs="Arial"/>
                <w:sz w:val="20"/>
                <w:lang w:val="en-US"/>
              </w:rPr>
              <w:t>through</w:t>
            </w:r>
            <w:r w:rsidRPr="00603B21">
              <w:rPr>
                <w:rFonts w:ascii="Arial" w:eastAsia="Arial" w:hAnsi="Arial" w:cs="Arial"/>
                <w:sz w:val="20"/>
                <w:lang w:val="en-US"/>
              </w:rPr>
              <w:t xml:space="preserve">: (a) broadening the base of GST </w:t>
            </w:r>
            <w:r w:rsidRPr="00603B21">
              <w:rPr>
                <w:rFonts w:ascii="Arial" w:hAnsi="Arial" w:cs="Arial"/>
                <w:sz w:val="20"/>
                <w:lang w:val="en-US"/>
              </w:rPr>
              <w:t>by</w:t>
            </w:r>
            <w:r w:rsidRPr="00603B21">
              <w:rPr>
                <w:rFonts w:ascii="Arial" w:eastAsia="Arial" w:hAnsi="Arial" w:cs="Arial"/>
                <w:sz w:val="20"/>
                <w:lang w:val="en-US"/>
              </w:rPr>
              <w:t xml:space="preserve"> removing zero-rated items; (b) higher excises on fuel; (c) higher import duties on selected items.  The measures include decreasing on expenditures, mainly the wage bill and capital spending.</w:t>
            </w:r>
            <w:r w:rsidRPr="00603B21">
              <w:rPr>
                <w:rFonts w:ascii="Arial" w:eastAsia="Arial" w:hAnsi="Arial" w:cs="Arial"/>
                <w:sz w:val="20"/>
                <w:vertAlign w:val="superscript"/>
                <w:lang w:val="en-US"/>
              </w:rPr>
              <w:footnoteReference w:id="8"/>
            </w:r>
            <w:r w:rsidRPr="00603B21">
              <w:rPr>
                <w:rFonts w:ascii="Arial" w:eastAsia="Arial" w:hAnsi="Arial" w:cs="Arial"/>
                <w:sz w:val="20"/>
                <w:vertAlign w:val="superscript"/>
                <w:lang w:val="en-US"/>
              </w:rPr>
              <w:t xml:space="preserve"> </w:t>
            </w:r>
          </w:p>
          <w:p w14:paraId="48E1DAFD" w14:textId="77777777" w:rsidR="002A24E0" w:rsidRPr="00603B21" w:rsidRDefault="002A24E0" w:rsidP="002A24E0">
            <w:pPr>
              <w:pStyle w:val="Paragraph"/>
              <w:tabs>
                <w:tab w:val="clear" w:pos="6066"/>
                <w:tab w:val="num" w:pos="5400"/>
              </w:tabs>
              <w:ind w:left="720" w:hanging="666"/>
              <w:rPr>
                <w:rFonts w:ascii="Arial" w:eastAsia="Arial" w:hAnsi="Arial" w:cs="Arial"/>
                <w:sz w:val="20"/>
                <w:lang w:val="en-US"/>
              </w:rPr>
            </w:pPr>
            <w:r w:rsidRPr="00603B21">
              <w:rPr>
                <w:rFonts w:ascii="Arial" w:hAnsi="Arial" w:cs="Arial"/>
                <w:sz w:val="20"/>
                <w:lang w:val="en-US"/>
              </w:rPr>
              <w:t>To reach a successful and sustained revenue mobilization the Government requires a strong tax administration (TA). Revenue mobilization needs to take a more holistic approach that includes a modernization of tax institutions, covering a broad spectrum of legal, technical and administrative measures, and notably increasing the use of automation, information and communications technology.</w:t>
            </w:r>
            <w:r w:rsidRPr="00603B21">
              <w:rPr>
                <w:rFonts w:ascii="Arial" w:eastAsiaTheme="majorEastAsia" w:hAnsi="Arial" w:cs="Arial"/>
                <w:sz w:val="20"/>
                <w:vertAlign w:val="superscript"/>
                <w:lang w:val="en-US"/>
              </w:rPr>
              <w:footnoteReference w:id="9"/>
            </w:r>
          </w:p>
          <w:p w14:paraId="7B1ADB13" w14:textId="0EA242D2" w:rsidR="00586258" w:rsidRPr="00603B21" w:rsidRDefault="002A24E0" w:rsidP="002A24E0">
            <w:pPr>
              <w:pStyle w:val="Paragraph"/>
              <w:tabs>
                <w:tab w:val="clear" w:pos="6066"/>
                <w:tab w:val="num" w:pos="5400"/>
              </w:tabs>
              <w:ind w:left="720" w:hanging="666"/>
              <w:rPr>
                <w:rFonts w:ascii="Arial" w:eastAsia="Arial" w:hAnsi="Arial" w:cs="Arial"/>
                <w:sz w:val="20"/>
                <w:lang w:val="en-US"/>
              </w:rPr>
            </w:pPr>
            <w:r w:rsidRPr="00603B21">
              <w:rPr>
                <w:rFonts w:ascii="Arial" w:hAnsi="Arial" w:cs="Arial"/>
                <w:b/>
                <w:sz w:val="20"/>
                <w:lang w:val="en-US"/>
              </w:rPr>
              <w:t>Justification.</w:t>
            </w:r>
            <w:r w:rsidRPr="00603B21">
              <w:rPr>
                <w:rFonts w:ascii="Arial" w:hAnsi="Arial" w:cs="Arial"/>
                <w:sz w:val="20"/>
                <w:lang w:val="en-US"/>
              </w:rPr>
              <w:t xml:space="preserve"> Domestic taxes in Belize are administered by two separate departments. The Income Tax Department (ITD) is responsible for corporate and personal income taxes, as well as business tax, and the Department of General Sales Tax (DGST) administers the domestic General Sales Tax (GST).</w:t>
            </w:r>
            <w:r w:rsidRPr="00603B21">
              <w:rPr>
                <w:rFonts w:ascii="Arial" w:eastAsiaTheme="majorEastAsia" w:hAnsi="Arial" w:cs="Arial"/>
                <w:sz w:val="20"/>
                <w:vertAlign w:val="superscript"/>
                <w:lang w:val="en-US"/>
              </w:rPr>
              <w:footnoteReference w:id="10"/>
            </w:r>
            <w:r w:rsidRPr="00603B21">
              <w:rPr>
                <w:rFonts w:ascii="Arial" w:hAnsi="Arial" w:cs="Arial"/>
                <w:sz w:val="20"/>
                <w:vertAlign w:val="superscript"/>
                <w:lang w:val="en-US"/>
              </w:rPr>
              <w:t xml:space="preserve"> </w:t>
            </w:r>
            <w:r w:rsidRPr="00603B21">
              <w:rPr>
                <w:rFonts w:ascii="Arial" w:hAnsi="Arial" w:cs="Arial"/>
                <w:sz w:val="20"/>
                <w:lang w:val="en-US"/>
              </w:rPr>
              <w:t xml:space="preserve">International trade tax and GST on imports are administrated by the Customs and Excise Department (CED). Although all three departments are all under the structure of the </w:t>
            </w:r>
            <w:proofErr w:type="spellStart"/>
            <w:r w:rsidRPr="00603B21">
              <w:rPr>
                <w:rFonts w:ascii="Arial" w:hAnsi="Arial" w:cs="Arial"/>
                <w:sz w:val="20"/>
                <w:lang w:val="en-US"/>
              </w:rPr>
              <w:t>MoF</w:t>
            </w:r>
            <w:proofErr w:type="spellEnd"/>
            <w:r w:rsidRPr="00603B21">
              <w:rPr>
                <w:rFonts w:ascii="Arial" w:hAnsi="Arial" w:cs="Arial"/>
                <w:sz w:val="20"/>
                <w:lang w:val="en-US"/>
              </w:rPr>
              <w:t xml:space="preserve">, these types of organizational approaches (domestic taxes separated in two different departments) result in the duplication of </w:t>
            </w:r>
            <w:r w:rsidRPr="00603B21">
              <w:rPr>
                <w:rFonts w:ascii="Arial" w:hAnsi="Arial" w:cs="Arial"/>
                <w:sz w:val="20"/>
                <w:lang w:val="en-US"/>
              </w:rPr>
              <w:lastRenderedPageBreak/>
              <w:t>functions (dual registration system with double data bases, doubled return and payment processing), inefficiencies (additional costs for the administration), and compliance burdens for taxpayers. They have also proven to be ineffective in managing taxpayer compliance (including audit and collection enforcement) in a holistic manner</w:t>
            </w:r>
            <w:r w:rsidRPr="00603B21">
              <w:rPr>
                <w:rFonts w:ascii="Arial" w:eastAsiaTheme="majorEastAsia" w:hAnsi="Arial" w:cs="Arial"/>
                <w:sz w:val="20"/>
                <w:vertAlign w:val="superscript"/>
                <w:lang w:val="en-US"/>
              </w:rPr>
              <w:footnoteReference w:id="11"/>
            </w:r>
            <w:r w:rsidRPr="00603B21">
              <w:rPr>
                <w:rFonts w:ascii="Arial" w:hAnsi="Arial" w:cs="Arial"/>
                <w:sz w:val="20"/>
                <w:vertAlign w:val="superscript"/>
                <w:lang w:val="en-US"/>
              </w:rPr>
              <w:t>.</w:t>
            </w:r>
          </w:p>
        </w:tc>
      </w:tr>
      <w:tr w:rsidR="00F578C2" w:rsidRPr="00603B21" w14:paraId="56DC7703" w14:textId="77777777" w:rsidTr="00FC12D6">
        <w:tc>
          <w:tcPr>
            <w:tcW w:w="14688" w:type="dxa"/>
            <w:gridSpan w:val="3"/>
            <w:shd w:val="clear" w:color="auto" w:fill="FBD4B4" w:themeFill="accent6" w:themeFillTint="66"/>
          </w:tcPr>
          <w:p w14:paraId="79FC103C" w14:textId="33306A4D" w:rsidR="00F578C2" w:rsidRPr="00603B21" w:rsidRDefault="00F578C2">
            <w:pPr>
              <w:rPr>
                <w:rFonts w:ascii="Arial" w:hAnsi="Arial" w:cs="Arial"/>
                <w:sz w:val="20"/>
                <w:szCs w:val="20"/>
                <w:lang w:val="en-US"/>
              </w:rPr>
            </w:pPr>
            <w:r w:rsidRPr="00603B21">
              <w:rPr>
                <w:rFonts w:ascii="Arial" w:hAnsi="Arial" w:cs="Arial"/>
                <w:b/>
                <w:sz w:val="20"/>
                <w:szCs w:val="20"/>
                <w:lang w:val="en-US"/>
              </w:rPr>
              <w:lastRenderedPageBreak/>
              <w:t>Main Problem-</w:t>
            </w:r>
            <w:r w:rsidRPr="00603B21">
              <w:rPr>
                <w:rFonts w:ascii="Arial" w:hAnsi="Arial" w:cs="Arial"/>
                <w:sz w:val="20"/>
                <w:szCs w:val="20"/>
                <w:lang w:val="en-US"/>
              </w:rPr>
              <w:t xml:space="preserve"> </w:t>
            </w:r>
            <w:r w:rsidR="00515DD3" w:rsidRPr="00603B21">
              <w:rPr>
                <w:rFonts w:ascii="Arial" w:hAnsi="Arial" w:cs="Arial"/>
                <w:sz w:val="20"/>
                <w:szCs w:val="20"/>
                <w:lang w:val="en-US"/>
              </w:rPr>
              <w:t xml:space="preserve">Insufficient levels of revenue collection to promote fiscal sustainability. </w:t>
            </w:r>
            <w:r w:rsidR="00407759" w:rsidRPr="00603B21">
              <w:rPr>
                <w:rFonts w:ascii="Arial" w:hAnsi="Arial" w:cs="Arial"/>
                <w:sz w:val="20"/>
                <w:szCs w:val="20"/>
                <w:lang w:val="en-US"/>
              </w:rPr>
              <w:t xml:space="preserve"> </w:t>
            </w:r>
          </w:p>
          <w:p w14:paraId="47E62DD1" w14:textId="73555A16" w:rsidR="0072057C" w:rsidRPr="00603B21" w:rsidRDefault="00F578C2" w:rsidP="0072057C">
            <w:pPr>
              <w:rPr>
                <w:rFonts w:ascii="Arial" w:hAnsi="Arial" w:cs="Arial"/>
                <w:sz w:val="20"/>
                <w:szCs w:val="20"/>
                <w:lang w:val="en-US"/>
              </w:rPr>
            </w:pPr>
            <w:r w:rsidRPr="00603B21">
              <w:rPr>
                <w:rFonts w:ascii="Arial" w:hAnsi="Arial" w:cs="Arial"/>
                <w:b/>
                <w:sz w:val="20"/>
                <w:szCs w:val="20"/>
                <w:lang w:val="en-US"/>
              </w:rPr>
              <w:t>General Objective</w:t>
            </w:r>
            <w:r w:rsidRPr="00603B21">
              <w:rPr>
                <w:rFonts w:ascii="Arial" w:hAnsi="Arial" w:cs="Arial"/>
                <w:sz w:val="20"/>
                <w:szCs w:val="20"/>
                <w:lang w:val="en-US"/>
              </w:rPr>
              <w:t xml:space="preserve"> </w:t>
            </w:r>
            <w:r w:rsidR="00515DD3" w:rsidRPr="00603B21">
              <w:rPr>
                <w:rFonts w:ascii="Arial" w:hAnsi="Arial" w:cs="Arial"/>
                <w:sz w:val="20"/>
                <w:szCs w:val="20"/>
                <w:lang w:val="en-US"/>
              </w:rPr>
              <w:t xml:space="preserve">– </w:t>
            </w:r>
            <w:bookmarkStart w:id="0" w:name="_Hlk169769"/>
            <w:r w:rsidR="002A24E0" w:rsidRPr="00603B21">
              <w:rPr>
                <w:rFonts w:ascii="Arial" w:hAnsi="Arial" w:cs="Arial"/>
                <w:color w:val="000000" w:themeColor="text1"/>
                <w:sz w:val="20"/>
                <w:szCs w:val="20"/>
                <w:lang w:val="en-US"/>
              </w:rPr>
              <w:t xml:space="preserve">The main objective of the project is to strengthen TA aiming at increasing revenue collection, </w:t>
            </w:r>
            <w:r w:rsidR="00FC5D96" w:rsidRPr="00603B21">
              <w:rPr>
                <w:rFonts w:ascii="Arial" w:hAnsi="Arial" w:cs="Arial"/>
                <w:color w:val="000000" w:themeColor="text1"/>
                <w:sz w:val="20"/>
                <w:szCs w:val="20"/>
                <w:lang w:val="en-US"/>
              </w:rPr>
              <w:t>through the</w:t>
            </w:r>
            <w:r w:rsidR="002A24E0" w:rsidRPr="00603B21">
              <w:rPr>
                <w:rFonts w:ascii="Arial" w:hAnsi="Arial" w:cs="Arial"/>
                <w:color w:val="000000" w:themeColor="text1"/>
                <w:sz w:val="20"/>
                <w:szCs w:val="20"/>
                <w:lang w:val="en-US"/>
              </w:rPr>
              <w:t xml:space="preserve"> following specific objectives: (i) increasing the effectiveness of the government to collect taxes, through improvement in the TA governance; (ii) increasing tax administration efficiency, through improvement in the operational processes and modernization of the technological infrastructure</w:t>
            </w:r>
            <w:r w:rsidR="0072057C" w:rsidRPr="00603B21">
              <w:rPr>
                <w:rFonts w:ascii="Arial" w:hAnsi="Arial" w:cs="Arial"/>
                <w:sz w:val="20"/>
                <w:szCs w:val="20"/>
                <w:lang w:val="en-US"/>
              </w:rPr>
              <w:t>.</w:t>
            </w:r>
          </w:p>
          <w:bookmarkEnd w:id="0"/>
          <w:p w14:paraId="02C190CB" w14:textId="5B5383BD" w:rsidR="00E26A62" w:rsidRPr="00603B21" w:rsidRDefault="002A24E0">
            <w:pPr>
              <w:rPr>
                <w:rFonts w:ascii="Arial" w:hAnsi="Arial" w:cs="Arial"/>
                <w:sz w:val="20"/>
                <w:szCs w:val="20"/>
                <w:lang w:val="en-US"/>
              </w:rPr>
            </w:pPr>
            <w:r w:rsidRPr="00603B21">
              <w:rPr>
                <w:rFonts w:ascii="Arial" w:hAnsi="Arial" w:cs="Arial"/>
                <w:b/>
                <w:sz w:val="20"/>
                <w:szCs w:val="20"/>
                <w:lang w:val="en-US"/>
              </w:rPr>
              <w:t xml:space="preserve">Impact and outcomes. </w:t>
            </w:r>
            <w:r w:rsidRPr="00603B21">
              <w:rPr>
                <w:rFonts w:ascii="Arial" w:hAnsi="Arial" w:cs="Arial"/>
                <w:sz w:val="20"/>
                <w:szCs w:val="20"/>
                <w:lang w:val="en-US"/>
              </w:rPr>
              <w:t>The impact indicator is tax revenue. The expected outcomes indicators, among others, are: (i) Efficiency – Administrative cost to collect / tax revenue collected; and (ii) ef</w:t>
            </w:r>
            <w:bookmarkStart w:id="1" w:name="_GoBack"/>
            <w:bookmarkEnd w:id="1"/>
            <w:r w:rsidRPr="00603B21">
              <w:rPr>
                <w:rFonts w:ascii="Arial" w:hAnsi="Arial" w:cs="Arial"/>
                <w:sz w:val="20"/>
                <w:szCs w:val="20"/>
                <w:lang w:val="en-US"/>
              </w:rPr>
              <w:t>fectiveness – number of declarations filed on-time/number of declarations expected to be filled.</w:t>
            </w:r>
          </w:p>
        </w:tc>
      </w:tr>
      <w:tr w:rsidR="00603A6A" w:rsidRPr="00603B21" w14:paraId="23FB7EFA" w14:textId="77777777" w:rsidTr="00FC12D6">
        <w:trPr>
          <w:trHeight w:val="161"/>
        </w:trPr>
        <w:tc>
          <w:tcPr>
            <w:tcW w:w="14688" w:type="dxa"/>
            <w:gridSpan w:val="3"/>
            <w:shd w:val="clear" w:color="auto" w:fill="C6D9F1" w:themeFill="text2" w:themeFillTint="33"/>
          </w:tcPr>
          <w:p w14:paraId="7E8734A4" w14:textId="7AC3BAE9" w:rsidR="00603A6A" w:rsidRPr="00603B21" w:rsidRDefault="002A24E0" w:rsidP="004F1D8A">
            <w:pPr>
              <w:rPr>
                <w:rFonts w:ascii="Arial" w:hAnsi="Arial" w:cs="Arial"/>
                <w:b/>
                <w:sz w:val="20"/>
                <w:szCs w:val="20"/>
                <w:lang w:val="en-US"/>
              </w:rPr>
            </w:pPr>
            <w:r w:rsidRPr="00603B21">
              <w:rPr>
                <w:rFonts w:ascii="Arial" w:hAnsi="Arial" w:cs="Arial"/>
                <w:b/>
                <w:sz w:val="20"/>
                <w:szCs w:val="20"/>
                <w:lang w:val="en-US"/>
              </w:rPr>
              <w:t>Component I. Strengthening Tax Administration Governance (US$545,562).</w:t>
            </w:r>
          </w:p>
        </w:tc>
      </w:tr>
      <w:tr w:rsidR="00F578C2" w:rsidRPr="00603B21" w14:paraId="18EA2572" w14:textId="77777777" w:rsidTr="00FC12D6">
        <w:tc>
          <w:tcPr>
            <w:tcW w:w="14688" w:type="dxa"/>
            <w:gridSpan w:val="3"/>
            <w:shd w:val="clear" w:color="auto" w:fill="C6D9F1" w:themeFill="text2" w:themeFillTint="33"/>
          </w:tcPr>
          <w:p w14:paraId="58B85731" w14:textId="77777777" w:rsidR="00F423ED" w:rsidRPr="00603B21" w:rsidRDefault="00F578C2">
            <w:pPr>
              <w:rPr>
                <w:rFonts w:ascii="Arial" w:hAnsi="Arial" w:cs="Arial"/>
                <w:sz w:val="20"/>
                <w:szCs w:val="20"/>
                <w:lang w:val="en-US"/>
              </w:rPr>
            </w:pPr>
            <w:r w:rsidRPr="00603B21">
              <w:rPr>
                <w:rFonts w:ascii="Arial" w:hAnsi="Arial" w:cs="Arial"/>
                <w:b/>
                <w:sz w:val="20"/>
                <w:szCs w:val="20"/>
                <w:lang w:val="en-US"/>
              </w:rPr>
              <w:t>Problem Specific 1</w:t>
            </w:r>
            <w:r w:rsidRPr="00603B21">
              <w:rPr>
                <w:rFonts w:ascii="Arial" w:hAnsi="Arial" w:cs="Arial"/>
                <w:sz w:val="20"/>
                <w:szCs w:val="20"/>
                <w:lang w:val="en-US"/>
              </w:rPr>
              <w:t xml:space="preserve"> </w:t>
            </w:r>
            <w:r w:rsidR="0088384A" w:rsidRPr="00603B21">
              <w:rPr>
                <w:rFonts w:ascii="Arial" w:hAnsi="Arial" w:cs="Arial"/>
                <w:sz w:val="20"/>
                <w:szCs w:val="20"/>
                <w:lang w:val="en-US"/>
              </w:rPr>
              <w:t xml:space="preserve">– </w:t>
            </w:r>
            <w:r w:rsidR="00F423ED" w:rsidRPr="00603B21">
              <w:rPr>
                <w:rFonts w:ascii="Arial" w:hAnsi="Arial" w:cs="Arial"/>
                <w:sz w:val="20"/>
                <w:szCs w:val="20"/>
                <w:lang w:val="en-US"/>
              </w:rPr>
              <w:t>Insufficient</w:t>
            </w:r>
            <w:r w:rsidR="00BD3180" w:rsidRPr="00603B21">
              <w:rPr>
                <w:rFonts w:ascii="Arial" w:hAnsi="Arial" w:cs="Arial"/>
                <w:sz w:val="20"/>
                <w:szCs w:val="20"/>
                <w:lang w:val="en-US"/>
              </w:rPr>
              <w:t xml:space="preserve"> effectiveness of the government to collect taxes, </w:t>
            </w:r>
          </w:p>
          <w:p w14:paraId="0673860C" w14:textId="0D902AF4" w:rsidR="00F423ED" w:rsidRPr="00603B21" w:rsidRDefault="00F578C2">
            <w:pPr>
              <w:rPr>
                <w:rFonts w:ascii="Arial" w:hAnsi="Arial" w:cs="Arial"/>
                <w:sz w:val="20"/>
                <w:szCs w:val="20"/>
                <w:lang w:val="en-US"/>
              </w:rPr>
            </w:pPr>
            <w:r w:rsidRPr="00603B21">
              <w:rPr>
                <w:rFonts w:ascii="Arial" w:hAnsi="Arial" w:cs="Arial"/>
                <w:b/>
                <w:sz w:val="20"/>
                <w:szCs w:val="20"/>
                <w:lang w:val="en-US"/>
              </w:rPr>
              <w:t>Objective Specific 1</w:t>
            </w:r>
            <w:r w:rsidRPr="00603B21">
              <w:rPr>
                <w:rFonts w:ascii="Arial" w:hAnsi="Arial" w:cs="Arial"/>
                <w:sz w:val="20"/>
                <w:szCs w:val="20"/>
                <w:lang w:val="en-US"/>
              </w:rPr>
              <w:t xml:space="preserve"> –</w:t>
            </w:r>
            <w:r w:rsidR="008A0AB4" w:rsidRPr="00603B21">
              <w:rPr>
                <w:rFonts w:ascii="Arial" w:hAnsi="Arial" w:cs="Arial"/>
                <w:sz w:val="20"/>
                <w:szCs w:val="20"/>
                <w:lang w:val="en-US"/>
              </w:rPr>
              <w:t xml:space="preserve"> </w:t>
            </w:r>
            <w:r w:rsidR="002A24E0" w:rsidRPr="00603B21">
              <w:rPr>
                <w:rFonts w:ascii="Arial" w:hAnsi="Arial" w:cs="Arial"/>
                <w:sz w:val="20"/>
                <w:szCs w:val="20"/>
                <w:lang w:val="en-US"/>
              </w:rPr>
              <w:t xml:space="preserve">increasing the effectiveness of the government to collect taxes, through improvement in the TA governance </w:t>
            </w:r>
            <w:r w:rsidR="00F423ED" w:rsidRPr="00603B21">
              <w:rPr>
                <w:rFonts w:ascii="Arial" w:eastAsia="Calibri" w:hAnsi="Arial" w:cs="Arial"/>
                <w:sz w:val="20"/>
                <w:szCs w:val="20"/>
                <w:lang w:val="en-US"/>
              </w:rPr>
              <w:t>Tax filling compliance rates is our outcome indicator for tax administration effectiveness,</w:t>
            </w:r>
          </w:p>
        </w:tc>
      </w:tr>
      <w:tr w:rsidR="00FC12D6" w:rsidRPr="00603B21" w14:paraId="3888469A" w14:textId="77777777" w:rsidTr="00B14E1D">
        <w:tc>
          <w:tcPr>
            <w:tcW w:w="4968" w:type="dxa"/>
            <w:shd w:val="clear" w:color="auto" w:fill="C6D9F1" w:themeFill="text2" w:themeFillTint="33"/>
          </w:tcPr>
          <w:p w14:paraId="69AB4AE5" w14:textId="74F5FF68" w:rsidR="00FC12D6" w:rsidRPr="00603B21" w:rsidRDefault="00FC12D6" w:rsidP="00664A6F">
            <w:pPr>
              <w:jc w:val="center"/>
              <w:rPr>
                <w:rFonts w:ascii="Arial" w:hAnsi="Arial" w:cs="Arial"/>
                <w:b/>
                <w:sz w:val="20"/>
                <w:szCs w:val="20"/>
                <w:lang w:val="en-US"/>
              </w:rPr>
            </w:pPr>
            <w:r w:rsidRPr="00603B21">
              <w:rPr>
                <w:rFonts w:ascii="Arial" w:hAnsi="Arial" w:cs="Arial"/>
                <w:b/>
                <w:sz w:val="20"/>
                <w:szCs w:val="20"/>
                <w:lang w:val="en-US"/>
              </w:rPr>
              <w:t xml:space="preserve"> Causes</w:t>
            </w:r>
          </w:p>
        </w:tc>
        <w:tc>
          <w:tcPr>
            <w:tcW w:w="3870" w:type="dxa"/>
            <w:shd w:val="clear" w:color="auto" w:fill="C6D9F1" w:themeFill="text2" w:themeFillTint="33"/>
          </w:tcPr>
          <w:p w14:paraId="6B653424" w14:textId="2A9C77B7" w:rsidR="00FC12D6" w:rsidRPr="00603B21" w:rsidRDefault="00FC12D6" w:rsidP="00664A6F">
            <w:pPr>
              <w:jc w:val="center"/>
              <w:rPr>
                <w:rFonts w:ascii="Arial" w:hAnsi="Arial" w:cs="Arial"/>
                <w:b/>
                <w:sz w:val="20"/>
                <w:szCs w:val="20"/>
                <w:lang w:val="en-US"/>
              </w:rPr>
            </w:pPr>
            <w:r w:rsidRPr="00603B21">
              <w:rPr>
                <w:rFonts w:ascii="Arial" w:hAnsi="Arial" w:cs="Arial"/>
                <w:b/>
                <w:sz w:val="20"/>
                <w:szCs w:val="20"/>
                <w:lang w:val="en-US"/>
              </w:rPr>
              <w:t>Magnitude and evidences</w:t>
            </w:r>
          </w:p>
        </w:tc>
        <w:tc>
          <w:tcPr>
            <w:tcW w:w="5850" w:type="dxa"/>
            <w:shd w:val="clear" w:color="auto" w:fill="C6D9F1" w:themeFill="text2" w:themeFillTint="33"/>
          </w:tcPr>
          <w:p w14:paraId="7F569B14" w14:textId="13B49584" w:rsidR="00FC12D6" w:rsidRPr="00603B21" w:rsidRDefault="00FC12D6" w:rsidP="00664A6F">
            <w:pPr>
              <w:jc w:val="center"/>
              <w:rPr>
                <w:rFonts w:ascii="Arial" w:hAnsi="Arial" w:cs="Arial"/>
                <w:b/>
                <w:sz w:val="20"/>
                <w:szCs w:val="20"/>
                <w:lang w:val="en-US"/>
              </w:rPr>
            </w:pPr>
            <w:r w:rsidRPr="00603B21">
              <w:rPr>
                <w:rFonts w:ascii="Arial" w:hAnsi="Arial" w:cs="Arial"/>
                <w:b/>
                <w:sz w:val="20"/>
                <w:szCs w:val="20"/>
                <w:lang w:val="en-US"/>
              </w:rPr>
              <w:t>Products / Solutions</w:t>
            </w:r>
          </w:p>
        </w:tc>
      </w:tr>
      <w:tr w:rsidR="00FC12D6" w:rsidRPr="00603B21" w14:paraId="760CF7A8" w14:textId="77777777" w:rsidTr="00B14E1D">
        <w:tc>
          <w:tcPr>
            <w:tcW w:w="4968" w:type="dxa"/>
          </w:tcPr>
          <w:p w14:paraId="5F0950FE" w14:textId="4BDE63F1" w:rsidR="00FC12D6" w:rsidRPr="00603B21" w:rsidRDefault="002A24E0" w:rsidP="00D1666E">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 xml:space="preserve">1.1 </w:t>
            </w:r>
            <w:r w:rsidR="009E71A7" w:rsidRPr="00603B21">
              <w:rPr>
                <w:rFonts w:ascii="Arial" w:hAnsi="Arial" w:cs="Arial"/>
                <w:b/>
                <w:sz w:val="20"/>
                <w:szCs w:val="20"/>
                <w:lang w:val="en-US"/>
              </w:rPr>
              <w:t>Organizational structure challenges.</w:t>
            </w:r>
            <w:r w:rsidR="009E71A7" w:rsidRPr="00603B21" w:rsidDel="009C4180">
              <w:rPr>
                <w:rFonts w:ascii="Arial" w:hAnsi="Arial" w:cs="Arial"/>
                <w:sz w:val="20"/>
                <w:szCs w:val="20"/>
                <w:lang w:val="en-US"/>
              </w:rPr>
              <w:t xml:space="preserve"> </w:t>
            </w:r>
            <w:r w:rsidR="009E71A7" w:rsidRPr="00603B21">
              <w:rPr>
                <w:rFonts w:ascii="Arial" w:hAnsi="Arial" w:cs="Arial"/>
                <w:sz w:val="20"/>
                <w:szCs w:val="20"/>
                <w:lang w:val="en-US"/>
              </w:rPr>
              <w:t>The ITD and DGST, which manage domestic taxes, are organized by tax type, instead of by functions,</w:t>
            </w:r>
            <w:r w:rsidR="009E71A7" w:rsidRPr="00603B21">
              <w:rPr>
                <w:rStyle w:val="FootnoteReference"/>
                <w:rFonts w:ascii="Arial" w:eastAsiaTheme="majorEastAsia" w:hAnsi="Arial" w:cs="Arial"/>
                <w:sz w:val="20"/>
                <w:szCs w:val="20"/>
                <w:lang w:val="en-US"/>
              </w:rPr>
              <w:footnoteReference w:id="12"/>
            </w:r>
            <w:r w:rsidR="009E71A7" w:rsidRPr="00603B21">
              <w:rPr>
                <w:rFonts w:ascii="Arial" w:hAnsi="Arial" w:cs="Arial"/>
                <w:sz w:val="20"/>
                <w:szCs w:val="20"/>
                <w:lang w:val="en-US"/>
              </w:rPr>
              <w:t xml:space="preserve"> carrying out their operations separately, causing low efficacy and efficiency in the domestic tax collection, low taxpayer compliance</w:t>
            </w:r>
            <w:r w:rsidR="009E71A7" w:rsidRPr="00603B21">
              <w:rPr>
                <w:rStyle w:val="FootnoteReference"/>
                <w:rFonts w:ascii="Arial" w:eastAsiaTheme="majorEastAsia" w:hAnsi="Arial" w:cs="Arial"/>
                <w:sz w:val="20"/>
                <w:szCs w:val="20"/>
                <w:lang w:val="en-US"/>
              </w:rPr>
              <w:footnoteReference w:id="13"/>
            </w:r>
            <w:r w:rsidR="009E71A7" w:rsidRPr="00603B21">
              <w:rPr>
                <w:rFonts w:ascii="Arial" w:hAnsi="Arial" w:cs="Arial"/>
                <w:sz w:val="20"/>
                <w:szCs w:val="20"/>
                <w:lang w:val="en-US"/>
              </w:rPr>
              <w:t>, as well as deficiencies in taxpayer services.</w:t>
            </w:r>
            <w:r w:rsidR="009E71A7" w:rsidRPr="00603B21">
              <w:rPr>
                <w:rStyle w:val="FootnoteReference"/>
                <w:rFonts w:ascii="Arial" w:eastAsiaTheme="majorEastAsia" w:hAnsi="Arial" w:cs="Arial"/>
                <w:sz w:val="20"/>
                <w:szCs w:val="20"/>
                <w:lang w:val="en-US"/>
              </w:rPr>
              <w:footnoteReference w:id="14"/>
            </w:r>
            <w:r w:rsidR="009E71A7" w:rsidRPr="00603B21">
              <w:rPr>
                <w:rFonts w:ascii="Arial" w:hAnsi="Arial" w:cs="Arial"/>
                <w:sz w:val="20"/>
                <w:szCs w:val="20"/>
                <w:lang w:val="en-US"/>
              </w:rPr>
              <w:t xml:space="preserve"> There is already a draft law to merge ITD and DGST, however the government lacks technical support to disseminate and implement the new Domestic Tax Department.</w:t>
            </w:r>
          </w:p>
        </w:tc>
        <w:tc>
          <w:tcPr>
            <w:tcW w:w="3870" w:type="dxa"/>
          </w:tcPr>
          <w:p w14:paraId="1E024F91" w14:textId="77777777" w:rsidR="00FC12D6" w:rsidRPr="00603B21" w:rsidRDefault="00B8204F" w:rsidP="00214A91">
            <w:pPr>
              <w:jc w:val="both"/>
              <w:rPr>
                <w:rFonts w:ascii="Arial" w:hAnsi="Arial" w:cs="Arial"/>
                <w:sz w:val="20"/>
                <w:szCs w:val="20"/>
                <w:lang w:val="en-US"/>
              </w:rPr>
            </w:pPr>
            <w:r w:rsidRPr="00603B21">
              <w:rPr>
                <w:rFonts w:ascii="Arial" w:hAnsi="Arial" w:cs="Arial"/>
                <w:sz w:val="20"/>
                <w:szCs w:val="20"/>
                <w:lang w:val="en-US"/>
              </w:rPr>
              <w:t>Of 126 countries currently administer VAT, only 10 have separate departments for VAT and income taxes (FAD/IMF 2014 report). In the Caribbean region: Belize and Surinam.</w:t>
            </w:r>
          </w:p>
          <w:p w14:paraId="5E5AF910" w14:textId="122AFC6F" w:rsidR="00B8204F" w:rsidRPr="00603B21" w:rsidRDefault="00B8204F" w:rsidP="00B8204F">
            <w:pPr>
              <w:pStyle w:val="FootnoteText"/>
              <w:jc w:val="both"/>
              <w:rPr>
                <w:rFonts w:ascii="Arial" w:hAnsi="Arial" w:cs="Arial"/>
                <w:lang w:val="es-ES"/>
              </w:rPr>
            </w:pPr>
            <w:r w:rsidRPr="00603B21">
              <w:rPr>
                <w:rFonts w:ascii="Arial" w:hAnsi="Arial" w:cs="Arial"/>
                <w:lang w:val="en-US"/>
              </w:rPr>
              <w:t>Cost of collection is 2.</w:t>
            </w:r>
            <w:r w:rsidR="00FC5D96" w:rsidRPr="00603B21">
              <w:rPr>
                <w:rFonts w:ascii="Arial" w:hAnsi="Arial" w:cs="Arial"/>
                <w:lang w:val="en-US"/>
              </w:rPr>
              <w:t>0</w:t>
            </w:r>
            <w:r w:rsidRPr="00603B21">
              <w:rPr>
                <w:rFonts w:ascii="Arial" w:hAnsi="Arial" w:cs="Arial"/>
                <w:lang w:val="en-US"/>
              </w:rPr>
              <w:t>% while the regional average is 0.</w:t>
            </w:r>
            <w:r w:rsidR="00FC5D96" w:rsidRPr="00603B21">
              <w:rPr>
                <w:rFonts w:ascii="Arial" w:hAnsi="Arial" w:cs="Arial"/>
                <w:lang w:val="en-US"/>
              </w:rPr>
              <w:t>1.05</w:t>
            </w:r>
            <w:r w:rsidRPr="00603B21">
              <w:rPr>
                <w:rFonts w:ascii="Arial" w:hAnsi="Arial" w:cs="Arial"/>
                <w:lang w:val="en-US"/>
              </w:rPr>
              <w:t xml:space="preserve">%. </w:t>
            </w:r>
            <w:r w:rsidRPr="00603B21">
              <w:rPr>
                <w:rFonts w:ascii="Arial" w:hAnsi="Arial" w:cs="Arial"/>
                <w:lang w:val="es-ES"/>
              </w:rPr>
              <w:t>(</w:t>
            </w:r>
            <w:r w:rsidRPr="00603B21">
              <w:rPr>
                <w:rFonts w:ascii="Arial" w:hAnsi="Arial" w:cs="Arial"/>
                <w:i/>
                <w:lang w:val="es-ES"/>
              </w:rPr>
              <w:t>Las administraciones tributarias recaudación-costos-personal</w:t>
            </w:r>
            <w:r w:rsidRPr="00603B21">
              <w:rPr>
                <w:rFonts w:ascii="Arial" w:hAnsi="Arial" w:cs="Arial"/>
                <w:lang w:val="es-ES"/>
              </w:rPr>
              <w:t>, CIAT, 2018).</w:t>
            </w:r>
          </w:p>
          <w:p w14:paraId="03751251" w14:textId="3D370971" w:rsidR="00B8204F" w:rsidRPr="00603B21" w:rsidRDefault="00B8204F" w:rsidP="00B8204F">
            <w:pPr>
              <w:jc w:val="both"/>
              <w:rPr>
                <w:rFonts w:ascii="Arial" w:hAnsi="Arial" w:cs="Arial"/>
                <w:sz w:val="20"/>
                <w:szCs w:val="20"/>
                <w:lang w:val="es-ES"/>
              </w:rPr>
            </w:pPr>
            <w:r w:rsidRPr="00603B21">
              <w:rPr>
                <w:rFonts w:ascii="Arial" w:hAnsi="Arial" w:cs="Arial"/>
                <w:sz w:val="20"/>
                <w:szCs w:val="20"/>
                <w:lang w:val="es-ES"/>
              </w:rPr>
              <w:t xml:space="preserve">FAD/IMF 2014 </w:t>
            </w:r>
            <w:proofErr w:type="spellStart"/>
            <w:r w:rsidRPr="00603B21">
              <w:rPr>
                <w:rFonts w:ascii="Arial" w:hAnsi="Arial" w:cs="Arial"/>
                <w:sz w:val="20"/>
                <w:szCs w:val="20"/>
                <w:lang w:val="es-ES"/>
              </w:rPr>
              <w:t>report</w:t>
            </w:r>
            <w:proofErr w:type="spellEnd"/>
            <w:r w:rsidRPr="00603B21">
              <w:rPr>
                <w:rFonts w:ascii="Arial" w:hAnsi="Arial" w:cs="Arial"/>
                <w:sz w:val="20"/>
                <w:szCs w:val="20"/>
                <w:lang w:val="es-ES"/>
              </w:rPr>
              <w:t>.</w:t>
            </w:r>
          </w:p>
        </w:tc>
        <w:tc>
          <w:tcPr>
            <w:tcW w:w="5850" w:type="dxa"/>
          </w:tcPr>
          <w:p w14:paraId="317E5CB3" w14:textId="77777777" w:rsidR="002A24E0" w:rsidRPr="00603B21" w:rsidRDefault="00BD3180" w:rsidP="002A24E0">
            <w:pPr>
              <w:pStyle w:val="subpar"/>
              <w:numPr>
                <w:ilvl w:val="0"/>
                <w:numId w:val="0"/>
              </w:numPr>
              <w:outlineLvl w:val="9"/>
              <w:rPr>
                <w:rFonts w:ascii="Arial" w:hAnsi="Arial" w:cs="Arial"/>
                <w:sz w:val="20"/>
                <w:szCs w:val="20"/>
                <w:lang w:val="en-US"/>
              </w:rPr>
            </w:pPr>
            <w:r w:rsidRPr="00603B21">
              <w:rPr>
                <w:rFonts w:ascii="Arial" w:hAnsi="Arial" w:cs="Arial"/>
                <w:sz w:val="20"/>
                <w:szCs w:val="20"/>
                <w:lang w:val="en-US"/>
              </w:rPr>
              <w:t xml:space="preserve">1.1 </w:t>
            </w:r>
            <w:r w:rsidR="002A24E0" w:rsidRPr="00603B21">
              <w:rPr>
                <w:rFonts w:ascii="Arial" w:hAnsi="Arial" w:cs="Arial"/>
                <w:sz w:val="20"/>
                <w:szCs w:val="20"/>
                <w:lang w:val="en-US"/>
              </w:rPr>
              <w:t>New business model,</w:t>
            </w:r>
            <w:r w:rsidR="002A24E0" w:rsidRPr="00603B21">
              <w:rPr>
                <w:rStyle w:val="FootnoteReference"/>
                <w:rFonts w:ascii="Arial" w:eastAsiaTheme="majorEastAsia" w:hAnsi="Arial" w:cs="Arial"/>
                <w:sz w:val="20"/>
                <w:szCs w:val="20"/>
                <w:lang w:val="en-US"/>
              </w:rPr>
              <w:footnoteReference w:id="15"/>
            </w:r>
            <w:r w:rsidR="002A24E0" w:rsidRPr="00603B21">
              <w:rPr>
                <w:rFonts w:ascii="Arial" w:hAnsi="Arial" w:cs="Arial"/>
                <w:sz w:val="20"/>
                <w:szCs w:val="20"/>
                <w:vertAlign w:val="superscript"/>
                <w:lang w:val="en-US"/>
              </w:rPr>
              <w:t>,</w:t>
            </w:r>
            <w:r w:rsidR="002A24E0" w:rsidRPr="00603B21">
              <w:rPr>
                <w:rStyle w:val="FootnoteReference"/>
                <w:rFonts w:ascii="Arial" w:eastAsiaTheme="majorEastAsia" w:hAnsi="Arial" w:cs="Arial"/>
                <w:sz w:val="20"/>
                <w:szCs w:val="20"/>
                <w:lang w:val="en-US"/>
              </w:rPr>
              <w:footnoteReference w:id="16"/>
            </w:r>
            <w:r w:rsidR="002A24E0" w:rsidRPr="00603B21">
              <w:rPr>
                <w:rFonts w:ascii="Arial" w:hAnsi="Arial" w:cs="Arial"/>
                <w:sz w:val="20"/>
                <w:szCs w:val="20"/>
                <w:lang w:val="en-US"/>
              </w:rPr>
              <w:t xml:space="preserve"> organizational structure, </w:t>
            </w:r>
            <w:r w:rsidR="002A24E0" w:rsidRPr="00603B21">
              <w:rPr>
                <w:rFonts w:ascii="Arial" w:hAnsi="Arial" w:cs="Arial"/>
                <w:color w:val="000000" w:themeColor="text1"/>
                <w:sz w:val="20"/>
                <w:szCs w:val="20"/>
                <w:lang w:val="en-US"/>
              </w:rPr>
              <w:t>comprising workshops for communication/dissemination: (i) to support change management activities; (ii) the new business model; (ii) the strategic plan; and (iii) the legislation.</w:t>
            </w:r>
          </w:p>
          <w:p w14:paraId="0315BE17" w14:textId="30DD3671" w:rsidR="00100D59" w:rsidRPr="00603B21" w:rsidRDefault="00100D59" w:rsidP="00100D59">
            <w:pPr>
              <w:pStyle w:val="subpar"/>
              <w:numPr>
                <w:ilvl w:val="0"/>
                <w:numId w:val="0"/>
              </w:numPr>
              <w:tabs>
                <w:tab w:val="left" w:pos="0"/>
              </w:tabs>
              <w:rPr>
                <w:rFonts w:ascii="Arial" w:hAnsi="Arial" w:cs="Arial"/>
                <w:sz w:val="20"/>
                <w:szCs w:val="20"/>
                <w:lang w:val="en-US"/>
              </w:rPr>
            </w:pPr>
          </w:p>
          <w:p w14:paraId="4AA3B9EB" w14:textId="22932C43" w:rsidR="007977B5" w:rsidRPr="00603B21" w:rsidRDefault="007977B5" w:rsidP="007977B5">
            <w:pPr>
              <w:pStyle w:val="subpar"/>
              <w:numPr>
                <w:ilvl w:val="0"/>
                <w:numId w:val="0"/>
              </w:numPr>
              <w:rPr>
                <w:rFonts w:ascii="Arial" w:hAnsi="Arial" w:cs="Arial"/>
                <w:sz w:val="20"/>
                <w:szCs w:val="20"/>
                <w:lang w:val="en-US"/>
              </w:rPr>
            </w:pPr>
            <w:bookmarkStart w:id="2" w:name="_Hlk2689206"/>
          </w:p>
          <w:bookmarkEnd w:id="2"/>
          <w:p w14:paraId="38CEF154" w14:textId="6EFB8508" w:rsidR="00FC12D6" w:rsidRPr="00603B21" w:rsidRDefault="00FC12D6" w:rsidP="00122411">
            <w:pPr>
              <w:jc w:val="both"/>
              <w:rPr>
                <w:rFonts w:ascii="Arial" w:hAnsi="Arial" w:cs="Arial"/>
                <w:sz w:val="20"/>
                <w:szCs w:val="20"/>
                <w:lang w:val="en-US"/>
              </w:rPr>
            </w:pPr>
          </w:p>
        </w:tc>
      </w:tr>
      <w:tr w:rsidR="00FC12D6" w:rsidRPr="00603B21" w14:paraId="2816D78C" w14:textId="77777777" w:rsidTr="001B326B">
        <w:trPr>
          <w:trHeight w:val="1241"/>
        </w:trPr>
        <w:tc>
          <w:tcPr>
            <w:tcW w:w="4968" w:type="dxa"/>
            <w:shd w:val="clear" w:color="auto" w:fill="auto"/>
          </w:tcPr>
          <w:p w14:paraId="68515921" w14:textId="47A60A38" w:rsidR="00FC12D6" w:rsidRPr="00603B21" w:rsidRDefault="004058C6" w:rsidP="003D7FD8">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1.</w:t>
            </w:r>
            <w:r w:rsidR="0072057C" w:rsidRPr="00603B21">
              <w:rPr>
                <w:rFonts w:ascii="Arial" w:hAnsi="Arial" w:cs="Arial"/>
                <w:sz w:val="20"/>
                <w:szCs w:val="20"/>
                <w:lang w:val="en-US"/>
              </w:rPr>
              <w:t>2</w:t>
            </w:r>
            <w:r w:rsidR="003D7FD8" w:rsidRPr="00603B21">
              <w:rPr>
                <w:rFonts w:ascii="Arial" w:hAnsi="Arial" w:cs="Arial"/>
                <w:sz w:val="20"/>
                <w:szCs w:val="20"/>
                <w:lang w:val="en-US"/>
              </w:rPr>
              <w:t xml:space="preserve"> </w:t>
            </w:r>
            <w:r w:rsidR="009E71A7" w:rsidRPr="00603B21">
              <w:rPr>
                <w:rFonts w:ascii="Arial" w:hAnsi="Arial" w:cs="Arial"/>
                <w:b/>
                <w:sz w:val="20"/>
                <w:szCs w:val="20"/>
                <w:lang w:val="en-US"/>
              </w:rPr>
              <w:t>Inadequate internal assurance mechanisms</w:t>
            </w:r>
            <w:r w:rsidR="009E71A7" w:rsidRPr="00603B21">
              <w:rPr>
                <w:rFonts w:ascii="Arial" w:hAnsi="Arial" w:cs="Arial"/>
                <w:sz w:val="20"/>
                <w:szCs w:val="20"/>
                <w:lang w:val="en-US"/>
              </w:rPr>
              <w:t xml:space="preserve"> </w:t>
            </w:r>
            <w:r w:rsidR="009E71A7" w:rsidRPr="00603B21">
              <w:rPr>
                <w:rFonts w:ascii="Arial" w:hAnsi="Arial" w:cs="Arial"/>
                <w:b/>
                <w:sz w:val="20"/>
                <w:szCs w:val="20"/>
                <w:lang w:val="en-US"/>
              </w:rPr>
              <w:t xml:space="preserve">to ensure accountability and transparency. </w:t>
            </w:r>
            <w:r w:rsidR="009E71A7" w:rsidRPr="00603B21">
              <w:rPr>
                <w:rFonts w:ascii="Arial" w:hAnsi="Arial" w:cs="Arial"/>
                <w:sz w:val="20"/>
                <w:szCs w:val="20"/>
                <w:lang w:val="en-US"/>
              </w:rPr>
              <w:t xml:space="preserve">There are insufficient internal affairs policies and actions, and </w:t>
            </w:r>
            <w:r w:rsidR="009E71A7" w:rsidRPr="00603B21">
              <w:rPr>
                <w:rFonts w:ascii="Arial" w:hAnsi="Arial" w:cs="Arial"/>
                <w:sz w:val="20"/>
                <w:szCs w:val="20"/>
                <w:lang w:val="en-US"/>
              </w:rPr>
              <w:lastRenderedPageBreak/>
              <w:t>lack of internal audit to promote transparency in the TA processes.</w:t>
            </w:r>
            <w:r w:rsidR="009E71A7" w:rsidRPr="00603B21">
              <w:rPr>
                <w:rStyle w:val="FootnoteReference"/>
                <w:rFonts w:ascii="Arial" w:eastAsiaTheme="majorEastAsia" w:hAnsi="Arial" w:cs="Arial"/>
                <w:sz w:val="20"/>
                <w:szCs w:val="20"/>
                <w:lang w:val="en-US"/>
              </w:rPr>
              <w:t xml:space="preserve"> </w:t>
            </w:r>
            <w:r w:rsidR="009E71A7" w:rsidRPr="00603B21">
              <w:rPr>
                <w:rStyle w:val="FootnoteReference"/>
                <w:rFonts w:ascii="Arial" w:eastAsiaTheme="majorEastAsia" w:hAnsi="Arial" w:cs="Arial"/>
                <w:sz w:val="20"/>
                <w:szCs w:val="20"/>
                <w:lang w:val="en-US"/>
              </w:rPr>
              <w:footnoteReference w:id="17"/>
            </w:r>
            <w:r w:rsidR="009E71A7" w:rsidRPr="00603B21">
              <w:rPr>
                <w:rFonts w:ascii="Arial" w:hAnsi="Arial" w:cs="Arial"/>
                <w:sz w:val="20"/>
                <w:szCs w:val="20"/>
                <w:vertAlign w:val="superscript"/>
                <w:lang w:val="en-US"/>
              </w:rPr>
              <w:t>,</w:t>
            </w:r>
            <w:r w:rsidR="009E71A7" w:rsidRPr="00603B21">
              <w:rPr>
                <w:rStyle w:val="FootnoteReference"/>
                <w:rFonts w:ascii="Arial" w:eastAsiaTheme="majorEastAsia" w:hAnsi="Arial" w:cs="Arial"/>
                <w:sz w:val="20"/>
                <w:szCs w:val="20"/>
                <w:lang w:val="en-US"/>
              </w:rPr>
              <w:footnoteReference w:id="18"/>
            </w:r>
          </w:p>
        </w:tc>
        <w:tc>
          <w:tcPr>
            <w:tcW w:w="3870" w:type="dxa"/>
            <w:shd w:val="clear" w:color="auto" w:fill="auto"/>
          </w:tcPr>
          <w:p w14:paraId="71E7E900" w14:textId="77777777" w:rsidR="00FC12D6" w:rsidRPr="00603B21" w:rsidRDefault="004058C6" w:rsidP="00214A91">
            <w:pPr>
              <w:jc w:val="both"/>
              <w:rPr>
                <w:rFonts w:ascii="Arial" w:hAnsi="Arial" w:cs="Arial"/>
                <w:sz w:val="20"/>
                <w:szCs w:val="20"/>
                <w:lang w:val="en-US"/>
              </w:rPr>
            </w:pPr>
            <w:r w:rsidRPr="00603B21">
              <w:rPr>
                <w:rFonts w:ascii="Arial" w:hAnsi="Arial" w:cs="Arial"/>
                <w:sz w:val="20"/>
                <w:szCs w:val="20"/>
                <w:lang w:val="en-US"/>
              </w:rPr>
              <w:lastRenderedPageBreak/>
              <w:t>Information provided by DGST and ITD.</w:t>
            </w:r>
          </w:p>
          <w:p w14:paraId="0D4382E2" w14:textId="4365FA37" w:rsidR="004058C6" w:rsidRPr="00603B21" w:rsidRDefault="004058C6" w:rsidP="00214A91">
            <w:pPr>
              <w:jc w:val="both"/>
              <w:rPr>
                <w:rFonts w:ascii="Arial" w:hAnsi="Arial" w:cs="Arial"/>
                <w:sz w:val="20"/>
                <w:szCs w:val="20"/>
                <w:lang w:val="en-US"/>
              </w:rPr>
            </w:pPr>
            <w:r w:rsidRPr="00603B21">
              <w:rPr>
                <w:rFonts w:ascii="Arial" w:hAnsi="Arial" w:cs="Arial"/>
                <w:bCs/>
                <w:sz w:val="20"/>
                <w:szCs w:val="20"/>
                <w:lang w:val="en-US"/>
              </w:rPr>
              <w:t>Corruption, Taxes and Compliance, 2017 (IMF)</w:t>
            </w:r>
            <w:r w:rsidRPr="00603B21">
              <w:rPr>
                <w:rFonts w:ascii="Arial" w:hAnsi="Arial" w:cs="Arial"/>
                <w:sz w:val="20"/>
                <w:szCs w:val="20"/>
                <w:lang w:val="en-US"/>
              </w:rPr>
              <w:t>.</w:t>
            </w:r>
          </w:p>
          <w:p w14:paraId="3A3CDFEE" w14:textId="4C678008" w:rsidR="004058C6" w:rsidRPr="00603B21" w:rsidRDefault="004058C6" w:rsidP="00214A91">
            <w:pPr>
              <w:jc w:val="both"/>
              <w:rPr>
                <w:rFonts w:ascii="Arial" w:hAnsi="Arial" w:cs="Arial"/>
                <w:sz w:val="20"/>
                <w:szCs w:val="20"/>
                <w:lang w:val="en-US"/>
              </w:rPr>
            </w:pPr>
          </w:p>
          <w:p w14:paraId="13D54608" w14:textId="420EFB39" w:rsidR="004058C6" w:rsidRPr="00603B21" w:rsidRDefault="004058C6" w:rsidP="00214A91">
            <w:pPr>
              <w:jc w:val="both"/>
              <w:rPr>
                <w:rFonts w:ascii="Arial" w:hAnsi="Arial" w:cs="Arial"/>
                <w:color w:val="FF0000"/>
                <w:sz w:val="20"/>
                <w:szCs w:val="20"/>
                <w:lang w:val="en-US"/>
              </w:rPr>
            </w:pPr>
          </w:p>
        </w:tc>
        <w:tc>
          <w:tcPr>
            <w:tcW w:w="5850" w:type="dxa"/>
            <w:shd w:val="clear" w:color="auto" w:fill="auto"/>
          </w:tcPr>
          <w:p w14:paraId="4322C61B" w14:textId="2CCBDF47" w:rsidR="00FC12D6" w:rsidRPr="00603B21" w:rsidRDefault="007977B5" w:rsidP="001B326B">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1.</w:t>
            </w:r>
            <w:r w:rsidR="0072057C" w:rsidRPr="00603B21">
              <w:rPr>
                <w:rFonts w:ascii="Arial" w:hAnsi="Arial" w:cs="Arial"/>
                <w:sz w:val="20"/>
                <w:szCs w:val="20"/>
                <w:lang w:val="en-US"/>
              </w:rPr>
              <w:t>2</w:t>
            </w:r>
            <w:r w:rsidRPr="00603B21">
              <w:rPr>
                <w:rFonts w:ascii="Arial" w:hAnsi="Arial" w:cs="Arial"/>
                <w:sz w:val="20"/>
                <w:szCs w:val="20"/>
                <w:lang w:val="en-US"/>
              </w:rPr>
              <w:t xml:space="preserve"> </w:t>
            </w:r>
            <w:r w:rsidR="002A24E0" w:rsidRPr="00603B21">
              <w:rPr>
                <w:rFonts w:ascii="Arial" w:hAnsi="Arial" w:cs="Arial"/>
                <w:sz w:val="20"/>
                <w:szCs w:val="20"/>
                <w:lang w:val="en-US"/>
              </w:rPr>
              <w:t xml:space="preserve">Internal control model, comprising management control, internal audit, and internal affairs, which will be supported by ITAS, comprising: (i) technical assistance to develop the conceptual model and the corresponding operating manuals: (ii) </w:t>
            </w:r>
            <w:r w:rsidR="002A24E0" w:rsidRPr="00603B21">
              <w:rPr>
                <w:rFonts w:ascii="Arial" w:hAnsi="Arial" w:cs="Arial"/>
                <w:sz w:val="20"/>
                <w:szCs w:val="20"/>
                <w:lang w:val="en-US"/>
              </w:rPr>
              <w:lastRenderedPageBreak/>
              <w:t>a system to support the model operation; and (iii) training in internal control technics.</w:t>
            </w:r>
            <w:r w:rsidR="002A24E0" w:rsidRPr="00603B21">
              <w:rPr>
                <w:rStyle w:val="FootnoteReference"/>
                <w:rFonts w:ascii="Arial" w:eastAsiaTheme="majorEastAsia" w:hAnsi="Arial" w:cs="Arial"/>
                <w:sz w:val="20"/>
                <w:szCs w:val="20"/>
                <w:lang w:val="en-US"/>
              </w:rPr>
              <w:footnoteReference w:id="19"/>
            </w:r>
          </w:p>
        </w:tc>
      </w:tr>
      <w:tr w:rsidR="00D27B31" w:rsidRPr="00603B21" w14:paraId="47311072" w14:textId="77777777" w:rsidTr="008939EA">
        <w:tc>
          <w:tcPr>
            <w:tcW w:w="14688" w:type="dxa"/>
            <w:gridSpan w:val="3"/>
            <w:shd w:val="clear" w:color="auto" w:fill="C6D9F1" w:themeFill="text2" w:themeFillTint="33"/>
          </w:tcPr>
          <w:p w14:paraId="507C2F58" w14:textId="50723747" w:rsidR="00D27B31" w:rsidRPr="00603B21" w:rsidRDefault="002A24E0" w:rsidP="00214A91">
            <w:pPr>
              <w:jc w:val="both"/>
              <w:rPr>
                <w:rFonts w:ascii="Arial" w:hAnsi="Arial" w:cs="Arial"/>
                <w:b/>
                <w:sz w:val="20"/>
                <w:szCs w:val="20"/>
                <w:lang w:val="en-US"/>
              </w:rPr>
            </w:pPr>
            <w:r w:rsidRPr="00603B21">
              <w:rPr>
                <w:rFonts w:ascii="Arial" w:hAnsi="Arial" w:cs="Arial"/>
                <w:b/>
                <w:sz w:val="20"/>
                <w:szCs w:val="20"/>
                <w:lang w:val="en-US"/>
              </w:rPr>
              <w:lastRenderedPageBreak/>
              <w:t>Component II. Improvement of Operational Processes (US$1,749,42</w:t>
            </w:r>
            <w:r w:rsidR="004E5D67" w:rsidRPr="00603B21">
              <w:rPr>
                <w:rFonts w:ascii="Arial" w:hAnsi="Arial" w:cs="Arial"/>
                <w:b/>
                <w:sz w:val="20"/>
                <w:szCs w:val="20"/>
                <w:lang w:val="en-US"/>
              </w:rPr>
              <w:t>8</w:t>
            </w:r>
            <w:r w:rsidRPr="00603B21">
              <w:rPr>
                <w:rFonts w:ascii="Arial" w:hAnsi="Arial" w:cs="Arial"/>
                <w:b/>
                <w:sz w:val="20"/>
                <w:szCs w:val="20"/>
                <w:lang w:val="en-US"/>
              </w:rPr>
              <w:t>).</w:t>
            </w:r>
          </w:p>
        </w:tc>
      </w:tr>
      <w:tr w:rsidR="008939EA" w:rsidRPr="00603B21" w14:paraId="24D9DA34" w14:textId="77777777" w:rsidTr="009B46EE">
        <w:trPr>
          <w:trHeight w:val="638"/>
        </w:trPr>
        <w:tc>
          <w:tcPr>
            <w:tcW w:w="14688" w:type="dxa"/>
            <w:gridSpan w:val="3"/>
            <w:shd w:val="clear" w:color="auto" w:fill="C6D9F1" w:themeFill="text2" w:themeFillTint="33"/>
          </w:tcPr>
          <w:p w14:paraId="1DAB8587" w14:textId="530C2F9D" w:rsidR="008939EA" w:rsidRPr="00603B21" w:rsidRDefault="008939EA" w:rsidP="00032A57">
            <w:pPr>
              <w:jc w:val="both"/>
              <w:rPr>
                <w:rFonts w:ascii="Arial" w:hAnsi="Arial" w:cs="Arial"/>
                <w:sz w:val="20"/>
                <w:szCs w:val="20"/>
                <w:highlight w:val="yellow"/>
                <w:lang w:val="en-US"/>
              </w:rPr>
            </w:pPr>
            <w:r w:rsidRPr="00603B21">
              <w:rPr>
                <w:rFonts w:ascii="Arial" w:hAnsi="Arial" w:cs="Arial"/>
                <w:b/>
                <w:sz w:val="20"/>
                <w:szCs w:val="20"/>
                <w:lang w:val="en-US"/>
              </w:rPr>
              <w:t>Specific Problem 2</w:t>
            </w:r>
            <w:r w:rsidRPr="00603B21">
              <w:rPr>
                <w:rFonts w:ascii="Arial" w:hAnsi="Arial" w:cs="Arial"/>
                <w:sz w:val="20"/>
                <w:szCs w:val="20"/>
                <w:lang w:val="en-US"/>
              </w:rPr>
              <w:t xml:space="preserve"> – </w:t>
            </w:r>
            <w:r w:rsidR="009B46EE" w:rsidRPr="00603B21">
              <w:rPr>
                <w:rFonts w:ascii="Arial" w:hAnsi="Arial" w:cs="Arial"/>
                <w:sz w:val="20"/>
                <w:szCs w:val="20"/>
                <w:lang w:val="en-US"/>
              </w:rPr>
              <w:t>Low efficiency in tax collection.</w:t>
            </w:r>
          </w:p>
          <w:p w14:paraId="2EFFC29D" w14:textId="4F20CA8D" w:rsidR="00F423ED" w:rsidRPr="00603B21" w:rsidRDefault="008F12CA" w:rsidP="00032A57">
            <w:pPr>
              <w:jc w:val="both"/>
              <w:rPr>
                <w:rFonts w:ascii="Arial" w:hAnsi="Arial" w:cs="Arial"/>
                <w:sz w:val="20"/>
                <w:szCs w:val="20"/>
                <w:lang w:val="en-US"/>
              </w:rPr>
            </w:pPr>
            <w:r w:rsidRPr="00603B21">
              <w:rPr>
                <w:rFonts w:ascii="Arial" w:hAnsi="Arial" w:cs="Arial"/>
                <w:b/>
                <w:sz w:val="20"/>
                <w:szCs w:val="20"/>
                <w:lang w:val="en-US"/>
              </w:rPr>
              <w:t>Objective specific 2</w:t>
            </w:r>
            <w:r w:rsidRPr="00603B21">
              <w:rPr>
                <w:rFonts w:ascii="Arial" w:hAnsi="Arial" w:cs="Arial"/>
                <w:sz w:val="20"/>
                <w:szCs w:val="20"/>
                <w:lang w:val="en-US"/>
              </w:rPr>
              <w:t xml:space="preserve"> – </w:t>
            </w:r>
            <w:r w:rsidR="009E71A7" w:rsidRPr="00603B21">
              <w:rPr>
                <w:rFonts w:ascii="Arial" w:hAnsi="Arial" w:cs="Arial"/>
                <w:sz w:val="20"/>
                <w:szCs w:val="20"/>
                <w:lang w:val="en-US"/>
              </w:rPr>
              <w:t>increasing tax administration efficiency, through improvement in the operational processes and modernization of the technological infrastructure.</w:t>
            </w:r>
          </w:p>
        </w:tc>
      </w:tr>
      <w:tr w:rsidR="00032A57" w:rsidRPr="00603B21" w14:paraId="416B3DC9" w14:textId="77777777" w:rsidTr="0072057C">
        <w:trPr>
          <w:trHeight w:val="530"/>
        </w:trPr>
        <w:tc>
          <w:tcPr>
            <w:tcW w:w="4968" w:type="dxa"/>
            <w:shd w:val="clear" w:color="auto" w:fill="auto"/>
          </w:tcPr>
          <w:p w14:paraId="0C7B78BD" w14:textId="74881993" w:rsidR="00032A57" w:rsidRPr="00603B21" w:rsidRDefault="004058C6" w:rsidP="00E26A62">
            <w:pPr>
              <w:pStyle w:val="subpar"/>
              <w:numPr>
                <w:ilvl w:val="0"/>
                <w:numId w:val="0"/>
              </w:numPr>
              <w:tabs>
                <w:tab w:val="left" w:pos="0"/>
              </w:tabs>
              <w:rPr>
                <w:rFonts w:ascii="Arial" w:hAnsi="Arial" w:cs="Arial"/>
                <w:sz w:val="20"/>
                <w:szCs w:val="20"/>
                <w:lang w:val="en-US"/>
              </w:rPr>
            </w:pPr>
            <w:r w:rsidRPr="00603B21">
              <w:rPr>
                <w:rFonts w:ascii="Arial" w:hAnsi="Arial" w:cs="Arial"/>
                <w:color w:val="000000" w:themeColor="text1"/>
                <w:sz w:val="20"/>
                <w:szCs w:val="20"/>
                <w:lang w:val="en-US"/>
              </w:rPr>
              <w:t>2.1</w:t>
            </w:r>
            <w:r w:rsidRPr="00603B21">
              <w:rPr>
                <w:rFonts w:ascii="Arial" w:hAnsi="Arial" w:cs="Arial"/>
                <w:b/>
                <w:color w:val="000000" w:themeColor="text1"/>
                <w:sz w:val="20"/>
                <w:szCs w:val="20"/>
                <w:lang w:val="en-US"/>
              </w:rPr>
              <w:t xml:space="preserve"> </w:t>
            </w:r>
            <w:r w:rsidR="009E71A7" w:rsidRPr="00603B21">
              <w:rPr>
                <w:rFonts w:ascii="Arial" w:hAnsi="Arial" w:cs="Arial"/>
                <w:b/>
                <w:color w:val="000000" w:themeColor="text1"/>
                <w:sz w:val="20"/>
                <w:szCs w:val="20"/>
                <w:lang w:val="en-US"/>
              </w:rPr>
              <w:t>The taxpayer register contains duplicate and incorrect records</w:t>
            </w:r>
            <w:r w:rsidR="009E71A7" w:rsidRPr="00603B21">
              <w:rPr>
                <w:rFonts w:ascii="Arial" w:hAnsi="Arial" w:cs="Arial"/>
                <w:b/>
                <w:sz w:val="20"/>
                <w:szCs w:val="20"/>
                <w:lang w:val="en-US"/>
              </w:rPr>
              <w:t xml:space="preserve">. </w:t>
            </w:r>
            <w:r w:rsidR="009E71A7" w:rsidRPr="00603B21">
              <w:rPr>
                <w:rFonts w:ascii="Arial" w:hAnsi="Arial" w:cs="Arial"/>
                <w:sz w:val="20"/>
                <w:szCs w:val="20"/>
                <w:lang w:val="en-US"/>
              </w:rPr>
              <w:t>The ITD registry contains approximately 27,000 taxpayers, of which less than 30% are active. The DGST registry contains around 5,000 taxpayers, of which 10% are inactive.</w:t>
            </w:r>
            <w:r w:rsidR="009E71A7" w:rsidRPr="00603B21">
              <w:rPr>
                <w:rStyle w:val="FootnoteReference"/>
                <w:rFonts w:ascii="Arial" w:eastAsiaTheme="majorEastAsia" w:hAnsi="Arial" w:cs="Arial"/>
                <w:sz w:val="20"/>
                <w:szCs w:val="20"/>
                <w:lang w:val="en-US"/>
              </w:rPr>
              <w:footnoteReference w:id="20"/>
            </w:r>
          </w:p>
        </w:tc>
        <w:tc>
          <w:tcPr>
            <w:tcW w:w="3870" w:type="dxa"/>
            <w:shd w:val="clear" w:color="auto" w:fill="auto"/>
          </w:tcPr>
          <w:p w14:paraId="77D3B12A" w14:textId="71E2F3B7" w:rsidR="00032A57"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FAD/IMF 2014 report.</w:t>
            </w:r>
          </w:p>
        </w:tc>
        <w:tc>
          <w:tcPr>
            <w:tcW w:w="5850" w:type="dxa"/>
            <w:shd w:val="clear" w:color="auto" w:fill="auto"/>
          </w:tcPr>
          <w:p w14:paraId="3BB59D95" w14:textId="488C4495" w:rsidR="00A746E1" w:rsidRPr="00603B21" w:rsidRDefault="00A746E1" w:rsidP="009E71A7">
            <w:pPr>
              <w:pStyle w:val="subpar"/>
              <w:numPr>
                <w:ilvl w:val="0"/>
                <w:numId w:val="0"/>
              </w:numPr>
              <w:ind w:left="-20"/>
              <w:outlineLvl w:val="9"/>
              <w:rPr>
                <w:rFonts w:ascii="Arial" w:eastAsia="Calibri" w:hAnsi="Arial" w:cs="Arial"/>
                <w:sz w:val="20"/>
                <w:szCs w:val="20"/>
                <w:lang w:val="en-US"/>
              </w:rPr>
            </w:pPr>
            <w:bookmarkStart w:id="3" w:name="_Hlk2689882"/>
            <w:r w:rsidRPr="00603B21">
              <w:rPr>
                <w:rFonts w:ascii="Arial" w:eastAsia="Calibri" w:hAnsi="Arial" w:cs="Arial"/>
                <w:sz w:val="20"/>
                <w:szCs w:val="20"/>
                <w:lang w:val="en-US"/>
              </w:rPr>
              <w:t>2.1</w:t>
            </w:r>
            <w:r w:rsidR="00100D59" w:rsidRPr="00603B21">
              <w:rPr>
                <w:rFonts w:ascii="Arial" w:eastAsia="Calibri" w:hAnsi="Arial" w:cs="Arial"/>
                <w:sz w:val="20"/>
                <w:szCs w:val="20"/>
                <w:lang w:val="en-US"/>
              </w:rPr>
              <w:t xml:space="preserve"> </w:t>
            </w:r>
            <w:r w:rsidR="009E71A7" w:rsidRPr="00603B21">
              <w:rPr>
                <w:rFonts w:ascii="Arial" w:eastAsia="Calibri" w:hAnsi="Arial" w:cs="Arial"/>
                <w:sz w:val="20"/>
                <w:szCs w:val="20"/>
                <w:lang w:val="en-US"/>
              </w:rPr>
              <w:t>Integrated taxpayer registration model, common for all tax departments and systems aiming at facilitating the registration and ensure the adequacy and accuracy of the information</w:t>
            </w:r>
            <w:r w:rsidR="009E71A7" w:rsidRPr="00603B21">
              <w:rPr>
                <w:rFonts w:ascii="Arial" w:hAnsi="Arial" w:cs="Arial"/>
                <w:sz w:val="20"/>
                <w:szCs w:val="20"/>
                <w:lang w:val="en-US"/>
              </w:rPr>
              <w:t xml:space="preserve">, comprising: (i) data cleansing and data migration to the new ITAS; and (ii) workshops to disseminate the new registration model. </w:t>
            </w:r>
            <w:bookmarkEnd w:id="3"/>
          </w:p>
        </w:tc>
      </w:tr>
      <w:tr w:rsidR="00032A57" w:rsidRPr="00603B21" w14:paraId="3AE5C13C" w14:textId="77777777" w:rsidTr="0072057C">
        <w:tc>
          <w:tcPr>
            <w:tcW w:w="4968" w:type="dxa"/>
            <w:shd w:val="clear" w:color="auto" w:fill="auto"/>
          </w:tcPr>
          <w:p w14:paraId="20614949" w14:textId="1D69D491" w:rsidR="0072057C" w:rsidRPr="00603B21" w:rsidRDefault="00D1666E" w:rsidP="0072057C">
            <w:pPr>
              <w:pStyle w:val="subpar"/>
              <w:numPr>
                <w:ilvl w:val="0"/>
                <w:numId w:val="0"/>
              </w:numPr>
              <w:tabs>
                <w:tab w:val="left" w:pos="0"/>
              </w:tabs>
              <w:rPr>
                <w:rFonts w:ascii="Arial" w:hAnsi="Arial" w:cs="Arial"/>
                <w:sz w:val="20"/>
                <w:szCs w:val="20"/>
                <w:lang w:val="en-US"/>
              </w:rPr>
            </w:pPr>
            <w:bookmarkStart w:id="4" w:name="_Hlk2662973"/>
            <w:r w:rsidRPr="00603B21">
              <w:rPr>
                <w:rFonts w:ascii="Arial" w:hAnsi="Arial" w:cs="Arial"/>
                <w:b/>
                <w:sz w:val="20"/>
                <w:szCs w:val="20"/>
                <w:lang w:val="en-US"/>
              </w:rPr>
              <w:t xml:space="preserve">2.2 </w:t>
            </w:r>
            <w:r w:rsidR="009E71A7" w:rsidRPr="00603B21">
              <w:rPr>
                <w:rFonts w:ascii="Arial" w:hAnsi="Arial" w:cs="Arial"/>
                <w:b/>
                <w:sz w:val="20"/>
                <w:szCs w:val="20"/>
                <w:lang w:val="en-US"/>
              </w:rPr>
              <w:t>Limited human resource technical capacity.</w:t>
            </w:r>
            <w:r w:rsidR="009E71A7" w:rsidRPr="00603B21">
              <w:rPr>
                <w:rFonts w:ascii="Arial" w:hAnsi="Arial" w:cs="Arial"/>
                <w:sz w:val="20"/>
                <w:szCs w:val="20"/>
                <w:lang w:val="en-US"/>
              </w:rPr>
              <w:t xml:space="preserve"> The combined staff for both TA departments totals 240 employees, 67 are auditors. They present lack of training in key areas, such collection and audits.</w:t>
            </w:r>
            <w:r w:rsidR="009E71A7" w:rsidRPr="00603B21">
              <w:rPr>
                <w:rStyle w:val="FootnoteReference"/>
                <w:rFonts w:ascii="Arial" w:eastAsiaTheme="majorEastAsia" w:hAnsi="Arial" w:cs="Arial"/>
                <w:sz w:val="20"/>
                <w:szCs w:val="20"/>
                <w:lang w:val="en-US"/>
              </w:rPr>
              <w:t xml:space="preserve"> </w:t>
            </w:r>
            <w:r w:rsidR="009E71A7" w:rsidRPr="00603B21">
              <w:rPr>
                <w:rStyle w:val="FootnoteReference"/>
                <w:rFonts w:ascii="Arial" w:eastAsiaTheme="majorEastAsia" w:hAnsi="Arial" w:cs="Arial"/>
                <w:sz w:val="20"/>
                <w:szCs w:val="20"/>
                <w:lang w:val="en-US"/>
              </w:rPr>
              <w:footnoteReference w:id="21"/>
            </w:r>
            <w:r w:rsidR="009E71A7" w:rsidRPr="00603B21">
              <w:rPr>
                <w:rFonts w:ascii="Arial" w:hAnsi="Arial" w:cs="Arial"/>
                <w:sz w:val="20"/>
                <w:szCs w:val="20"/>
                <w:lang w:val="en-US"/>
              </w:rPr>
              <w:t xml:space="preserve"> Most of the auditors are not accountants or professionals in related fields.</w:t>
            </w:r>
            <w:r w:rsidR="009E71A7" w:rsidRPr="00603B21">
              <w:rPr>
                <w:rStyle w:val="FootnoteReference"/>
                <w:rFonts w:ascii="Arial" w:eastAsiaTheme="majorEastAsia" w:hAnsi="Arial" w:cs="Arial"/>
                <w:sz w:val="20"/>
                <w:szCs w:val="20"/>
                <w:lang w:val="en-US"/>
              </w:rPr>
              <w:footnoteReference w:id="22"/>
            </w:r>
          </w:p>
          <w:bookmarkEnd w:id="4"/>
          <w:p w14:paraId="1B9A54C4" w14:textId="160A335E" w:rsidR="00D1666E" w:rsidRPr="00603B21" w:rsidRDefault="00D1666E" w:rsidP="00D1666E">
            <w:pPr>
              <w:pStyle w:val="subpar"/>
              <w:numPr>
                <w:ilvl w:val="0"/>
                <w:numId w:val="0"/>
              </w:numPr>
              <w:tabs>
                <w:tab w:val="left" w:pos="0"/>
              </w:tabs>
              <w:rPr>
                <w:rFonts w:ascii="Arial" w:hAnsi="Arial" w:cs="Arial"/>
                <w:sz w:val="20"/>
                <w:szCs w:val="20"/>
                <w:lang w:val="en-US"/>
              </w:rPr>
            </w:pPr>
          </w:p>
          <w:p w14:paraId="56FD3AF0" w14:textId="55398B1A" w:rsidR="002A5FDF" w:rsidRPr="00603B21" w:rsidRDefault="002A5FDF" w:rsidP="002A5FDF">
            <w:pPr>
              <w:pStyle w:val="subpar"/>
              <w:numPr>
                <w:ilvl w:val="0"/>
                <w:numId w:val="0"/>
              </w:numPr>
              <w:tabs>
                <w:tab w:val="left" w:pos="0"/>
              </w:tabs>
              <w:rPr>
                <w:rFonts w:ascii="Arial" w:hAnsi="Arial" w:cs="Arial"/>
                <w:sz w:val="20"/>
                <w:szCs w:val="20"/>
                <w:lang w:val="en-US"/>
              </w:rPr>
            </w:pPr>
          </w:p>
          <w:p w14:paraId="4A2E2DFF" w14:textId="6A584288" w:rsidR="00032A57" w:rsidRPr="00603B21" w:rsidRDefault="00032A57" w:rsidP="004058C6">
            <w:pPr>
              <w:pStyle w:val="subpar"/>
              <w:numPr>
                <w:ilvl w:val="0"/>
                <w:numId w:val="0"/>
              </w:numPr>
              <w:rPr>
                <w:rFonts w:ascii="Arial" w:hAnsi="Arial" w:cs="Arial"/>
                <w:sz w:val="20"/>
                <w:szCs w:val="20"/>
                <w:lang w:val="en-US"/>
              </w:rPr>
            </w:pPr>
          </w:p>
        </w:tc>
        <w:tc>
          <w:tcPr>
            <w:tcW w:w="3870" w:type="dxa"/>
            <w:shd w:val="clear" w:color="auto" w:fill="auto"/>
          </w:tcPr>
          <w:p w14:paraId="01144C0A" w14:textId="1E0A2644" w:rsidR="00451D8D"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Belize Tax Administration Modernization Report. September 2018.</w:t>
            </w:r>
          </w:p>
          <w:p w14:paraId="066AD3E7" w14:textId="533E8BCA" w:rsidR="00451D8D"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Information provided by DGST and ITD.</w:t>
            </w:r>
          </w:p>
          <w:p w14:paraId="68A771A4" w14:textId="40920A2E" w:rsidR="00451D8D" w:rsidRPr="00603B21" w:rsidRDefault="00451D8D" w:rsidP="00032A57">
            <w:pPr>
              <w:jc w:val="both"/>
              <w:rPr>
                <w:rFonts w:ascii="Arial" w:hAnsi="Arial" w:cs="Arial"/>
                <w:sz w:val="20"/>
                <w:szCs w:val="20"/>
                <w:lang w:val="en-US"/>
              </w:rPr>
            </w:pPr>
          </w:p>
        </w:tc>
        <w:tc>
          <w:tcPr>
            <w:tcW w:w="5850" w:type="dxa"/>
            <w:shd w:val="clear" w:color="auto" w:fill="auto"/>
          </w:tcPr>
          <w:p w14:paraId="1C1F6FEA" w14:textId="3D9D66D8" w:rsidR="00100D59" w:rsidRPr="00603B21" w:rsidRDefault="00A746E1" w:rsidP="00100D59">
            <w:pPr>
              <w:pStyle w:val="subpar"/>
              <w:numPr>
                <w:ilvl w:val="0"/>
                <w:numId w:val="0"/>
              </w:numPr>
              <w:tabs>
                <w:tab w:val="left" w:pos="0"/>
              </w:tabs>
              <w:rPr>
                <w:rFonts w:ascii="Arial" w:eastAsia="Calibri" w:hAnsi="Arial" w:cs="Arial"/>
                <w:sz w:val="20"/>
                <w:szCs w:val="20"/>
                <w:lang w:val="en-US"/>
              </w:rPr>
            </w:pPr>
            <w:r w:rsidRPr="00603B21">
              <w:rPr>
                <w:rFonts w:ascii="Arial" w:hAnsi="Arial" w:cs="Arial"/>
                <w:sz w:val="20"/>
                <w:szCs w:val="20"/>
                <w:lang w:val="en-US"/>
              </w:rPr>
              <w:t xml:space="preserve">2.2 </w:t>
            </w:r>
            <w:r w:rsidR="009E71A7" w:rsidRPr="00603B21">
              <w:rPr>
                <w:rFonts w:ascii="Arial" w:hAnsi="Arial" w:cs="Arial"/>
                <w:sz w:val="20"/>
                <w:szCs w:val="20"/>
                <w:lang w:val="en-US"/>
              </w:rPr>
              <w:t>Human resource strengthening plan, comprising: (i) identification of skill gaps of the TA personnel</w:t>
            </w:r>
            <w:r w:rsidR="009E71A7" w:rsidRPr="00603B21">
              <w:rPr>
                <w:rStyle w:val="FootnoteReference"/>
                <w:rFonts w:ascii="Arial" w:eastAsiaTheme="majorEastAsia" w:hAnsi="Arial" w:cs="Arial"/>
                <w:sz w:val="20"/>
                <w:szCs w:val="20"/>
                <w:lang w:val="en-US"/>
              </w:rPr>
              <w:footnoteReference w:id="23"/>
            </w:r>
            <w:r w:rsidR="009E71A7" w:rsidRPr="00603B21">
              <w:rPr>
                <w:rFonts w:ascii="Arial" w:hAnsi="Arial" w:cs="Arial"/>
                <w:sz w:val="20"/>
                <w:szCs w:val="20"/>
                <w:lang w:val="en-US"/>
              </w:rPr>
              <w:t>; (i) implementation of an e-lear</w:t>
            </w:r>
            <w:r w:rsidR="00FC5D96" w:rsidRPr="00603B21">
              <w:rPr>
                <w:rFonts w:ascii="Arial" w:hAnsi="Arial" w:cs="Arial"/>
                <w:sz w:val="20"/>
                <w:szCs w:val="20"/>
                <w:lang w:val="en-US"/>
              </w:rPr>
              <w:t>ning</w:t>
            </w:r>
            <w:r w:rsidR="009E71A7" w:rsidRPr="00603B21">
              <w:rPr>
                <w:rFonts w:ascii="Arial" w:hAnsi="Arial" w:cs="Arial"/>
                <w:sz w:val="20"/>
                <w:szCs w:val="20"/>
                <w:lang w:val="en-US"/>
              </w:rPr>
              <w:t xml:space="preserve"> platform; and (iii) permanent training program</w:t>
            </w:r>
          </w:p>
          <w:p w14:paraId="5F7F9142" w14:textId="5AB991E9" w:rsidR="00100D59" w:rsidRPr="00603B21" w:rsidRDefault="00100D59" w:rsidP="00100D59">
            <w:pPr>
              <w:pStyle w:val="subpar"/>
              <w:numPr>
                <w:ilvl w:val="0"/>
                <w:numId w:val="0"/>
              </w:numPr>
              <w:tabs>
                <w:tab w:val="left" w:pos="0"/>
              </w:tabs>
              <w:rPr>
                <w:rFonts w:ascii="Arial" w:eastAsia="Calibri" w:hAnsi="Arial" w:cs="Arial"/>
                <w:sz w:val="20"/>
                <w:szCs w:val="20"/>
                <w:lang w:val="en-US"/>
              </w:rPr>
            </w:pPr>
          </w:p>
          <w:p w14:paraId="5B614C1C" w14:textId="7F5AF540" w:rsidR="00CD76C2" w:rsidRPr="00603B21" w:rsidRDefault="00CD76C2" w:rsidP="00CD76C2">
            <w:pPr>
              <w:pStyle w:val="subpar"/>
              <w:numPr>
                <w:ilvl w:val="0"/>
                <w:numId w:val="0"/>
              </w:numPr>
              <w:rPr>
                <w:rFonts w:ascii="Arial" w:eastAsia="Calibri" w:hAnsi="Arial" w:cs="Arial"/>
                <w:color w:val="FF0000"/>
                <w:sz w:val="20"/>
                <w:szCs w:val="20"/>
                <w:lang w:val="en-US"/>
              </w:rPr>
            </w:pPr>
          </w:p>
          <w:p w14:paraId="222685BF" w14:textId="3AFB726B" w:rsidR="00032A57" w:rsidRPr="00603B21" w:rsidRDefault="00032A57" w:rsidP="00032A57">
            <w:pPr>
              <w:jc w:val="both"/>
              <w:rPr>
                <w:rFonts w:ascii="Arial" w:hAnsi="Arial" w:cs="Arial"/>
                <w:sz w:val="20"/>
                <w:szCs w:val="20"/>
                <w:lang w:val="en-US"/>
              </w:rPr>
            </w:pPr>
          </w:p>
        </w:tc>
      </w:tr>
      <w:tr w:rsidR="00032A57" w:rsidRPr="00603B21" w14:paraId="621767ED" w14:textId="77777777" w:rsidTr="00B14E1D">
        <w:tc>
          <w:tcPr>
            <w:tcW w:w="4968" w:type="dxa"/>
          </w:tcPr>
          <w:p w14:paraId="1B32F444" w14:textId="14BB95E5" w:rsidR="00032A57" w:rsidRPr="00603B21" w:rsidRDefault="003D25EA" w:rsidP="001B326B">
            <w:pPr>
              <w:pStyle w:val="subpar"/>
              <w:numPr>
                <w:ilvl w:val="0"/>
                <w:numId w:val="0"/>
              </w:numPr>
              <w:tabs>
                <w:tab w:val="left" w:pos="0"/>
              </w:tabs>
              <w:rPr>
                <w:rFonts w:ascii="Arial" w:hAnsi="Arial" w:cs="Arial"/>
                <w:sz w:val="20"/>
                <w:szCs w:val="20"/>
                <w:lang w:val="en-US"/>
              </w:rPr>
            </w:pPr>
            <w:bookmarkStart w:id="5" w:name="_Hlk2688226"/>
            <w:r w:rsidRPr="00603B21">
              <w:rPr>
                <w:rFonts w:ascii="Arial" w:hAnsi="Arial" w:cs="Arial"/>
                <w:b/>
                <w:sz w:val="20"/>
                <w:szCs w:val="20"/>
                <w:lang w:val="en-US"/>
              </w:rPr>
              <w:t xml:space="preserve">2.3 </w:t>
            </w:r>
            <w:r w:rsidR="009E71A7" w:rsidRPr="00603B21">
              <w:rPr>
                <w:rFonts w:ascii="Arial" w:hAnsi="Arial" w:cs="Arial"/>
                <w:b/>
                <w:sz w:val="20"/>
                <w:szCs w:val="20"/>
                <w:lang w:val="en-US"/>
              </w:rPr>
              <w:t>Insufficient attention is given to large taxpayers.</w:t>
            </w:r>
            <w:r w:rsidR="009E71A7" w:rsidRPr="00603B21">
              <w:rPr>
                <w:rFonts w:ascii="Arial" w:hAnsi="Arial" w:cs="Arial"/>
                <w:sz w:val="20"/>
                <w:szCs w:val="20"/>
                <w:lang w:val="en-US"/>
              </w:rPr>
              <w:t xml:space="preserve"> Although a large taxpayer unit (LTU) was recently implemented, there are only four auditors </w:t>
            </w:r>
            <w:r w:rsidR="009E71A7" w:rsidRPr="00603B21">
              <w:rPr>
                <w:rFonts w:ascii="Arial" w:hAnsi="Arial" w:cs="Arial"/>
                <w:sz w:val="20"/>
                <w:szCs w:val="20"/>
                <w:lang w:val="en-US"/>
              </w:rPr>
              <w:lastRenderedPageBreak/>
              <w:t>allocated in the unit, in charge to overview 243 large taxpayers. These taxpayers are responsible for 59%</w:t>
            </w:r>
            <w:r w:rsidR="009E71A7" w:rsidRPr="00603B21">
              <w:rPr>
                <w:rStyle w:val="FootnoteReference"/>
                <w:rFonts w:ascii="Arial" w:eastAsiaTheme="majorEastAsia" w:hAnsi="Arial" w:cs="Arial"/>
                <w:sz w:val="20"/>
                <w:szCs w:val="20"/>
                <w:lang w:val="en-US"/>
              </w:rPr>
              <w:footnoteReference w:id="24"/>
            </w:r>
            <w:r w:rsidR="009E71A7" w:rsidRPr="00603B21">
              <w:rPr>
                <w:rFonts w:ascii="Arial" w:hAnsi="Arial" w:cs="Arial"/>
                <w:sz w:val="20"/>
                <w:szCs w:val="20"/>
                <w:lang w:val="en-US"/>
              </w:rPr>
              <w:t xml:space="preserve"> of revenue collection. There are no taxpayer segmentation criteria </w:t>
            </w:r>
            <w:r w:rsidR="001B326B" w:rsidRPr="00603B21">
              <w:rPr>
                <w:rFonts w:ascii="Arial" w:hAnsi="Arial" w:cs="Arial"/>
                <w:sz w:val="20"/>
                <w:szCs w:val="20"/>
                <w:lang w:val="en-US"/>
              </w:rPr>
              <w:t>officially established</w:t>
            </w:r>
            <w:r w:rsidR="009E71A7" w:rsidRPr="00603B21">
              <w:rPr>
                <w:rFonts w:ascii="Arial" w:hAnsi="Arial" w:cs="Arial"/>
                <w:sz w:val="20"/>
                <w:szCs w:val="20"/>
                <w:lang w:val="en-US"/>
              </w:rPr>
              <w:t xml:space="preserve"> and the correspondent procedures to be applied.</w:t>
            </w:r>
            <w:r w:rsidR="009E71A7" w:rsidRPr="00603B21">
              <w:rPr>
                <w:rStyle w:val="FootnoteReference"/>
                <w:rFonts w:ascii="Arial" w:eastAsiaTheme="majorEastAsia" w:hAnsi="Arial" w:cs="Arial"/>
                <w:sz w:val="20"/>
                <w:szCs w:val="20"/>
                <w:lang w:val="en-US"/>
              </w:rPr>
              <w:footnoteReference w:id="25"/>
            </w:r>
            <w:bookmarkEnd w:id="5"/>
          </w:p>
        </w:tc>
        <w:tc>
          <w:tcPr>
            <w:tcW w:w="3870" w:type="dxa"/>
          </w:tcPr>
          <w:p w14:paraId="0CD18389" w14:textId="1163943F" w:rsidR="00032A57" w:rsidRPr="00603B21" w:rsidRDefault="00451D8D" w:rsidP="00032A57">
            <w:pPr>
              <w:jc w:val="both"/>
              <w:rPr>
                <w:rFonts w:ascii="Arial" w:hAnsi="Arial" w:cs="Arial"/>
                <w:sz w:val="20"/>
                <w:szCs w:val="20"/>
                <w:highlight w:val="yellow"/>
                <w:lang w:val="en-US"/>
              </w:rPr>
            </w:pPr>
            <w:r w:rsidRPr="00603B21">
              <w:rPr>
                <w:rFonts w:ascii="Arial" w:hAnsi="Arial" w:cs="Arial"/>
                <w:sz w:val="20"/>
                <w:szCs w:val="20"/>
                <w:lang w:val="en-US"/>
              </w:rPr>
              <w:lastRenderedPageBreak/>
              <w:t>Compliance Management of Large Business, 2009 (OECD).</w:t>
            </w:r>
          </w:p>
        </w:tc>
        <w:tc>
          <w:tcPr>
            <w:tcW w:w="5850" w:type="dxa"/>
          </w:tcPr>
          <w:p w14:paraId="6D4D52F6" w14:textId="43CEB162" w:rsidR="00100D59" w:rsidRPr="00603B21" w:rsidRDefault="00B64B32" w:rsidP="00100D59">
            <w:pPr>
              <w:pStyle w:val="subpar"/>
              <w:numPr>
                <w:ilvl w:val="0"/>
                <w:numId w:val="0"/>
              </w:numPr>
              <w:tabs>
                <w:tab w:val="left" w:pos="0"/>
              </w:tabs>
              <w:rPr>
                <w:rFonts w:ascii="Arial" w:eastAsia="Calibri" w:hAnsi="Arial" w:cs="Arial"/>
                <w:sz w:val="20"/>
                <w:szCs w:val="20"/>
                <w:lang w:val="en-US"/>
              </w:rPr>
            </w:pPr>
            <w:r w:rsidRPr="00603B21">
              <w:rPr>
                <w:rFonts w:ascii="Arial" w:eastAsia="Calibri" w:hAnsi="Arial" w:cs="Arial"/>
                <w:sz w:val="20"/>
                <w:szCs w:val="20"/>
                <w:lang w:val="en-US"/>
              </w:rPr>
              <w:t xml:space="preserve">2.3 </w:t>
            </w:r>
            <w:r w:rsidR="009E71A7" w:rsidRPr="00603B21">
              <w:rPr>
                <w:rFonts w:ascii="Arial" w:eastAsia="Calibri" w:hAnsi="Arial" w:cs="Arial"/>
                <w:sz w:val="20"/>
                <w:szCs w:val="20"/>
                <w:lang w:val="en-US"/>
              </w:rPr>
              <w:t xml:space="preserve">Taxpayer segmentation and risk-based compliance management model to identify, prioritize, and mitigate risks in </w:t>
            </w:r>
            <w:r w:rsidR="009E71A7" w:rsidRPr="00603B21">
              <w:rPr>
                <w:rFonts w:ascii="Arial" w:eastAsia="Calibri" w:hAnsi="Arial" w:cs="Arial"/>
                <w:sz w:val="20"/>
                <w:szCs w:val="20"/>
                <w:lang w:val="en-US"/>
              </w:rPr>
              <w:lastRenderedPageBreak/>
              <w:t>the TA operations, including workshops to disseminate the new model</w:t>
            </w:r>
            <w:r w:rsidR="00100D59" w:rsidRPr="00603B21">
              <w:rPr>
                <w:rFonts w:ascii="Arial" w:eastAsia="Calibri" w:hAnsi="Arial" w:cs="Arial"/>
                <w:sz w:val="20"/>
                <w:szCs w:val="20"/>
                <w:lang w:val="en-US"/>
              </w:rPr>
              <w:t xml:space="preserve">. </w:t>
            </w:r>
          </w:p>
          <w:p w14:paraId="32A7629C" w14:textId="1125AC3D" w:rsidR="00100D59" w:rsidRPr="00603B21" w:rsidRDefault="00100D59" w:rsidP="00100D59">
            <w:pPr>
              <w:pStyle w:val="subpar"/>
              <w:numPr>
                <w:ilvl w:val="0"/>
                <w:numId w:val="0"/>
              </w:numPr>
              <w:tabs>
                <w:tab w:val="left" w:pos="0"/>
              </w:tabs>
              <w:rPr>
                <w:rFonts w:ascii="Arial" w:eastAsia="Calibri" w:hAnsi="Arial" w:cs="Arial"/>
                <w:sz w:val="20"/>
                <w:szCs w:val="20"/>
                <w:lang w:val="en-US"/>
              </w:rPr>
            </w:pPr>
          </w:p>
          <w:p w14:paraId="7ABF0EE9" w14:textId="70095FA6" w:rsidR="00B64B32" w:rsidRPr="00603B21" w:rsidRDefault="00B64B32" w:rsidP="00B64B32">
            <w:pPr>
              <w:pStyle w:val="subpar"/>
              <w:numPr>
                <w:ilvl w:val="0"/>
                <w:numId w:val="0"/>
              </w:numPr>
              <w:rPr>
                <w:rFonts w:ascii="Arial" w:eastAsia="Calibri" w:hAnsi="Arial" w:cs="Arial"/>
                <w:sz w:val="20"/>
                <w:szCs w:val="20"/>
                <w:lang w:val="en-US"/>
              </w:rPr>
            </w:pPr>
          </w:p>
          <w:p w14:paraId="6326C9C5" w14:textId="41428EA8" w:rsidR="00032A57" w:rsidRPr="00603B21" w:rsidRDefault="00032A57" w:rsidP="00032A57">
            <w:pPr>
              <w:jc w:val="both"/>
              <w:rPr>
                <w:rFonts w:ascii="Arial" w:hAnsi="Arial" w:cs="Arial"/>
                <w:sz w:val="20"/>
                <w:szCs w:val="20"/>
                <w:highlight w:val="yellow"/>
                <w:lang w:val="en-US"/>
              </w:rPr>
            </w:pPr>
          </w:p>
        </w:tc>
      </w:tr>
      <w:tr w:rsidR="006B5E54" w:rsidRPr="00603B21" w14:paraId="77000073" w14:textId="77777777" w:rsidTr="001B326B">
        <w:trPr>
          <w:trHeight w:val="350"/>
        </w:trPr>
        <w:tc>
          <w:tcPr>
            <w:tcW w:w="4968" w:type="dxa"/>
            <w:shd w:val="clear" w:color="auto" w:fill="auto"/>
          </w:tcPr>
          <w:p w14:paraId="5BCC77D5" w14:textId="46721BB5" w:rsidR="006B5E54" w:rsidRPr="00603B21" w:rsidRDefault="009B46EE" w:rsidP="00936525">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lastRenderedPageBreak/>
              <w:t xml:space="preserve">2.4 </w:t>
            </w:r>
            <w:r w:rsidR="001B326B" w:rsidRPr="00603B21">
              <w:rPr>
                <w:rFonts w:ascii="Arial" w:hAnsi="Arial" w:cs="Arial"/>
                <w:b/>
                <w:sz w:val="20"/>
                <w:szCs w:val="20"/>
                <w:lang w:val="en-US"/>
              </w:rPr>
              <w:t xml:space="preserve">Deficiencies in tax auditing process and systems. </w:t>
            </w:r>
            <w:r w:rsidR="001B326B" w:rsidRPr="00603B21">
              <w:rPr>
                <w:rFonts w:ascii="Arial" w:hAnsi="Arial" w:cs="Arial"/>
                <w:sz w:val="20"/>
                <w:szCs w:val="20"/>
                <w:lang w:val="en-US"/>
              </w:rPr>
              <w:t>Audit programs are mostly based on auditor’s opinion. In DGST, each auditor performs 3 to 6 assessments per year, which means that, considering the current staff, it would take approximately 10 years to inspect all taxpayers, which generates a low risk perception.</w:t>
            </w:r>
            <w:r w:rsidR="001B326B" w:rsidRPr="00603B21">
              <w:rPr>
                <w:rStyle w:val="FootnoteReference"/>
                <w:rFonts w:ascii="Arial" w:eastAsiaTheme="majorEastAsia" w:hAnsi="Arial" w:cs="Arial"/>
                <w:sz w:val="20"/>
                <w:szCs w:val="20"/>
                <w:lang w:val="en-US"/>
              </w:rPr>
              <w:footnoteReference w:id="26"/>
            </w:r>
            <w:r w:rsidR="001B326B" w:rsidRPr="00603B21">
              <w:rPr>
                <w:rFonts w:ascii="Arial" w:hAnsi="Arial" w:cs="Arial"/>
                <w:sz w:val="20"/>
                <w:szCs w:val="20"/>
                <w:vertAlign w:val="superscript"/>
                <w:lang w:val="en-US"/>
              </w:rPr>
              <w:t>,</w:t>
            </w:r>
            <w:r w:rsidR="001B326B" w:rsidRPr="00603B21">
              <w:rPr>
                <w:rStyle w:val="FootnoteReference"/>
                <w:rFonts w:ascii="Arial" w:eastAsiaTheme="majorEastAsia" w:hAnsi="Arial" w:cs="Arial"/>
                <w:sz w:val="20"/>
                <w:szCs w:val="20"/>
                <w:lang w:val="en-US"/>
              </w:rPr>
              <w:footnoteReference w:id="27"/>
            </w:r>
          </w:p>
        </w:tc>
        <w:tc>
          <w:tcPr>
            <w:tcW w:w="3870" w:type="dxa"/>
            <w:shd w:val="clear" w:color="auto" w:fill="auto"/>
          </w:tcPr>
          <w:p w14:paraId="54E6A281" w14:textId="61FDD34F" w:rsidR="006B5E54"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IDB report</w:t>
            </w:r>
            <w:r w:rsidR="001B326B" w:rsidRPr="00603B21">
              <w:rPr>
                <w:rFonts w:ascii="Arial" w:hAnsi="Arial" w:cs="Arial"/>
                <w:sz w:val="20"/>
                <w:szCs w:val="20"/>
                <w:lang w:val="en-US"/>
              </w:rPr>
              <w:t xml:space="preserve"> </w:t>
            </w:r>
            <w:r w:rsidRPr="00603B21">
              <w:rPr>
                <w:rFonts w:ascii="Arial" w:hAnsi="Arial" w:cs="Arial"/>
                <w:sz w:val="20"/>
                <w:szCs w:val="20"/>
                <w:lang w:val="en-US"/>
              </w:rPr>
              <w:t>–</w:t>
            </w:r>
            <w:r w:rsidR="001B326B" w:rsidRPr="00603B21">
              <w:rPr>
                <w:rFonts w:ascii="Arial" w:hAnsi="Arial" w:cs="Arial"/>
                <w:sz w:val="20"/>
                <w:szCs w:val="20"/>
                <w:lang w:val="en-US"/>
              </w:rPr>
              <w:t xml:space="preserve"> </w:t>
            </w:r>
            <w:r w:rsidRPr="00603B21">
              <w:rPr>
                <w:rFonts w:ascii="Arial" w:hAnsi="Arial" w:cs="Arial"/>
                <w:sz w:val="20"/>
                <w:szCs w:val="20"/>
                <w:lang w:val="en-US"/>
              </w:rPr>
              <w:t>Evaluation GST Department, 2018.</w:t>
            </w:r>
          </w:p>
          <w:p w14:paraId="09A0AFF6" w14:textId="77777777" w:rsidR="00451D8D" w:rsidRPr="00603B21" w:rsidRDefault="00451D8D" w:rsidP="00032A57">
            <w:pPr>
              <w:jc w:val="both"/>
              <w:rPr>
                <w:rFonts w:ascii="Arial" w:hAnsi="Arial" w:cs="Arial"/>
                <w:sz w:val="20"/>
                <w:szCs w:val="20"/>
                <w:lang w:val="en-US"/>
              </w:rPr>
            </w:pPr>
          </w:p>
          <w:p w14:paraId="4E1E1EA3" w14:textId="748B3393" w:rsidR="00451D8D"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Fretes, V et al. More than Revenue: Taxation as a Development Tool, 2013 (IDB).</w:t>
            </w:r>
          </w:p>
        </w:tc>
        <w:tc>
          <w:tcPr>
            <w:tcW w:w="5850" w:type="dxa"/>
            <w:shd w:val="clear" w:color="auto" w:fill="auto"/>
          </w:tcPr>
          <w:p w14:paraId="610C7405" w14:textId="42B0D1BC" w:rsidR="00100D59" w:rsidRPr="00603B21" w:rsidRDefault="00A746E1" w:rsidP="00100D59">
            <w:pPr>
              <w:pStyle w:val="subpar"/>
              <w:numPr>
                <w:ilvl w:val="0"/>
                <w:numId w:val="0"/>
              </w:numPr>
              <w:tabs>
                <w:tab w:val="left" w:pos="0"/>
              </w:tabs>
              <w:rPr>
                <w:rFonts w:ascii="Arial" w:eastAsia="Calibri" w:hAnsi="Arial" w:cs="Arial"/>
                <w:sz w:val="20"/>
                <w:szCs w:val="20"/>
                <w:lang w:val="en-US"/>
              </w:rPr>
            </w:pPr>
            <w:r w:rsidRPr="00603B21">
              <w:rPr>
                <w:rFonts w:ascii="Arial" w:eastAsia="Calibri" w:hAnsi="Arial" w:cs="Arial"/>
                <w:sz w:val="20"/>
                <w:szCs w:val="20"/>
                <w:lang w:val="en-US"/>
              </w:rPr>
              <w:t xml:space="preserve">2.4 </w:t>
            </w:r>
            <w:r w:rsidR="009E71A7" w:rsidRPr="00603B21">
              <w:rPr>
                <w:rFonts w:ascii="Arial" w:eastAsia="Calibri" w:hAnsi="Arial" w:cs="Arial"/>
                <w:sz w:val="20"/>
                <w:szCs w:val="20"/>
                <w:lang w:val="en-US"/>
              </w:rPr>
              <w:t>New audit model making use of wider range of examination and risk-based techniques</w:t>
            </w:r>
            <w:r w:rsidR="009E71A7" w:rsidRPr="00603B21">
              <w:rPr>
                <w:rFonts w:ascii="Arial" w:hAnsi="Arial" w:cs="Arial"/>
                <w:sz w:val="20"/>
                <w:szCs w:val="20"/>
                <w:lang w:val="en-US"/>
              </w:rPr>
              <w:t>,</w:t>
            </w:r>
            <w:r w:rsidR="009E71A7" w:rsidRPr="00603B21">
              <w:rPr>
                <w:rStyle w:val="FootnoteReference"/>
                <w:rFonts w:ascii="Arial" w:eastAsiaTheme="majorEastAsia" w:hAnsi="Arial" w:cs="Arial"/>
                <w:sz w:val="20"/>
                <w:szCs w:val="20"/>
                <w:lang w:val="en-US"/>
              </w:rPr>
              <w:footnoteReference w:id="28"/>
            </w:r>
            <w:r w:rsidR="009E71A7" w:rsidRPr="00603B21">
              <w:rPr>
                <w:rFonts w:ascii="Arial" w:hAnsi="Arial" w:cs="Arial"/>
                <w:sz w:val="20"/>
                <w:szCs w:val="20"/>
                <w:lang w:val="en-US"/>
              </w:rPr>
              <w:t xml:space="preserve"> </w:t>
            </w:r>
            <w:r w:rsidR="009E71A7" w:rsidRPr="00603B21">
              <w:rPr>
                <w:rFonts w:ascii="Arial" w:eastAsia="Calibri" w:hAnsi="Arial" w:cs="Arial"/>
                <w:sz w:val="20"/>
                <w:szCs w:val="20"/>
                <w:lang w:val="en-US"/>
              </w:rPr>
              <w:t>comprising: (i) analytic tools for auditing; and (ii) workshops to disseminate de new model</w:t>
            </w:r>
          </w:p>
          <w:p w14:paraId="790FACDF" w14:textId="1BBC6206" w:rsidR="00CD76C2" w:rsidRPr="00603B21" w:rsidRDefault="00CD76C2" w:rsidP="00CD76C2">
            <w:pPr>
              <w:pStyle w:val="subpar"/>
              <w:numPr>
                <w:ilvl w:val="0"/>
                <w:numId w:val="0"/>
              </w:numPr>
              <w:rPr>
                <w:rFonts w:ascii="Arial" w:eastAsia="Calibri" w:hAnsi="Arial" w:cs="Arial"/>
                <w:sz w:val="20"/>
                <w:szCs w:val="20"/>
                <w:lang w:val="en-US"/>
              </w:rPr>
            </w:pPr>
          </w:p>
          <w:p w14:paraId="748A4182" w14:textId="5FCA9053" w:rsidR="006B5E54" w:rsidRPr="00603B21" w:rsidRDefault="006B5E54" w:rsidP="00032A57">
            <w:pPr>
              <w:jc w:val="both"/>
              <w:rPr>
                <w:rFonts w:ascii="Arial" w:hAnsi="Arial" w:cs="Arial"/>
                <w:sz w:val="20"/>
                <w:szCs w:val="20"/>
                <w:lang w:val="en-US"/>
              </w:rPr>
            </w:pPr>
          </w:p>
        </w:tc>
      </w:tr>
      <w:tr w:rsidR="008911B5" w:rsidRPr="00603B21" w14:paraId="39F711A7" w14:textId="77777777" w:rsidTr="0072057C">
        <w:tc>
          <w:tcPr>
            <w:tcW w:w="4968" w:type="dxa"/>
            <w:shd w:val="clear" w:color="auto" w:fill="auto"/>
          </w:tcPr>
          <w:p w14:paraId="7BA08253" w14:textId="77777777" w:rsidR="008911B5" w:rsidRPr="00603B21" w:rsidRDefault="009B46EE" w:rsidP="00936525">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2.</w:t>
            </w:r>
            <w:r w:rsidR="003D25EA" w:rsidRPr="00603B21">
              <w:rPr>
                <w:rFonts w:ascii="Arial" w:hAnsi="Arial" w:cs="Arial"/>
                <w:sz w:val="20"/>
                <w:szCs w:val="20"/>
                <w:lang w:val="en-US"/>
              </w:rPr>
              <w:t>5</w:t>
            </w:r>
            <w:r w:rsidRPr="00603B21">
              <w:rPr>
                <w:rFonts w:ascii="Arial" w:hAnsi="Arial" w:cs="Arial"/>
                <w:sz w:val="20"/>
                <w:szCs w:val="20"/>
                <w:lang w:val="en-US"/>
              </w:rPr>
              <w:t xml:space="preserve"> </w:t>
            </w:r>
            <w:r w:rsidR="001B326B" w:rsidRPr="00603B21">
              <w:rPr>
                <w:rFonts w:ascii="Arial" w:hAnsi="Arial" w:cs="Arial"/>
                <w:b/>
                <w:sz w:val="20"/>
                <w:szCs w:val="20"/>
                <w:lang w:val="en-US"/>
              </w:rPr>
              <w:t>Insufficient support for taxpayers to comply with their tax obligations in a cost-effective manner.</w:t>
            </w:r>
            <w:r w:rsidR="001B326B" w:rsidRPr="00603B21">
              <w:rPr>
                <w:rFonts w:ascii="Arial" w:hAnsi="Arial" w:cs="Arial"/>
                <w:sz w:val="20"/>
                <w:szCs w:val="20"/>
                <w:lang w:val="en-US"/>
              </w:rPr>
              <w:t xml:space="preserve"> Taxpayers services are essentially paper-based and walk-in. Only 3% of GST filing declarations, 20% (GST) and 14% (ITD) payments</w:t>
            </w:r>
            <w:r w:rsidR="001B326B" w:rsidRPr="00603B21">
              <w:rPr>
                <w:rStyle w:val="FootnoteReference"/>
                <w:rFonts w:ascii="Arial" w:eastAsiaTheme="majorEastAsia" w:hAnsi="Arial" w:cs="Arial"/>
                <w:sz w:val="20"/>
                <w:szCs w:val="20"/>
                <w:lang w:val="en-US"/>
              </w:rPr>
              <w:footnoteReference w:id="29"/>
            </w:r>
            <w:r w:rsidR="001B326B" w:rsidRPr="00603B21">
              <w:rPr>
                <w:rFonts w:ascii="Arial" w:hAnsi="Arial" w:cs="Arial"/>
                <w:sz w:val="20"/>
                <w:szCs w:val="20"/>
                <w:lang w:val="en-US"/>
              </w:rPr>
              <w:t xml:space="preserve"> are made through commercial banks.</w:t>
            </w:r>
          </w:p>
          <w:p w14:paraId="333F6F8B" w14:textId="13F3E322" w:rsidR="001B326B" w:rsidRPr="00603B21" w:rsidRDefault="001B326B" w:rsidP="00936525">
            <w:pPr>
              <w:pStyle w:val="subpar"/>
              <w:numPr>
                <w:ilvl w:val="0"/>
                <w:numId w:val="0"/>
              </w:numPr>
              <w:tabs>
                <w:tab w:val="left" w:pos="0"/>
              </w:tabs>
              <w:rPr>
                <w:rFonts w:ascii="Arial" w:hAnsi="Arial" w:cs="Arial"/>
                <w:sz w:val="20"/>
                <w:szCs w:val="20"/>
                <w:lang w:val="en-US"/>
              </w:rPr>
            </w:pPr>
            <w:r w:rsidRPr="00603B21">
              <w:rPr>
                <w:rFonts w:ascii="Arial" w:hAnsi="Arial" w:cs="Arial"/>
                <w:b/>
                <w:sz w:val="20"/>
                <w:szCs w:val="20"/>
                <w:lang w:val="en-US"/>
              </w:rPr>
              <w:t>Difficulty to manage the arrears.</w:t>
            </w:r>
            <w:r w:rsidRPr="00603B21">
              <w:rPr>
                <w:rFonts w:ascii="Arial" w:hAnsi="Arial" w:cs="Arial"/>
                <w:sz w:val="20"/>
                <w:szCs w:val="20"/>
                <w:lang w:val="en-US"/>
              </w:rPr>
              <w:t xml:space="preserve"> The total stock of tax arrears recorded by ITD is US$82 million and DGST is US$39.2 million (56% and 43% of annual revenue, respectively).</w:t>
            </w:r>
            <w:r w:rsidRPr="00603B21">
              <w:rPr>
                <w:rStyle w:val="FootnoteReference"/>
                <w:rFonts w:ascii="Arial" w:eastAsiaTheme="majorEastAsia" w:hAnsi="Arial" w:cs="Arial"/>
                <w:sz w:val="20"/>
                <w:szCs w:val="20"/>
                <w:lang w:val="en-US"/>
              </w:rPr>
              <w:footnoteReference w:id="30"/>
            </w:r>
            <w:r w:rsidRPr="00603B21">
              <w:rPr>
                <w:rFonts w:ascii="Arial" w:hAnsi="Arial" w:cs="Arial"/>
                <w:sz w:val="20"/>
                <w:szCs w:val="20"/>
                <w:lang w:val="en-US"/>
              </w:rPr>
              <w:t xml:space="preserve"> Write offs of non-collectible have not been used.</w:t>
            </w:r>
          </w:p>
        </w:tc>
        <w:tc>
          <w:tcPr>
            <w:tcW w:w="3870" w:type="dxa"/>
            <w:shd w:val="clear" w:color="auto" w:fill="auto"/>
          </w:tcPr>
          <w:p w14:paraId="23A6EB3C" w14:textId="32E22922" w:rsidR="008911B5"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Information provided by DGST and ITD.</w:t>
            </w:r>
          </w:p>
        </w:tc>
        <w:tc>
          <w:tcPr>
            <w:tcW w:w="5850" w:type="dxa"/>
            <w:shd w:val="clear" w:color="auto" w:fill="auto"/>
          </w:tcPr>
          <w:p w14:paraId="60397BBF" w14:textId="3AD72AED" w:rsidR="00100D59" w:rsidRPr="00603B21" w:rsidRDefault="00A746E1" w:rsidP="00100D59">
            <w:pPr>
              <w:pStyle w:val="subpar"/>
              <w:numPr>
                <w:ilvl w:val="0"/>
                <w:numId w:val="0"/>
              </w:numPr>
              <w:tabs>
                <w:tab w:val="left" w:pos="0"/>
              </w:tabs>
              <w:rPr>
                <w:rFonts w:ascii="Arial" w:eastAsia="Calibri" w:hAnsi="Arial" w:cs="Arial"/>
                <w:sz w:val="20"/>
                <w:szCs w:val="20"/>
                <w:lang w:val="en-US"/>
              </w:rPr>
            </w:pPr>
            <w:r w:rsidRPr="00603B21">
              <w:rPr>
                <w:rFonts w:ascii="Arial" w:eastAsia="Calibri" w:hAnsi="Arial" w:cs="Arial"/>
                <w:sz w:val="20"/>
                <w:szCs w:val="20"/>
                <w:lang w:val="en-US"/>
              </w:rPr>
              <w:t>2.</w:t>
            </w:r>
            <w:r w:rsidR="00B64B32" w:rsidRPr="00603B21">
              <w:rPr>
                <w:rFonts w:ascii="Arial" w:eastAsia="Calibri" w:hAnsi="Arial" w:cs="Arial"/>
                <w:sz w:val="20"/>
                <w:szCs w:val="20"/>
                <w:lang w:val="en-US"/>
              </w:rPr>
              <w:t>5</w:t>
            </w:r>
            <w:r w:rsidRPr="00603B21">
              <w:rPr>
                <w:rFonts w:ascii="Arial" w:eastAsia="Calibri" w:hAnsi="Arial" w:cs="Arial"/>
                <w:sz w:val="20"/>
                <w:szCs w:val="20"/>
                <w:lang w:val="en-US"/>
              </w:rPr>
              <w:t xml:space="preserve"> </w:t>
            </w:r>
            <w:r w:rsidR="009E71A7" w:rsidRPr="00603B21">
              <w:rPr>
                <w:rFonts w:ascii="Arial" w:eastAsia="Calibri" w:hAnsi="Arial" w:cs="Arial"/>
                <w:sz w:val="20"/>
                <w:szCs w:val="20"/>
                <w:lang w:val="en-US"/>
              </w:rPr>
              <w:t>Enforcing collection model based on risk criteria, including workshops to disseminate de new model</w:t>
            </w:r>
            <w:r w:rsidR="00100D59" w:rsidRPr="00603B21">
              <w:rPr>
                <w:rFonts w:ascii="Arial" w:eastAsia="Calibri" w:hAnsi="Arial" w:cs="Arial"/>
                <w:sz w:val="20"/>
                <w:szCs w:val="20"/>
                <w:lang w:val="en-US"/>
              </w:rPr>
              <w:t xml:space="preserve">. </w:t>
            </w:r>
          </w:p>
          <w:p w14:paraId="1665C7B8" w14:textId="1E7DEEA9" w:rsidR="00100D59" w:rsidRPr="00603B21" w:rsidRDefault="00100D59" w:rsidP="00100D59">
            <w:pPr>
              <w:pStyle w:val="subpar"/>
              <w:numPr>
                <w:ilvl w:val="0"/>
                <w:numId w:val="0"/>
              </w:numPr>
              <w:tabs>
                <w:tab w:val="left" w:pos="0"/>
              </w:tabs>
              <w:rPr>
                <w:rFonts w:ascii="Arial" w:eastAsia="Calibri" w:hAnsi="Arial" w:cs="Arial"/>
                <w:sz w:val="20"/>
                <w:szCs w:val="20"/>
                <w:lang w:val="en-US"/>
              </w:rPr>
            </w:pPr>
          </w:p>
          <w:p w14:paraId="6FE779CD" w14:textId="6F5B234A" w:rsidR="00CD76C2" w:rsidRPr="00603B21" w:rsidRDefault="00CD76C2" w:rsidP="00CD76C2">
            <w:pPr>
              <w:jc w:val="both"/>
              <w:rPr>
                <w:rFonts w:ascii="Arial" w:eastAsia="Calibri" w:hAnsi="Arial" w:cs="Arial"/>
                <w:sz w:val="20"/>
                <w:szCs w:val="20"/>
                <w:lang w:val="en-US"/>
              </w:rPr>
            </w:pPr>
          </w:p>
          <w:p w14:paraId="559B1810" w14:textId="11D9E9B5" w:rsidR="008911B5" w:rsidRPr="00603B21" w:rsidRDefault="008911B5" w:rsidP="00032A57">
            <w:pPr>
              <w:jc w:val="both"/>
              <w:rPr>
                <w:rFonts w:ascii="Arial" w:hAnsi="Arial" w:cs="Arial"/>
                <w:sz w:val="20"/>
                <w:szCs w:val="20"/>
                <w:lang w:val="en-US"/>
              </w:rPr>
            </w:pPr>
          </w:p>
        </w:tc>
      </w:tr>
      <w:tr w:rsidR="00032A57" w:rsidRPr="00603B21" w14:paraId="74B788C7" w14:textId="77777777" w:rsidTr="0072057C">
        <w:tc>
          <w:tcPr>
            <w:tcW w:w="4968" w:type="dxa"/>
            <w:shd w:val="clear" w:color="auto" w:fill="auto"/>
          </w:tcPr>
          <w:p w14:paraId="79FA9B7B" w14:textId="4D6E2AC0" w:rsidR="00BD3180" w:rsidRPr="00603B21" w:rsidRDefault="00BD3180" w:rsidP="00BD3180">
            <w:pPr>
              <w:pStyle w:val="subpar"/>
              <w:numPr>
                <w:ilvl w:val="0"/>
                <w:numId w:val="0"/>
              </w:numPr>
              <w:tabs>
                <w:tab w:val="left" w:pos="0"/>
              </w:tabs>
              <w:rPr>
                <w:rFonts w:ascii="Arial" w:hAnsi="Arial" w:cs="Arial"/>
                <w:sz w:val="20"/>
                <w:szCs w:val="20"/>
                <w:lang w:val="en-US"/>
              </w:rPr>
            </w:pPr>
          </w:p>
          <w:p w14:paraId="391E2020" w14:textId="77777777" w:rsidR="001B326B" w:rsidRPr="00603B21" w:rsidRDefault="001B326B" w:rsidP="001B326B">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 xml:space="preserve">2.7 </w:t>
            </w:r>
            <w:r w:rsidRPr="00603B21">
              <w:rPr>
                <w:rFonts w:ascii="Arial" w:hAnsi="Arial" w:cs="Arial"/>
                <w:b/>
                <w:sz w:val="20"/>
                <w:szCs w:val="20"/>
                <w:lang w:val="en-US"/>
              </w:rPr>
              <w:t xml:space="preserve">Difficulty to identify inconsistencies in taxpayer’s obligations. </w:t>
            </w:r>
            <w:r w:rsidRPr="00603B21">
              <w:rPr>
                <w:rFonts w:ascii="Arial" w:hAnsi="Arial" w:cs="Arial"/>
                <w:sz w:val="20"/>
                <w:szCs w:val="20"/>
                <w:lang w:val="en-US"/>
              </w:rPr>
              <w:t xml:space="preserve">Integrated </w:t>
            </w:r>
            <w:r w:rsidRPr="00603B21">
              <w:rPr>
                <w:rFonts w:ascii="Arial" w:hAnsi="Arial" w:cs="Arial"/>
                <w:b/>
                <w:sz w:val="20"/>
                <w:szCs w:val="20"/>
                <w:lang w:val="en-US"/>
              </w:rPr>
              <w:t>t</w:t>
            </w:r>
            <w:r w:rsidRPr="00603B21">
              <w:rPr>
                <w:rFonts w:ascii="Arial" w:hAnsi="Arial" w:cs="Arial"/>
                <w:sz w:val="20"/>
                <w:szCs w:val="20"/>
                <w:lang w:val="en-US"/>
              </w:rPr>
              <w:t>axpayer account is not in place to provide a taxpayer centric overview for tax control.</w:t>
            </w:r>
            <w:r w:rsidRPr="00603B21">
              <w:rPr>
                <w:rStyle w:val="FootnoteReference"/>
                <w:rFonts w:ascii="Arial" w:eastAsiaTheme="majorEastAsia" w:hAnsi="Arial" w:cs="Arial"/>
                <w:sz w:val="20"/>
                <w:szCs w:val="20"/>
              </w:rPr>
              <w:footnoteReference w:id="31"/>
            </w:r>
          </w:p>
          <w:p w14:paraId="64879DA9" w14:textId="43DC6AD1" w:rsidR="00032A57" w:rsidRPr="00603B21" w:rsidRDefault="00032A57" w:rsidP="00032A57">
            <w:pPr>
              <w:jc w:val="both"/>
              <w:rPr>
                <w:rFonts w:ascii="Arial" w:hAnsi="Arial" w:cs="Arial"/>
                <w:sz w:val="20"/>
                <w:szCs w:val="20"/>
                <w:lang w:val="en-US"/>
              </w:rPr>
            </w:pPr>
          </w:p>
        </w:tc>
        <w:tc>
          <w:tcPr>
            <w:tcW w:w="3870" w:type="dxa"/>
            <w:shd w:val="clear" w:color="auto" w:fill="auto"/>
          </w:tcPr>
          <w:p w14:paraId="0535A306" w14:textId="77777777" w:rsidR="00032A57" w:rsidRPr="00603B21" w:rsidRDefault="002B5DD3" w:rsidP="00032A57">
            <w:pPr>
              <w:jc w:val="both"/>
              <w:rPr>
                <w:rFonts w:ascii="Arial" w:hAnsi="Arial" w:cs="Arial"/>
                <w:sz w:val="20"/>
                <w:szCs w:val="20"/>
                <w:lang w:val="en-US"/>
              </w:rPr>
            </w:pPr>
            <w:hyperlink r:id="rId8" w:history="1">
              <w:r w:rsidR="00451D8D" w:rsidRPr="00603B21">
                <w:rPr>
                  <w:rStyle w:val="Hyperlink"/>
                  <w:rFonts w:ascii="Arial" w:hAnsi="Arial" w:cs="Arial"/>
                  <w:sz w:val="20"/>
                  <w:szCs w:val="20"/>
                  <w:lang w:val="en-US"/>
                </w:rPr>
                <w:t>2018 Government request for expression of interest for acquisition of ITAS</w:t>
              </w:r>
            </w:hyperlink>
            <w:r w:rsidR="00451D8D" w:rsidRPr="00603B21">
              <w:rPr>
                <w:rFonts w:ascii="Arial" w:hAnsi="Arial" w:cs="Arial"/>
                <w:sz w:val="20"/>
                <w:szCs w:val="20"/>
                <w:lang w:val="en-US"/>
              </w:rPr>
              <w:t>.</w:t>
            </w:r>
          </w:p>
          <w:p w14:paraId="3F6EE3A7" w14:textId="77777777" w:rsidR="00451D8D" w:rsidRPr="00603B21" w:rsidRDefault="00451D8D" w:rsidP="00032A57">
            <w:pPr>
              <w:jc w:val="both"/>
              <w:rPr>
                <w:rFonts w:ascii="Arial" w:hAnsi="Arial" w:cs="Arial"/>
                <w:sz w:val="20"/>
                <w:szCs w:val="20"/>
                <w:lang w:val="en-US"/>
              </w:rPr>
            </w:pPr>
          </w:p>
          <w:p w14:paraId="7409F1E6" w14:textId="1DA46557" w:rsidR="00451D8D" w:rsidRPr="00603B21" w:rsidRDefault="003F0A1D" w:rsidP="00032A57">
            <w:pPr>
              <w:jc w:val="both"/>
              <w:rPr>
                <w:rFonts w:ascii="Arial" w:hAnsi="Arial" w:cs="Arial"/>
                <w:sz w:val="20"/>
                <w:szCs w:val="20"/>
                <w:lang w:val="en-US"/>
              </w:rPr>
            </w:pPr>
            <w:r w:rsidRPr="00603B21">
              <w:rPr>
                <w:rFonts w:ascii="Arial" w:hAnsi="Arial" w:cs="Arial"/>
                <w:sz w:val="20"/>
                <w:szCs w:val="20"/>
                <w:lang w:val="en-US"/>
              </w:rPr>
              <w:t xml:space="preserve">There are 30,000 taxpayers in Income Tax and </w:t>
            </w:r>
            <w:r w:rsidR="000027C2" w:rsidRPr="00603B21">
              <w:rPr>
                <w:rFonts w:ascii="Arial" w:hAnsi="Arial" w:cs="Arial"/>
                <w:color w:val="000000" w:themeColor="text1"/>
                <w:sz w:val="20"/>
                <w:szCs w:val="20"/>
                <w:lang w:val="en-US"/>
              </w:rPr>
              <w:t>5.000</w:t>
            </w:r>
            <w:r w:rsidRPr="00603B21">
              <w:rPr>
                <w:rFonts w:ascii="Arial" w:hAnsi="Arial" w:cs="Arial"/>
                <w:sz w:val="20"/>
                <w:szCs w:val="20"/>
                <w:lang w:val="en-US"/>
              </w:rPr>
              <w:t xml:space="preserve"> taxpayers for GST, which does not have a centric overview tax control.</w:t>
            </w:r>
          </w:p>
          <w:p w14:paraId="41B84153" w14:textId="3C91F6BF" w:rsidR="003F0A1D" w:rsidRPr="00603B21" w:rsidRDefault="003F0A1D" w:rsidP="00032A57">
            <w:pPr>
              <w:jc w:val="both"/>
              <w:rPr>
                <w:rFonts w:ascii="Arial" w:hAnsi="Arial" w:cs="Arial"/>
                <w:sz w:val="20"/>
                <w:szCs w:val="20"/>
                <w:lang w:val="en-US"/>
              </w:rPr>
            </w:pPr>
            <w:r w:rsidRPr="00603B21">
              <w:rPr>
                <w:rFonts w:ascii="Arial" w:hAnsi="Arial" w:cs="Arial"/>
                <w:sz w:val="20"/>
                <w:szCs w:val="20"/>
                <w:lang w:val="en-US"/>
              </w:rPr>
              <w:t>Information provided by DGST and ITD.</w:t>
            </w:r>
          </w:p>
        </w:tc>
        <w:tc>
          <w:tcPr>
            <w:tcW w:w="5850" w:type="dxa"/>
            <w:shd w:val="clear" w:color="auto" w:fill="auto"/>
          </w:tcPr>
          <w:p w14:paraId="3BF71061" w14:textId="76744C5B" w:rsidR="00100D59" w:rsidRPr="00603B21" w:rsidRDefault="00A746E1" w:rsidP="00100D59">
            <w:pPr>
              <w:pStyle w:val="subpar"/>
              <w:numPr>
                <w:ilvl w:val="0"/>
                <w:numId w:val="0"/>
              </w:numPr>
              <w:tabs>
                <w:tab w:val="left" w:pos="0"/>
              </w:tabs>
              <w:rPr>
                <w:rFonts w:ascii="Arial" w:eastAsia="Calibri" w:hAnsi="Arial" w:cs="Arial"/>
                <w:sz w:val="20"/>
                <w:szCs w:val="20"/>
                <w:lang w:val="en-US"/>
              </w:rPr>
            </w:pPr>
            <w:r w:rsidRPr="00603B21">
              <w:rPr>
                <w:rFonts w:ascii="Arial" w:eastAsia="Calibri" w:hAnsi="Arial" w:cs="Arial"/>
                <w:sz w:val="20"/>
                <w:szCs w:val="20"/>
                <w:lang w:val="en-US"/>
              </w:rPr>
              <w:t>2.</w:t>
            </w:r>
            <w:r w:rsidR="00B64B32" w:rsidRPr="00603B21">
              <w:rPr>
                <w:rFonts w:ascii="Arial" w:eastAsia="Calibri" w:hAnsi="Arial" w:cs="Arial"/>
                <w:sz w:val="20"/>
                <w:szCs w:val="20"/>
                <w:lang w:val="en-US"/>
              </w:rPr>
              <w:t>6</w:t>
            </w:r>
            <w:r w:rsidR="00DE3ED6" w:rsidRPr="00603B21">
              <w:rPr>
                <w:rFonts w:ascii="Arial" w:eastAsia="Calibri" w:hAnsi="Arial" w:cs="Arial"/>
                <w:sz w:val="20"/>
                <w:szCs w:val="20"/>
                <w:lang w:val="en-US"/>
              </w:rPr>
              <w:t xml:space="preserve"> </w:t>
            </w:r>
            <w:r w:rsidR="009E71A7" w:rsidRPr="00603B21">
              <w:rPr>
                <w:rFonts w:ascii="Arial" w:eastAsia="Calibri" w:hAnsi="Arial" w:cs="Arial"/>
                <w:sz w:val="20"/>
                <w:szCs w:val="20"/>
                <w:lang w:val="en-US"/>
              </w:rPr>
              <w:t>Taxpayer account model to allow the TA to have a fast taxpayer centric overview, including workshops to disseminate de new model</w:t>
            </w:r>
            <w:r w:rsidR="00100D59" w:rsidRPr="00603B21">
              <w:rPr>
                <w:rFonts w:ascii="Arial" w:eastAsia="Calibri" w:hAnsi="Arial" w:cs="Arial"/>
                <w:sz w:val="20"/>
                <w:szCs w:val="20"/>
                <w:lang w:val="en-US"/>
              </w:rPr>
              <w:t>.</w:t>
            </w:r>
          </w:p>
          <w:p w14:paraId="6AC30A65" w14:textId="1DFADCD8" w:rsidR="00DE3ED6" w:rsidRPr="00603B21" w:rsidRDefault="00DE3ED6" w:rsidP="00DE3ED6">
            <w:pPr>
              <w:jc w:val="both"/>
              <w:rPr>
                <w:rFonts w:ascii="Arial" w:eastAsia="Calibri" w:hAnsi="Arial" w:cs="Arial"/>
                <w:sz w:val="20"/>
                <w:szCs w:val="20"/>
                <w:lang w:val="en-US"/>
              </w:rPr>
            </w:pPr>
          </w:p>
          <w:p w14:paraId="18D3C262" w14:textId="1ACAA25A" w:rsidR="00CD76C2" w:rsidRPr="00603B21" w:rsidRDefault="00CD76C2" w:rsidP="00CD76C2">
            <w:pPr>
              <w:jc w:val="both"/>
              <w:rPr>
                <w:rFonts w:ascii="Arial" w:eastAsia="Calibri" w:hAnsi="Arial" w:cs="Arial"/>
                <w:sz w:val="20"/>
                <w:szCs w:val="20"/>
                <w:lang w:val="en-US"/>
              </w:rPr>
            </w:pPr>
          </w:p>
          <w:p w14:paraId="52FAA5CD" w14:textId="6C15BBD5" w:rsidR="00032A57" w:rsidRPr="00603B21" w:rsidRDefault="00032A57" w:rsidP="00032A57">
            <w:pPr>
              <w:jc w:val="both"/>
              <w:rPr>
                <w:rFonts w:ascii="Arial" w:hAnsi="Arial" w:cs="Arial"/>
                <w:sz w:val="20"/>
                <w:szCs w:val="20"/>
                <w:lang w:val="en-US"/>
              </w:rPr>
            </w:pPr>
          </w:p>
        </w:tc>
      </w:tr>
      <w:tr w:rsidR="009B46EE" w:rsidRPr="00603B21" w14:paraId="2CC05757" w14:textId="77777777" w:rsidTr="0072057C">
        <w:tc>
          <w:tcPr>
            <w:tcW w:w="4968" w:type="dxa"/>
            <w:shd w:val="clear" w:color="auto" w:fill="auto"/>
          </w:tcPr>
          <w:p w14:paraId="3DBC035D" w14:textId="5FCE99EC" w:rsidR="009B46EE" w:rsidRPr="00603B21" w:rsidRDefault="001B326B" w:rsidP="00936525">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 xml:space="preserve">2.7 </w:t>
            </w:r>
            <w:r w:rsidRPr="00603B21">
              <w:rPr>
                <w:rFonts w:ascii="Arial" w:hAnsi="Arial" w:cs="Arial"/>
                <w:b/>
                <w:sz w:val="20"/>
                <w:szCs w:val="20"/>
                <w:lang w:val="en-US"/>
              </w:rPr>
              <w:t xml:space="preserve">The taxpayers’ invoicing process control is ineffective. </w:t>
            </w:r>
            <w:r w:rsidRPr="00603B21">
              <w:rPr>
                <w:rFonts w:ascii="Arial" w:hAnsi="Arial" w:cs="Arial"/>
                <w:sz w:val="20"/>
                <w:szCs w:val="20"/>
                <w:lang w:val="en-US"/>
              </w:rPr>
              <w:t>It generates inaccurate information. In addition, the refund process is slow due to lack of reliable information to confirm the taxpayer credit.</w:t>
            </w:r>
            <w:r w:rsidRPr="00603B21">
              <w:rPr>
                <w:rStyle w:val="FootnoteReference"/>
                <w:rFonts w:ascii="Arial" w:eastAsiaTheme="majorEastAsia" w:hAnsi="Arial" w:cs="Arial"/>
                <w:sz w:val="20"/>
                <w:szCs w:val="20"/>
              </w:rPr>
              <w:footnoteReference w:id="32"/>
            </w:r>
          </w:p>
        </w:tc>
        <w:tc>
          <w:tcPr>
            <w:tcW w:w="3870" w:type="dxa"/>
            <w:shd w:val="clear" w:color="auto" w:fill="auto"/>
          </w:tcPr>
          <w:p w14:paraId="043BF23D" w14:textId="77777777" w:rsidR="009B46EE"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FAD/IMF 2014 report.</w:t>
            </w:r>
          </w:p>
          <w:p w14:paraId="54EFA269" w14:textId="77777777" w:rsidR="00451D8D" w:rsidRPr="00603B21" w:rsidRDefault="00451D8D" w:rsidP="00032A57">
            <w:pPr>
              <w:jc w:val="both"/>
              <w:rPr>
                <w:rFonts w:ascii="Arial" w:hAnsi="Arial" w:cs="Arial"/>
                <w:sz w:val="20"/>
                <w:szCs w:val="20"/>
                <w:lang w:val="en-US"/>
              </w:rPr>
            </w:pPr>
          </w:p>
          <w:p w14:paraId="70D9D515" w14:textId="3BA406E3" w:rsidR="000027C2" w:rsidRPr="00603B21" w:rsidRDefault="000027C2" w:rsidP="00032A57">
            <w:pPr>
              <w:jc w:val="both"/>
              <w:rPr>
                <w:rFonts w:ascii="Arial" w:hAnsi="Arial" w:cs="Arial"/>
                <w:color w:val="000000" w:themeColor="text1"/>
                <w:sz w:val="20"/>
                <w:szCs w:val="20"/>
                <w:lang w:val="en-US"/>
              </w:rPr>
            </w:pPr>
            <w:r w:rsidRPr="00603B21">
              <w:rPr>
                <w:rFonts w:ascii="Arial" w:hAnsi="Arial" w:cs="Arial"/>
                <w:color w:val="000000" w:themeColor="text1"/>
                <w:sz w:val="20"/>
                <w:szCs w:val="20"/>
                <w:lang w:val="en-US"/>
              </w:rPr>
              <w:t xml:space="preserve">There is no </w:t>
            </w:r>
            <w:r w:rsidR="00FC5D96" w:rsidRPr="00603B21">
              <w:rPr>
                <w:rFonts w:ascii="Arial" w:hAnsi="Arial" w:cs="Arial"/>
                <w:color w:val="000000" w:themeColor="text1"/>
                <w:sz w:val="20"/>
                <w:szCs w:val="20"/>
                <w:lang w:val="en-US"/>
              </w:rPr>
              <w:t xml:space="preserve">taxpayer´s </w:t>
            </w:r>
            <w:r w:rsidRPr="00603B21">
              <w:rPr>
                <w:rFonts w:ascii="Arial" w:hAnsi="Arial" w:cs="Arial"/>
                <w:color w:val="000000" w:themeColor="text1"/>
                <w:sz w:val="20"/>
                <w:szCs w:val="20"/>
                <w:lang w:val="en-US"/>
              </w:rPr>
              <w:t>control about invoice authorization sequence control</w:t>
            </w:r>
          </w:p>
        </w:tc>
        <w:tc>
          <w:tcPr>
            <w:tcW w:w="5850" w:type="dxa"/>
            <w:shd w:val="clear" w:color="auto" w:fill="auto"/>
          </w:tcPr>
          <w:p w14:paraId="29B903CF" w14:textId="38ECB497" w:rsidR="00100D59" w:rsidRPr="00603B21" w:rsidRDefault="00A746E1" w:rsidP="00100D59">
            <w:pPr>
              <w:pStyle w:val="subpar"/>
              <w:numPr>
                <w:ilvl w:val="0"/>
                <w:numId w:val="0"/>
              </w:numPr>
              <w:tabs>
                <w:tab w:val="left" w:pos="0"/>
              </w:tabs>
              <w:rPr>
                <w:rFonts w:ascii="Arial" w:eastAsia="Calibri" w:hAnsi="Arial" w:cs="Arial"/>
                <w:sz w:val="20"/>
                <w:szCs w:val="20"/>
                <w:lang w:val="en-US"/>
              </w:rPr>
            </w:pPr>
            <w:r w:rsidRPr="00603B21">
              <w:rPr>
                <w:rFonts w:ascii="Arial" w:eastAsia="Calibri" w:hAnsi="Arial" w:cs="Arial"/>
                <w:sz w:val="20"/>
                <w:szCs w:val="20"/>
                <w:lang w:val="en-US"/>
              </w:rPr>
              <w:t>2.</w:t>
            </w:r>
            <w:r w:rsidR="00B64B32" w:rsidRPr="00603B21">
              <w:rPr>
                <w:rFonts w:ascii="Arial" w:eastAsia="Calibri" w:hAnsi="Arial" w:cs="Arial"/>
                <w:sz w:val="20"/>
                <w:szCs w:val="20"/>
                <w:lang w:val="en-US"/>
              </w:rPr>
              <w:t>7</w:t>
            </w:r>
            <w:r w:rsidRPr="00603B21">
              <w:rPr>
                <w:rFonts w:ascii="Arial" w:eastAsia="Calibri" w:hAnsi="Arial" w:cs="Arial"/>
                <w:sz w:val="20"/>
                <w:szCs w:val="20"/>
                <w:lang w:val="en-US"/>
              </w:rPr>
              <w:t xml:space="preserve"> </w:t>
            </w:r>
            <w:r w:rsidR="009E71A7" w:rsidRPr="00603B21">
              <w:rPr>
                <w:rFonts w:ascii="Arial" w:eastAsia="Calibri" w:hAnsi="Arial" w:cs="Arial"/>
                <w:sz w:val="20"/>
                <w:szCs w:val="20"/>
                <w:lang w:val="en-US"/>
              </w:rPr>
              <w:t>Invoicing control model comprising a strategy for further electronic invoice implementation, including workshops to disseminate de new model</w:t>
            </w:r>
            <w:r w:rsidR="00100D59" w:rsidRPr="00603B21">
              <w:rPr>
                <w:rFonts w:ascii="Arial" w:eastAsia="Calibri" w:hAnsi="Arial" w:cs="Arial"/>
                <w:sz w:val="20"/>
                <w:szCs w:val="20"/>
                <w:lang w:val="en-US"/>
              </w:rPr>
              <w:t xml:space="preserve">. </w:t>
            </w:r>
          </w:p>
          <w:p w14:paraId="6FD07FB6" w14:textId="1653D903" w:rsidR="009B46EE" w:rsidRPr="00603B21" w:rsidRDefault="009B46EE" w:rsidP="00032A57">
            <w:pPr>
              <w:jc w:val="both"/>
              <w:rPr>
                <w:rFonts w:ascii="Arial" w:hAnsi="Arial" w:cs="Arial"/>
                <w:sz w:val="20"/>
                <w:szCs w:val="20"/>
                <w:lang w:val="en-US"/>
              </w:rPr>
            </w:pPr>
          </w:p>
        </w:tc>
      </w:tr>
      <w:tr w:rsidR="009B46EE" w:rsidRPr="00603B21" w14:paraId="40458A7C" w14:textId="77777777" w:rsidTr="008B51A3">
        <w:tc>
          <w:tcPr>
            <w:tcW w:w="14688" w:type="dxa"/>
            <w:gridSpan w:val="3"/>
            <w:shd w:val="clear" w:color="auto" w:fill="C6D9F1" w:themeFill="text2" w:themeFillTint="33"/>
          </w:tcPr>
          <w:p w14:paraId="5AE28CEF" w14:textId="7E195073" w:rsidR="009B46EE" w:rsidRPr="00603B21" w:rsidRDefault="009E71A7" w:rsidP="008B51A3">
            <w:pPr>
              <w:jc w:val="both"/>
              <w:rPr>
                <w:rFonts w:ascii="Arial" w:hAnsi="Arial" w:cs="Arial"/>
                <w:b/>
                <w:sz w:val="20"/>
                <w:szCs w:val="20"/>
                <w:lang w:val="en-US"/>
              </w:rPr>
            </w:pPr>
            <w:r w:rsidRPr="00603B21">
              <w:rPr>
                <w:rFonts w:ascii="Arial" w:eastAsia="Calibri" w:hAnsi="Arial" w:cs="Arial"/>
                <w:b/>
                <w:sz w:val="20"/>
                <w:szCs w:val="20"/>
                <w:lang w:val="en-US"/>
              </w:rPr>
              <w:t xml:space="preserve">Component III. </w:t>
            </w:r>
            <w:r w:rsidRPr="00603B21">
              <w:rPr>
                <w:rFonts w:ascii="Arial" w:hAnsi="Arial" w:cs="Arial"/>
                <w:b/>
                <w:color w:val="000000" w:themeColor="text1"/>
                <w:sz w:val="20"/>
                <w:szCs w:val="20"/>
                <w:lang w:val="en-US"/>
              </w:rPr>
              <w:t>Modernization</w:t>
            </w:r>
            <w:r w:rsidRPr="00603B21">
              <w:rPr>
                <w:rFonts w:ascii="Arial" w:eastAsia="Calibri" w:hAnsi="Arial" w:cs="Arial"/>
                <w:b/>
                <w:sz w:val="20"/>
                <w:szCs w:val="20"/>
                <w:lang w:val="en-US"/>
              </w:rPr>
              <w:t xml:space="preserve"> </w:t>
            </w:r>
            <w:r w:rsidRPr="00603B21">
              <w:rPr>
                <w:rFonts w:ascii="Arial" w:hAnsi="Arial" w:cs="Arial"/>
                <w:b/>
                <w:sz w:val="20"/>
                <w:szCs w:val="20"/>
                <w:lang w:val="en-US"/>
              </w:rPr>
              <w:t>of</w:t>
            </w:r>
            <w:r w:rsidRPr="00603B21">
              <w:rPr>
                <w:rFonts w:ascii="Arial" w:eastAsia="Calibri" w:hAnsi="Arial" w:cs="Arial"/>
                <w:b/>
                <w:sz w:val="20"/>
                <w:szCs w:val="20"/>
                <w:lang w:val="en-US"/>
              </w:rPr>
              <w:t xml:space="preserve"> Technological Infrastructure (US$</w:t>
            </w:r>
            <w:r w:rsidRPr="00603B21">
              <w:rPr>
                <w:rFonts w:ascii="Arial" w:eastAsia="Calibri" w:hAnsi="Arial" w:cs="Arial"/>
                <w:sz w:val="20"/>
                <w:szCs w:val="20"/>
                <w:lang w:val="en-US"/>
              </w:rPr>
              <w:t>10,</w:t>
            </w:r>
            <w:r w:rsidR="004E5D67" w:rsidRPr="00603B21">
              <w:rPr>
                <w:rFonts w:ascii="Arial" w:eastAsia="Calibri" w:hAnsi="Arial" w:cs="Arial"/>
                <w:sz w:val="20"/>
                <w:szCs w:val="20"/>
                <w:lang w:val="en-US"/>
              </w:rPr>
              <w:t>3</w:t>
            </w:r>
            <w:r w:rsidRPr="00603B21">
              <w:rPr>
                <w:rFonts w:ascii="Arial" w:eastAsia="Calibri" w:hAnsi="Arial" w:cs="Arial"/>
                <w:sz w:val="20"/>
                <w:szCs w:val="20"/>
                <w:lang w:val="en-US"/>
              </w:rPr>
              <w:t>76,000</w:t>
            </w:r>
            <w:r w:rsidRPr="00603B21">
              <w:rPr>
                <w:rFonts w:ascii="Arial" w:eastAsia="Calibri" w:hAnsi="Arial" w:cs="Arial"/>
                <w:b/>
                <w:sz w:val="20"/>
                <w:szCs w:val="20"/>
                <w:lang w:val="en-US"/>
              </w:rPr>
              <w:t>)</w:t>
            </w:r>
          </w:p>
        </w:tc>
      </w:tr>
      <w:tr w:rsidR="009B46EE" w:rsidRPr="00603B21" w14:paraId="7E908D4D" w14:textId="77777777" w:rsidTr="008B51A3">
        <w:tc>
          <w:tcPr>
            <w:tcW w:w="14688" w:type="dxa"/>
            <w:gridSpan w:val="3"/>
            <w:shd w:val="clear" w:color="auto" w:fill="C6D9F1" w:themeFill="text2" w:themeFillTint="33"/>
          </w:tcPr>
          <w:p w14:paraId="46DE92D5" w14:textId="62FC2CB7" w:rsidR="009B46EE" w:rsidRPr="00603B21" w:rsidRDefault="009B46EE" w:rsidP="008B51A3">
            <w:pPr>
              <w:jc w:val="both"/>
              <w:rPr>
                <w:rFonts w:ascii="Arial" w:hAnsi="Arial" w:cs="Arial"/>
                <w:sz w:val="20"/>
                <w:szCs w:val="20"/>
                <w:highlight w:val="yellow"/>
                <w:lang w:val="en-US"/>
              </w:rPr>
            </w:pPr>
            <w:r w:rsidRPr="00603B21">
              <w:rPr>
                <w:rFonts w:ascii="Arial" w:hAnsi="Arial" w:cs="Arial"/>
                <w:b/>
                <w:sz w:val="20"/>
                <w:szCs w:val="20"/>
                <w:lang w:val="en-US"/>
              </w:rPr>
              <w:t>Specific Problem 3</w:t>
            </w:r>
            <w:r w:rsidRPr="00603B21">
              <w:rPr>
                <w:rFonts w:ascii="Arial" w:hAnsi="Arial" w:cs="Arial"/>
                <w:sz w:val="20"/>
                <w:szCs w:val="20"/>
                <w:lang w:val="en-US"/>
              </w:rPr>
              <w:t xml:space="preserve"> – </w:t>
            </w:r>
            <w:r w:rsidR="006D704E" w:rsidRPr="00603B21">
              <w:rPr>
                <w:rFonts w:ascii="Arial" w:hAnsi="Arial" w:cs="Arial"/>
                <w:sz w:val="20"/>
                <w:szCs w:val="20"/>
                <w:lang w:val="en-US"/>
              </w:rPr>
              <w:t xml:space="preserve">Insufficient electronic services available for taxpayers </w:t>
            </w:r>
            <w:r w:rsidR="00BD297B" w:rsidRPr="00603B21">
              <w:rPr>
                <w:rFonts w:ascii="Arial" w:hAnsi="Arial" w:cs="Arial"/>
                <w:sz w:val="20"/>
                <w:szCs w:val="20"/>
                <w:lang w:val="en-US"/>
              </w:rPr>
              <w:t>fulfil their obligations</w:t>
            </w:r>
          </w:p>
          <w:p w14:paraId="070FA744" w14:textId="1A4DC4B8" w:rsidR="00F423ED" w:rsidRPr="00603B21" w:rsidRDefault="009B46EE" w:rsidP="008B51A3">
            <w:pPr>
              <w:jc w:val="both"/>
              <w:rPr>
                <w:rFonts w:ascii="Arial" w:hAnsi="Arial" w:cs="Arial"/>
                <w:sz w:val="20"/>
                <w:szCs w:val="20"/>
                <w:lang w:val="en-US"/>
              </w:rPr>
            </w:pPr>
            <w:r w:rsidRPr="00603B21">
              <w:rPr>
                <w:rFonts w:ascii="Arial" w:hAnsi="Arial" w:cs="Arial"/>
                <w:b/>
                <w:sz w:val="20"/>
                <w:szCs w:val="20"/>
                <w:lang w:val="en-US"/>
              </w:rPr>
              <w:t>Objective specific 3</w:t>
            </w:r>
            <w:r w:rsidRPr="00603B21">
              <w:rPr>
                <w:rFonts w:ascii="Arial" w:hAnsi="Arial" w:cs="Arial"/>
                <w:sz w:val="20"/>
                <w:szCs w:val="20"/>
                <w:lang w:val="en-US"/>
              </w:rPr>
              <w:t xml:space="preserve"> – </w:t>
            </w:r>
            <w:r w:rsidR="00BD3180" w:rsidRPr="00603B21">
              <w:rPr>
                <w:rFonts w:ascii="Arial" w:hAnsi="Arial" w:cs="Arial"/>
                <w:sz w:val="20"/>
                <w:szCs w:val="20"/>
                <w:lang w:val="en-US"/>
              </w:rPr>
              <w:t>reduce taxpayer compliance cost, through the modernization of technological infrastructure.</w:t>
            </w:r>
          </w:p>
        </w:tc>
      </w:tr>
      <w:tr w:rsidR="009B46EE" w:rsidRPr="00603B21" w14:paraId="00F0B501" w14:textId="77777777" w:rsidTr="0072057C">
        <w:trPr>
          <w:trHeight w:val="2204"/>
        </w:trPr>
        <w:tc>
          <w:tcPr>
            <w:tcW w:w="4968" w:type="dxa"/>
            <w:shd w:val="clear" w:color="auto" w:fill="auto"/>
          </w:tcPr>
          <w:p w14:paraId="2461D151" w14:textId="0096B5E7" w:rsidR="009B46EE" w:rsidRPr="00603B21" w:rsidRDefault="009B46EE" w:rsidP="00936525">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t xml:space="preserve">3.1 </w:t>
            </w:r>
            <w:r w:rsidR="001B326B" w:rsidRPr="00603B21">
              <w:rPr>
                <w:rFonts w:ascii="Arial" w:hAnsi="Arial" w:cs="Arial"/>
                <w:b/>
                <w:sz w:val="20"/>
                <w:szCs w:val="20"/>
                <w:lang w:val="en-US"/>
              </w:rPr>
              <w:t xml:space="preserve">The technological infrastructure is insufficient to host a new Integrated Tax Administration System (ITAS) and to provide good taxpayer services. </w:t>
            </w:r>
            <w:r w:rsidR="001B326B" w:rsidRPr="00603B21">
              <w:rPr>
                <w:rFonts w:ascii="Arial" w:hAnsi="Arial" w:cs="Arial"/>
                <w:sz w:val="20"/>
                <w:szCs w:val="20"/>
                <w:lang w:val="en-US"/>
              </w:rPr>
              <w:t xml:space="preserve">The current data-center processing capacity </w:t>
            </w:r>
            <w:r w:rsidR="001B326B" w:rsidRPr="00603B21">
              <w:rPr>
                <w:rFonts w:ascii="Arial" w:hAnsi="Arial" w:cs="Arial"/>
                <w:color w:val="000000" w:themeColor="text1"/>
                <w:sz w:val="20"/>
                <w:szCs w:val="20"/>
                <w:lang w:val="en-US"/>
              </w:rPr>
              <w:t xml:space="preserve">is </w:t>
            </w:r>
            <w:r w:rsidR="001B326B" w:rsidRPr="00603B21">
              <w:rPr>
                <w:rFonts w:ascii="Arial" w:hAnsi="Arial" w:cs="Arial"/>
                <w:sz w:val="20"/>
                <w:szCs w:val="20"/>
                <w:lang w:val="en-US"/>
              </w:rPr>
              <w:t>insufficient to support a modern ITAS functionality, including storage capacity and telecommunication resources.</w:t>
            </w:r>
            <w:r w:rsidR="001B326B" w:rsidRPr="00603B21">
              <w:rPr>
                <w:rStyle w:val="FootnoteReference"/>
                <w:rFonts w:ascii="Arial" w:eastAsiaTheme="majorEastAsia" w:hAnsi="Arial" w:cs="Arial"/>
                <w:sz w:val="20"/>
                <w:szCs w:val="20"/>
              </w:rPr>
              <w:footnoteReference w:id="33"/>
            </w:r>
            <w:r w:rsidR="001B326B" w:rsidRPr="00603B21">
              <w:rPr>
                <w:rFonts w:ascii="Arial" w:hAnsi="Arial" w:cs="Arial"/>
                <w:sz w:val="20"/>
                <w:szCs w:val="20"/>
                <w:vertAlign w:val="superscript"/>
                <w:lang w:val="en-US"/>
              </w:rPr>
              <w:t>,</w:t>
            </w:r>
          </w:p>
        </w:tc>
        <w:tc>
          <w:tcPr>
            <w:tcW w:w="3870" w:type="dxa"/>
            <w:shd w:val="clear" w:color="auto" w:fill="auto"/>
          </w:tcPr>
          <w:p w14:paraId="28E81239" w14:textId="77777777" w:rsidR="009B46EE"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CARTAC Report – Considerations to Implement an ITAS, 2018.</w:t>
            </w:r>
          </w:p>
          <w:p w14:paraId="7BD87539" w14:textId="77777777" w:rsidR="00616907" w:rsidRPr="00603B21" w:rsidRDefault="00616907" w:rsidP="00032A57">
            <w:pPr>
              <w:jc w:val="both"/>
              <w:rPr>
                <w:rFonts w:ascii="Arial" w:hAnsi="Arial" w:cs="Arial"/>
                <w:sz w:val="20"/>
                <w:szCs w:val="20"/>
                <w:lang w:val="en-US"/>
              </w:rPr>
            </w:pPr>
          </w:p>
          <w:p w14:paraId="7B6374EC" w14:textId="77777777" w:rsidR="00616907" w:rsidRPr="00603B21" w:rsidRDefault="00616907" w:rsidP="00032A57">
            <w:pPr>
              <w:jc w:val="both"/>
              <w:rPr>
                <w:rFonts w:ascii="Arial" w:hAnsi="Arial" w:cs="Arial"/>
                <w:sz w:val="20"/>
                <w:szCs w:val="20"/>
                <w:lang w:val="en-US"/>
              </w:rPr>
            </w:pPr>
          </w:p>
          <w:p w14:paraId="57A7D116" w14:textId="7C04DD27" w:rsidR="00616907" w:rsidRPr="00603B21" w:rsidRDefault="008E38BC" w:rsidP="00032A57">
            <w:pPr>
              <w:jc w:val="both"/>
              <w:rPr>
                <w:rFonts w:ascii="Arial" w:hAnsi="Arial" w:cs="Arial"/>
                <w:sz w:val="20"/>
                <w:szCs w:val="20"/>
                <w:lang w:val="en-US"/>
              </w:rPr>
            </w:pPr>
            <w:bookmarkStart w:id="6" w:name="_Hlk2688898"/>
            <w:r w:rsidRPr="00603B21">
              <w:rPr>
                <w:rFonts w:ascii="Arial" w:hAnsi="Arial" w:cs="Arial"/>
                <w:sz w:val="20"/>
                <w:szCs w:val="20"/>
                <w:lang w:val="en-US"/>
              </w:rPr>
              <w:t xml:space="preserve">There is no </w:t>
            </w:r>
            <w:r w:rsidR="00A15468" w:rsidRPr="00603B21">
              <w:rPr>
                <w:rFonts w:ascii="Arial" w:hAnsi="Arial" w:cs="Arial"/>
                <w:sz w:val="20"/>
                <w:szCs w:val="20"/>
                <w:lang w:val="en-US"/>
              </w:rPr>
              <w:t xml:space="preserve">registration, filing and payments </w:t>
            </w:r>
            <w:r w:rsidRPr="00603B21">
              <w:rPr>
                <w:rFonts w:ascii="Arial" w:hAnsi="Arial" w:cs="Arial"/>
                <w:sz w:val="20"/>
                <w:szCs w:val="20"/>
                <w:lang w:val="en-US"/>
              </w:rPr>
              <w:t>electronic transaction</w:t>
            </w:r>
            <w:r w:rsidR="00A15468" w:rsidRPr="00603B21">
              <w:rPr>
                <w:rFonts w:ascii="Arial" w:hAnsi="Arial" w:cs="Arial"/>
                <w:sz w:val="20"/>
                <w:szCs w:val="20"/>
                <w:lang w:val="en-US"/>
              </w:rPr>
              <w:t>s.</w:t>
            </w:r>
            <w:r w:rsidRPr="00603B21">
              <w:rPr>
                <w:rFonts w:ascii="Arial" w:hAnsi="Arial" w:cs="Arial"/>
                <w:sz w:val="20"/>
                <w:szCs w:val="20"/>
                <w:lang w:val="en-US"/>
              </w:rPr>
              <w:t xml:space="preserve"> </w:t>
            </w:r>
            <w:bookmarkEnd w:id="6"/>
          </w:p>
        </w:tc>
        <w:tc>
          <w:tcPr>
            <w:tcW w:w="5850" w:type="dxa"/>
            <w:shd w:val="clear" w:color="auto" w:fill="auto"/>
          </w:tcPr>
          <w:p w14:paraId="5C0D2FD4" w14:textId="0F25361C" w:rsidR="009B46EE" w:rsidRPr="00603B21" w:rsidRDefault="00A746E1" w:rsidP="00032A57">
            <w:pPr>
              <w:jc w:val="both"/>
              <w:rPr>
                <w:rFonts w:ascii="Arial" w:hAnsi="Arial" w:cs="Arial"/>
                <w:sz w:val="20"/>
                <w:szCs w:val="20"/>
                <w:lang w:val="en-US"/>
              </w:rPr>
            </w:pPr>
            <w:r w:rsidRPr="00603B21">
              <w:rPr>
                <w:rFonts w:ascii="Arial" w:hAnsi="Arial" w:cs="Arial"/>
                <w:sz w:val="20"/>
                <w:szCs w:val="20"/>
                <w:lang w:val="en-US"/>
              </w:rPr>
              <w:t xml:space="preserve">3.1 </w:t>
            </w:r>
            <w:bookmarkStart w:id="7" w:name="_Hlk2675462"/>
            <w:r w:rsidR="009E71A7" w:rsidRPr="00603B21">
              <w:rPr>
                <w:rFonts w:ascii="Arial" w:hAnsi="Arial" w:cs="Arial"/>
                <w:color w:val="000000" w:themeColor="text1"/>
                <w:sz w:val="20"/>
                <w:szCs w:val="20"/>
                <w:lang w:val="en-US"/>
              </w:rPr>
              <w:t>Information and Technology (IT) strategic plan, comprising: (i) basic software; (ii) hardware, servers, storage, telecommunication; (iii) information and cyber security; and (iv) e-tax portal</w:t>
            </w:r>
            <w:r w:rsidR="00E83456" w:rsidRPr="00603B21">
              <w:rPr>
                <w:rFonts w:ascii="Arial" w:hAnsi="Arial" w:cs="Arial"/>
                <w:sz w:val="20"/>
                <w:szCs w:val="20"/>
                <w:lang w:val="en-US"/>
              </w:rPr>
              <w:t xml:space="preserve"> </w:t>
            </w:r>
            <w:bookmarkEnd w:id="7"/>
          </w:p>
        </w:tc>
      </w:tr>
      <w:tr w:rsidR="009B46EE" w:rsidRPr="00603B21" w14:paraId="6C0092E9" w14:textId="77777777" w:rsidTr="001B326B">
        <w:trPr>
          <w:trHeight w:val="2267"/>
        </w:trPr>
        <w:tc>
          <w:tcPr>
            <w:tcW w:w="4968" w:type="dxa"/>
            <w:shd w:val="clear" w:color="auto" w:fill="auto"/>
          </w:tcPr>
          <w:p w14:paraId="504A9B12" w14:textId="3061A1B7" w:rsidR="009B46EE" w:rsidRPr="00603B21" w:rsidRDefault="009B46EE" w:rsidP="009E71A7">
            <w:pPr>
              <w:pStyle w:val="subpar"/>
              <w:numPr>
                <w:ilvl w:val="0"/>
                <w:numId w:val="0"/>
              </w:numPr>
              <w:tabs>
                <w:tab w:val="left" w:pos="0"/>
              </w:tabs>
              <w:rPr>
                <w:rFonts w:ascii="Arial" w:hAnsi="Arial" w:cs="Arial"/>
                <w:sz w:val="20"/>
                <w:szCs w:val="20"/>
                <w:lang w:val="en-US"/>
              </w:rPr>
            </w:pPr>
            <w:r w:rsidRPr="00603B21">
              <w:rPr>
                <w:rFonts w:ascii="Arial" w:hAnsi="Arial" w:cs="Arial"/>
                <w:sz w:val="20"/>
                <w:szCs w:val="20"/>
                <w:lang w:val="en-US"/>
              </w:rPr>
              <w:lastRenderedPageBreak/>
              <w:t xml:space="preserve">3.2 </w:t>
            </w:r>
            <w:r w:rsidR="001B326B" w:rsidRPr="00603B21">
              <w:rPr>
                <w:rFonts w:ascii="Arial" w:hAnsi="Arial" w:cs="Arial"/>
                <w:b/>
                <w:sz w:val="20"/>
                <w:szCs w:val="20"/>
                <w:lang w:val="en-US"/>
              </w:rPr>
              <w:t>The computerized TA systems (SIGTAS) is obsolete and does not generate useful information for decision-making and tax compliance.</w:t>
            </w:r>
            <w:r w:rsidR="001B326B" w:rsidRPr="00603B21">
              <w:rPr>
                <w:rFonts w:ascii="Arial" w:hAnsi="Arial" w:cs="Arial"/>
                <w:sz w:val="20"/>
                <w:szCs w:val="20"/>
                <w:lang w:val="en-US"/>
              </w:rPr>
              <w:t xml:space="preserve"> SIGTAS, an off-the shelf system was implemented in 2001 and updated in 2006. Currently, the functionality remains basically the same, presenting many deficiencies</w:t>
            </w:r>
            <w:r w:rsidR="001B326B" w:rsidRPr="00603B21">
              <w:rPr>
                <w:rStyle w:val="FootnoteReference"/>
                <w:rFonts w:ascii="Arial" w:eastAsiaTheme="majorEastAsia" w:hAnsi="Arial" w:cs="Arial"/>
                <w:sz w:val="20"/>
                <w:szCs w:val="20"/>
              </w:rPr>
              <w:footnoteReference w:id="34"/>
            </w:r>
            <w:r w:rsidR="001B326B" w:rsidRPr="00603B21">
              <w:rPr>
                <w:rFonts w:ascii="Arial" w:hAnsi="Arial" w:cs="Arial"/>
                <w:sz w:val="20"/>
                <w:szCs w:val="20"/>
                <w:lang w:val="en-US"/>
              </w:rPr>
              <w:t>, including low capacity for electronic transactions</w:t>
            </w:r>
          </w:p>
        </w:tc>
        <w:tc>
          <w:tcPr>
            <w:tcW w:w="3870" w:type="dxa"/>
            <w:shd w:val="clear" w:color="auto" w:fill="auto"/>
          </w:tcPr>
          <w:p w14:paraId="39D79A7D" w14:textId="77777777" w:rsidR="009B46EE"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Report: Review of IT Systems of the Tax Administration of Belize, 2017.</w:t>
            </w:r>
          </w:p>
          <w:p w14:paraId="21208583" w14:textId="77777777" w:rsidR="00451D8D" w:rsidRPr="00603B21" w:rsidRDefault="00451D8D" w:rsidP="00032A57">
            <w:pPr>
              <w:jc w:val="both"/>
              <w:rPr>
                <w:rFonts w:ascii="Arial" w:hAnsi="Arial" w:cs="Arial"/>
                <w:sz w:val="20"/>
                <w:szCs w:val="20"/>
                <w:lang w:val="en-US"/>
              </w:rPr>
            </w:pPr>
          </w:p>
          <w:p w14:paraId="592BDF93" w14:textId="77AEBCFE" w:rsidR="00451D8D" w:rsidRPr="00603B21" w:rsidRDefault="00451D8D" w:rsidP="00032A57">
            <w:pPr>
              <w:jc w:val="both"/>
              <w:rPr>
                <w:rFonts w:ascii="Arial" w:hAnsi="Arial" w:cs="Arial"/>
                <w:sz w:val="20"/>
                <w:szCs w:val="20"/>
                <w:lang w:val="en-US"/>
              </w:rPr>
            </w:pPr>
            <w:r w:rsidRPr="00603B21">
              <w:rPr>
                <w:rFonts w:ascii="Arial" w:hAnsi="Arial" w:cs="Arial"/>
                <w:sz w:val="20"/>
                <w:szCs w:val="20"/>
                <w:lang w:val="en-US"/>
              </w:rPr>
              <w:t>Good practices recommend 100% (TADAT Field Guide 2015).</w:t>
            </w:r>
          </w:p>
        </w:tc>
        <w:tc>
          <w:tcPr>
            <w:tcW w:w="5850" w:type="dxa"/>
            <w:shd w:val="clear" w:color="auto" w:fill="auto"/>
          </w:tcPr>
          <w:p w14:paraId="032CE2AC" w14:textId="24417984" w:rsidR="009B46EE" w:rsidRPr="00603B21" w:rsidRDefault="00A746E1" w:rsidP="00032A57">
            <w:pPr>
              <w:jc w:val="both"/>
              <w:rPr>
                <w:rFonts w:ascii="Arial" w:hAnsi="Arial" w:cs="Arial"/>
                <w:sz w:val="20"/>
                <w:szCs w:val="20"/>
                <w:lang w:val="en-US"/>
              </w:rPr>
            </w:pPr>
            <w:r w:rsidRPr="00603B21">
              <w:rPr>
                <w:rFonts w:ascii="Arial" w:hAnsi="Arial" w:cs="Arial"/>
                <w:color w:val="000000" w:themeColor="text1"/>
                <w:sz w:val="20"/>
                <w:szCs w:val="20"/>
                <w:lang w:val="en-US"/>
              </w:rPr>
              <w:t xml:space="preserve">3.2 </w:t>
            </w:r>
            <w:bookmarkStart w:id="8" w:name="_Hlk2690424"/>
            <w:r w:rsidR="009E71A7" w:rsidRPr="00603B21">
              <w:rPr>
                <w:rFonts w:ascii="Arial" w:hAnsi="Arial" w:cs="Arial"/>
                <w:sz w:val="20"/>
                <w:szCs w:val="20"/>
                <w:lang w:val="en-US"/>
              </w:rPr>
              <w:t>New ITAS</w:t>
            </w:r>
            <w:r w:rsidR="009E71A7" w:rsidRPr="00603B21">
              <w:rPr>
                <w:rStyle w:val="FootnoteReference"/>
                <w:rFonts w:ascii="Arial" w:hAnsi="Arial" w:cs="Arial"/>
                <w:sz w:val="20"/>
                <w:szCs w:val="20"/>
                <w:lang w:val="en-US"/>
              </w:rPr>
              <w:footnoteReference w:id="35"/>
            </w:r>
            <w:r w:rsidR="009E71A7" w:rsidRPr="00603B21">
              <w:rPr>
                <w:rFonts w:ascii="Arial" w:hAnsi="Arial" w:cs="Arial"/>
                <w:sz w:val="20"/>
                <w:szCs w:val="20"/>
                <w:lang w:val="en-US"/>
              </w:rPr>
              <w:t xml:space="preserve"> integrated with other government systems, including customs,</w:t>
            </w:r>
            <w:r w:rsidR="009E71A7" w:rsidRPr="00603B21">
              <w:rPr>
                <w:rStyle w:val="FootnoteReference"/>
                <w:rFonts w:ascii="Arial" w:hAnsi="Arial" w:cs="Arial"/>
                <w:sz w:val="20"/>
                <w:szCs w:val="20"/>
                <w:lang w:val="en-US"/>
              </w:rPr>
              <w:footnoteReference w:id="36"/>
            </w:r>
            <w:r w:rsidR="009E71A7" w:rsidRPr="00603B21">
              <w:rPr>
                <w:rFonts w:ascii="Arial" w:hAnsi="Arial" w:cs="Arial"/>
                <w:sz w:val="20"/>
                <w:szCs w:val="20"/>
                <w:lang w:val="en-US"/>
              </w:rPr>
              <w:t xml:space="preserve"> comprising: (i) registration; (ii) declaration processing and monitoring fillers; (iii) payments and refunds processing; (iv); taxpayer account and  revenue accounting; (v) collection; (vi) audit and case management; (vii) objections and appeals; (viii) taxpayers services; (ix) risk management; and (x) supporting processes, including reporting, statistics and internal audit. Large taxpayers will pilot the new systems before their rollout to the broader population</w:t>
            </w:r>
            <w:r w:rsidR="00CD76C2" w:rsidRPr="00603B21">
              <w:rPr>
                <w:rFonts w:ascii="Arial" w:hAnsi="Arial" w:cs="Arial"/>
                <w:color w:val="000000" w:themeColor="text1"/>
                <w:sz w:val="20"/>
                <w:szCs w:val="20"/>
                <w:lang w:val="en-US"/>
              </w:rPr>
              <w:t>.</w:t>
            </w:r>
            <w:bookmarkEnd w:id="8"/>
          </w:p>
        </w:tc>
      </w:tr>
    </w:tbl>
    <w:p w14:paraId="585DA4ED" w14:textId="77777777" w:rsidR="00616907" w:rsidRPr="00603B21" w:rsidRDefault="00616907" w:rsidP="009E1446">
      <w:pPr>
        <w:rPr>
          <w:rFonts w:ascii="Arial" w:hAnsi="Arial" w:cs="Arial"/>
          <w:sz w:val="20"/>
          <w:szCs w:val="20"/>
          <w:lang w:val="en-US"/>
        </w:rPr>
      </w:pPr>
    </w:p>
    <w:sectPr w:rsidR="00616907" w:rsidRPr="00603B21" w:rsidSect="00603B21">
      <w:headerReference w:type="default" r:id="rId9"/>
      <w:pgSz w:w="16838" w:h="11906" w:orient="landscape"/>
      <w:pgMar w:top="1440" w:right="998"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F2025" w14:textId="77777777" w:rsidR="000A1AF5" w:rsidRDefault="000A1AF5" w:rsidP="00B8204F">
      <w:pPr>
        <w:spacing w:after="0" w:line="240" w:lineRule="auto"/>
      </w:pPr>
      <w:r>
        <w:separator/>
      </w:r>
    </w:p>
  </w:endnote>
  <w:endnote w:type="continuationSeparator" w:id="0">
    <w:p w14:paraId="154A8398" w14:textId="77777777" w:rsidR="000A1AF5" w:rsidRDefault="000A1AF5" w:rsidP="00B8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4F451" w14:textId="77777777" w:rsidR="000A1AF5" w:rsidRDefault="000A1AF5" w:rsidP="00B8204F">
      <w:pPr>
        <w:spacing w:after="0" w:line="240" w:lineRule="auto"/>
      </w:pPr>
      <w:r>
        <w:separator/>
      </w:r>
    </w:p>
  </w:footnote>
  <w:footnote w:type="continuationSeparator" w:id="0">
    <w:p w14:paraId="73932D95" w14:textId="77777777" w:rsidR="000A1AF5" w:rsidRDefault="000A1AF5" w:rsidP="00B8204F">
      <w:pPr>
        <w:spacing w:after="0" w:line="240" w:lineRule="auto"/>
      </w:pPr>
      <w:r>
        <w:continuationSeparator/>
      </w:r>
    </w:p>
  </w:footnote>
  <w:footnote w:id="1">
    <w:p w14:paraId="2E857C9A" w14:textId="0B4D4ECC" w:rsidR="002A24E0" w:rsidRPr="002A24E0" w:rsidRDefault="002A24E0" w:rsidP="002A24E0">
      <w:pPr>
        <w:pStyle w:val="FootnoteText"/>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IMF Article IV 2018.</w:t>
      </w:r>
    </w:p>
  </w:footnote>
  <w:footnote w:id="2">
    <w:p w14:paraId="5EDB1E13" w14:textId="77777777" w:rsidR="002A24E0" w:rsidRPr="002A24E0" w:rsidRDefault="002A24E0" w:rsidP="002A24E0">
      <w:pPr>
        <w:pStyle w:val="FootnoteText"/>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IMF Article IV 2018.</w:t>
      </w:r>
    </w:p>
  </w:footnote>
  <w:footnote w:id="3">
    <w:p w14:paraId="171DB85D" w14:textId="77777777" w:rsidR="002A24E0" w:rsidRPr="002A24E0" w:rsidRDefault="002A24E0" w:rsidP="002A24E0">
      <w:pPr>
        <w:pStyle w:val="FootnoteText"/>
        <w:ind w:left="270"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w:t>
      </w:r>
      <w:r w:rsidRPr="002A24E0">
        <w:rPr>
          <w:rFonts w:ascii="Arial" w:hAnsi="Arial" w:cs="Arial"/>
          <w:sz w:val="18"/>
          <w:szCs w:val="18"/>
          <w:lang w:val="en-US"/>
        </w:rPr>
        <w:tab/>
        <w:t xml:space="preserve">The Government has restructured its external debt to commercial lenders three times between 2007 and 2017. The public debt-GDP ratio reached </w:t>
      </w:r>
      <w:r w:rsidRPr="002A24E0">
        <w:rPr>
          <w:rStyle w:val="Emphasis"/>
          <w:rFonts w:ascii="Arial" w:hAnsi="Arial" w:cs="Arial"/>
          <w:bCs/>
          <w:sz w:val="18"/>
          <w:szCs w:val="18"/>
          <w:shd w:val="clear" w:color="auto" w:fill="FFFFFF"/>
          <w:lang w:val="en-US"/>
        </w:rPr>
        <w:t>93.6% of GDP in 2017/18.</w:t>
      </w:r>
    </w:p>
  </w:footnote>
  <w:footnote w:id="4">
    <w:p w14:paraId="6A368C1E" w14:textId="77777777" w:rsidR="002A24E0" w:rsidRPr="002A24E0" w:rsidRDefault="002A24E0" w:rsidP="002A24E0">
      <w:pPr>
        <w:pStyle w:val="FootnoteText"/>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Excluding the one-off capital transfer.</w:t>
      </w:r>
    </w:p>
  </w:footnote>
  <w:footnote w:id="5">
    <w:p w14:paraId="49AA4DEA" w14:textId="77777777" w:rsidR="002A24E0" w:rsidRPr="002A24E0" w:rsidRDefault="002A24E0" w:rsidP="002A24E0">
      <w:pPr>
        <w:pStyle w:val="FootnoteText"/>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IMF Article IV 2018. </w:t>
      </w:r>
    </w:p>
  </w:footnote>
  <w:footnote w:id="6">
    <w:p w14:paraId="23FAAB1A" w14:textId="77777777" w:rsidR="002A24E0" w:rsidRPr="002A24E0" w:rsidRDefault="002A24E0" w:rsidP="002A24E0">
      <w:pPr>
        <w:pStyle w:val="FootnoteText"/>
        <w:ind w:left="180" w:hanging="180"/>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w:t>
      </w:r>
      <w:r w:rsidRPr="002A24E0">
        <w:rPr>
          <w:rFonts w:ascii="Arial" w:hAnsi="Arial" w:cs="Arial"/>
          <w:sz w:val="18"/>
          <w:szCs w:val="18"/>
          <w:lang w:val="en-US"/>
        </w:rPr>
        <w:tab/>
        <w:t xml:space="preserve">Paper: Assessing debt sustainability in Belize. </w:t>
      </w:r>
    </w:p>
  </w:footnote>
  <w:footnote w:id="7">
    <w:p w14:paraId="6282DB5C" w14:textId="77777777" w:rsidR="002A24E0" w:rsidRPr="002A24E0" w:rsidRDefault="002A24E0" w:rsidP="002A24E0">
      <w:pPr>
        <w:pStyle w:val="FootnoteText"/>
        <w:ind w:left="180" w:hanging="180"/>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w:t>
      </w:r>
      <w:r w:rsidRPr="002A24E0">
        <w:rPr>
          <w:rFonts w:ascii="Arial" w:hAnsi="Arial" w:cs="Arial"/>
          <w:sz w:val="18"/>
          <w:szCs w:val="18"/>
          <w:lang w:val="en-US"/>
        </w:rPr>
        <w:tab/>
        <w:t>Central Bank press release.</w:t>
      </w:r>
    </w:p>
  </w:footnote>
  <w:footnote w:id="8">
    <w:p w14:paraId="51264D3C" w14:textId="77777777" w:rsidR="002A24E0" w:rsidRPr="002A24E0" w:rsidRDefault="002A24E0" w:rsidP="002A24E0">
      <w:pPr>
        <w:pStyle w:val="FootnoteText"/>
        <w:ind w:left="180" w:hanging="180"/>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w:t>
      </w:r>
      <w:r w:rsidRPr="002A24E0">
        <w:rPr>
          <w:rFonts w:ascii="Arial" w:hAnsi="Arial" w:cs="Arial"/>
          <w:sz w:val="18"/>
          <w:szCs w:val="18"/>
          <w:lang w:val="en-US"/>
        </w:rPr>
        <w:tab/>
      </w:r>
      <w:hyperlink r:id="rId1" w:history="1">
        <w:r w:rsidRPr="002A24E0">
          <w:rPr>
            <w:rStyle w:val="Hyperlink"/>
            <w:rFonts w:ascii="Arial" w:eastAsiaTheme="majorEastAsia" w:hAnsi="Arial" w:cs="Arial"/>
            <w:sz w:val="18"/>
            <w:szCs w:val="18"/>
            <w:lang w:val="en-US"/>
          </w:rPr>
          <w:t>IMF Article IV 2018</w:t>
        </w:r>
      </w:hyperlink>
      <w:r w:rsidRPr="002A24E0">
        <w:rPr>
          <w:rFonts w:ascii="Arial" w:hAnsi="Arial" w:cs="Arial"/>
          <w:sz w:val="18"/>
          <w:szCs w:val="18"/>
          <w:lang w:val="en-US"/>
        </w:rPr>
        <w:t>.</w:t>
      </w:r>
    </w:p>
  </w:footnote>
  <w:footnote w:id="9">
    <w:p w14:paraId="456DD774" w14:textId="77777777" w:rsidR="002A24E0" w:rsidRPr="002A24E0" w:rsidRDefault="002A24E0" w:rsidP="002A24E0">
      <w:pPr>
        <w:pStyle w:val="FootnoteText"/>
        <w:ind w:left="180" w:hanging="180"/>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Paper: Raising revenue (IMF 2018).</w:t>
      </w:r>
    </w:p>
  </w:footnote>
  <w:footnote w:id="10">
    <w:p w14:paraId="21EF631F" w14:textId="77777777" w:rsidR="002A24E0" w:rsidRPr="002A24E0" w:rsidRDefault="002A24E0" w:rsidP="009E71A7">
      <w:pPr>
        <w:pStyle w:val="FootnoteText"/>
        <w:rPr>
          <w:lang w:val="en-US"/>
        </w:rPr>
      </w:pPr>
      <w:r>
        <w:rPr>
          <w:rStyle w:val="FootnoteReference"/>
          <w:rFonts w:eastAsiaTheme="majorEastAsia"/>
        </w:rPr>
        <w:footnoteRef/>
      </w:r>
      <w:r w:rsidRPr="002A24E0">
        <w:rPr>
          <w:lang w:val="en-US"/>
        </w:rPr>
        <w:t xml:space="preserve"> DGST has 5120 taxpayers in GST registry; ITD has 27.728 taxpayers in Business Tax Registry and 6.035 taxpayers in PAYE registry. </w:t>
      </w:r>
    </w:p>
  </w:footnote>
  <w:footnote w:id="11">
    <w:p w14:paraId="77BA57E7" w14:textId="77777777" w:rsidR="002A24E0" w:rsidRPr="0050197A" w:rsidRDefault="002A24E0" w:rsidP="009E71A7">
      <w:pPr>
        <w:pStyle w:val="Default"/>
        <w:rPr>
          <w:rFonts w:ascii="Arial" w:hAnsi="Arial" w:cs="Arial"/>
          <w:sz w:val="18"/>
          <w:szCs w:val="18"/>
        </w:rPr>
      </w:pPr>
      <w:r w:rsidRPr="0068659D">
        <w:rPr>
          <w:rStyle w:val="FootnoteReference"/>
          <w:rFonts w:ascii="Arial" w:hAnsi="Arial" w:cs="Arial"/>
          <w:sz w:val="18"/>
          <w:szCs w:val="18"/>
        </w:rPr>
        <w:footnoteRef/>
      </w:r>
      <w:r w:rsidRPr="0068659D">
        <w:rPr>
          <w:rFonts w:ascii="Arial" w:hAnsi="Arial" w:cs="Arial"/>
          <w:sz w:val="18"/>
          <w:szCs w:val="18"/>
        </w:rPr>
        <w:t xml:space="preserve"> </w:t>
      </w:r>
      <w:r w:rsidRPr="0050197A">
        <w:rPr>
          <w:rFonts w:ascii="Arial" w:hAnsi="Arial" w:cs="Arial"/>
          <w:sz w:val="18"/>
          <w:szCs w:val="18"/>
        </w:rPr>
        <w:t xml:space="preserve"> The integration of consumption and income taxes into one administration has accelerated </w:t>
      </w:r>
      <w:r w:rsidRPr="00362BEA">
        <w:rPr>
          <w:rFonts w:ascii="Arial" w:hAnsi="Arial" w:cs="Arial"/>
          <w:sz w:val="18"/>
          <w:szCs w:val="18"/>
        </w:rPr>
        <w:t>during the last 5 years. Out of 12 countries that currently administer VATs, all, except Belize, have now adopted the integrat</w:t>
      </w:r>
      <w:r w:rsidRPr="00C766D9">
        <w:rPr>
          <w:rFonts w:ascii="Arial" w:hAnsi="Arial" w:cs="Arial"/>
          <w:sz w:val="18"/>
          <w:szCs w:val="18"/>
        </w:rPr>
        <w:t xml:space="preserve">ed approach. </w:t>
      </w:r>
      <w:proofErr w:type="spellStart"/>
      <w:r w:rsidRPr="00C766D9">
        <w:rPr>
          <w:rFonts w:ascii="Arial" w:hAnsi="Arial" w:cs="Arial"/>
          <w:sz w:val="18"/>
          <w:szCs w:val="18"/>
        </w:rPr>
        <w:t>Schlotterbeck</w:t>
      </w:r>
      <w:proofErr w:type="spellEnd"/>
      <w:r w:rsidRPr="00C766D9">
        <w:rPr>
          <w:rFonts w:ascii="Arial" w:hAnsi="Arial" w:cs="Arial"/>
          <w:sz w:val="18"/>
          <w:szCs w:val="18"/>
        </w:rPr>
        <w:t xml:space="preserve">, S. </w:t>
      </w:r>
      <w:hyperlink r:id="rId2" w:history="1">
        <w:r w:rsidRPr="005E0E69">
          <w:rPr>
            <w:rStyle w:val="Hyperlink"/>
            <w:rFonts w:ascii="Arial" w:hAnsi="Arial" w:cs="Arial"/>
            <w:sz w:val="18"/>
            <w:szCs w:val="18"/>
          </w:rPr>
          <w:t>Tax Administration Reforms in the Caribbean</w:t>
        </w:r>
      </w:hyperlink>
      <w:r w:rsidRPr="005E0E69">
        <w:rPr>
          <w:rStyle w:val="Hyperlink"/>
          <w:rFonts w:ascii="Arial" w:hAnsi="Arial" w:cs="Arial"/>
          <w:sz w:val="18"/>
          <w:szCs w:val="18"/>
        </w:rPr>
        <w:t>. IMF, 2017.</w:t>
      </w:r>
      <w:r w:rsidRPr="00535A0C">
        <w:rPr>
          <w:rFonts w:ascii="Arial" w:hAnsi="Arial" w:cs="Arial"/>
          <w:sz w:val="18"/>
          <w:szCs w:val="18"/>
        </w:rPr>
        <w:t xml:space="preserve"> </w:t>
      </w:r>
    </w:p>
  </w:footnote>
  <w:footnote w:id="12">
    <w:p w14:paraId="2DACE673" w14:textId="77777777" w:rsidR="009E71A7" w:rsidRPr="009E71A7" w:rsidRDefault="009E71A7" w:rsidP="009E71A7">
      <w:pPr>
        <w:pStyle w:val="FootnoteText"/>
        <w:ind w:left="270" w:hanging="266"/>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Of 126 countries currently administer VAT, only 10 have separate departments for VAT and income taxes (FAD/IMF 2014 report). In the Caribbean region: Belize and Surinam.</w:t>
      </w:r>
    </w:p>
  </w:footnote>
  <w:footnote w:id="13">
    <w:p w14:paraId="5D1191B5" w14:textId="77777777" w:rsidR="009E71A7" w:rsidRPr="009E71A7" w:rsidRDefault="009E71A7" w:rsidP="009E71A7">
      <w:pPr>
        <w:pStyle w:val="FootnoteText"/>
        <w:ind w:left="270" w:hanging="266"/>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Non-compliance is high. Non-filing average of 76% (ITD) and 85% (DGST)</w:t>
      </w:r>
    </w:p>
  </w:footnote>
  <w:footnote w:id="14">
    <w:p w14:paraId="060FB4FC" w14:textId="77777777" w:rsidR="009E71A7" w:rsidRPr="009E71A7" w:rsidRDefault="009E71A7" w:rsidP="009E71A7">
      <w:pPr>
        <w:pStyle w:val="FootnoteText"/>
        <w:ind w:left="270" w:hanging="266"/>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Cost of collection is 2.4% while the regional average is 0.98%. (CIAT, 2018).</w:t>
      </w:r>
    </w:p>
  </w:footnote>
  <w:footnote w:id="15">
    <w:p w14:paraId="26BD68C3" w14:textId="77777777" w:rsidR="002A24E0" w:rsidRPr="002A24E0" w:rsidRDefault="002A24E0" w:rsidP="009E71A7">
      <w:pPr>
        <w:pStyle w:val="FootnoteText"/>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Current business process and To Be business process draft reports (Feb/2019). </w:t>
      </w:r>
    </w:p>
  </w:footnote>
  <w:footnote w:id="16">
    <w:p w14:paraId="4B68C27A" w14:textId="77777777" w:rsidR="002A24E0" w:rsidRPr="002A24E0" w:rsidRDefault="002A24E0" w:rsidP="009E71A7">
      <w:pPr>
        <w:pStyle w:val="FootnoteText"/>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Barreix and Zambrano, 2017.</w:t>
      </w:r>
    </w:p>
  </w:footnote>
  <w:footnote w:id="17">
    <w:p w14:paraId="47E2EDBF" w14:textId="77777777" w:rsidR="009E71A7" w:rsidRPr="009E71A7" w:rsidRDefault="009E71A7" w:rsidP="009E71A7">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Information provided by DGST and ITD.</w:t>
      </w:r>
    </w:p>
  </w:footnote>
  <w:footnote w:id="18">
    <w:p w14:paraId="67C78556" w14:textId="77777777" w:rsidR="009E71A7" w:rsidRPr="009E71A7" w:rsidRDefault="009E71A7" w:rsidP="009E71A7">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r>
      <w:r w:rsidRPr="009E71A7">
        <w:rPr>
          <w:rFonts w:ascii="Arial" w:hAnsi="Arial" w:cs="Arial"/>
          <w:bCs/>
          <w:sz w:val="18"/>
          <w:szCs w:val="18"/>
          <w:lang w:val="en-US"/>
        </w:rPr>
        <w:t>Corruption, Taxes and Compliance, 2017 (IMF)</w:t>
      </w:r>
      <w:r w:rsidRPr="009E71A7">
        <w:rPr>
          <w:rFonts w:ascii="Arial" w:hAnsi="Arial" w:cs="Arial"/>
          <w:sz w:val="18"/>
          <w:szCs w:val="18"/>
          <w:lang w:val="en-US"/>
        </w:rPr>
        <w:t>.</w:t>
      </w:r>
    </w:p>
  </w:footnote>
  <w:footnote w:id="19">
    <w:p w14:paraId="054F4173" w14:textId="77777777" w:rsidR="002A24E0" w:rsidRPr="002A24E0" w:rsidRDefault="002A24E0" w:rsidP="002A24E0">
      <w:pPr>
        <w:pStyle w:val="FootnoteText"/>
        <w:ind w:left="270" w:hanging="270"/>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2A24E0">
        <w:rPr>
          <w:rFonts w:ascii="Arial" w:hAnsi="Arial" w:cs="Arial"/>
          <w:sz w:val="18"/>
          <w:szCs w:val="18"/>
          <w:lang w:val="en-US"/>
        </w:rPr>
        <w:t xml:space="preserve"> </w:t>
      </w:r>
      <w:r w:rsidRPr="002A24E0">
        <w:rPr>
          <w:rFonts w:ascii="Arial" w:hAnsi="Arial" w:cs="Arial"/>
          <w:sz w:val="18"/>
          <w:szCs w:val="18"/>
          <w:lang w:val="en-US"/>
        </w:rPr>
        <w:tab/>
        <w:t>International good practices (TADAT).</w:t>
      </w:r>
    </w:p>
  </w:footnote>
  <w:footnote w:id="20">
    <w:p w14:paraId="505D4AD6" w14:textId="77777777" w:rsidR="009E71A7" w:rsidRPr="009E71A7" w:rsidRDefault="009E71A7" w:rsidP="009E71A7">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FAD/IMF 2014 report.</w:t>
      </w:r>
    </w:p>
  </w:footnote>
  <w:footnote w:id="21">
    <w:p w14:paraId="2FB5A91D" w14:textId="77777777" w:rsidR="009E71A7" w:rsidRPr="009E71A7" w:rsidRDefault="009E71A7" w:rsidP="009E71A7">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 xml:space="preserve">Information provided by DGST and ITD. </w:t>
      </w:r>
    </w:p>
  </w:footnote>
  <w:footnote w:id="22">
    <w:p w14:paraId="672595E0" w14:textId="77777777" w:rsidR="009E71A7" w:rsidRPr="009E71A7" w:rsidRDefault="009E71A7" w:rsidP="009E71A7">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Belize Tax Administration Modernization Report. September 2018.</w:t>
      </w:r>
    </w:p>
  </w:footnote>
  <w:footnote w:id="23">
    <w:p w14:paraId="478EB091" w14:textId="77777777" w:rsidR="009E71A7" w:rsidRPr="009E71A7" w:rsidRDefault="009E71A7" w:rsidP="009E71A7">
      <w:pPr>
        <w:pStyle w:val="FootnoteText"/>
        <w:contextualSpacing/>
        <w:rPr>
          <w:rFonts w:ascii="Arial" w:hAnsi="Arial" w:cs="Arial"/>
          <w:sz w:val="18"/>
          <w:szCs w:val="18"/>
          <w:lang w:val="en-US"/>
        </w:rPr>
      </w:pPr>
      <w:r w:rsidRPr="0068659D">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The employees will be relocated in new functions. No dismissal </w:t>
      </w:r>
      <w:proofErr w:type="gramStart"/>
      <w:r w:rsidRPr="009E71A7">
        <w:rPr>
          <w:rFonts w:ascii="Arial" w:hAnsi="Arial" w:cs="Arial"/>
          <w:sz w:val="18"/>
          <w:szCs w:val="18"/>
          <w:lang w:val="en-US"/>
        </w:rPr>
        <w:t>are</w:t>
      </w:r>
      <w:proofErr w:type="gramEnd"/>
      <w:r w:rsidRPr="009E71A7">
        <w:rPr>
          <w:rFonts w:ascii="Arial" w:hAnsi="Arial" w:cs="Arial"/>
          <w:sz w:val="18"/>
          <w:szCs w:val="18"/>
          <w:lang w:val="en-US"/>
        </w:rPr>
        <w:t xml:space="preserve"> planned.</w:t>
      </w:r>
    </w:p>
  </w:footnote>
  <w:footnote w:id="24">
    <w:p w14:paraId="03CE9B30" w14:textId="77777777" w:rsidR="009E71A7" w:rsidRPr="009E71A7" w:rsidRDefault="009E71A7" w:rsidP="009E71A7">
      <w:pPr>
        <w:pStyle w:val="FootnoteText"/>
        <w:rPr>
          <w:lang w:val="en-US"/>
        </w:rPr>
      </w:pPr>
      <w:r>
        <w:rPr>
          <w:rStyle w:val="FootnoteReference"/>
          <w:rFonts w:eastAsiaTheme="majorEastAsia"/>
        </w:rPr>
        <w:footnoteRef/>
      </w:r>
      <w:r w:rsidRPr="009E71A7">
        <w:rPr>
          <w:lang w:val="en-US"/>
        </w:rPr>
        <w:t xml:space="preserve">  Data from 2016/2017, provided by the Government.</w:t>
      </w:r>
    </w:p>
  </w:footnote>
  <w:footnote w:id="25">
    <w:p w14:paraId="282421B5" w14:textId="77777777" w:rsidR="009E71A7" w:rsidRPr="00686FD1" w:rsidRDefault="009E71A7" w:rsidP="009E71A7">
      <w:pPr>
        <w:pStyle w:val="Default"/>
        <w:ind w:left="274" w:hanging="270"/>
        <w:contextualSpacing/>
        <w:jc w:val="both"/>
        <w:rPr>
          <w:rFonts w:ascii="Arial" w:hAnsi="Arial" w:cs="Arial"/>
          <w:sz w:val="18"/>
          <w:szCs w:val="18"/>
        </w:rPr>
      </w:pPr>
      <w:r w:rsidRPr="00686FD1">
        <w:rPr>
          <w:rStyle w:val="FootnoteReference"/>
          <w:rFonts w:ascii="Arial" w:hAnsi="Arial" w:cs="Arial"/>
          <w:sz w:val="18"/>
          <w:szCs w:val="18"/>
        </w:rPr>
        <w:footnoteRef/>
      </w:r>
      <w:r w:rsidRPr="00686FD1">
        <w:rPr>
          <w:rFonts w:ascii="Arial" w:hAnsi="Arial" w:cs="Arial"/>
          <w:sz w:val="18"/>
          <w:szCs w:val="18"/>
        </w:rPr>
        <w:t xml:space="preserve"> </w:t>
      </w:r>
      <w:r w:rsidRPr="00686FD1">
        <w:rPr>
          <w:rFonts w:ascii="Arial" w:hAnsi="Arial" w:cs="Arial"/>
          <w:sz w:val="18"/>
          <w:szCs w:val="18"/>
        </w:rPr>
        <w:tab/>
        <w:t>Compliance Management of Large Business, 2009 (OECD).</w:t>
      </w:r>
    </w:p>
  </w:footnote>
  <w:footnote w:id="26">
    <w:p w14:paraId="229DC2D3" w14:textId="77777777" w:rsidR="001B326B" w:rsidRPr="001B326B" w:rsidRDefault="001B326B" w:rsidP="001B326B">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t>IDB report –Evaluation GST Department, 2018.</w:t>
      </w:r>
    </w:p>
  </w:footnote>
  <w:footnote w:id="27">
    <w:p w14:paraId="1947EADA" w14:textId="77777777" w:rsidR="001B326B" w:rsidRPr="001B326B" w:rsidRDefault="001B326B" w:rsidP="001B326B">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t xml:space="preserve">Fretes, V et al. </w:t>
      </w:r>
      <w:proofErr w:type="spellStart"/>
      <w:r w:rsidRPr="001B326B">
        <w:rPr>
          <w:rFonts w:ascii="Arial" w:hAnsi="Arial" w:cs="Arial"/>
          <w:sz w:val="18"/>
          <w:szCs w:val="18"/>
          <w:lang w:val="en-US"/>
        </w:rPr>
        <w:t>M</w:t>
      </w:r>
      <w:r w:rsidRPr="00686FD1">
        <w:rPr>
          <w:rFonts w:ascii="Arial" w:hAnsi="Arial" w:cs="Arial"/>
          <w:sz w:val="18"/>
          <w:szCs w:val="18"/>
          <w:lang w:val="en"/>
        </w:rPr>
        <w:t>ore</w:t>
      </w:r>
      <w:proofErr w:type="spellEnd"/>
      <w:r w:rsidRPr="00686FD1">
        <w:rPr>
          <w:rFonts w:ascii="Arial" w:hAnsi="Arial" w:cs="Arial"/>
          <w:sz w:val="18"/>
          <w:szCs w:val="18"/>
          <w:lang w:val="en"/>
        </w:rPr>
        <w:t xml:space="preserve"> than Revenue: Taxation as a Development Tool, 2013 (IDB).</w:t>
      </w:r>
    </w:p>
  </w:footnote>
  <w:footnote w:id="28">
    <w:p w14:paraId="146AED72" w14:textId="77777777" w:rsidR="009E71A7" w:rsidRPr="009E71A7" w:rsidRDefault="009E71A7" w:rsidP="001B326B">
      <w:pPr>
        <w:spacing w:after="0"/>
        <w:ind w:left="274" w:hanging="274"/>
        <w:contextualSpacing/>
        <w:jc w:val="both"/>
        <w:rPr>
          <w:rFonts w:ascii="Arial" w:hAnsi="Arial" w:cs="Arial"/>
          <w:sz w:val="18"/>
          <w:szCs w:val="18"/>
          <w:lang w:val="en-US"/>
        </w:rPr>
      </w:pPr>
      <w:r w:rsidRPr="0068659D">
        <w:rPr>
          <w:rStyle w:val="FootnoteReference"/>
          <w:rFonts w:ascii="Arial"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 xml:space="preserve">Audits have a sustainable effect deterring future evasion among audited firm. See: Pomeranz, Dina. 2013. “No Taxation without Information: Deterrence and Self-Enforcement in the Value Added Tax”. </w:t>
      </w:r>
      <w:r w:rsidRPr="009E71A7">
        <w:rPr>
          <w:rFonts w:ascii="Arial" w:hAnsi="Arial" w:cs="Arial"/>
          <w:iCs/>
          <w:sz w:val="18"/>
          <w:szCs w:val="18"/>
          <w:lang w:val="en-US"/>
        </w:rPr>
        <w:t>Harvard Business School.</w:t>
      </w:r>
    </w:p>
  </w:footnote>
  <w:footnote w:id="29">
    <w:p w14:paraId="680918B0" w14:textId="77777777" w:rsidR="001B326B" w:rsidRPr="001B326B" w:rsidRDefault="001B326B" w:rsidP="001B326B">
      <w:pPr>
        <w:pStyle w:val="FootnoteText"/>
        <w:ind w:left="274"/>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Good Practices recommend 100% of payments made electronically (TADAT).</w:t>
      </w:r>
    </w:p>
  </w:footnote>
  <w:footnote w:id="30">
    <w:p w14:paraId="47C4A491" w14:textId="77777777" w:rsidR="001B326B" w:rsidRPr="001B326B" w:rsidRDefault="001B326B" w:rsidP="001B326B">
      <w:pPr>
        <w:pStyle w:val="FootnoteText"/>
        <w:ind w:left="274" w:hanging="270"/>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t>Information provided by DGST and ITD.</w:t>
      </w:r>
    </w:p>
  </w:footnote>
  <w:footnote w:id="31">
    <w:p w14:paraId="53C33547" w14:textId="77777777" w:rsidR="001B326B" w:rsidRPr="001B326B" w:rsidRDefault="001B326B" w:rsidP="001B326B">
      <w:pPr>
        <w:pStyle w:val="FootnoteText"/>
        <w:ind w:left="274" w:hanging="274"/>
        <w:contextualSpacing/>
        <w:rPr>
          <w:rFonts w:ascii="Arial" w:hAnsi="Arial" w:cs="Arial"/>
          <w:sz w:val="18"/>
          <w:szCs w:val="18"/>
          <w:lang w:val="en-US"/>
        </w:rPr>
      </w:pPr>
      <w:r w:rsidRPr="00686FD1">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r>
      <w:hyperlink r:id="rId3" w:history="1">
        <w:r w:rsidRPr="001B326B">
          <w:rPr>
            <w:rStyle w:val="Hyperlink"/>
            <w:rFonts w:ascii="Arial" w:eastAsiaTheme="majorEastAsia" w:hAnsi="Arial" w:cs="Arial"/>
            <w:sz w:val="18"/>
            <w:szCs w:val="18"/>
            <w:lang w:val="en-US"/>
          </w:rPr>
          <w:t>2018 Government request for expression of interest for acquisition of ITAS</w:t>
        </w:r>
      </w:hyperlink>
      <w:r w:rsidRPr="001B326B">
        <w:rPr>
          <w:rFonts w:ascii="Arial" w:hAnsi="Arial" w:cs="Arial"/>
          <w:sz w:val="18"/>
          <w:szCs w:val="18"/>
          <w:lang w:val="en-US"/>
        </w:rPr>
        <w:t>.</w:t>
      </w:r>
    </w:p>
  </w:footnote>
  <w:footnote w:id="32">
    <w:p w14:paraId="691C71DF" w14:textId="77777777" w:rsidR="001B326B" w:rsidRPr="001B326B" w:rsidRDefault="001B326B" w:rsidP="001B326B">
      <w:pPr>
        <w:pStyle w:val="FootnoteText"/>
        <w:ind w:left="274" w:hanging="274"/>
        <w:contextualSpacing/>
        <w:rPr>
          <w:rFonts w:ascii="Arial" w:hAnsi="Arial" w:cs="Arial"/>
          <w:sz w:val="18"/>
          <w:szCs w:val="18"/>
          <w:lang w:val="en-US"/>
        </w:rPr>
      </w:pPr>
      <w:r w:rsidRPr="00062154">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t xml:space="preserve">FAD/IMF 2014 report. </w:t>
      </w:r>
    </w:p>
  </w:footnote>
  <w:footnote w:id="33">
    <w:p w14:paraId="30CD0C53" w14:textId="77777777" w:rsidR="001B326B" w:rsidRPr="001B326B" w:rsidRDefault="001B326B" w:rsidP="001B326B">
      <w:pPr>
        <w:pStyle w:val="FootnoteText"/>
        <w:ind w:left="274" w:hanging="274"/>
        <w:contextualSpacing/>
        <w:rPr>
          <w:rFonts w:ascii="Arial" w:hAnsi="Arial" w:cs="Arial"/>
          <w:sz w:val="18"/>
          <w:szCs w:val="18"/>
          <w:lang w:val="en-US"/>
        </w:rPr>
      </w:pPr>
      <w:r w:rsidRPr="00062154">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t>Review of IT Systems of the Tax Administration of Belize report, 2017.</w:t>
      </w:r>
    </w:p>
  </w:footnote>
  <w:footnote w:id="34">
    <w:p w14:paraId="2C85AD24" w14:textId="77777777" w:rsidR="001B326B" w:rsidRPr="001B326B" w:rsidRDefault="001B326B" w:rsidP="001B326B">
      <w:pPr>
        <w:pStyle w:val="FootnoteText"/>
        <w:ind w:left="274" w:hanging="274"/>
        <w:contextualSpacing/>
        <w:rPr>
          <w:rFonts w:ascii="Arial" w:hAnsi="Arial" w:cs="Arial"/>
          <w:sz w:val="18"/>
          <w:szCs w:val="18"/>
          <w:lang w:val="en-US"/>
        </w:rPr>
      </w:pPr>
      <w:r w:rsidRPr="00062154">
        <w:rPr>
          <w:rStyle w:val="FootnoteReference"/>
          <w:rFonts w:ascii="Arial" w:eastAsiaTheme="majorEastAsia" w:hAnsi="Arial" w:cs="Arial"/>
          <w:sz w:val="18"/>
          <w:szCs w:val="18"/>
        </w:rPr>
        <w:footnoteRef/>
      </w:r>
      <w:r w:rsidRPr="001B326B">
        <w:rPr>
          <w:rFonts w:ascii="Arial" w:hAnsi="Arial" w:cs="Arial"/>
          <w:sz w:val="18"/>
          <w:szCs w:val="18"/>
          <w:lang w:val="en-US"/>
        </w:rPr>
        <w:t xml:space="preserve"> </w:t>
      </w:r>
      <w:r w:rsidRPr="001B326B">
        <w:rPr>
          <w:rFonts w:ascii="Arial" w:hAnsi="Arial" w:cs="Arial"/>
          <w:sz w:val="18"/>
          <w:szCs w:val="18"/>
          <w:lang w:val="en-US"/>
        </w:rPr>
        <w:tab/>
        <w:t xml:space="preserve">Considerations to Implement an ITAS report, 2018. </w:t>
      </w:r>
    </w:p>
  </w:footnote>
  <w:footnote w:id="35">
    <w:p w14:paraId="52C9E7A3" w14:textId="77777777" w:rsidR="009E71A7" w:rsidRPr="009E71A7" w:rsidRDefault="009E71A7" w:rsidP="009E71A7">
      <w:pPr>
        <w:pStyle w:val="FootnoteText"/>
        <w:ind w:left="274" w:hanging="274"/>
        <w:rPr>
          <w:rFonts w:ascii="Arial" w:hAnsi="Arial" w:cs="Arial"/>
          <w:sz w:val="18"/>
          <w:szCs w:val="18"/>
          <w:lang w:val="en-US"/>
        </w:rPr>
      </w:pPr>
      <w:r w:rsidRPr="0084404D">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 xml:space="preserve">The modality of acquisition is COTS (commercial off the shelf). The security will be defined for all functions. </w:t>
      </w:r>
    </w:p>
  </w:footnote>
  <w:footnote w:id="36">
    <w:p w14:paraId="26C8295D" w14:textId="77777777" w:rsidR="009E71A7" w:rsidRPr="009E71A7" w:rsidRDefault="009E71A7" w:rsidP="009E71A7">
      <w:pPr>
        <w:pStyle w:val="FootnoteText"/>
        <w:ind w:left="274" w:hanging="274"/>
        <w:rPr>
          <w:rFonts w:ascii="Arial" w:hAnsi="Arial" w:cs="Arial"/>
          <w:sz w:val="18"/>
          <w:szCs w:val="18"/>
          <w:lang w:val="en-US"/>
        </w:rPr>
      </w:pPr>
      <w:r w:rsidRPr="0084404D">
        <w:rPr>
          <w:rStyle w:val="FootnoteReference"/>
          <w:rFonts w:ascii="Arial" w:eastAsiaTheme="majorEastAsia" w:hAnsi="Arial" w:cs="Arial"/>
          <w:sz w:val="18"/>
          <w:szCs w:val="18"/>
        </w:rPr>
        <w:footnoteRef/>
      </w:r>
      <w:r w:rsidRPr="009E71A7">
        <w:rPr>
          <w:rFonts w:ascii="Arial" w:hAnsi="Arial" w:cs="Arial"/>
          <w:sz w:val="18"/>
          <w:szCs w:val="18"/>
          <w:lang w:val="en-US"/>
        </w:rPr>
        <w:t xml:space="preserve"> </w:t>
      </w:r>
      <w:r w:rsidRPr="009E71A7">
        <w:rPr>
          <w:rFonts w:ascii="Arial" w:hAnsi="Arial" w:cs="Arial"/>
          <w:sz w:val="18"/>
          <w:szCs w:val="18"/>
          <w:lang w:val="en-US"/>
        </w:rPr>
        <w:tab/>
        <w:t xml:space="preserve">ITD, DGST, Customs, and treasury are within MOF.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675042701"/>
      <w:docPartObj>
        <w:docPartGallery w:val="Page Numbers (Top of Page)"/>
        <w:docPartUnique/>
      </w:docPartObj>
    </w:sdtPr>
    <w:sdtContent>
      <w:p w14:paraId="33C34F52" w14:textId="77777777" w:rsidR="00603B21" w:rsidRPr="00603B21" w:rsidRDefault="00603B21">
        <w:pPr>
          <w:pStyle w:val="Header"/>
          <w:jc w:val="right"/>
          <w:rPr>
            <w:rFonts w:ascii="Arial" w:hAnsi="Arial" w:cs="Arial"/>
            <w:sz w:val="18"/>
            <w:szCs w:val="18"/>
          </w:rPr>
        </w:pPr>
        <w:r w:rsidRPr="00603B21">
          <w:rPr>
            <w:rFonts w:ascii="Arial" w:hAnsi="Arial" w:cs="Arial"/>
            <w:sz w:val="18"/>
            <w:szCs w:val="18"/>
          </w:rPr>
          <w:t xml:space="preserve">Page </w:t>
        </w:r>
        <w:r w:rsidRPr="00603B21">
          <w:rPr>
            <w:rFonts w:ascii="Arial" w:hAnsi="Arial" w:cs="Arial"/>
            <w:b/>
            <w:bCs/>
            <w:sz w:val="18"/>
            <w:szCs w:val="18"/>
          </w:rPr>
          <w:fldChar w:fldCharType="begin"/>
        </w:r>
        <w:r w:rsidRPr="00603B21">
          <w:rPr>
            <w:rFonts w:ascii="Arial" w:hAnsi="Arial" w:cs="Arial"/>
            <w:b/>
            <w:bCs/>
            <w:sz w:val="18"/>
            <w:szCs w:val="18"/>
          </w:rPr>
          <w:instrText xml:space="preserve"> PAGE </w:instrText>
        </w:r>
        <w:r w:rsidRPr="00603B21">
          <w:rPr>
            <w:rFonts w:ascii="Arial" w:hAnsi="Arial" w:cs="Arial"/>
            <w:b/>
            <w:bCs/>
            <w:sz w:val="18"/>
            <w:szCs w:val="18"/>
          </w:rPr>
          <w:fldChar w:fldCharType="separate"/>
        </w:r>
        <w:r w:rsidRPr="00603B21">
          <w:rPr>
            <w:rFonts w:ascii="Arial" w:hAnsi="Arial" w:cs="Arial"/>
            <w:b/>
            <w:bCs/>
            <w:noProof/>
            <w:sz w:val="18"/>
            <w:szCs w:val="18"/>
          </w:rPr>
          <w:t>2</w:t>
        </w:r>
        <w:r w:rsidRPr="00603B21">
          <w:rPr>
            <w:rFonts w:ascii="Arial" w:hAnsi="Arial" w:cs="Arial"/>
            <w:b/>
            <w:bCs/>
            <w:sz w:val="18"/>
            <w:szCs w:val="18"/>
          </w:rPr>
          <w:fldChar w:fldCharType="end"/>
        </w:r>
        <w:r w:rsidRPr="00603B21">
          <w:rPr>
            <w:rFonts w:ascii="Arial" w:hAnsi="Arial" w:cs="Arial"/>
            <w:sz w:val="18"/>
            <w:szCs w:val="18"/>
          </w:rPr>
          <w:t xml:space="preserve"> of </w:t>
        </w:r>
        <w:r w:rsidRPr="00603B21">
          <w:rPr>
            <w:rFonts w:ascii="Arial" w:hAnsi="Arial" w:cs="Arial"/>
            <w:b/>
            <w:bCs/>
            <w:sz w:val="18"/>
            <w:szCs w:val="18"/>
          </w:rPr>
          <w:fldChar w:fldCharType="begin"/>
        </w:r>
        <w:r w:rsidRPr="00603B21">
          <w:rPr>
            <w:rFonts w:ascii="Arial" w:hAnsi="Arial" w:cs="Arial"/>
            <w:b/>
            <w:bCs/>
            <w:sz w:val="18"/>
            <w:szCs w:val="18"/>
          </w:rPr>
          <w:instrText xml:space="preserve"> NUMPAGES  </w:instrText>
        </w:r>
        <w:r w:rsidRPr="00603B21">
          <w:rPr>
            <w:rFonts w:ascii="Arial" w:hAnsi="Arial" w:cs="Arial"/>
            <w:b/>
            <w:bCs/>
            <w:sz w:val="18"/>
            <w:szCs w:val="18"/>
          </w:rPr>
          <w:fldChar w:fldCharType="separate"/>
        </w:r>
        <w:r w:rsidRPr="00603B21">
          <w:rPr>
            <w:rFonts w:ascii="Arial" w:hAnsi="Arial" w:cs="Arial"/>
            <w:b/>
            <w:bCs/>
            <w:noProof/>
            <w:sz w:val="18"/>
            <w:szCs w:val="18"/>
          </w:rPr>
          <w:t>2</w:t>
        </w:r>
        <w:r w:rsidRPr="00603B21">
          <w:rPr>
            <w:rFonts w:ascii="Arial" w:hAnsi="Arial" w:cs="Arial"/>
            <w:b/>
            <w:bCs/>
            <w:sz w:val="18"/>
            <w:szCs w:val="18"/>
          </w:rPr>
          <w:fldChar w:fldCharType="end"/>
        </w:r>
      </w:p>
    </w:sdtContent>
  </w:sdt>
  <w:p w14:paraId="434A412D" w14:textId="77777777" w:rsidR="00603B21" w:rsidRDefault="00603B21" w:rsidP="00603B21">
    <w:pPr>
      <w:pStyle w:val="Header"/>
      <w:ind w:right="-53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357AC"/>
    <w:multiLevelType w:val="multilevel"/>
    <w:tmpl w:val="3458815C"/>
    <w:lvl w:ilvl="0">
      <w:start w:val="2"/>
      <w:numFmt w:val="decimal"/>
      <w:lvlText w:val="%1."/>
      <w:lvlJc w:val="left"/>
      <w:pPr>
        <w:ind w:left="360" w:hanging="360"/>
      </w:pPr>
      <w:rPr>
        <w:rFonts w:hint="default"/>
        <w:b w:val="0"/>
      </w:rPr>
    </w:lvl>
    <w:lvl w:ilvl="1">
      <w:start w:val="7"/>
      <w:numFmt w:val="decimal"/>
      <w:lvlText w:val="%1.%2."/>
      <w:lvlJc w:val="left"/>
      <w:pPr>
        <w:ind w:left="1440" w:hanging="720"/>
      </w:pPr>
      <w:rPr>
        <w:rFonts w:hint="default"/>
        <w:b w:val="0"/>
      </w:rPr>
    </w:lvl>
    <w:lvl w:ilvl="2">
      <w:start w:val="1"/>
      <w:numFmt w:val="lowerLetter"/>
      <w:lvlText w:val="%3."/>
      <w:lvlJc w:val="left"/>
      <w:pPr>
        <w:ind w:left="2160" w:hanging="720"/>
      </w:pPr>
      <w:rPr>
        <w:rFonts w:ascii="Arial" w:eastAsia="Times New Roman" w:hAnsi="Arial" w:cs="Arial"/>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 w15:restartNumberingAfterBreak="0">
    <w:nsid w:val="1F1771F5"/>
    <w:multiLevelType w:val="hybridMultilevel"/>
    <w:tmpl w:val="2FFE929C"/>
    <w:lvl w:ilvl="0" w:tplc="CA188D0A">
      <w:start w:val="1"/>
      <w:numFmt w:val="lowerLetter"/>
      <w:lvlText w:val="%1."/>
      <w:lvlJc w:val="left"/>
      <w:pPr>
        <w:ind w:left="2232" w:hanging="360"/>
      </w:pPr>
      <w:rPr>
        <w:rFonts w:hint="default"/>
      </w:rPr>
    </w:lvl>
    <w:lvl w:ilvl="1" w:tplc="04090019">
      <w:start w:val="1"/>
      <w:numFmt w:val="lowerLetter"/>
      <w:lvlText w:val="%2."/>
      <w:lvlJc w:val="left"/>
      <w:pPr>
        <w:ind w:left="2952" w:hanging="360"/>
      </w:pPr>
    </w:lvl>
    <w:lvl w:ilvl="2" w:tplc="0409001B">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2" w15:restartNumberingAfterBreak="0">
    <w:nsid w:val="316370BB"/>
    <w:multiLevelType w:val="multilevel"/>
    <w:tmpl w:val="CBB8E57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rPr>
        <w:rFonts w:ascii="Arial" w:hAnsi="Arial" w:cs="Arial" w:hint="default"/>
        <w:b w:val="0"/>
        <w:sz w:val="22"/>
        <w:szCs w:val="22"/>
      </w:rPr>
    </w:lvl>
    <w:lvl w:ilvl="8">
      <w:start w:val="1"/>
      <w:numFmt w:val="lowerRoman"/>
      <w:lvlText w:val="%9."/>
      <w:lvlJc w:val="right"/>
      <w:pPr>
        <w:ind w:left="5688" w:hanging="144"/>
      </w:pPr>
    </w:lvl>
  </w:abstractNum>
  <w:abstractNum w:abstractNumId="3" w15:restartNumberingAfterBreak="0">
    <w:nsid w:val="359B4991"/>
    <w:multiLevelType w:val="multilevel"/>
    <w:tmpl w:val="CDB40748"/>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196"/>
        </w:tabs>
        <w:ind w:left="2196" w:hanging="1296"/>
      </w:pPr>
      <w:rPr>
        <w:rFonts w:ascii="Arial" w:hAnsi="Arial" w:cs="Arial" w:hint="default"/>
        <w:b w:val="0"/>
        <w:strike w:val="0"/>
        <w:color w:val="auto"/>
        <w:sz w:val="22"/>
        <w:szCs w:val="22"/>
        <w:lang w:val="es-ES_tradnl"/>
      </w:rPr>
    </w:lvl>
    <w:lvl w:ilvl="2">
      <w:start w:val="1"/>
      <w:numFmt w:val="lowerLette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569905A8"/>
    <w:multiLevelType w:val="multilevel"/>
    <w:tmpl w:val="AE428F0A"/>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6066"/>
        </w:tabs>
        <w:ind w:left="6066" w:hanging="1296"/>
      </w:pPr>
      <w:rPr>
        <w:rFonts w:ascii="Arial" w:hAnsi="Arial" w:cs="Arial" w:hint="default"/>
        <w:b w:val="0"/>
        <w:i w:val="0"/>
        <w:color w:val="000000" w:themeColor="text1"/>
        <w:sz w:val="22"/>
        <w:szCs w:val="22"/>
      </w:rPr>
    </w:lvl>
    <w:lvl w:ilvl="2">
      <w:start w:val="1"/>
      <w:numFmt w:val="none"/>
      <w:pStyle w:val="subpar"/>
      <w:lvlText w:val="c."/>
      <w:lvlJc w:val="left"/>
      <w:pPr>
        <w:tabs>
          <w:tab w:val="num" w:pos="2304"/>
        </w:tabs>
        <w:ind w:left="2304" w:hanging="432"/>
      </w:pPr>
      <w:rPr>
        <w:rFonts w:ascii="Arial" w:hAnsi="Arial" w:cs="Arial" w:hint="default"/>
        <w:b w:val="0"/>
        <w:color w:val="000000" w:themeColor="text1"/>
        <w:sz w:val="22"/>
        <w:szCs w:val="22"/>
      </w:rPr>
    </w:lvl>
    <w:lvl w:ilvl="3">
      <w:start w:val="1"/>
      <w:numFmt w:val="lowerRoman"/>
      <w:pStyle w:val="SubSubPar"/>
      <w:lvlText w:val="%4."/>
      <w:lvlJc w:val="right"/>
      <w:pPr>
        <w:tabs>
          <w:tab w:val="num" w:pos="2736"/>
        </w:tabs>
        <w:ind w:left="2736" w:hanging="288"/>
      </w:pPr>
      <w:rPr>
        <w:rFonts w:hint="default"/>
      </w:rPr>
    </w:lvl>
    <w:lvl w:ilvl="4">
      <w:start w:val="1"/>
      <w:numFmt w:val="none"/>
      <w:lvlText w:val=""/>
      <w:lvlJc w:val="left"/>
      <w:pPr>
        <w:tabs>
          <w:tab w:val="num" w:pos="4392"/>
        </w:tabs>
        <w:ind w:left="4032" w:firstLine="0"/>
      </w:pPr>
      <w:rPr>
        <w:rFonts w:hint="default"/>
      </w:rPr>
    </w:lvl>
    <w:lvl w:ilvl="5">
      <w:start w:val="1"/>
      <w:numFmt w:val="none"/>
      <w:lvlText w:val=""/>
      <w:lvlJc w:val="left"/>
      <w:pPr>
        <w:tabs>
          <w:tab w:val="num" w:pos="5112"/>
        </w:tabs>
        <w:ind w:left="4752" w:firstLine="0"/>
      </w:pPr>
      <w:rPr>
        <w:rFonts w:hint="default"/>
      </w:rPr>
    </w:lvl>
    <w:lvl w:ilvl="6">
      <w:start w:val="1"/>
      <w:numFmt w:val="none"/>
      <w:lvlText w:val=""/>
      <w:lvlJc w:val="left"/>
      <w:pPr>
        <w:tabs>
          <w:tab w:val="num" w:pos="5832"/>
        </w:tabs>
        <w:ind w:left="5472" w:firstLine="0"/>
      </w:pPr>
      <w:rPr>
        <w:rFonts w:hint="default"/>
      </w:rPr>
    </w:lvl>
    <w:lvl w:ilvl="7">
      <w:start w:val="1"/>
      <w:numFmt w:val="none"/>
      <w:lvlText w:val=""/>
      <w:lvlJc w:val="left"/>
      <w:pPr>
        <w:tabs>
          <w:tab w:val="num" w:pos="6552"/>
        </w:tabs>
        <w:ind w:left="6192" w:firstLine="0"/>
      </w:pPr>
      <w:rPr>
        <w:rFonts w:hint="default"/>
      </w:rPr>
    </w:lvl>
    <w:lvl w:ilvl="8">
      <w:start w:val="1"/>
      <w:numFmt w:val="none"/>
      <w:lvlText w:val=""/>
      <w:lvlJc w:val="left"/>
      <w:pPr>
        <w:tabs>
          <w:tab w:val="num" w:pos="7272"/>
        </w:tabs>
        <w:ind w:left="6912" w:firstLine="0"/>
      </w:pPr>
      <w:rPr>
        <w:rFonts w:hint="default"/>
      </w:rPr>
    </w:lvl>
  </w:abstractNum>
  <w:abstractNum w:abstractNumId="5" w15:restartNumberingAfterBreak="0">
    <w:nsid w:val="66C857E4"/>
    <w:multiLevelType w:val="hybridMultilevel"/>
    <w:tmpl w:val="A208A272"/>
    <w:lvl w:ilvl="0" w:tplc="F88A5F1C">
      <w:start w:val="1"/>
      <w:numFmt w:val="lowerLetter"/>
      <w:lvlText w:val="%1."/>
      <w:lvlJc w:val="left"/>
      <w:pPr>
        <w:ind w:left="1530" w:hanging="360"/>
      </w:pPr>
      <w:rPr>
        <w:vertAlign w:val="baseline"/>
      </w:rPr>
    </w:lvl>
    <w:lvl w:ilvl="1" w:tplc="04090019">
      <w:start w:val="1"/>
      <w:numFmt w:val="lowerLetter"/>
      <w:lvlText w:val="%2."/>
      <w:lvlJc w:val="left"/>
      <w:pPr>
        <w:ind w:left="2160" w:hanging="360"/>
      </w:pPr>
    </w:lvl>
    <w:lvl w:ilvl="2" w:tplc="04090019">
      <w:start w:val="1"/>
      <w:numFmt w:val="lowerLetter"/>
      <w:lvlText w:val="%3."/>
      <w:lvlJc w:val="left"/>
      <w:pPr>
        <w:ind w:left="1980" w:hanging="180"/>
      </w:pPr>
    </w:lvl>
    <w:lvl w:ilvl="3" w:tplc="B8DA2E0E">
      <w:start w:val="1"/>
      <w:numFmt w:val="upperLetter"/>
      <w:lvlText w:val="%4."/>
      <w:lvlJc w:val="left"/>
      <w:pPr>
        <w:ind w:left="3600" w:hanging="360"/>
      </w:pPr>
      <w:rPr>
        <w:rFonts w:hint="default"/>
      </w:rPr>
    </w:lvl>
    <w:lvl w:ilvl="4" w:tplc="519EA412">
      <w:start w:val="4"/>
      <w:numFmt w:val="upperRoman"/>
      <w:lvlText w:val="%5."/>
      <w:lvlJc w:val="left"/>
      <w:pPr>
        <w:ind w:left="4680" w:hanging="720"/>
      </w:pPr>
      <w:rPr>
        <w:rFonts w:hint="default"/>
      </w:rPr>
    </w:lvl>
    <w:lvl w:ilvl="5" w:tplc="7534D36A">
      <w:start w:val="5"/>
      <w:numFmt w:val="upperRoman"/>
      <w:lvlText w:val="%6&gt;"/>
      <w:lvlJc w:val="left"/>
      <w:pPr>
        <w:ind w:left="5580" w:hanging="720"/>
      </w:pPr>
      <w:rPr>
        <w:rFonts w:hint="default"/>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7840055"/>
    <w:multiLevelType w:val="multilevel"/>
    <w:tmpl w:val="EE7EEF2E"/>
    <w:lvl w:ilvl="0">
      <w:start w:val="1"/>
      <w:numFmt w:val="decimal"/>
      <w:lvlText w:val="%1."/>
      <w:lvlJc w:val="left"/>
      <w:pPr>
        <w:ind w:left="490" w:hanging="360"/>
      </w:pPr>
      <w:rPr>
        <w:rFonts w:hint="default"/>
      </w:rPr>
    </w:lvl>
    <w:lvl w:ilvl="1">
      <w:start w:val="4"/>
      <w:numFmt w:val="decimal"/>
      <w:isLgl/>
      <w:lvlText w:val="%1.%2."/>
      <w:lvlJc w:val="left"/>
      <w:pPr>
        <w:ind w:left="850" w:hanging="720"/>
      </w:pPr>
      <w:rPr>
        <w:rFonts w:hint="default"/>
      </w:rPr>
    </w:lvl>
    <w:lvl w:ilvl="2">
      <w:start w:val="1"/>
      <w:numFmt w:val="decimal"/>
      <w:isLgl/>
      <w:lvlText w:val="%1.%2.%3."/>
      <w:lvlJc w:val="left"/>
      <w:pPr>
        <w:ind w:left="850" w:hanging="720"/>
      </w:pPr>
      <w:rPr>
        <w:rFonts w:hint="default"/>
      </w:rPr>
    </w:lvl>
    <w:lvl w:ilvl="3">
      <w:start w:val="1"/>
      <w:numFmt w:val="decimal"/>
      <w:isLgl/>
      <w:lvlText w:val="%1.%2.%3.%4."/>
      <w:lvlJc w:val="left"/>
      <w:pPr>
        <w:ind w:left="1210" w:hanging="1080"/>
      </w:pPr>
      <w:rPr>
        <w:rFonts w:hint="default"/>
      </w:rPr>
    </w:lvl>
    <w:lvl w:ilvl="4">
      <w:start w:val="1"/>
      <w:numFmt w:val="decimal"/>
      <w:isLgl/>
      <w:lvlText w:val="%1.%2.%3.%4.%5."/>
      <w:lvlJc w:val="left"/>
      <w:pPr>
        <w:ind w:left="1210" w:hanging="1080"/>
      </w:pPr>
      <w:rPr>
        <w:rFonts w:hint="default"/>
      </w:rPr>
    </w:lvl>
    <w:lvl w:ilvl="5">
      <w:start w:val="1"/>
      <w:numFmt w:val="decimal"/>
      <w:isLgl/>
      <w:lvlText w:val="%1.%2.%3.%4.%5.%6."/>
      <w:lvlJc w:val="left"/>
      <w:pPr>
        <w:ind w:left="1570" w:hanging="1440"/>
      </w:pPr>
      <w:rPr>
        <w:rFonts w:hint="default"/>
      </w:rPr>
    </w:lvl>
    <w:lvl w:ilvl="6">
      <w:start w:val="1"/>
      <w:numFmt w:val="decimal"/>
      <w:isLgl/>
      <w:lvlText w:val="%1.%2.%3.%4.%5.%6.%7."/>
      <w:lvlJc w:val="left"/>
      <w:pPr>
        <w:ind w:left="1570" w:hanging="1440"/>
      </w:pPr>
      <w:rPr>
        <w:rFonts w:hint="default"/>
      </w:rPr>
    </w:lvl>
    <w:lvl w:ilvl="7">
      <w:start w:val="1"/>
      <w:numFmt w:val="decimal"/>
      <w:isLgl/>
      <w:lvlText w:val="%1.%2.%3.%4.%5.%6.%7.%8."/>
      <w:lvlJc w:val="left"/>
      <w:pPr>
        <w:ind w:left="1930" w:hanging="1800"/>
      </w:pPr>
      <w:rPr>
        <w:rFonts w:hint="default"/>
      </w:rPr>
    </w:lvl>
    <w:lvl w:ilvl="8">
      <w:start w:val="1"/>
      <w:numFmt w:val="decimal"/>
      <w:isLgl/>
      <w:lvlText w:val="%1.%2.%3.%4.%5.%6.%7.%8.%9."/>
      <w:lvlJc w:val="left"/>
      <w:pPr>
        <w:ind w:left="1930" w:hanging="1800"/>
      </w:pPr>
      <w:rPr>
        <w:rFonts w:hint="default"/>
      </w:rPr>
    </w:lvl>
  </w:abstractNum>
  <w:abstractNum w:abstractNumId="7" w15:restartNumberingAfterBreak="0">
    <w:nsid w:val="6B450CD1"/>
    <w:multiLevelType w:val="multilevel"/>
    <w:tmpl w:val="68224D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num w:numId="1">
    <w:abstractNumId w:val="4"/>
  </w:num>
  <w:num w:numId="2">
    <w:abstractNumId w:val="7"/>
  </w:num>
  <w:num w:numId="3">
    <w:abstractNumId w:val="3"/>
  </w:num>
  <w:num w:numId="4">
    <w:abstractNumId w:val="4"/>
  </w:num>
  <w:num w:numId="5">
    <w:abstractNumId w:val="4"/>
  </w:num>
  <w:num w:numId="6">
    <w:abstractNumId w:val="4"/>
  </w:num>
  <w:num w:numId="7">
    <w:abstractNumId w:val="6"/>
  </w:num>
  <w:num w:numId="8">
    <w:abstractNumId w:val="2"/>
  </w:num>
  <w:num w:numId="9">
    <w:abstractNumId w:val="4"/>
  </w:num>
  <w:num w:numId="10">
    <w:abstractNumId w:val="4"/>
  </w:num>
  <w:num w:numId="11">
    <w:abstractNumId w:val="4"/>
  </w:num>
  <w:num w:numId="12">
    <w:abstractNumId w:val="4"/>
  </w:num>
  <w:num w:numId="13">
    <w:abstractNumId w:val="4"/>
  </w:num>
  <w:num w:numId="14">
    <w:abstractNumId w:val="0"/>
  </w:num>
  <w:num w:numId="15">
    <w:abstractNumId w:val="1"/>
  </w:num>
  <w:num w:numId="16">
    <w:abstractNumId w:val="5"/>
  </w:num>
  <w:num w:numId="1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C2"/>
    <w:rsid w:val="000027C2"/>
    <w:rsid w:val="00020FCD"/>
    <w:rsid w:val="00032A57"/>
    <w:rsid w:val="00042BAD"/>
    <w:rsid w:val="00043E2B"/>
    <w:rsid w:val="0006188D"/>
    <w:rsid w:val="000850C2"/>
    <w:rsid w:val="000921E7"/>
    <w:rsid w:val="000A1AF5"/>
    <w:rsid w:val="000A7889"/>
    <w:rsid w:val="000B021A"/>
    <w:rsid w:val="000E7953"/>
    <w:rsid w:val="0010095B"/>
    <w:rsid w:val="00100D59"/>
    <w:rsid w:val="0010242D"/>
    <w:rsid w:val="001046FE"/>
    <w:rsid w:val="00122411"/>
    <w:rsid w:val="00136D4E"/>
    <w:rsid w:val="001512F0"/>
    <w:rsid w:val="00174B04"/>
    <w:rsid w:val="001842B8"/>
    <w:rsid w:val="00194BEA"/>
    <w:rsid w:val="001B326B"/>
    <w:rsid w:val="00214A91"/>
    <w:rsid w:val="002351E3"/>
    <w:rsid w:val="002441EE"/>
    <w:rsid w:val="00267076"/>
    <w:rsid w:val="00286D72"/>
    <w:rsid w:val="002A24E0"/>
    <w:rsid w:val="002A5FDF"/>
    <w:rsid w:val="002B5DD3"/>
    <w:rsid w:val="002E163A"/>
    <w:rsid w:val="00345D56"/>
    <w:rsid w:val="00357323"/>
    <w:rsid w:val="00363DE1"/>
    <w:rsid w:val="00383194"/>
    <w:rsid w:val="00386D95"/>
    <w:rsid w:val="00393D9C"/>
    <w:rsid w:val="003A76C9"/>
    <w:rsid w:val="003B19A8"/>
    <w:rsid w:val="003C16BE"/>
    <w:rsid w:val="003D2166"/>
    <w:rsid w:val="003D25EA"/>
    <w:rsid w:val="003D7FD8"/>
    <w:rsid w:val="003F0A1D"/>
    <w:rsid w:val="00402679"/>
    <w:rsid w:val="004058C6"/>
    <w:rsid w:val="00407759"/>
    <w:rsid w:val="00414DF4"/>
    <w:rsid w:val="00417009"/>
    <w:rsid w:val="004448A7"/>
    <w:rsid w:val="00451D8D"/>
    <w:rsid w:val="00452F43"/>
    <w:rsid w:val="00481ED3"/>
    <w:rsid w:val="004A1E8B"/>
    <w:rsid w:val="004E4ABA"/>
    <w:rsid w:val="004E5D67"/>
    <w:rsid w:val="004F4F8A"/>
    <w:rsid w:val="00515DD3"/>
    <w:rsid w:val="0054023E"/>
    <w:rsid w:val="0054026A"/>
    <w:rsid w:val="00581F27"/>
    <w:rsid w:val="00586258"/>
    <w:rsid w:val="00594372"/>
    <w:rsid w:val="005976B3"/>
    <w:rsid w:val="005E0409"/>
    <w:rsid w:val="00603A6A"/>
    <w:rsid w:val="00603B21"/>
    <w:rsid w:val="00612700"/>
    <w:rsid w:val="00616907"/>
    <w:rsid w:val="00641D22"/>
    <w:rsid w:val="0065307A"/>
    <w:rsid w:val="00654AD8"/>
    <w:rsid w:val="00663533"/>
    <w:rsid w:val="00664A6F"/>
    <w:rsid w:val="006918B5"/>
    <w:rsid w:val="006A7FF2"/>
    <w:rsid w:val="006B32CC"/>
    <w:rsid w:val="006B5E54"/>
    <w:rsid w:val="006D704E"/>
    <w:rsid w:val="006E4FBF"/>
    <w:rsid w:val="0072057C"/>
    <w:rsid w:val="00726AD6"/>
    <w:rsid w:val="00727A4C"/>
    <w:rsid w:val="0073317F"/>
    <w:rsid w:val="00741A31"/>
    <w:rsid w:val="00774B7F"/>
    <w:rsid w:val="007977B5"/>
    <w:rsid w:val="007A5003"/>
    <w:rsid w:val="007A6A8D"/>
    <w:rsid w:val="007D09D1"/>
    <w:rsid w:val="007E4570"/>
    <w:rsid w:val="007F55E6"/>
    <w:rsid w:val="007F6BF3"/>
    <w:rsid w:val="00862B02"/>
    <w:rsid w:val="0086540E"/>
    <w:rsid w:val="008774B0"/>
    <w:rsid w:val="0088384A"/>
    <w:rsid w:val="00887B45"/>
    <w:rsid w:val="008911B5"/>
    <w:rsid w:val="00893696"/>
    <w:rsid w:val="008939EA"/>
    <w:rsid w:val="0089786C"/>
    <w:rsid w:val="008A0AB4"/>
    <w:rsid w:val="008A5ECC"/>
    <w:rsid w:val="008D5C75"/>
    <w:rsid w:val="008E38BC"/>
    <w:rsid w:val="008F12CA"/>
    <w:rsid w:val="00936525"/>
    <w:rsid w:val="00963DD8"/>
    <w:rsid w:val="00976D29"/>
    <w:rsid w:val="00993DEA"/>
    <w:rsid w:val="009A0FE7"/>
    <w:rsid w:val="009B46EE"/>
    <w:rsid w:val="009E1446"/>
    <w:rsid w:val="009E71A7"/>
    <w:rsid w:val="009F600C"/>
    <w:rsid w:val="00A15468"/>
    <w:rsid w:val="00A20A5D"/>
    <w:rsid w:val="00A746E1"/>
    <w:rsid w:val="00AE49F5"/>
    <w:rsid w:val="00AE70BA"/>
    <w:rsid w:val="00B121B6"/>
    <w:rsid w:val="00B14E1D"/>
    <w:rsid w:val="00B31C47"/>
    <w:rsid w:val="00B34C7E"/>
    <w:rsid w:val="00B52EF7"/>
    <w:rsid w:val="00B60F96"/>
    <w:rsid w:val="00B60FA6"/>
    <w:rsid w:val="00B64B32"/>
    <w:rsid w:val="00B8204F"/>
    <w:rsid w:val="00B944AF"/>
    <w:rsid w:val="00BD297B"/>
    <w:rsid w:val="00BD3180"/>
    <w:rsid w:val="00BF465B"/>
    <w:rsid w:val="00BF7041"/>
    <w:rsid w:val="00C05891"/>
    <w:rsid w:val="00C12E53"/>
    <w:rsid w:val="00C31D6C"/>
    <w:rsid w:val="00C53DA0"/>
    <w:rsid w:val="00C6610A"/>
    <w:rsid w:val="00C76B9C"/>
    <w:rsid w:val="00CA2064"/>
    <w:rsid w:val="00CD76C2"/>
    <w:rsid w:val="00D1666E"/>
    <w:rsid w:val="00D27B31"/>
    <w:rsid w:val="00D53CFA"/>
    <w:rsid w:val="00D6529A"/>
    <w:rsid w:val="00D707D5"/>
    <w:rsid w:val="00D81879"/>
    <w:rsid w:val="00DC0A16"/>
    <w:rsid w:val="00DE3ED6"/>
    <w:rsid w:val="00DF2439"/>
    <w:rsid w:val="00E26A62"/>
    <w:rsid w:val="00E7556A"/>
    <w:rsid w:val="00E83456"/>
    <w:rsid w:val="00EB6312"/>
    <w:rsid w:val="00ED3374"/>
    <w:rsid w:val="00ED442D"/>
    <w:rsid w:val="00EF4EC9"/>
    <w:rsid w:val="00F423ED"/>
    <w:rsid w:val="00F53F7E"/>
    <w:rsid w:val="00F578C2"/>
    <w:rsid w:val="00F62C85"/>
    <w:rsid w:val="00F6569F"/>
    <w:rsid w:val="00F83247"/>
    <w:rsid w:val="00F83C87"/>
    <w:rsid w:val="00F8746E"/>
    <w:rsid w:val="00F975A4"/>
    <w:rsid w:val="00FB0ADF"/>
    <w:rsid w:val="00FC12D6"/>
    <w:rsid w:val="00FC35D6"/>
    <w:rsid w:val="00FC5D96"/>
    <w:rsid w:val="00FE22DB"/>
    <w:rsid w:val="00FE6225"/>
    <w:rsid w:val="00FF0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8BAE"/>
  <w15:chartTrackingRefBased/>
  <w15:docId w15:val="{E17BC868-1B33-457C-A36B-716CB21BA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7D5"/>
    <w:rPr>
      <w:lang w:val="es-ES_tradnl"/>
    </w:rPr>
  </w:style>
  <w:style w:type="paragraph" w:styleId="Heading5">
    <w:name w:val="heading 5"/>
    <w:basedOn w:val="Normal"/>
    <w:next w:val="Normal"/>
    <w:link w:val="Heading5Char"/>
    <w:unhideWhenUsed/>
    <w:qFormat/>
    <w:rsid w:val="002A24E0"/>
    <w:pPr>
      <w:keepNext/>
      <w:keepLines/>
      <w:spacing w:before="200" w:after="0" w:line="240" w:lineRule="auto"/>
      <w:ind w:left="5112" w:hanging="432"/>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nhideWhenUsed/>
    <w:qFormat/>
    <w:rsid w:val="002A24E0"/>
    <w:pPr>
      <w:keepNext/>
      <w:keepLines/>
      <w:spacing w:before="200" w:after="0" w:line="240" w:lineRule="auto"/>
      <w:ind w:left="5256" w:hanging="432"/>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nhideWhenUsed/>
    <w:qFormat/>
    <w:rsid w:val="002A24E0"/>
    <w:pPr>
      <w:keepNext/>
      <w:keepLines/>
      <w:spacing w:before="200" w:after="0" w:line="240" w:lineRule="auto"/>
      <w:ind w:left="5400"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nhideWhenUsed/>
    <w:qFormat/>
    <w:rsid w:val="002A24E0"/>
    <w:pPr>
      <w:keepNext/>
      <w:keepLines/>
      <w:spacing w:before="200" w:after="0" w:line="240" w:lineRule="auto"/>
      <w:ind w:left="5544"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nhideWhenUsed/>
    <w:qFormat/>
    <w:rsid w:val="002A24E0"/>
    <w:pPr>
      <w:keepNext/>
      <w:keepLines/>
      <w:spacing w:before="200" w:after="0" w:line="240" w:lineRule="auto"/>
      <w:ind w:left="5688"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F57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12F0"/>
    <w:rPr>
      <w:color w:val="0000FF" w:themeColor="hyperlink"/>
      <w:u w:val="single"/>
    </w:rPr>
  </w:style>
  <w:style w:type="character" w:styleId="UnresolvedMention">
    <w:name w:val="Unresolved Mention"/>
    <w:basedOn w:val="DefaultParagraphFont"/>
    <w:uiPriority w:val="99"/>
    <w:semiHidden/>
    <w:unhideWhenUsed/>
    <w:rsid w:val="001512F0"/>
    <w:rPr>
      <w:color w:val="605E5C"/>
      <w:shd w:val="clear" w:color="auto" w:fill="E1DFDD"/>
    </w:rPr>
  </w:style>
  <w:style w:type="character" w:styleId="FollowedHyperlink">
    <w:name w:val="FollowedHyperlink"/>
    <w:basedOn w:val="DefaultParagraphFont"/>
    <w:uiPriority w:val="99"/>
    <w:semiHidden/>
    <w:unhideWhenUsed/>
    <w:rsid w:val="006E4FBF"/>
    <w:rPr>
      <w:color w:val="800080" w:themeColor="followedHyperlink"/>
      <w:u w:val="single"/>
    </w:rPr>
  </w:style>
  <w:style w:type="paragraph" w:customStyle="1" w:styleId="Chapter">
    <w:name w:val="Chapter"/>
    <w:basedOn w:val="Normal"/>
    <w:next w:val="Normal"/>
    <w:rsid w:val="00B8204F"/>
    <w:pPr>
      <w:numPr>
        <w:numId w:val="1"/>
      </w:numPr>
      <w:tabs>
        <w:tab w:val="left" w:pos="1440"/>
      </w:tabs>
      <w:spacing w:before="240" w:after="240" w:line="240" w:lineRule="auto"/>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B8204F"/>
    <w:pPr>
      <w:numPr>
        <w:ilvl w:val="1"/>
        <w:numId w:val="1"/>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B8204F"/>
    <w:pPr>
      <w:numPr>
        <w:ilvl w:val="2"/>
        <w:numId w:val="1"/>
      </w:numPr>
      <w:spacing w:before="120" w:line="240" w:lineRule="auto"/>
      <w:jc w:val="both"/>
      <w:outlineLvl w:val="2"/>
    </w:pPr>
    <w:rPr>
      <w:rFonts w:ascii="Times New Roman" w:eastAsia="Times New Roman" w:hAnsi="Times New Roman" w:cs="Times New Roman"/>
      <w:sz w:val="24"/>
    </w:rPr>
  </w:style>
  <w:style w:type="paragraph" w:customStyle="1" w:styleId="SubSubPar">
    <w:name w:val="SubSubPar"/>
    <w:basedOn w:val="subpar"/>
    <w:rsid w:val="00B8204F"/>
    <w:pPr>
      <w:numPr>
        <w:ilvl w:val="3"/>
      </w:numPr>
      <w:tabs>
        <w:tab w:val="left" w:pos="0"/>
      </w:tabs>
    </w:p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qFormat/>
    <w:rsid w:val="00B8204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B8204F"/>
    <w:rPr>
      <w:rFonts w:ascii="Times New Roman" w:eastAsia="Times New Roman" w:hAnsi="Times New Roman" w:cs="Times New Roman"/>
      <w:sz w:val="20"/>
      <w:szCs w:val="20"/>
      <w:lang w:val="es-ES_tradnl"/>
    </w:rPr>
  </w:style>
  <w:style w:type="character" w:styleId="FootnoteReference">
    <w:name w:val="footnote reference"/>
    <w:aliases w:val="Stinking Styles11,FC,ftref,referencia nota al pie,titulo 2,Style 24,pie pddes,Texto de nota al pie,Footnote symbol,Footnote,Fußnotenzeichen DISS,Footnote Reference1,Ref,de nota al pie,16 Point,Superscript 6 Point,Знак сноски 1,(Ref,fr"/>
    <w:link w:val="CarattereCarattereCharCharCharCharCharCharZchn"/>
    <w:uiPriority w:val="99"/>
    <w:qFormat/>
    <w:rsid w:val="00B8204F"/>
    <w:rPr>
      <w:vertAlign w:val="superscript"/>
    </w:rPr>
  </w:style>
  <w:style w:type="character" w:customStyle="1" w:styleId="ParagraphChar">
    <w:name w:val="Paragraph Char"/>
    <w:aliases w:val="p Char,PARAGRAPH Char,PG Char,pa Char,at Char,paragraph Char"/>
    <w:link w:val="Paragraph"/>
    <w:rsid w:val="00B8204F"/>
    <w:rPr>
      <w:rFonts w:ascii="Times New Roman" w:eastAsia="Times New Roman" w:hAnsi="Times New Roman" w:cs="Times New Roman"/>
      <w:sz w:val="24"/>
      <w:szCs w:val="20"/>
      <w:lang w:val="es-ES_tradnl"/>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B8204F"/>
    <w:pPr>
      <w:spacing w:after="160" w:line="240" w:lineRule="exact"/>
    </w:pPr>
    <w:rPr>
      <w:vertAlign w:val="superscript"/>
      <w:lang w:val="pt-BR"/>
    </w:rPr>
  </w:style>
  <w:style w:type="character" w:styleId="Emphasis">
    <w:name w:val="Emphasis"/>
    <w:basedOn w:val="DefaultParagraphFont"/>
    <w:uiPriority w:val="20"/>
    <w:qFormat/>
    <w:rsid w:val="00B8204F"/>
    <w:rPr>
      <w:i/>
      <w:iCs/>
    </w:rPr>
  </w:style>
  <w:style w:type="paragraph" w:styleId="BodyTextIndent">
    <w:name w:val="Body Text Indent"/>
    <w:basedOn w:val="Normal"/>
    <w:link w:val="BodyTextIndentChar"/>
    <w:uiPriority w:val="99"/>
    <w:semiHidden/>
    <w:unhideWhenUsed/>
    <w:rsid w:val="00B8204F"/>
    <w:pPr>
      <w:spacing w:after="120"/>
      <w:ind w:left="360"/>
    </w:pPr>
  </w:style>
  <w:style w:type="character" w:customStyle="1" w:styleId="BodyTextIndentChar">
    <w:name w:val="Body Text Indent Char"/>
    <w:basedOn w:val="DefaultParagraphFont"/>
    <w:link w:val="BodyTextIndent"/>
    <w:uiPriority w:val="99"/>
    <w:semiHidden/>
    <w:rsid w:val="00B8204F"/>
    <w:rPr>
      <w:lang w:val="es-ES_tradnl"/>
    </w:rPr>
  </w:style>
  <w:style w:type="paragraph" w:styleId="BodyTextIndent3">
    <w:name w:val="Body Text Indent 3"/>
    <w:basedOn w:val="Normal"/>
    <w:link w:val="BodyTextIndent3Char"/>
    <w:uiPriority w:val="99"/>
    <w:semiHidden/>
    <w:unhideWhenUsed/>
    <w:rsid w:val="00B8204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8204F"/>
    <w:rPr>
      <w:sz w:val="16"/>
      <w:szCs w:val="16"/>
      <w:lang w:val="es-ES_tradnl"/>
    </w:rPr>
  </w:style>
  <w:style w:type="paragraph" w:customStyle="1" w:styleId="Default">
    <w:name w:val="Default"/>
    <w:rsid w:val="004058C6"/>
    <w:pPr>
      <w:autoSpaceDE w:val="0"/>
      <w:autoSpaceDN w:val="0"/>
      <w:adjustRightInd w:val="0"/>
      <w:spacing w:after="0" w:line="240" w:lineRule="auto"/>
    </w:pPr>
    <w:rPr>
      <w:rFonts w:ascii="Garamond" w:eastAsia="Calibri" w:hAnsi="Garamond" w:cs="Garamond"/>
      <w:color w:val="000000"/>
      <w:sz w:val="24"/>
      <w:szCs w:val="24"/>
      <w:lang w:val="en-US"/>
    </w:rPr>
  </w:style>
  <w:style w:type="character" w:styleId="CommentReference">
    <w:name w:val="annotation reference"/>
    <w:uiPriority w:val="99"/>
    <w:rsid w:val="007977B5"/>
    <w:rPr>
      <w:sz w:val="16"/>
      <w:szCs w:val="16"/>
    </w:rPr>
  </w:style>
  <w:style w:type="paragraph" w:styleId="CommentText">
    <w:name w:val="annotation text"/>
    <w:basedOn w:val="Normal"/>
    <w:link w:val="CommentTextChar"/>
    <w:uiPriority w:val="99"/>
    <w:rsid w:val="007977B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977B5"/>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797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7B5"/>
    <w:rPr>
      <w:rFonts w:ascii="Segoe UI" w:hAnsi="Segoe UI" w:cs="Segoe UI"/>
      <w:sz w:val="18"/>
      <w:szCs w:val="18"/>
      <w:lang w:val="es-ES_tradnl"/>
    </w:rPr>
  </w:style>
  <w:style w:type="paragraph" w:customStyle="1" w:styleId="FirstHeading">
    <w:name w:val="FirstHeading"/>
    <w:basedOn w:val="Normal"/>
    <w:rsid w:val="002A5FDF"/>
    <w:pPr>
      <w:keepNext/>
      <w:numPr>
        <w:numId w:val="2"/>
      </w:numPr>
      <w:tabs>
        <w:tab w:val="left" w:pos="0"/>
        <w:tab w:val="left" w:pos="86"/>
      </w:tabs>
      <w:spacing w:before="120" w:after="120" w:line="240" w:lineRule="auto"/>
      <w:ind w:left="720"/>
    </w:pPr>
    <w:rPr>
      <w:rFonts w:ascii="Times New Roman" w:eastAsia="Times New Roman" w:hAnsi="Times New Roman" w:cs="Times New Roman"/>
      <w:b/>
      <w:sz w:val="24"/>
      <w:szCs w:val="20"/>
    </w:rPr>
  </w:style>
  <w:style w:type="paragraph" w:customStyle="1" w:styleId="SecHeading">
    <w:name w:val="SecHeading"/>
    <w:basedOn w:val="Normal"/>
    <w:next w:val="Paragraph"/>
    <w:rsid w:val="002A5FDF"/>
    <w:pPr>
      <w:keepNext/>
      <w:numPr>
        <w:ilvl w:val="1"/>
        <w:numId w:val="2"/>
      </w:numPr>
      <w:tabs>
        <w:tab w:val="clear" w:pos="5400"/>
        <w:tab w:val="num" w:pos="360"/>
        <w:tab w:val="num" w:pos="1296"/>
      </w:tabs>
      <w:spacing w:before="120" w:after="120" w:line="240" w:lineRule="auto"/>
      <w:ind w:left="1296" w:firstLine="0"/>
    </w:pPr>
    <w:rPr>
      <w:rFonts w:ascii="Times New Roman" w:eastAsia="Times New Roman" w:hAnsi="Times New Roman" w:cs="Times New Roman"/>
      <w:b/>
      <w:sz w:val="24"/>
      <w:szCs w:val="20"/>
    </w:rPr>
  </w:style>
  <w:style w:type="paragraph" w:customStyle="1" w:styleId="SubHeading1">
    <w:name w:val="SubHeading1"/>
    <w:basedOn w:val="SecHeading"/>
    <w:rsid w:val="002A5FDF"/>
    <w:pPr>
      <w:numPr>
        <w:ilvl w:val="2"/>
      </w:numPr>
      <w:tabs>
        <w:tab w:val="clear" w:pos="5976"/>
        <w:tab w:val="num" w:pos="1296"/>
        <w:tab w:val="num" w:pos="1872"/>
      </w:tabs>
      <w:ind w:left="1872"/>
    </w:pPr>
  </w:style>
  <w:style w:type="paragraph" w:customStyle="1" w:styleId="Subheading2">
    <w:name w:val="Subheading2"/>
    <w:basedOn w:val="SecHeading"/>
    <w:rsid w:val="002A5FDF"/>
    <w:pPr>
      <w:numPr>
        <w:ilvl w:val="3"/>
      </w:numPr>
      <w:tabs>
        <w:tab w:val="clear" w:pos="6480"/>
        <w:tab w:val="num" w:pos="1296"/>
        <w:tab w:val="num" w:pos="2376"/>
      </w:tabs>
      <w:ind w:left="2376"/>
    </w:pPr>
  </w:style>
  <w:style w:type="paragraph" w:styleId="CommentSubject">
    <w:name w:val="annotation subject"/>
    <w:basedOn w:val="CommentText"/>
    <w:next w:val="CommentText"/>
    <w:link w:val="CommentSubjectChar"/>
    <w:uiPriority w:val="99"/>
    <w:semiHidden/>
    <w:unhideWhenUsed/>
    <w:rsid w:val="00BD318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D3180"/>
    <w:rPr>
      <w:rFonts w:ascii="Times New Roman" w:eastAsia="Times New Roman" w:hAnsi="Times New Roman" w:cs="Times New Roman"/>
      <w:b/>
      <w:bCs/>
      <w:sz w:val="20"/>
      <w:szCs w:val="20"/>
      <w:lang w:val="es-ES_tradnl"/>
    </w:rPr>
  </w:style>
  <w:style w:type="paragraph" w:customStyle="1" w:styleId="Char2">
    <w:name w:val="Char2"/>
    <w:basedOn w:val="Normal"/>
    <w:uiPriority w:val="99"/>
    <w:rsid w:val="002A24E0"/>
    <w:pPr>
      <w:spacing w:after="160" w:line="240" w:lineRule="exact"/>
    </w:pPr>
    <w:rPr>
      <w:vertAlign w:val="superscript"/>
      <w:lang w:val="en-US"/>
    </w:rPr>
  </w:style>
  <w:style w:type="character" w:customStyle="1" w:styleId="Heading5Char">
    <w:name w:val="Heading 5 Char"/>
    <w:basedOn w:val="DefaultParagraphFont"/>
    <w:link w:val="Heading5"/>
    <w:rsid w:val="002A24E0"/>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rsid w:val="002A24E0"/>
    <w:rPr>
      <w:rFonts w:asciiTheme="majorHAnsi" w:eastAsiaTheme="majorEastAsia" w:hAnsiTheme="majorHAnsi" w:cstheme="majorBidi"/>
      <w:i/>
      <w:iCs/>
      <w:color w:val="243F60" w:themeColor="accent1" w:themeShade="7F"/>
      <w:lang w:val="en-US"/>
    </w:rPr>
  </w:style>
  <w:style w:type="character" w:customStyle="1" w:styleId="Heading7Char">
    <w:name w:val="Heading 7 Char"/>
    <w:basedOn w:val="DefaultParagraphFont"/>
    <w:link w:val="Heading7"/>
    <w:rsid w:val="002A24E0"/>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rsid w:val="002A24E0"/>
    <w:rPr>
      <w:rFonts w:asciiTheme="majorHAnsi" w:eastAsiaTheme="majorEastAsia" w:hAnsiTheme="majorHAnsi" w:cstheme="majorBidi"/>
      <w:color w:val="404040" w:themeColor="text1" w:themeTint="BF"/>
      <w:sz w:val="20"/>
      <w:lang w:val="en-US"/>
    </w:rPr>
  </w:style>
  <w:style w:type="character" w:customStyle="1" w:styleId="Heading9Char">
    <w:name w:val="Heading 9 Char"/>
    <w:basedOn w:val="DefaultParagraphFont"/>
    <w:link w:val="Heading9"/>
    <w:rsid w:val="002A24E0"/>
    <w:rPr>
      <w:rFonts w:asciiTheme="majorHAnsi" w:eastAsiaTheme="majorEastAsia" w:hAnsiTheme="majorHAnsi" w:cstheme="majorBidi"/>
      <w:i/>
      <w:iCs/>
      <w:color w:val="404040" w:themeColor="text1" w:themeTint="BF"/>
      <w:sz w:val="20"/>
      <w:lang w:val="en-US"/>
    </w:rPr>
  </w:style>
  <w:style w:type="paragraph" w:styleId="Header">
    <w:name w:val="header"/>
    <w:basedOn w:val="Normal"/>
    <w:link w:val="HeaderChar"/>
    <w:uiPriority w:val="99"/>
    <w:unhideWhenUsed/>
    <w:rsid w:val="00603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B21"/>
    <w:rPr>
      <w:lang w:val="es-ES_tradnl"/>
    </w:rPr>
  </w:style>
  <w:style w:type="paragraph" w:styleId="Footer">
    <w:name w:val="footer"/>
    <w:basedOn w:val="Normal"/>
    <w:link w:val="FooterChar"/>
    <w:uiPriority w:val="99"/>
    <w:unhideWhenUsed/>
    <w:rsid w:val="00603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B2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282642">
      <w:bodyDiv w:val="1"/>
      <w:marLeft w:val="0"/>
      <w:marRight w:val="0"/>
      <w:marTop w:val="0"/>
      <w:marBottom w:val="0"/>
      <w:divBdr>
        <w:top w:val="none" w:sz="0" w:space="0" w:color="auto"/>
        <w:left w:val="none" w:sz="0" w:space="0" w:color="auto"/>
        <w:bottom w:val="none" w:sz="0" w:space="0" w:color="auto"/>
        <w:right w:val="none" w:sz="0" w:space="0" w:color="auto"/>
      </w:divBdr>
    </w:div>
    <w:div w:id="1253854120">
      <w:bodyDiv w:val="1"/>
      <w:marLeft w:val="0"/>
      <w:marRight w:val="0"/>
      <w:marTop w:val="0"/>
      <w:marBottom w:val="0"/>
      <w:divBdr>
        <w:top w:val="none" w:sz="0" w:space="0" w:color="auto"/>
        <w:left w:val="none" w:sz="0" w:space="0" w:color="auto"/>
        <w:bottom w:val="none" w:sz="0" w:space="0" w:color="auto"/>
        <w:right w:val="none" w:sz="0" w:space="0" w:color="auto"/>
      </w:divBdr>
      <w:divsChild>
        <w:div w:id="1539780720">
          <w:marLeft w:val="0"/>
          <w:marRight w:val="0"/>
          <w:marTop w:val="0"/>
          <w:marBottom w:val="0"/>
          <w:divBdr>
            <w:top w:val="none" w:sz="0" w:space="0" w:color="auto"/>
            <w:left w:val="none" w:sz="0" w:space="0" w:color="auto"/>
            <w:bottom w:val="none" w:sz="0" w:space="0" w:color="auto"/>
            <w:right w:val="none" w:sz="0" w:space="0" w:color="auto"/>
          </w:divBdr>
          <w:divsChild>
            <w:div w:id="631056943">
              <w:marLeft w:val="0"/>
              <w:marRight w:val="0"/>
              <w:marTop w:val="0"/>
              <w:marBottom w:val="0"/>
              <w:divBdr>
                <w:top w:val="none" w:sz="0" w:space="0" w:color="auto"/>
                <w:left w:val="none" w:sz="0" w:space="0" w:color="auto"/>
                <w:bottom w:val="none" w:sz="0" w:space="0" w:color="auto"/>
                <w:right w:val="none" w:sz="0" w:space="0" w:color="auto"/>
              </w:divBdr>
              <w:divsChild>
                <w:div w:id="505437962">
                  <w:marLeft w:val="0"/>
                  <w:marRight w:val="0"/>
                  <w:marTop w:val="0"/>
                  <w:marBottom w:val="0"/>
                  <w:divBdr>
                    <w:top w:val="none" w:sz="0" w:space="0" w:color="auto"/>
                    <w:left w:val="none" w:sz="0" w:space="0" w:color="auto"/>
                    <w:bottom w:val="none" w:sz="0" w:space="0" w:color="auto"/>
                    <w:right w:val="none" w:sz="0" w:space="0" w:color="auto"/>
                  </w:divBdr>
                  <w:divsChild>
                    <w:div w:id="1620992918">
                      <w:marLeft w:val="0"/>
                      <w:marRight w:val="0"/>
                      <w:marTop w:val="0"/>
                      <w:marBottom w:val="0"/>
                      <w:divBdr>
                        <w:top w:val="none" w:sz="0" w:space="0" w:color="auto"/>
                        <w:left w:val="none" w:sz="0" w:space="0" w:color="auto"/>
                        <w:bottom w:val="none" w:sz="0" w:space="0" w:color="auto"/>
                        <w:right w:val="none" w:sz="0" w:space="0" w:color="auto"/>
                      </w:divBdr>
                      <w:divsChild>
                        <w:div w:id="1240823989">
                          <w:marLeft w:val="0"/>
                          <w:marRight w:val="0"/>
                          <w:marTop w:val="0"/>
                          <w:marBottom w:val="0"/>
                          <w:divBdr>
                            <w:top w:val="none" w:sz="0" w:space="0" w:color="auto"/>
                            <w:left w:val="none" w:sz="0" w:space="0" w:color="auto"/>
                            <w:bottom w:val="none" w:sz="0" w:space="0" w:color="auto"/>
                            <w:right w:val="none" w:sz="0" w:space="0" w:color="auto"/>
                          </w:divBdr>
                          <w:divsChild>
                            <w:div w:id="1381784294">
                              <w:marLeft w:val="0"/>
                              <w:marRight w:val="0"/>
                              <w:marTop w:val="0"/>
                              <w:marBottom w:val="0"/>
                              <w:divBdr>
                                <w:top w:val="none" w:sz="0" w:space="0" w:color="auto"/>
                                <w:left w:val="none" w:sz="0" w:space="0" w:color="auto"/>
                                <w:bottom w:val="none" w:sz="0" w:space="0" w:color="auto"/>
                                <w:right w:val="none" w:sz="0" w:space="0" w:color="auto"/>
                              </w:divBdr>
                              <w:divsChild>
                                <w:div w:id="709379826">
                                  <w:marLeft w:val="0"/>
                                  <w:marRight w:val="0"/>
                                  <w:marTop w:val="0"/>
                                  <w:marBottom w:val="0"/>
                                  <w:divBdr>
                                    <w:top w:val="none" w:sz="0" w:space="0" w:color="auto"/>
                                    <w:left w:val="none" w:sz="0" w:space="0" w:color="auto"/>
                                    <w:bottom w:val="none" w:sz="0" w:space="0" w:color="auto"/>
                                    <w:right w:val="none" w:sz="0" w:space="0" w:color="auto"/>
                                  </w:divBdr>
                                  <w:divsChild>
                                    <w:div w:id="276332134">
                                      <w:marLeft w:val="60"/>
                                      <w:marRight w:val="0"/>
                                      <w:marTop w:val="0"/>
                                      <w:marBottom w:val="0"/>
                                      <w:divBdr>
                                        <w:top w:val="none" w:sz="0" w:space="0" w:color="auto"/>
                                        <w:left w:val="none" w:sz="0" w:space="0" w:color="auto"/>
                                        <w:bottom w:val="none" w:sz="0" w:space="0" w:color="auto"/>
                                        <w:right w:val="none" w:sz="0" w:space="0" w:color="auto"/>
                                      </w:divBdr>
                                      <w:divsChild>
                                        <w:div w:id="545603178">
                                          <w:marLeft w:val="0"/>
                                          <w:marRight w:val="0"/>
                                          <w:marTop w:val="0"/>
                                          <w:marBottom w:val="0"/>
                                          <w:divBdr>
                                            <w:top w:val="none" w:sz="0" w:space="0" w:color="auto"/>
                                            <w:left w:val="none" w:sz="0" w:space="0" w:color="auto"/>
                                            <w:bottom w:val="none" w:sz="0" w:space="0" w:color="auto"/>
                                            <w:right w:val="none" w:sz="0" w:space="0" w:color="auto"/>
                                          </w:divBdr>
                                          <w:divsChild>
                                            <w:div w:id="1364675720">
                                              <w:marLeft w:val="0"/>
                                              <w:marRight w:val="0"/>
                                              <w:marTop w:val="0"/>
                                              <w:marBottom w:val="120"/>
                                              <w:divBdr>
                                                <w:top w:val="single" w:sz="6" w:space="0" w:color="F5F5F5"/>
                                                <w:left w:val="single" w:sz="6" w:space="0" w:color="F5F5F5"/>
                                                <w:bottom w:val="single" w:sz="6" w:space="0" w:color="F5F5F5"/>
                                                <w:right w:val="single" w:sz="6" w:space="0" w:color="F5F5F5"/>
                                              </w:divBdr>
                                              <w:divsChild>
                                                <w:div w:id="1520511264">
                                                  <w:marLeft w:val="0"/>
                                                  <w:marRight w:val="0"/>
                                                  <w:marTop w:val="0"/>
                                                  <w:marBottom w:val="0"/>
                                                  <w:divBdr>
                                                    <w:top w:val="none" w:sz="0" w:space="0" w:color="auto"/>
                                                    <w:left w:val="none" w:sz="0" w:space="0" w:color="auto"/>
                                                    <w:bottom w:val="none" w:sz="0" w:space="0" w:color="auto"/>
                                                    <w:right w:val="none" w:sz="0" w:space="0" w:color="auto"/>
                                                  </w:divBdr>
                                                  <w:divsChild>
                                                    <w:div w:id="1106341257">
                                                      <w:marLeft w:val="0"/>
                                                      <w:marRight w:val="0"/>
                                                      <w:marTop w:val="0"/>
                                                      <w:marBottom w:val="0"/>
                                                      <w:divBdr>
                                                        <w:top w:val="none" w:sz="0" w:space="0" w:color="auto"/>
                                                        <w:left w:val="none" w:sz="0" w:space="0" w:color="auto"/>
                                                        <w:bottom w:val="none" w:sz="0" w:space="0" w:color="auto"/>
                                                        <w:right w:val="none" w:sz="0" w:space="0" w:color="auto"/>
                                                      </w:divBdr>
                                                    </w:div>
                                                  </w:divsChild>
                                                </w:div>
                                                <w:div w:id="217783042">
                                                  <w:marLeft w:val="0"/>
                                                  <w:marRight w:val="0"/>
                                                  <w:marTop w:val="0"/>
                                                  <w:marBottom w:val="0"/>
                                                  <w:divBdr>
                                                    <w:top w:val="none" w:sz="0" w:space="0" w:color="auto"/>
                                                    <w:left w:val="none" w:sz="0" w:space="0" w:color="auto"/>
                                                    <w:bottom w:val="none" w:sz="0" w:space="0" w:color="auto"/>
                                                    <w:right w:val="none" w:sz="0" w:space="0" w:color="auto"/>
                                                  </w:divBdr>
                                                  <w:divsChild>
                                                    <w:div w:id="1354917342">
                                                      <w:marLeft w:val="0"/>
                                                      <w:marRight w:val="0"/>
                                                      <w:marTop w:val="0"/>
                                                      <w:marBottom w:val="0"/>
                                                      <w:divBdr>
                                                        <w:top w:val="none" w:sz="0" w:space="0" w:color="auto"/>
                                                        <w:left w:val="none" w:sz="0" w:space="0" w:color="auto"/>
                                                        <w:bottom w:val="none" w:sz="0" w:space="0" w:color="auto"/>
                                                        <w:right w:val="none" w:sz="0" w:space="0" w:color="auto"/>
                                                      </w:divBdr>
                                                    </w:div>
                                                  </w:divsChild>
                                                </w:div>
                                                <w:div w:id="1237011176">
                                                  <w:marLeft w:val="0"/>
                                                  <w:marRight w:val="0"/>
                                                  <w:marTop w:val="0"/>
                                                  <w:marBottom w:val="0"/>
                                                  <w:divBdr>
                                                    <w:top w:val="none" w:sz="0" w:space="0" w:color="auto"/>
                                                    <w:left w:val="none" w:sz="0" w:space="0" w:color="auto"/>
                                                    <w:bottom w:val="none" w:sz="0" w:space="0" w:color="auto"/>
                                                    <w:right w:val="none" w:sz="0" w:space="0" w:color="auto"/>
                                                  </w:divBdr>
                                                  <w:divsChild>
                                                    <w:div w:id="1094084253">
                                                      <w:marLeft w:val="0"/>
                                                      <w:marRight w:val="0"/>
                                                      <w:marTop w:val="0"/>
                                                      <w:marBottom w:val="0"/>
                                                      <w:divBdr>
                                                        <w:top w:val="none" w:sz="0" w:space="0" w:color="auto"/>
                                                        <w:left w:val="none" w:sz="0" w:space="0" w:color="auto"/>
                                                        <w:bottom w:val="none" w:sz="0" w:space="0" w:color="auto"/>
                                                        <w:right w:val="none" w:sz="0" w:space="0" w:color="auto"/>
                                                      </w:divBdr>
                                                      <w:divsChild>
                                                        <w:div w:id="81005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251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f.gov.bz/uploads/files/fzj3rpjq.pdf" TargetMode="Externa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mof.gov.bz/uploads/files/fzj3rpjq.pdf" TargetMode="External"/><Relationship Id="rId2" Type="http://schemas.openxmlformats.org/officeDocument/2006/relationships/hyperlink" Target="https://www.google.com/url?sa=t&amp;rct=j&amp;q=&amp;esrc=s&amp;source=web&amp;cd=18&amp;ved=2ahUKEwiv6qPsnI3hAhWQON8KHRl-CzkQFjARegQIBhAC&amp;url=https%3A%2F%2Fwww.imf.org%2F~%2Fmedia%2FFiles%2FPublications%2FWP%2F2017%2Fwp1788.ashx&amp;usg=AOvVaw0T4DTaEBzMYfF07LmoA163" TargetMode="External"/><Relationship Id="rId1" Type="http://schemas.openxmlformats.org/officeDocument/2006/relationships/hyperlink" Target="https://www.imf.org/~/media/Files/Publications/CR/2018/cr18327-BelizeBundle.ash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C22D0334E63CA4488CF56EF96546B57B" ma:contentTypeVersion="313" ma:contentTypeDescription="The base project type from which other project content types inherit their information." ma:contentTypeScope="" ma:versionID="27cea4e79df9b80584c38ac5a4ab4c0c">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93E9A0F5BF25C47B5CD2E5AD1B91932" ma:contentTypeVersion="322" ma:contentTypeDescription="A content type to manage public (operations) IDB documents" ma:contentTypeScope="" ma:versionID="66ad126f66c71508361ae4d52e78439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BL</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Mariana Canillas</Other_x0020_Author>
    <Migration_x0020_Info xmlns="cdc7663a-08f0-4737-9e8c-148ce897a09c" xsi:nil="true"/>
    <Approval_x0020_Number xmlns="cdc7663a-08f0-4737-9e8c-148ce897a09c" xsi:nil="true"/>
    <Phase xmlns="cdc7663a-08f0-4737-9e8c-148ce897a09c">ACTIVE</Phase>
    <Document_x0020_Author xmlns="cdc7663a-08f0-4737-9e8c-148ce897a09c">Schpallir Calijuri,Monica Sionara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RM-REA</TermName>
          <TermId xmlns="http://schemas.microsoft.com/office/infopath/2007/PartnerControls">ad54b82b-372e-429f-8cff-a1f827fae2d8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83</Value>
      <Value>4</Value>
      <Value>24</Value>
      <Value>170</Value>
      <Value>28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BL-L1031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EZSHARE-2048697406-18</_dlc_DocId>
    <_dlc_DocIdUrl xmlns="cdc7663a-08f0-4737-9e8c-148ce897a09c">
      <Url>https://idbg.sharepoint.com/teams/EZ-BL-LON/BL-L1031/_layouts/15/DocIdRedir.aspx?ID=EZSHARE-2048697406-18</Url>
      <Description>EZSHARE-2048697406-18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B4E2664-710D-43A6-B5CC-34A6B727930A}">
  <ds:schemaRefs>
    <ds:schemaRef ds:uri="http://schemas.openxmlformats.org/officeDocument/2006/bibliography"/>
  </ds:schemaRefs>
</ds:datastoreItem>
</file>

<file path=customXml/itemProps2.xml><?xml version="1.0" encoding="utf-8"?>
<ds:datastoreItem xmlns:ds="http://schemas.openxmlformats.org/officeDocument/2006/customXml" ds:itemID="{9EC825F1-47C6-4ECB-A337-4A4C6C3611B5}"/>
</file>

<file path=customXml/itemProps3.xml><?xml version="1.0" encoding="utf-8"?>
<ds:datastoreItem xmlns:ds="http://schemas.openxmlformats.org/officeDocument/2006/customXml" ds:itemID="{67BE9F38-1ADE-4EAF-BF3B-FF69E73D2E3B}"/>
</file>

<file path=customXml/itemProps4.xml><?xml version="1.0" encoding="utf-8"?>
<ds:datastoreItem xmlns:ds="http://schemas.openxmlformats.org/officeDocument/2006/customXml" ds:itemID="{7CA4FB54-36C1-45CB-B5BA-14D3BB7F612A}"/>
</file>

<file path=customXml/itemProps5.xml><?xml version="1.0" encoding="utf-8"?>
<ds:datastoreItem xmlns:ds="http://schemas.openxmlformats.org/officeDocument/2006/customXml" ds:itemID="{836FA40A-2361-41CB-8410-CCF1614C6086}"/>
</file>

<file path=customXml/itemProps6.xml><?xml version="1.0" encoding="utf-8"?>
<ds:datastoreItem xmlns:ds="http://schemas.openxmlformats.org/officeDocument/2006/customXml" ds:itemID="{D7395527-73E1-44CB-B8FB-DFCBC9F71B3C}"/>
</file>

<file path=customXml/itemProps7.xml><?xml version="1.0" encoding="utf-8"?>
<ds:datastoreItem xmlns:ds="http://schemas.openxmlformats.org/officeDocument/2006/customXml" ds:itemID="{720E0620-630B-423A-AE32-F527A276BF99}"/>
</file>

<file path=customXml/itemProps8.xml><?xml version="1.0" encoding="utf-8"?>
<ds:datastoreItem xmlns:ds="http://schemas.openxmlformats.org/officeDocument/2006/customXml" ds:itemID="{11A8203E-87C3-4C57-8013-92D3BB5C8830}"/>
</file>

<file path=customXml/itemProps9.xml><?xml version="1.0" encoding="utf-8"?>
<ds:datastoreItem xmlns:ds="http://schemas.openxmlformats.org/officeDocument/2006/customXml" ds:itemID="{7A2CFD40-EEEE-416A-9AFD-17154EC5F2FA}"/>
</file>

<file path=docProps/app.xml><?xml version="1.0" encoding="utf-8"?>
<Properties xmlns="http://schemas.openxmlformats.org/officeDocument/2006/extended-properties" xmlns:vt="http://schemas.openxmlformats.org/officeDocument/2006/docPropsVTypes">
  <Template>Normal</Template>
  <TotalTime>0</TotalTime>
  <Pages>6</Pages>
  <Words>1881</Words>
  <Characters>10723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Fernandez Paino, Ida Maria del Pilar</cp:lastModifiedBy>
  <cp:revision>2</cp:revision>
  <dcterms:created xsi:type="dcterms:W3CDTF">2019-04-29T19:05:00Z</dcterms:created>
  <dcterms:modified xsi:type="dcterms:W3CDTF">2019-04-29T19:05:00Z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170;#RM-REA|ad54b82b-372e-429f-8cff-a1f827fae2d8</vt:lpwstr>
  </property>
  <property fmtid="{D5CDD505-2E9C-101B-9397-08002B2CF9AE}" pid="7" name="Fund IDB">
    <vt:lpwstr>28;#ORC|c028a4b2-ad8b-4cf4-9cac-a2ae6a778e23</vt:lpwstr>
  </property>
  <property fmtid="{D5CDD505-2E9C-101B-9397-08002B2CF9AE}" pid="8" name="Country">
    <vt:lpwstr>24;#BL|b25f8918-d2fc-4ffa-abe7-d7f0a99f2d4b</vt:lpwstr>
  </property>
  <property fmtid="{D5CDD505-2E9C-101B-9397-08002B2CF9AE}" pid="9" name="Sector IDB">
    <vt:lpwstr>83;#RM|c8fda4a7-691a-4c65-b227-9825197b5cd2</vt:lpwstr>
  </property>
  <property fmtid="{D5CDD505-2E9C-101B-9397-08002B2CF9AE}" pid="10" name="Function Operations IDB">
    <vt:lpwstr>4;#Project Administration|751f71fd-1433-4702-a2db-ff12a4e45594</vt:lpwstr>
  </property>
  <property fmtid="{D5CDD505-2E9C-101B-9397-08002B2CF9AE}" pid="11" name="_dlc_DocIdItemGuid">
    <vt:lpwstr>a0791429-afc0-437b-a03d-f2abdfd94d16</vt:lpwstr>
  </property>
  <property fmtid="{D5CDD505-2E9C-101B-9397-08002B2CF9AE}" pid="12" name="Disclosure Activity">
    <vt:lpwstr>Electronic Links</vt:lpwstr>
  </property>
  <property fmtid="{D5CDD505-2E9C-101B-9397-08002B2CF9AE}" pid="13" name="ContentTypeId">
    <vt:lpwstr>0x0101001A458A224826124E8B45B1D613300CFC00093E9A0F5BF25C47B5CD2E5AD1B91932</vt:lpwstr>
  </property>
</Properties>
</file>